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E" w:rsidRDefault="00C46ECE">
      <w:pPr>
        <w:spacing w:line="60" w:lineRule="exact"/>
        <w:rPr>
          <w:sz w:val="6"/>
        </w:rPr>
        <w:sectPr w:rsidR="00C46E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C46ECE" w:rsidRDefault="00C46E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spacing w:val="0"/>
          <w:w w:val="100"/>
        </w:rPr>
      </w:pPr>
      <w:r>
        <w:rPr>
          <w:spacing w:val="0"/>
          <w:w w:val="100"/>
        </w:rPr>
        <w:t>Комитет по ликвидации дискриминации</w:t>
      </w:r>
      <w:r>
        <w:rPr>
          <w:spacing w:val="0"/>
          <w:w w:val="100"/>
        </w:rPr>
        <w:br/>
        <w:t>в отношении женщин</w:t>
      </w:r>
    </w:p>
    <w:p w:rsidR="00C46ECE" w:rsidRDefault="00C46E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0"/>
          <w:w w:val="100"/>
        </w:rPr>
      </w:pPr>
      <w:r>
        <w:rPr>
          <w:spacing w:val="0"/>
          <w:w w:val="100"/>
        </w:rPr>
        <w:t>Предсессионная рабочая группа</w:t>
      </w:r>
    </w:p>
    <w:p w:rsidR="00C46ECE" w:rsidRDefault="00C46E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0"/>
          <w:w w:val="100"/>
        </w:rPr>
      </w:pPr>
      <w:r>
        <w:rPr>
          <w:spacing w:val="0"/>
          <w:w w:val="100"/>
        </w:rPr>
        <w:t>Тридцать девятая сессия</w:t>
      </w:r>
    </w:p>
    <w:p w:rsidR="00C46ECE" w:rsidRDefault="00C46EC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0"/>
          <w:w w:val="100"/>
        </w:rPr>
      </w:pPr>
      <w:r>
        <w:rPr>
          <w:spacing w:val="0"/>
          <w:w w:val="100"/>
        </w:rPr>
        <w:t xml:space="preserve">23 июля — 10 августа 2007 года </w:t>
      </w:r>
    </w:p>
    <w:p w:rsidR="00C46ECE" w:rsidRDefault="00C46ECE">
      <w:pPr>
        <w:pStyle w:val="SingleTxt"/>
        <w:spacing w:after="0" w:line="120" w:lineRule="exact"/>
        <w:rPr>
          <w:spacing w:val="0"/>
          <w:w w:val="100"/>
          <w:sz w:val="10"/>
        </w:rPr>
      </w:pPr>
    </w:p>
    <w:p w:rsidR="00C46ECE" w:rsidRDefault="00C46ECE">
      <w:pPr>
        <w:pStyle w:val="SingleTxt"/>
        <w:spacing w:after="0" w:line="120" w:lineRule="exact"/>
        <w:rPr>
          <w:spacing w:val="0"/>
          <w:w w:val="100"/>
          <w:sz w:val="10"/>
        </w:rPr>
      </w:pPr>
    </w:p>
    <w:p w:rsidR="00C46ECE" w:rsidRDefault="00C46ECE">
      <w:pPr>
        <w:pStyle w:val="SingleTxt"/>
        <w:spacing w:after="0" w:line="120" w:lineRule="exact"/>
        <w:rPr>
          <w:spacing w:val="0"/>
          <w:w w:val="100"/>
          <w:sz w:val="10"/>
        </w:rPr>
      </w:pPr>
    </w:p>
    <w:p w:rsidR="00C46ECE" w:rsidRDefault="00C46E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  <w:t xml:space="preserve">Ответы на перечень тем и вопросов в связи с рассмотрением шестого периодического доклада </w:t>
      </w:r>
    </w:p>
    <w:p w:rsidR="00C46ECE" w:rsidRDefault="00C46ECE">
      <w:pPr>
        <w:pStyle w:val="SingleTxt"/>
        <w:spacing w:after="0" w:line="120" w:lineRule="exact"/>
        <w:rPr>
          <w:spacing w:val="0"/>
          <w:w w:val="100"/>
          <w:sz w:val="10"/>
        </w:rPr>
      </w:pPr>
    </w:p>
    <w:p w:rsidR="00C46ECE" w:rsidRDefault="00C46ECE">
      <w:pPr>
        <w:pStyle w:val="SingleTxt"/>
        <w:spacing w:after="0" w:line="120" w:lineRule="exact"/>
        <w:rPr>
          <w:spacing w:val="0"/>
          <w:w w:val="100"/>
          <w:sz w:val="10"/>
        </w:rPr>
      </w:pPr>
    </w:p>
    <w:p w:rsidR="00C46ECE" w:rsidRDefault="00C46E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</w:rPr>
      </w:pPr>
      <w:r>
        <w:rPr>
          <w:spacing w:val="0"/>
          <w:w w:val="100"/>
          <w:sz w:val="24"/>
        </w:rPr>
        <w:tab/>
      </w:r>
      <w:r>
        <w:rPr>
          <w:spacing w:val="0"/>
          <w:w w:val="100"/>
          <w:sz w:val="24"/>
        </w:rPr>
        <w:tab/>
        <w:t>Бразилия</w:t>
      </w:r>
      <w:r>
        <w:rPr>
          <w:rStyle w:val="FootnoteReference"/>
          <w:spacing w:val="0"/>
          <w:w w:val="100"/>
          <w:sz w:val="24"/>
        </w:rPr>
        <w:footnoteReference w:customMarkFollows="1" w:id="1"/>
        <w:t>*</w:t>
      </w:r>
    </w:p>
    <w:p w:rsidR="00C46ECE" w:rsidRDefault="00C46ECE">
      <w:pPr>
        <w:pStyle w:val="SingleTxt"/>
        <w:spacing w:after="0" w:line="120" w:lineRule="exact"/>
        <w:rPr>
          <w:sz w:val="10"/>
        </w:rPr>
      </w:pPr>
    </w:p>
    <w:p w:rsidR="00C46ECE" w:rsidRDefault="00C46ECE">
      <w:pPr>
        <w:pStyle w:val="SingleTxt"/>
        <w:spacing w:after="0" w:line="120" w:lineRule="exact"/>
        <w:rPr>
          <w:sz w:val="10"/>
        </w:rPr>
      </w:pPr>
    </w:p>
    <w:p w:rsidR="00C46ECE" w:rsidRDefault="00C46ECE">
      <w:pPr>
        <w:pStyle w:val="SingleTxt"/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br w:type="page"/>
      </w:r>
      <w:r>
        <w:rPr>
          <w:spacing w:val="0"/>
          <w:w w:val="100"/>
          <w:sz w:val="22"/>
          <w:szCs w:val="24"/>
        </w:rPr>
        <w:t>Специальный секретариат по политике в отношении женщин с удовлетворением получил и рассмотрел темы и вопросы, по которым Комитет КЛДЖ запросил у Бразилии разъя</w:t>
      </w:r>
      <w:r>
        <w:rPr>
          <w:spacing w:val="0"/>
          <w:w w:val="100"/>
          <w:sz w:val="22"/>
          <w:szCs w:val="24"/>
        </w:rPr>
        <w:t>с</w:t>
      </w:r>
      <w:r>
        <w:rPr>
          <w:spacing w:val="0"/>
          <w:w w:val="100"/>
          <w:sz w:val="22"/>
          <w:szCs w:val="24"/>
        </w:rPr>
        <w:t>нения. В подготовке ответов на вопросы Комитета непосредственно участвовали Мин</w:t>
      </w:r>
      <w:r>
        <w:rPr>
          <w:spacing w:val="0"/>
          <w:w w:val="100"/>
          <w:sz w:val="22"/>
          <w:szCs w:val="24"/>
        </w:rPr>
        <w:t>и</w:t>
      </w:r>
      <w:r>
        <w:rPr>
          <w:spacing w:val="0"/>
          <w:w w:val="100"/>
          <w:sz w:val="22"/>
          <w:szCs w:val="24"/>
        </w:rPr>
        <w:t>стерство сельскохозяйственного развития, Министерство образования, Министерство здравоохранения, Специальный секретариат по правам человека, Министерство социал</w:t>
      </w:r>
      <w:r>
        <w:rPr>
          <w:spacing w:val="0"/>
          <w:w w:val="100"/>
          <w:sz w:val="22"/>
          <w:szCs w:val="24"/>
        </w:rPr>
        <w:t>ь</w:t>
      </w:r>
      <w:r>
        <w:rPr>
          <w:spacing w:val="0"/>
          <w:w w:val="100"/>
          <w:sz w:val="22"/>
          <w:szCs w:val="24"/>
        </w:rPr>
        <w:t>ного развития и борьбы с голодом и Министерство внешних сношений.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Во-первых, хотелось бы отметить, что на всеобщих выборах в октябре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през</w:t>
      </w:r>
      <w:r>
        <w:rPr>
          <w:spacing w:val="0"/>
          <w:w w:val="100"/>
          <w:sz w:val="22"/>
          <w:szCs w:val="24"/>
        </w:rPr>
        <w:t>и</w:t>
      </w:r>
      <w:r>
        <w:rPr>
          <w:spacing w:val="0"/>
          <w:w w:val="100"/>
          <w:sz w:val="22"/>
          <w:szCs w:val="24"/>
        </w:rPr>
        <w:t>дент Луис Инасиу Лула да Силва</w:t>
      </w:r>
      <w:r>
        <w:rPr>
          <w:spacing w:val="0"/>
          <w:w w:val="100"/>
          <w:sz w:val="22"/>
          <w:szCs w:val="19"/>
        </w:rPr>
        <w:t xml:space="preserve"> </w:t>
      </w:r>
      <w:r>
        <w:rPr>
          <w:spacing w:val="0"/>
          <w:w w:val="100"/>
          <w:sz w:val="22"/>
          <w:szCs w:val="24"/>
        </w:rPr>
        <w:t>был избран еще на один четырехгодичный срок. Это означает, что возможно дальнейшее укрепление, развитие и изменение направления пр</w:t>
      </w:r>
      <w:r>
        <w:rPr>
          <w:spacing w:val="0"/>
          <w:w w:val="100"/>
          <w:sz w:val="22"/>
          <w:szCs w:val="24"/>
        </w:rPr>
        <w:t>о</w:t>
      </w:r>
      <w:r>
        <w:rPr>
          <w:spacing w:val="0"/>
          <w:w w:val="100"/>
          <w:sz w:val="22"/>
          <w:szCs w:val="24"/>
        </w:rPr>
        <w:t>водимой соц</w:t>
      </w:r>
      <w:r>
        <w:rPr>
          <w:spacing w:val="0"/>
          <w:w w:val="100"/>
          <w:sz w:val="22"/>
          <w:szCs w:val="24"/>
        </w:rPr>
        <w:t>и</w:t>
      </w:r>
      <w:r>
        <w:rPr>
          <w:spacing w:val="0"/>
          <w:w w:val="100"/>
          <w:sz w:val="22"/>
          <w:szCs w:val="24"/>
        </w:rPr>
        <w:t>ально-экономической политики.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своей инаугурационной речи в Национальном конгрессе 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января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президент отметил важность учреждения Специального секретариата по политике в отношении женщин – СПЖ – и результаты проведения гендерной политики в течение первого срока своего пребывания у власти, заявив, что "мы расширили охват государственной политики в этой области и создали мощные учреждения, способные обеспечить, чтобы страна реш</w:t>
      </w:r>
      <w:r>
        <w:rPr>
          <w:spacing w:val="0"/>
          <w:w w:val="100"/>
          <w:sz w:val="22"/>
          <w:szCs w:val="24"/>
        </w:rPr>
        <w:t>и</w:t>
      </w:r>
      <w:r>
        <w:rPr>
          <w:spacing w:val="0"/>
          <w:w w:val="100"/>
          <w:sz w:val="22"/>
          <w:szCs w:val="24"/>
        </w:rPr>
        <w:t>тельно и неуклонно боролась со всеми формами дискриминации на основании признака пола, расы, сексуальной ориентации или возраста".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Поставив во главе Министерства туризма женщину, президент довел число женщин в н</w:t>
      </w:r>
      <w:r>
        <w:rPr>
          <w:spacing w:val="0"/>
          <w:w w:val="100"/>
          <w:sz w:val="22"/>
          <w:szCs w:val="24"/>
        </w:rPr>
        <w:t>о</w:t>
      </w:r>
      <w:r>
        <w:rPr>
          <w:spacing w:val="0"/>
          <w:w w:val="100"/>
          <w:sz w:val="22"/>
          <w:szCs w:val="24"/>
        </w:rPr>
        <w:t>вом кабинете министров до пяти: Дилма Русеф, начальник канцелярии; Марина Силва, министр по вопросам окружающей среды; Марта Суплиси, министр туризма; Матилда Рибейру, специальный секретарь по вопросам политики содействия расовому р</w:t>
      </w:r>
      <w:r>
        <w:rPr>
          <w:spacing w:val="0"/>
          <w:w w:val="100"/>
          <w:sz w:val="22"/>
          <w:szCs w:val="24"/>
        </w:rPr>
        <w:t>а</w:t>
      </w:r>
      <w:r>
        <w:rPr>
          <w:spacing w:val="0"/>
          <w:w w:val="100"/>
          <w:sz w:val="22"/>
          <w:szCs w:val="24"/>
        </w:rPr>
        <w:t>венству; и Нилсеа Фрейре, специальный секретарь по политике в отношении 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Что касается политики более общего плана, следует упомянуть введение в текущем году политики ускорения роста – комплекса из 50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инициатив, предусматривающего капитал</w:t>
      </w:r>
      <w:r>
        <w:rPr>
          <w:spacing w:val="0"/>
          <w:w w:val="100"/>
          <w:sz w:val="22"/>
          <w:szCs w:val="24"/>
        </w:rPr>
        <w:t>о</w:t>
      </w:r>
      <w:r>
        <w:rPr>
          <w:spacing w:val="0"/>
          <w:w w:val="100"/>
          <w:sz w:val="22"/>
          <w:szCs w:val="24"/>
        </w:rPr>
        <w:t>вложения в инфраструктуру, которые к 2010 году должны составить 503 млрд. реалов. Не ставя под угрозу уже достигнутую экономическую стабильность, эти инициативы н</w:t>
      </w:r>
      <w:r>
        <w:rPr>
          <w:spacing w:val="0"/>
          <w:w w:val="100"/>
          <w:sz w:val="22"/>
          <w:szCs w:val="24"/>
        </w:rPr>
        <w:t>а</w:t>
      </w:r>
      <w:r>
        <w:rPr>
          <w:spacing w:val="0"/>
          <w:w w:val="100"/>
          <w:sz w:val="22"/>
          <w:szCs w:val="24"/>
        </w:rPr>
        <w:t>правлены на ускорение роста, с целью создания большего числа рабочих мест и пов</w:t>
      </w:r>
      <w:r>
        <w:rPr>
          <w:spacing w:val="0"/>
          <w:w w:val="100"/>
          <w:sz w:val="22"/>
          <w:szCs w:val="24"/>
        </w:rPr>
        <w:t>ы</w:t>
      </w:r>
      <w:r>
        <w:rPr>
          <w:spacing w:val="0"/>
          <w:w w:val="100"/>
          <w:sz w:val="22"/>
          <w:szCs w:val="24"/>
        </w:rPr>
        <w:t>шения доходов, а также сокращения различий между регионами. Программой также предусматриваются стимулирование кредитов и финансирования, облегчение налогового бремени и совершенствование законодательства, а также другие меры в сфере финансов.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Что касается политики в отношении женщин, на начало 2007 года следует отметить нек</w:t>
      </w:r>
      <w:r>
        <w:rPr>
          <w:spacing w:val="0"/>
          <w:w w:val="100"/>
          <w:sz w:val="22"/>
          <w:szCs w:val="24"/>
        </w:rPr>
        <w:t>о</w:t>
      </w:r>
      <w:r>
        <w:rPr>
          <w:spacing w:val="0"/>
          <w:w w:val="100"/>
          <w:sz w:val="22"/>
          <w:szCs w:val="24"/>
        </w:rPr>
        <w:t>торые заслуживающие внимания факты.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Федеральное правительство отметило 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марта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Международный женский день, обнародовав План борьбы с феминизацией СПИДа и других ЗППП, наряду с Кампанией профилактики ЗППП/СПИДа на Панамериканских играх 2007 года в Рио. На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м</w:t>
      </w:r>
      <w:r>
        <w:rPr>
          <w:spacing w:val="0"/>
          <w:w w:val="100"/>
          <w:sz w:val="22"/>
          <w:szCs w:val="24"/>
        </w:rPr>
        <w:t>е</w:t>
      </w:r>
      <w:r>
        <w:rPr>
          <w:spacing w:val="0"/>
          <w:w w:val="100"/>
          <w:sz w:val="22"/>
          <w:szCs w:val="24"/>
        </w:rPr>
        <w:t>роприятии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присутствовал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президент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Луис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Инасиу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Лула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да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Силва</w:t>
      </w:r>
      <w:r w:rsidRPr="00EE2787">
        <w:rPr>
          <w:spacing w:val="0"/>
          <w:w w:val="100"/>
          <w:sz w:val="22"/>
          <w:szCs w:val="24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Приступив к реализации Плана по борьбе с феминизацией СПИДа и других ЗППП, федеральное правительство стремилось повысить информированность населения о том, что эпидемия СПИДа изменила свою направленность и в настоящее время в значительной мере сказывается и на женщинах: распространенность ВИЧ</w:t>
      </w:r>
      <w:r>
        <w:rPr>
          <w:spacing w:val="0"/>
          <w:w w:val="100"/>
          <w:sz w:val="22"/>
          <w:szCs w:val="24"/>
        </w:rPr>
        <w:noBreakHyphen/>
        <w:t>инфекции среди женщин с 1995 по 2005 год возросла на 44 процента. Цель плана состоит в уменьшении уязвимости женщин по отношению к ВИЧ и другим заболеваниям, передаваемым половым путем.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К задачам плана относятся двукратное увеличение числа женщин, проходящих проверку на ВИЧ (с 35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 до 70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процентов); к 2008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сокращение вертикальной передачи инфекции с 4 процентов до менее чем 1 процента; увеличение объема продаж женских противозачаточных средств с 4 млн. штук в 2007 году до 10 млн. штук в 2008 году; искоренение врожденного сифилиса; и финансирование исследований по эпидемии СПИДа.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ходе кампании профилактики ЗППП/СПИДа на Панамериканских играх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и Паролимпийских американских играх спортсмены включатся в борьбу против СПИДа, повышая осознание общественностью значения здорового образа жизни и повышения самооценки для сокращения определенных аспектов уязвимости, связанных с вирусом СПИДа и другими заболеваниями. При открытии игр каждому спортсмену и участнику вручат комплект из презервативов, маек и информации о профилактике. Кампания, девиз которой – "</w:t>
      </w:r>
      <w:r>
        <w:rPr>
          <w:spacing w:val="0"/>
          <w:w w:val="100"/>
          <w:sz w:val="22"/>
          <w:szCs w:val="24"/>
          <w:lang w:val="en-US"/>
        </w:rPr>
        <w:t>Vista</w:t>
      </w:r>
      <w:r>
        <w:rPr>
          <w:spacing w:val="0"/>
          <w:w w:val="100"/>
          <w:sz w:val="22"/>
          <w:szCs w:val="24"/>
        </w:rPr>
        <w:t>-</w:t>
      </w:r>
      <w:r>
        <w:rPr>
          <w:spacing w:val="0"/>
          <w:w w:val="100"/>
          <w:sz w:val="22"/>
          <w:szCs w:val="24"/>
          <w:lang w:val="en-US"/>
        </w:rPr>
        <w:t>se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nos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jogos</w:t>
      </w:r>
      <w:r>
        <w:rPr>
          <w:spacing w:val="0"/>
          <w:w w:val="100"/>
          <w:sz w:val="22"/>
          <w:szCs w:val="24"/>
        </w:rPr>
        <w:t>" [Будь одет на Играх], продлится до окончания Паролимпийских американских игр в августе.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Кампания и План были разработаны в рамках партнерства между Специальным секретариатом по политике в отношении женщин (СПЖ), Министерством спорта, Министерством здравоохранения, Министерством социального развития и борьбы с голодом, Фондом Организации Объединенных Наций для развития в интересах женщин (ЮНИФЕМ) и Детским фондом Организации Объединенных Наций (ЮНИСЕФ), при участии </w:t>
      </w:r>
      <w:r>
        <w:rPr>
          <w:spacing w:val="0"/>
          <w:w w:val="100"/>
          <w:sz w:val="22"/>
          <w:szCs w:val="24"/>
          <w:lang w:val="en-US"/>
        </w:rPr>
        <w:t>Caixa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Econ</w:t>
      </w:r>
      <w:r>
        <w:rPr>
          <w:spacing w:val="0"/>
          <w:w w:val="100"/>
          <w:sz w:val="22"/>
          <w:szCs w:val="24"/>
        </w:rPr>
        <w:t>ô</w:t>
      </w:r>
      <w:r>
        <w:rPr>
          <w:spacing w:val="0"/>
          <w:w w:val="100"/>
          <w:sz w:val="22"/>
          <w:szCs w:val="24"/>
          <w:lang w:val="en-US"/>
        </w:rPr>
        <w:t>mica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Federal</w:t>
      </w:r>
      <w:r>
        <w:rPr>
          <w:spacing w:val="0"/>
          <w:w w:val="100"/>
          <w:sz w:val="22"/>
          <w:szCs w:val="24"/>
        </w:rPr>
        <w:t xml:space="preserve"> (</w:t>
      </w:r>
      <w:r>
        <w:rPr>
          <w:spacing w:val="0"/>
          <w:w w:val="100"/>
          <w:sz w:val="22"/>
          <w:szCs w:val="24"/>
          <w:lang w:val="en-US"/>
        </w:rPr>
        <w:t>CEF</w:t>
      </w:r>
      <w:r>
        <w:rPr>
          <w:spacing w:val="0"/>
          <w:w w:val="100"/>
          <w:sz w:val="22"/>
          <w:szCs w:val="24"/>
        </w:rPr>
        <w:t>) [Федерального сберегательного банка], Бразильского олимпийского комитета (БОК), Бразильского паролимпийского комитета, правительства штата Рио-де-Жанейро и муниципалитета Рио-де-Жанейро.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17 января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указом, подписанным президентом Луисом Инасиу Лула да Силва (</w:t>
      </w:r>
      <w:r>
        <w:rPr>
          <w:spacing w:val="0"/>
          <w:w w:val="100"/>
          <w:sz w:val="22"/>
          <w:szCs w:val="24"/>
          <w:lang w:val="en-US"/>
        </w:rPr>
        <w:t>DOU</w:t>
      </w:r>
      <w:r>
        <w:rPr>
          <w:spacing w:val="0"/>
          <w:w w:val="100"/>
          <w:sz w:val="22"/>
          <w:szCs w:val="24"/>
        </w:rPr>
        <w:t xml:space="preserve">, 18/01/07, </w:t>
      </w:r>
      <w:r>
        <w:rPr>
          <w:spacing w:val="0"/>
          <w:w w:val="100"/>
          <w:sz w:val="22"/>
          <w:szCs w:val="24"/>
          <w:lang w:val="en-US"/>
        </w:rPr>
        <w:t>ed</w:t>
      </w:r>
      <w:r>
        <w:rPr>
          <w:spacing w:val="0"/>
          <w:w w:val="100"/>
          <w:sz w:val="22"/>
          <w:szCs w:val="24"/>
        </w:rPr>
        <w:t xml:space="preserve">. </w:t>
      </w:r>
      <w:r>
        <w:rPr>
          <w:spacing w:val="0"/>
          <w:w w:val="100"/>
          <w:sz w:val="22"/>
          <w:szCs w:val="24"/>
          <w:lang w:val="en-US"/>
        </w:rPr>
        <w:t>n</w:t>
      </w:r>
      <w:r>
        <w:rPr>
          <w:spacing w:val="0"/>
          <w:w w:val="100"/>
          <w:sz w:val="22"/>
          <w:szCs w:val="24"/>
        </w:rPr>
        <w:t xml:space="preserve">º 13, </w:t>
      </w:r>
      <w:r>
        <w:rPr>
          <w:spacing w:val="0"/>
          <w:w w:val="100"/>
          <w:sz w:val="22"/>
          <w:szCs w:val="24"/>
          <w:lang w:val="en-US"/>
        </w:rPr>
        <w:t>se</w:t>
      </w:r>
      <w:r>
        <w:rPr>
          <w:spacing w:val="0"/>
          <w:w w:val="100"/>
          <w:sz w:val="22"/>
          <w:szCs w:val="24"/>
        </w:rPr>
        <w:t>çã</w:t>
      </w:r>
      <w:r>
        <w:rPr>
          <w:spacing w:val="0"/>
          <w:w w:val="100"/>
          <w:sz w:val="22"/>
          <w:szCs w:val="24"/>
          <w:lang w:val="en-US"/>
        </w:rPr>
        <w:t>o</w:t>
      </w:r>
      <w:r>
        <w:rPr>
          <w:spacing w:val="0"/>
          <w:w w:val="100"/>
          <w:sz w:val="22"/>
          <w:szCs w:val="24"/>
        </w:rPr>
        <w:t xml:space="preserve"> 1, </w:t>
      </w:r>
      <w:r>
        <w:rPr>
          <w:spacing w:val="0"/>
          <w:w w:val="100"/>
          <w:sz w:val="22"/>
          <w:szCs w:val="24"/>
          <w:lang w:val="en-US"/>
        </w:rPr>
        <w:t>p</w:t>
      </w:r>
      <w:r>
        <w:rPr>
          <w:spacing w:val="0"/>
          <w:w w:val="100"/>
          <w:sz w:val="22"/>
          <w:szCs w:val="24"/>
        </w:rPr>
        <w:t>. 7), была созвана вторая Национальная конференция по политике в отношении положения женщин, координаторами которой выступили Специальный секретариат Канцелярии президента по политике в отношении женщин и Национальный совет по правам 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Вторая Конференция пройдет в Бразилиа 18–21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августа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и в ней примут участие 2800 делегатов, представляющих органы государственного управления и гражданское общество и участвовавших в конференциях на уровнях штатов, муниципалитетов и регионов с марта по июль этого года.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Для обсуждения предлагаются следующие основные вопросы: </w:t>
      </w:r>
      <w:r>
        <w:rPr>
          <w:spacing w:val="0"/>
          <w:w w:val="100"/>
          <w:sz w:val="22"/>
          <w:szCs w:val="24"/>
          <w:lang w:val="en-US"/>
        </w:rPr>
        <w:t>I</w:t>
      </w:r>
      <w:r>
        <w:rPr>
          <w:spacing w:val="0"/>
          <w:w w:val="100"/>
          <w:sz w:val="22"/>
          <w:szCs w:val="24"/>
        </w:rPr>
        <w:t xml:space="preserve"> – Анализ бразильской действительности: задачи в социально-экономической, политической, культурной сферах и в области достижения равенства путем реализации Национального плана действий в интересах женщин (НПДЖ); </w:t>
      </w:r>
      <w:r>
        <w:rPr>
          <w:spacing w:val="0"/>
          <w:w w:val="100"/>
          <w:sz w:val="22"/>
          <w:szCs w:val="24"/>
          <w:lang w:val="en-US"/>
        </w:rPr>
        <w:t>II</w:t>
      </w:r>
      <w:r>
        <w:rPr>
          <w:spacing w:val="0"/>
          <w:w w:val="100"/>
          <w:sz w:val="22"/>
          <w:szCs w:val="24"/>
        </w:rPr>
        <w:t xml:space="preserve"> – Оценка инициатив и стратегий, проводимых в рамках НПДЖ, их реализации и воздействия; и </w:t>
      </w:r>
      <w:r>
        <w:rPr>
          <w:spacing w:val="0"/>
          <w:w w:val="100"/>
          <w:sz w:val="22"/>
          <w:szCs w:val="24"/>
          <w:lang w:val="en-US"/>
        </w:rPr>
        <w:t>III</w:t>
      </w:r>
      <w:r>
        <w:rPr>
          <w:spacing w:val="0"/>
          <w:w w:val="100"/>
          <w:sz w:val="22"/>
          <w:szCs w:val="24"/>
        </w:rPr>
        <w:t xml:space="preserve"> – Участие женщин в работе органов государственного управления.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Вторая Национальная конференция по политике в отношении положения женщин предоставит органам государственного управления и общественным женским движениям возможность дать оценку проделанной работе и, при необходимости, уточнить определения основных направлений политики в отношении женщин в Бразилии.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</w:rPr>
      </w:pPr>
      <w:r>
        <w:rPr>
          <w:spacing w:val="0"/>
          <w:w w:val="100"/>
          <w:sz w:val="22"/>
          <w:szCs w:val="24"/>
        </w:rPr>
        <w:t>В заключение хотелось бы отметить, что, помимо предоставления запрашиваемых Комитетом уточнений, мы используем предоставленную возможность для обновления шестого национального доклада Бразилии, представленного в апреле 2005 года.</w:t>
      </w:r>
    </w:p>
    <w:p w:rsidR="00C46ECE" w:rsidRDefault="00C46ECE">
      <w:pPr>
        <w:keepNext/>
        <w:spacing w:line="240" w:lineRule="auto"/>
        <w:jc w:val="center"/>
        <w:rPr>
          <w:b/>
          <w:spacing w:val="0"/>
          <w:w w:val="100"/>
          <w:sz w:val="22"/>
          <w:szCs w:val="24"/>
        </w:rPr>
      </w:pPr>
      <w:r>
        <w:rPr>
          <w:b/>
          <w:spacing w:val="0"/>
          <w:w w:val="100"/>
          <w:sz w:val="22"/>
          <w:szCs w:val="24"/>
        </w:rPr>
        <w:br w:type="page"/>
        <w:t xml:space="preserve">ПЕРЕЧЕНЬ </w:t>
      </w:r>
      <w:r>
        <w:rPr>
          <w:b/>
          <w:caps/>
          <w:spacing w:val="0"/>
          <w:w w:val="100"/>
          <w:sz w:val="22"/>
          <w:szCs w:val="24"/>
        </w:rPr>
        <w:t>тем и вопросов, ПРЕДСТАВЛЕННЫЙ КОМИТЕТОМ КЛДЖ</w:t>
      </w:r>
    </w:p>
    <w:p w:rsidR="00C46ECE" w:rsidRPr="00EE2787" w:rsidRDefault="00C46ECE">
      <w:pPr>
        <w:pStyle w:val="Heading6"/>
        <w:jc w:val="both"/>
        <w:rPr>
          <w:sz w:val="22"/>
          <w:lang w:val="ru-RU"/>
        </w:rPr>
      </w:pPr>
    </w:p>
    <w:p w:rsidR="00C46ECE" w:rsidRDefault="00C46ECE">
      <w:pPr>
        <w:pStyle w:val="Heading6"/>
        <w:jc w:val="both"/>
        <w:rPr>
          <w:sz w:val="22"/>
          <w:lang w:val="ru-RU"/>
        </w:rPr>
      </w:pPr>
      <w:r>
        <w:rPr>
          <w:sz w:val="22"/>
          <w:lang w:val="ru-RU"/>
        </w:rPr>
        <w:t>Законодательство и национальные механизмы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1.  </w:t>
      </w:r>
      <w:r>
        <w:rPr>
          <w:i w:val="0"/>
          <w:iCs/>
          <w:sz w:val="22"/>
        </w:rPr>
        <w:t>Просьба представить обновленную информацию об упоминаемых в до</w:t>
      </w:r>
      <w:r>
        <w:rPr>
          <w:i w:val="0"/>
          <w:iCs/>
          <w:sz w:val="22"/>
        </w:rPr>
        <w:t>к</w:t>
      </w:r>
      <w:r>
        <w:rPr>
          <w:i w:val="0"/>
          <w:iCs/>
          <w:sz w:val="22"/>
        </w:rPr>
        <w:t xml:space="preserve">ладе </w:t>
      </w:r>
      <w:r>
        <w:rPr>
          <w:i w:val="0"/>
          <w:iCs/>
          <w:sz w:val="22"/>
          <w:lang w:val="ru-RU"/>
        </w:rPr>
        <w:t xml:space="preserve">(стр. 13) </w:t>
      </w:r>
      <w:r>
        <w:rPr>
          <w:i w:val="0"/>
          <w:iCs/>
          <w:sz w:val="22"/>
        </w:rPr>
        <w:t>законопроектах и поправках, которые были переданы на утверждение в Федеральный сенат, в частности относительно законопроекта 117/03, в соо</w:t>
      </w:r>
      <w:r>
        <w:rPr>
          <w:i w:val="0"/>
          <w:iCs/>
          <w:sz w:val="22"/>
        </w:rPr>
        <w:t>т</w:t>
      </w:r>
      <w:r>
        <w:rPr>
          <w:i w:val="0"/>
          <w:iCs/>
          <w:sz w:val="22"/>
        </w:rPr>
        <w:t xml:space="preserve">ветствии с которым из двух статей Уголовного кодекса исключается выражение 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>порядочная женщина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>, законопроекта 335/95, который гарантирует и регл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ментирует создание яслей и детских с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дов в пенитенциарных учреждениях для детей женщин-заключенных, и зак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нопроекта 644/03, который гарантирует право на отпуск по беременности и р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дам для женщин</w:t>
      </w:r>
      <w:r>
        <w:rPr>
          <w:i w:val="0"/>
          <w:iCs/>
          <w:sz w:val="22"/>
          <w:lang w:val="ru-RU"/>
        </w:rPr>
        <w:t> </w:t>
      </w:r>
      <w:r>
        <w:rPr>
          <w:i w:val="0"/>
          <w:iCs/>
          <w:sz w:val="22"/>
        </w:rPr>
        <w:t>–</w:t>
      </w:r>
      <w:r>
        <w:rPr>
          <w:i w:val="0"/>
          <w:iCs/>
          <w:sz w:val="22"/>
          <w:lang w:val="ru-RU"/>
        </w:rPr>
        <w:t> </w:t>
      </w:r>
      <w:r>
        <w:rPr>
          <w:i w:val="0"/>
          <w:iCs/>
          <w:sz w:val="22"/>
        </w:rPr>
        <w:t xml:space="preserve">членов муниципальных советов и представителей на </w:t>
      </w:r>
      <w:r>
        <w:rPr>
          <w:i w:val="0"/>
          <w:iCs/>
          <w:sz w:val="22"/>
          <w:lang w:val="ru-RU"/>
        </w:rPr>
        <w:t>уровне штатов</w:t>
      </w:r>
      <w:r>
        <w:rPr>
          <w:i w:val="0"/>
          <w:iCs/>
          <w:sz w:val="22"/>
        </w:rPr>
        <w:t xml:space="preserve"> и федеральном уровн</w:t>
      </w:r>
      <w:r>
        <w:rPr>
          <w:i w:val="0"/>
          <w:iCs/>
          <w:sz w:val="22"/>
          <w:lang w:val="ru-RU"/>
        </w:rPr>
        <w:t>е</w:t>
      </w:r>
      <w:r>
        <w:rPr>
          <w:i w:val="0"/>
          <w:iCs/>
          <w:sz w:val="22"/>
        </w:rPr>
        <w:t xml:space="preserve"> и который вкл</w:t>
      </w:r>
      <w:r>
        <w:rPr>
          <w:i w:val="0"/>
          <w:iCs/>
          <w:sz w:val="22"/>
        </w:rPr>
        <w:t>ю</w:t>
      </w:r>
      <w:r>
        <w:rPr>
          <w:i w:val="0"/>
          <w:iCs/>
          <w:sz w:val="22"/>
        </w:rPr>
        <w:t>чает положения об отпуске по уходу за детьми для парламент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риев-мужчин.</w:t>
      </w:r>
    </w:p>
    <w:p w:rsidR="00C46ECE" w:rsidRDefault="00C46ECE">
      <w:pPr>
        <w:spacing w:line="240" w:lineRule="auto"/>
        <w:jc w:val="both"/>
        <w:rPr>
          <w:b/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Законопроект 117/03 был принят и вступил в силу 28 марта 2005 года в качестве Закона 11 106. Поправками из законодательства Бразилии исключено понятие "порядочная женщина" (девственница или замужняя) и такое преступление, как прелюбодеяние. В соответствии с этим утратил силу довод "законной защиты своей чести", десятилетиями приводившийся в судах в защиту мужчин, убивших 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Еще одним существенным изменением стала отмена помилования по преступлениям против традиций, таких как изнасилование и сексуальные преследования. Ранее закон допускал женитьбу преступника или кого-либо еще на потерпевшей, что аннулировало обвинение против совершившего преступление. Была изменена формулировка статьи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231 о торговле женщинами, в нее было включено упоминание о торговле людьми внутри страны и на международном уровне, теперь жертвами могут считаться и мужчины, и женщины. В связи с этим следует упомянуть Указ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5948 от 26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октября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которым была утверждена Национальная политика по борьбе с торговлей людьми и создана Межминистерская рабочая группа для подготовки проекта национального плана по борьбе с торговлей людьми (НПБТЛ).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Законопроект 335/95, которым гарантируется и регулируется создание яслей, где женщины-заключенные могли бы ухаживать за своими детьми, был передан в Федеральный сенат в качестве проекта </w:t>
      </w:r>
      <w:r>
        <w:rPr>
          <w:spacing w:val="0"/>
          <w:w w:val="100"/>
          <w:sz w:val="22"/>
          <w:szCs w:val="24"/>
          <w:lang w:val="en-US"/>
        </w:rPr>
        <w:t>PLC</w:t>
      </w:r>
      <w:r>
        <w:rPr>
          <w:spacing w:val="0"/>
          <w:w w:val="100"/>
          <w:sz w:val="22"/>
          <w:szCs w:val="24"/>
        </w:rPr>
        <w:t xml:space="preserve"> 105/2003 и в настоящее время рассматривается Комиссией по конституции, юстиции и гражданству, докладчик которой высказался в пользу его утверждения.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Наряду с этим Специальный секретариат по политике в отношении женщин (СПЖ) и Министерство юстиции в лице Департамента исправительных работ подписали соглашение о техническом сотрудничестве по реализации политики государства в отношении женщин-заключенных, их детей и их семей. Цель соглашения состоит в том, чтобы обеспечить гуманные условия заключения и содействовать реинтеграции в общество отбывших наказание. Это соглашение о сотрудничестве было опубликовано в Правительственном вестнике 13 февраля 2007 года.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Соглашение предусматривает назначение в 90</w:t>
      </w:r>
      <w:r>
        <w:rPr>
          <w:spacing w:val="0"/>
          <w:w w:val="100"/>
          <w:sz w:val="22"/>
          <w:szCs w:val="24"/>
        </w:rPr>
        <w:noBreakHyphen/>
        <w:t>дневный срок Межминистерской рабочей группы (МРГ) для подготовки реорганизации и преобразования системы содержания женщин под стражей. Эта рабочая группа будет обладать широкими полномочиями, в том числе по разработке предложений относительно возможности пребывания детей заключенных в тюрьме и сроков такого пребывания; надлежащих условий содержания в женских тюрьмах; подготовке профессионалов, работающих с заключенными; ассигнованию части Национального пенитенциарного фонда женским тюрьмам; и разработке программ, рассчитанных на обеспечение образования, охраны здоровья, профессионально-технического обучения и юридической и социальной поддержки для женщин-заключенных и их семей.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Наряду с представителями двух вышеуказанных министерств в Межминистерскую рабочую группу войдут также представители министерств здравоохранения, образования, труда, Социального департамента, Специального секретариата по правам человека и Специального секретариата по политике содействия расовому равенству. В работе МРГ будут также принимать участие представители органов юстиции и гражданского общества.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Законопроект 644/03, которым членам парламента – как женщинам, так и мужчинам – гарантируется право на отпуск по уходу за новорожденным, был передан в Федеральный сенат (</w:t>
      </w:r>
      <w:r>
        <w:rPr>
          <w:spacing w:val="0"/>
          <w:w w:val="100"/>
          <w:sz w:val="22"/>
          <w:szCs w:val="24"/>
          <w:lang w:val="en-US"/>
        </w:rPr>
        <w:t>PLC</w:t>
      </w:r>
      <w:r>
        <w:rPr>
          <w:spacing w:val="0"/>
          <w:w w:val="100"/>
          <w:sz w:val="22"/>
          <w:szCs w:val="24"/>
        </w:rPr>
        <w:t xml:space="preserve"> 104/2003) и в настоящее время рассматривается Комиссией по конституции, юстиции и гражданству, докладчик которой высказался против этого законопроекта, поскольку он вторгается в сферу компетенции законодательных органов штатов и муниципалитетов, и предложил руководству Федерального сената провести дополнительное рассмотрение данного вопроса, в особенности в связи с необходимостью обеспечить включение обсуждаемых прав в подзаконные акты Федерального сената, поскольку они имеют законную силу.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отношении материнства следует далее отметить, что Закон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11 108 от 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апреля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которым вносятся изменения в Закон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8080 от 19 сентября 1990 года, гарантирует будущим матерям право на присутствие сопровождающих их лиц во время схваток, родов и непосредственно после родов, в соответствии с положениями Единой системы здравоохранения (ЕСЗ).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2.  </w:t>
      </w:r>
      <w:r>
        <w:rPr>
          <w:i w:val="0"/>
          <w:iCs/>
          <w:sz w:val="22"/>
        </w:rPr>
        <w:t xml:space="preserve">В докладе </w:t>
      </w:r>
      <w:r>
        <w:rPr>
          <w:i w:val="0"/>
          <w:iCs/>
          <w:sz w:val="22"/>
          <w:lang w:val="ru-RU"/>
        </w:rPr>
        <w:t xml:space="preserve">(стр. 17) </w:t>
      </w:r>
      <w:r>
        <w:rPr>
          <w:i w:val="0"/>
          <w:iCs/>
          <w:sz w:val="22"/>
        </w:rPr>
        <w:t xml:space="preserve">отмечается, что 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 xml:space="preserve">в настоящее время в 23 из 27 федеральных штатов действуют советы </w:t>
      </w:r>
      <w:r>
        <w:rPr>
          <w:i w:val="0"/>
          <w:iCs/>
          <w:sz w:val="22"/>
          <w:lang w:val="ru-RU"/>
        </w:rPr>
        <w:t xml:space="preserve">штатов </w:t>
      </w:r>
      <w:r>
        <w:rPr>
          <w:i w:val="0"/>
          <w:iCs/>
          <w:sz w:val="22"/>
        </w:rPr>
        <w:t>по правам женщин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 xml:space="preserve">. Просьба представить информацию о финансовых и людских ресурсах этих советов и о том, имеются ли планы учредить такие советы в четырех штатах, в которых их нет. Просьба также подробнее осветить взаимоотношения между Национальным советом по правам женщин и советами </w:t>
      </w:r>
      <w:r>
        <w:rPr>
          <w:i w:val="0"/>
          <w:iCs/>
          <w:sz w:val="22"/>
          <w:lang w:val="ru-RU"/>
        </w:rPr>
        <w:t xml:space="preserve">штатов </w:t>
      </w:r>
      <w:r>
        <w:rPr>
          <w:i w:val="0"/>
          <w:iCs/>
          <w:sz w:val="22"/>
        </w:rPr>
        <w:t xml:space="preserve">по правам женщин, а именно в плане совместной ответственности за </w:t>
      </w:r>
      <w:r>
        <w:rPr>
          <w:i w:val="0"/>
          <w:iCs/>
          <w:sz w:val="22"/>
          <w:lang w:val="ru-RU"/>
        </w:rPr>
        <w:t xml:space="preserve">контроль над </w:t>
      </w:r>
      <w:r>
        <w:rPr>
          <w:i w:val="0"/>
          <w:iCs/>
          <w:sz w:val="22"/>
        </w:rPr>
        <w:t>осуществлением Конвенции о ли</w:t>
      </w:r>
      <w:r>
        <w:rPr>
          <w:i w:val="0"/>
          <w:iCs/>
          <w:sz w:val="22"/>
        </w:rPr>
        <w:t>к</w:t>
      </w:r>
      <w:r>
        <w:rPr>
          <w:i w:val="0"/>
          <w:iCs/>
          <w:sz w:val="22"/>
        </w:rPr>
        <w:t>видации всех форм дискриминации в отношении женщин</w:t>
      </w:r>
      <w:r>
        <w:rPr>
          <w:i w:val="0"/>
          <w:iCs/>
          <w:sz w:val="22"/>
          <w:lang w:val="ru-RU"/>
        </w:rPr>
        <w:t xml:space="preserve"> (стр. 18).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Наряду с выполнением присущих только ему функций Национальный совет по правам женщин занимается также укреплением советов штатов и муниципалитетов по правам женщин. Для этого он поддерживает связи с имеющимися советами, информирует их о деятельности Совета, выполняет их запросы и ведет учет собранных данных. В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существовало 90 муниципальных советов и 20 советов штатов. По данным Совета, в настоящее время имеются 204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совета: 24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совета штатов, включая недавно созданный совет штата Амазонас по правам женщин (вскоре советы штатов будут созданы в Пернамбуку, Рондонии и Сержипи), и 180 муниципальных советов (учитываются только муниципальные советы, местоположение которых известно и с которыми удалось связаться).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Совет также предпринимает усилия для поощрения создания советов, поддерживая связи с женскими движениями на местах и способствуя подготовке членов советов. В марте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года Совет и </w:t>
      </w:r>
      <w:r>
        <w:rPr>
          <w:spacing w:val="0"/>
          <w:w w:val="100"/>
          <w:sz w:val="22"/>
          <w:szCs w:val="24"/>
          <w:lang w:val="en-US"/>
        </w:rPr>
        <w:t>C</w:t>
      </w:r>
      <w:r>
        <w:rPr>
          <w:spacing w:val="0"/>
          <w:w w:val="100"/>
          <w:sz w:val="22"/>
          <w:szCs w:val="24"/>
        </w:rPr>
        <w:t>ПЖ, совместно с Национальным советом по здравоохранению и Министерством здравоохранения провели семинар "Контроль со стороны общества за политикой в отношении охраны здоровья женщин", приуроченный к проходившему в Бразилиа совещанию советов штатов и муниципалитетов по охране здоровья женщин и правам женщин. В сделанных по итогам семинара выводах содержится призыв к укреплению существующих советов, стимулированию создания их там, где они отсутствуют, и проведению семинаров в штатах. В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аналогичные семинары по контролю со стороны общества были проведены в нескольких штатах и местными советами по правам 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Что касается финансовых и людских ресурсов советов штатов, мы располагаем следующей актуальной информацией: </w:t>
      </w:r>
      <w:r>
        <w:rPr>
          <w:i/>
          <w:spacing w:val="0"/>
          <w:w w:val="100"/>
          <w:sz w:val="22"/>
          <w:szCs w:val="24"/>
        </w:rPr>
        <w:t>Акри</w:t>
      </w:r>
      <w:r>
        <w:rPr>
          <w:spacing w:val="0"/>
          <w:w w:val="100"/>
          <w:sz w:val="22"/>
          <w:szCs w:val="24"/>
        </w:rPr>
        <w:t xml:space="preserve"> – подчиняется правительству штата, не имеет собственного бюджета, в совете работают трое государственных служащих; </w:t>
      </w:r>
      <w:r>
        <w:rPr>
          <w:i/>
          <w:spacing w:val="0"/>
          <w:w w:val="100"/>
          <w:sz w:val="22"/>
          <w:szCs w:val="24"/>
        </w:rPr>
        <w:t>Амазонас</w:t>
      </w:r>
      <w:r>
        <w:rPr>
          <w:spacing w:val="0"/>
          <w:w w:val="100"/>
          <w:sz w:val="22"/>
          <w:szCs w:val="24"/>
        </w:rPr>
        <w:t xml:space="preserve"> – подчиняется Департаменту штата по юстиции и правам человека, финансируется из бюджета этого </w:t>
      </w:r>
      <w:r>
        <w:rPr>
          <w:caps/>
          <w:spacing w:val="0"/>
          <w:w w:val="100"/>
          <w:sz w:val="22"/>
          <w:szCs w:val="24"/>
        </w:rPr>
        <w:t>д</w:t>
      </w:r>
      <w:r>
        <w:rPr>
          <w:spacing w:val="0"/>
          <w:w w:val="100"/>
          <w:sz w:val="22"/>
          <w:szCs w:val="24"/>
        </w:rPr>
        <w:t xml:space="preserve">епартамента, в нем работают двое служащих </w:t>
      </w:r>
      <w:r>
        <w:rPr>
          <w:caps/>
          <w:spacing w:val="0"/>
          <w:w w:val="100"/>
          <w:sz w:val="22"/>
          <w:szCs w:val="24"/>
        </w:rPr>
        <w:t>д</w:t>
      </w:r>
      <w:r>
        <w:rPr>
          <w:spacing w:val="0"/>
          <w:w w:val="100"/>
          <w:sz w:val="22"/>
          <w:szCs w:val="24"/>
        </w:rPr>
        <w:t xml:space="preserve">епартамента; </w:t>
      </w:r>
      <w:r>
        <w:rPr>
          <w:i/>
          <w:spacing w:val="0"/>
          <w:w w:val="100"/>
          <w:sz w:val="22"/>
          <w:szCs w:val="24"/>
        </w:rPr>
        <w:t>Баия</w:t>
      </w:r>
      <w:r>
        <w:rPr>
          <w:spacing w:val="0"/>
          <w:w w:val="100"/>
          <w:sz w:val="22"/>
          <w:szCs w:val="24"/>
        </w:rPr>
        <w:t xml:space="preserve"> – подчиняется недавно созданному Департаменту содействия равенству, финансируется из бюджета этого </w:t>
      </w:r>
      <w:r>
        <w:rPr>
          <w:caps/>
          <w:spacing w:val="0"/>
          <w:w w:val="100"/>
          <w:sz w:val="22"/>
          <w:szCs w:val="24"/>
        </w:rPr>
        <w:t>д</w:t>
      </w:r>
      <w:r>
        <w:rPr>
          <w:spacing w:val="0"/>
          <w:w w:val="100"/>
          <w:sz w:val="22"/>
          <w:szCs w:val="24"/>
        </w:rPr>
        <w:t xml:space="preserve">епартамента, в нем работает один служащий Департамента; </w:t>
      </w:r>
      <w:r>
        <w:rPr>
          <w:i/>
          <w:spacing w:val="0"/>
          <w:w w:val="100"/>
          <w:sz w:val="22"/>
          <w:szCs w:val="24"/>
        </w:rPr>
        <w:t xml:space="preserve">Мату-Гросу-ду-Сул </w:t>
      </w:r>
      <w:r>
        <w:rPr>
          <w:spacing w:val="0"/>
          <w:w w:val="100"/>
          <w:sz w:val="22"/>
          <w:szCs w:val="24"/>
        </w:rPr>
        <w:t xml:space="preserve">– подчиняется Департаменту штата по труду, социальному обеспечению и общей экономике, не имеет собственного бюджета (проведение инициатив финансируется членами совета из неправительственных организаций), в нем работает один служащий Департамента; </w:t>
      </w:r>
      <w:r>
        <w:rPr>
          <w:i/>
          <w:spacing w:val="0"/>
          <w:w w:val="100"/>
          <w:sz w:val="22"/>
          <w:szCs w:val="24"/>
        </w:rPr>
        <w:t xml:space="preserve">Минас-Жерайс </w:t>
      </w:r>
      <w:r>
        <w:rPr>
          <w:spacing w:val="0"/>
          <w:w w:val="100"/>
          <w:sz w:val="22"/>
          <w:szCs w:val="24"/>
        </w:rPr>
        <w:t xml:space="preserve">– подчиняется Департаменту социального развития, не имеет собственного бюджета, восемь служащих командированы из Департамента; </w:t>
      </w:r>
      <w:r>
        <w:rPr>
          <w:i/>
          <w:spacing w:val="0"/>
          <w:w w:val="100"/>
          <w:sz w:val="22"/>
          <w:szCs w:val="24"/>
        </w:rPr>
        <w:t>Парана</w:t>
      </w:r>
      <w:r>
        <w:rPr>
          <w:spacing w:val="0"/>
          <w:w w:val="100"/>
          <w:sz w:val="22"/>
          <w:szCs w:val="24"/>
        </w:rPr>
        <w:t xml:space="preserve"> – подчиняется Департаменту штата по юстиции и гражданству, не имеет собственного бюджета и служащих (работу проводят сами члены совета); </w:t>
      </w:r>
      <w:r>
        <w:rPr>
          <w:i/>
          <w:spacing w:val="0"/>
          <w:w w:val="100"/>
          <w:sz w:val="22"/>
          <w:szCs w:val="24"/>
        </w:rPr>
        <w:t>Рио-де-Жанейро</w:t>
      </w:r>
      <w:r>
        <w:rPr>
          <w:spacing w:val="0"/>
          <w:w w:val="100"/>
          <w:sz w:val="22"/>
          <w:szCs w:val="24"/>
        </w:rPr>
        <w:t xml:space="preserve"> – подчиняется недавно созданному Управлению по правам женщин – СУДИМ, которое, в свою очередь, подчиняется Департаменту штата по социальной защите и правам человека; в 2007 году бюджет на финансирование деятельности СУДИМ и совета составляет 641 000 реалов; служащие СУДИМ работают и в совете; </w:t>
      </w:r>
      <w:r>
        <w:rPr>
          <w:i/>
          <w:spacing w:val="0"/>
          <w:w w:val="100"/>
          <w:sz w:val="22"/>
          <w:szCs w:val="24"/>
        </w:rPr>
        <w:t xml:space="preserve">Риу-Гранди-ду-Сул </w:t>
      </w:r>
      <w:r>
        <w:rPr>
          <w:spacing w:val="0"/>
          <w:w w:val="100"/>
          <w:sz w:val="22"/>
          <w:szCs w:val="24"/>
        </w:rPr>
        <w:t xml:space="preserve">– финансируется Департаментом финансов штата, имеется один служащий; </w:t>
      </w:r>
      <w:r>
        <w:rPr>
          <w:i/>
          <w:spacing w:val="0"/>
          <w:w w:val="100"/>
          <w:sz w:val="22"/>
          <w:szCs w:val="24"/>
        </w:rPr>
        <w:t xml:space="preserve">Санта Катарина </w:t>
      </w:r>
      <w:r>
        <w:rPr>
          <w:spacing w:val="0"/>
          <w:w w:val="100"/>
          <w:sz w:val="22"/>
          <w:szCs w:val="24"/>
        </w:rPr>
        <w:t xml:space="preserve">– подчиняется Департаменту социального развития, труда и доходов штата, который обеспечивает совету финансовую и административную поддержку; </w:t>
      </w:r>
      <w:r>
        <w:rPr>
          <w:i/>
          <w:spacing w:val="0"/>
          <w:w w:val="100"/>
          <w:sz w:val="22"/>
          <w:szCs w:val="24"/>
        </w:rPr>
        <w:t>Тоскантинс</w:t>
      </w:r>
      <w:r>
        <w:rPr>
          <w:spacing w:val="0"/>
          <w:w w:val="100"/>
          <w:sz w:val="22"/>
          <w:szCs w:val="24"/>
        </w:rPr>
        <w:t xml:space="preserve"> – подчиняется Департаменту гражданства и юстиции штата, финансируется из Фонда штата по правам женщин, бюджет составляет 50 000 реалов, в совете работают двое служащих Департамента; </w:t>
      </w:r>
      <w:r>
        <w:rPr>
          <w:i/>
          <w:spacing w:val="0"/>
          <w:w w:val="100"/>
          <w:sz w:val="22"/>
          <w:szCs w:val="24"/>
        </w:rPr>
        <w:t>Сан-Паулу </w:t>
      </w:r>
      <w:r>
        <w:rPr>
          <w:spacing w:val="0"/>
          <w:w w:val="100"/>
          <w:sz w:val="22"/>
          <w:szCs w:val="24"/>
        </w:rPr>
        <w:t>– совет штата Сан-Паулу по положению женщин имеет собственный бюджет, в нем работают председатель, один служащий и шесть практикантов.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Можно отметить, что за редкими исключениями у советов штатов отсутствует надлежащая структура, они располагают недостаточными ресурсами и ограниченным персоналом.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Следует добавить, что наряду с поддержанием связей с советами штатов и муниципалитетов СПЖ стремится поддерживать связи и устанавливать партнерские отношения с органами штатов и муниципалитетов, занимающимися политикой в отношении женщин. Благодаря этому в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прошла встреча 13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действовавших на тот момент советов, на которой было принято решение учредить Национальный правительственный форум по организациям, проводящим политику в отношении 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Благодаря оказываемым СПЖ помощи и поддержке созданию правительственных органов по политике в отношении женщин и новых муниципальных администраций число таких органов быстро увеличивается. Если в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их было 13 (согласно обследованию, проведенному Бразильским институтом муниципальной администрации), то в 2006 году их число составило 125, в том числе 9 советов штатов и 116 муниципальных советов.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  <w:r>
        <w:rPr>
          <w:b/>
          <w:i/>
          <w:spacing w:val="0"/>
          <w:w w:val="100"/>
          <w:sz w:val="22"/>
          <w:szCs w:val="24"/>
        </w:rPr>
        <w:br w:type="page"/>
        <w:t>Стереотипы</w:t>
      </w:r>
    </w:p>
    <w:p w:rsidR="00C46ECE" w:rsidRPr="00EE2787" w:rsidRDefault="00C46ECE">
      <w:pPr>
        <w:pStyle w:val="BodyText3"/>
        <w:autoSpaceDE w:val="0"/>
        <w:autoSpaceDN w:val="0"/>
        <w:adjustRightInd w:val="0"/>
        <w:rPr>
          <w:sz w:val="22"/>
          <w:lang w:val="ru-RU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</w:rPr>
      </w:pPr>
      <w:r>
        <w:rPr>
          <w:i w:val="0"/>
          <w:iCs/>
          <w:sz w:val="22"/>
          <w:lang w:val="ru-RU"/>
        </w:rPr>
        <w:t>3.  </w:t>
      </w:r>
      <w:r>
        <w:rPr>
          <w:i w:val="0"/>
          <w:iCs/>
          <w:sz w:val="22"/>
        </w:rPr>
        <w:t xml:space="preserve">В докладе </w:t>
      </w:r>
      <w:r>
        <w:rPr>
          <w:i w:val="0"/>
          <w:iCs/>
          <w:sz w:val="22"/>
          <w:lang w:val="ru-RU"/>
        </w:rPr>
        <w:t xml:space="preserve">(стр. 29) </w:t>
      </w:r>
      <w:r>
        <w:rPr>
          <w:i w:val="0"/>
          <w:iCs/>
          <w:sz w:val="22"/>
        </w:rPr>
        <w:t>отмечается, что в основе Национального плана просвещения в области прав человека лежат принципы уважения гендерного разнообразия и борьбы с дискриминацией в отношении женщин и что в 2005–2006 годах во всех штатах Федерации пройдут совещания, на которые будут приглашены о</w:t>
      </w:r>
      <w:r>
        <w:rPr>
          <w:i w:val="0"/>
          <w:iCs/>
          <w:sz w:val="22"/>
        </w:rPr>
        <w:t>с</w:t>
      </w:r>
      <w:r>
        <w:rPr>
          <w:i w:val="0"/>
          <w:iCs/>
          <w:sz w:val="22"/>
        </w:rPr>
        <w:t>новные участники осуществления этого Плана, к числу которых относятся р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ботники системы образования на уровне штатов и муниципалитетов и лица, отвечающие за деятельность учебных заведений гражданской полиции, воор</w:t>
      </w:r>
      <w:r>
        <w:rPr>
          <w:i w:val="0"/>
          <w:iCs/>
          <w:sz w:val="22"/>
        </w:rPr>
        <w:t>у</w:t>
      </w:r>
      <w:r>
        <w:rPr>
          <w:i w:val="0"/>
          <w:iCs/>
          <w:sz w:val="22"/>
        </w:rPr>
        <w:t>женных сил, пожарной службы и муниципальной охраны. Просьба ук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зать, сколько таких совещаний было проведено в 2005–2006 годах и сколько лиц, о</w:t>
      </w:r>
      <w:r>
        <w:rPr>
          <w:i w:val="0"/>
          <w:iCs/>
          <w:sz w:val="22"/>
        </w:rPr>
        <w:t>т</w:t>
      </w:r>
      <w:r>
        <w:rPr>
          <w:i w:val="0"/>
          <w:iCs/>
          <w:sz w:val="22"/>
        </w:rPr>
        <w:t>вечающих за осуществление Национального плана просвещения в области прав человека, приняло участие в таких совещаниях. Просьба также указать, какие темы рассматривались на таких совещаниях</w:t>
      </w:r>
      <w:r>
        <w:rPr>
          <w:i w:val="0"/>
          <w:iCs/>
          <w:sz w:val="22"/>
          <w:lang w:val="ru-RU"/>
        </w:rPr>
        <w:t>, а также</w:t>
      </w:r>
      <w:r>
        <w:rPr>
          <w:i w:val="0"/>
          <w:iCs/>
          <w:sz w:val="22"/>
        </w:rPr>
        <w:t xml:space="preserve"> обеспеч</w:t>
      </w:r>
      <w:r>
        <w:rPr>
          <w:i w:val="0"/>
          <w:iCs/>
          <w:sz w:val="22"/>
        </w:rPr>
        <w:t>и</w:t>
      </w:r>
      <w:r>
        <w:rPr>
          <w:i w:val="0"/>
          <w:iCs/>
          <w:sz w:val="22"/>
        </w:rPr>
        <w:t xml:space="preserve">вается </w:t>
      </w:r>
      <w:r>
        <w:rPr>
          <w:i w:val="0"/>
          <w:iCs/>
          <w:sz w:val="22"/>
          <w:lang w:val="ru-RU"/>
        </w:rPr>
        <w:t xml:space="preserve">ли, </w:t>
      </w:r>
      <w:r>
        <w:rPr>
          <w:i w:val="0"/>
          <w:iCs/>
          <w:sz w:val="22"/>
        </w:rPr>
        <w:t>и каким образом</w:t>
      </w:r>
      <w:r>
        <w:rPr>
          <w:i w:val="0"/>
          <w:iCs/>
          <w:sz w:val="22"/>
          <w:lang w:val="ru-RU"/>
        </w:rPr>
        <w:t>,</w:t>
      </w:r>
      <w:r>
        <w:rPr>
          <w:i w:val="0"/>
          <w:iCs/>
          <w:sz w:val="22"/>
        </w:rPr>
        <w:t xml:space="preserve"> постоянный контроль за результативностью таких мер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приятий.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рамках проведения на национальном уровне консультаций, посвященных ходу выполнения Национального плана просвещения в области прав человека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– НПППЧ, было проведено 29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совещаний на уровне штатов и одно совещание на уровне муниципалитетов, в которых участвовали представители государственного сектора и гражданского общества по пяти направлениям Плана: базовое образование (государственные служащие сферы образования, администраторы, отделения союза директоров муниципальных учебных учреждений, работники системы образования, объединения и ассоциации штатов); высшее образование (профессорско-преподавательский состав и студенты, научные сотрудники, преподавательский состав непрерывного обучения, форумы вице-президентов, объединения, а также ассоциации преподавательского состава); нефо</w:t>
      </w:r>
      <w:r>
        <w:rPr>
          <w:spacing w:val="0"/>
          <w:w w:val="100"/>
          <w:sz w:val="22"/>
          <w:szCs w:val="24"/>
        </w:rPr>
        <w:t>р</w:t>
      </w:r>
      <w:r>
        <w:rPr>
          <w:spacing w:val="0"/>
          <w:w w:val="100"/>
          <w:sz w:val="22"/>
          <w:szCs w:val="24"/>
        </w:rPr>
        <w:t>мальное образование (ассоциации, НПО, общественные движения, профессиональные союзы); подготовка специалистов судебной системы и системы обеспечения безопасности (солдаты, офицеры военной и гражданской полиции, сотрудники дорожной полиции, директора учебных частей в военных училищах, тюремные священники, а также социальные учреждения и движения); и образование и средства массовой информации (объединения, профессорско-преподавательский состав и студенты факультетов публичной информации, НПО в области средств массовой информации), в дополнение к комиссиям по правам человека ассамблей и палат, советам штатов по правам человека, а также советам по правам человека и попечительским советам.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рамках систематизации и пересмотра Плана в целях утверждения окончательного текста Плана были проведены один семинар по пересмотру НПППЧ и три совещания Национального комитета по просвещению в области прав человека. Всего в этом процессе приняли участие от 4500 до 5000 представителей государственных структур и гражданского общества.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Эти встречи были посвящены следующим темам: национальный и международный прогресс и современные проблемы в области формирования культуры уважения прав человека; принципы и общие задачи просвещения в области прав человека и НПППЧ в контексте Десятилетия образования в области прав человека – по каждому из пяти направлений Плана обсуждались принципы, стратегии и направления деятельности в рамках просвещения в области прав человека; и формирование структуры комитетов штатов по просвещению в области прав человека.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Только после формирования структуры комитетов по просвещению в области прав человека на уровне штатов начнется введение в действие механизмов контроля. Таким образом, хотя это и предусматривается, в настоящее время такие механизмы отсутствуют.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4.  В докладе (стр.</w:t>
      </w:r>
      <w:r>
        <w:rPr>
          <w:i w:val="0"/>
          <w:iCs/>
          <w:sz w:val="22"/>
          <w:lang w:val="en-US"/>
        </w:rPr>
        <w:t> </w:t>
      </w:r>
      <w:r>
        <w:rPr>
          <w:i w:val="0"/>
          <w:iCs/>
          <w:sz w:val="22"/>
          <w:lang w:val="ru-RU"/>
        </w:rPr>
        <w:t xml:space="preserve">31) отмечается, что </w:t>
      </w:r>
      <w:r>
        <w:rPr>
          <w:i w:val="0"/>
          <w:iCs/>
          <w:sz w:val="22"/>
        </w:rPr>
        <w:t>с учетом того, как средства массовой информ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 xml:space="preserve">ции изображают женщин, </w:t>
      </w:r>
      <w:r>
        <w:rPr>
          <w:i w:val="0"/>
          <w:iCs/>
          <w:sz w:val="22"/>
          <w:lang w:val="ru-RU"/>
        </w:rPr>
        <w:t>М</w:t>
      </w:r>
      <w:r>
        <w:rPr>
          <w:i w:val="0"/>
          <w:iCs/>
          <w:sz w:val="22"/>
        </w:rPr>
        <w:t>инистерство юстиции приступило в 2005 году к разрабо</w:t>
      </w:r>
      <w:r>
        <w:rPr>
          <w:i w:val="0"/>
          <w:iCs/>
          <w:sz w:val="22"/>
        </w:rPr>
        <w:t>т</w:t>
      </w:r>
      <w:r>
        <w:rPr>
          <w:i w:val="0"/>
          <w:iCs/>
          <w:sz w:val="22"/>
        </w:rPr>
        <w:t>ке критериев классификации содержания телевизионных программ по таким темам, как насилие, секс и наркомания, и что другими возможными т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мами б</w:t>
      </w:r>
      <w:r>
        <w:rPr>
          <w:i w:val="0"/>
          <w:iCs/>
          <w:sz w:val="22"/>
        </w:rPr>
        <w:t>у</w:t>
      </w:r>
      <w:r>
        <w:rPr>
          <w:i w:val="0"/>
          <w:iCs/>
          <w:sz w:val="22"/>
        </w:rPr>
        <w:t>дут насилие в отношении женщин, торговля людьми и дискриминация по признаку пола. Просьба представить подробную информацию о прогрессе, достигнутом в этой области, и о других инициативах, предпринятых с целью поощрения средств массовой информации к изображению женщин в позити</w:t>
      </w:r>
      <w:r>
        <w:rPr>
          <w:i w:val="0"/>
          <w:iCs/>
          <w:sz w:val="22"/>
        </w:rPr>
        <w:t>в</w:t>
      </w:r>
      <w:r>
        <w:rPr>
          <w:i w:val="0"/>
          <w:iCs/>
          <w:sz w:val="22"/>
        </w:rPr>
        <w:t>ном и несексистском плане.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Административное постановление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264, изданное Министерством юстиции 9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февраля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регулирует применение положений Закона 8069 от 13 июля 1990 года (Положение о детях и подростках), Закона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10 359 от 27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декабря 2001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и Указа 5834 от 6 июля 2006 года в части, касающейся классифицирования аудиовизуальных продуктов для телевидения и аналогичных средств массовой информации.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этом административном постановлении заявляется, что "среди основ Федеративной Республики Бразилии – соблюдение достоинства человеческой личности, и ее целью является содействие всеобщему благосостоянию без ограничения по признаку происхождения, расы, пола, цвета кожи, возраста или допущения иных форм дискриминации". В постановлении определяется, что впервые будут применяться стандартные символы для указания категории программ, вводится самооценка, производимая вещателями, и, наряду с другими нововведениями, таким образом распределяется ответственность между вещателями, обществом, судебной системой и Министерством юстиции.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Федеральное правительство считает такое распределение ответственности крайне важным. Классификация программ и контроль за телевизионными программами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– обязанность Министерства юстиции; родители, которые обладают бόльшим объемом информации относительно содержания телевизионных программ, решают, чтό могут смотреть их дети; и на судебной системе будет лежать обязанность по наказанию вещателей, не подчиняющихся классификации. Новостным программам оценки не присваиваются.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Формуляр классификации содержит определение материала в отношении дискриминации, предрассудков, унижения и высмеивания. Типы дискриминации включают дискриминацию по половой или классовой принадлежности, в отношении гомосексуалистов, лесбиянок и/или транссексуалов, по признаку расы или этнического происхождения, принадлежности к коренным народностям и инвалидности. В формуляре также оценивается степень агрессивности дискриминирующего поведения и распространения стереотипов.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  <w:r>
        <w:rPr>
          <w:b/>
          <w:i/>
          <w:spacing w:val="0"/>
          <w:w w:val="100"/>
          <w:sz w:val="22"/>
          <w:szCs w:val="24"/>
        </w:rPr>
        <w:br w:type="page"/>
        <w:t xml:space="preserve">Торговля людьми и сексуальная и трудовая эксплуатация </w:t>
      </w:r>
    </w:p>
    <w:p w:rsidR="00C46ECE" w:rsidRPr="00EE2787" w:rsidRDefault="00C46ECE">
      <w:pPr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b/>
          <w:iCs/>
          <w:spacing w:val="0"/>
          <w:w w:val="100"/>
          <w:sz w:val="22"/>
          <w:szCs w:val="24"/>
        </w:rPr>
      </w:pPr>
      <w:r>
        <w:rPr>
          <w:b/>
          <w:iCs/>
          <w:spacing w:val="0"/>
          <w:w w:val="100"/>
          <w:sz w:val="22"/>
          <w:szCs w:val="24"/>
        </w:rPr>
        <w:t>5.  На каком этапе реализации находится Программа ко</w:t>
      </w:r>
      <w:r>
        <w:rPr>
          <w:b/>
          <w:iCs/>
          <w:spacing w:val="0"/>
          <w:w w:val="100"/>
          <w:sz w:val="22"/>
          <w:szCs w:val="24"/>
        </w:rPr>
        <w:t>м</w:t>
      </w:r>
      <w:r>
        <w:rPr>
          <w:b/>
          <w:iCs/>
          <w:spacing w:val="0"/>
          <w:w w:val="100"/>
          <w:sz w:val="22"/>
          <w:szCs w:val="24"/>
        </w:rPr>
        <w:t>плексных мер по борьбе с сексуальным насилием в отношении детей и подростков в Бразилии (ПАИР), которая осуществляется на экспериментальной основе в шести муниципалит</w:t>
      </w:r>
      <w:r>
        <w:rPr>
          <w:b/>
          <w:iCs/>
          <w:spacing w:val="0"/>
          <w:w w:val="100"/>
          <w:sz w:val="22"/>
          <w:szCs w:val="24"/>
        </w:rPr>
        <w:t>е</w:t>
      </w:r>
      <w:r>
        <w:rPr>
          <w:b/>
          <w:iCs/>
          <w:spacing w:val="0"/>
          <w:w w:val="100"/>
          <w:sz w:val="22"/>
          <w:szCs w:val="24"/>
        </w:rPr>
        <w:t>тах (стр. 33–34), и каковы ее результаты? Просьба представить подробные данные и и</w:t>
      </w:r>
      <w:r>
        <w:rPr>
          <w:b/>
          <w:iCs/>
          <w:spacing w:val="0"/>
          <w:w w:val="100"/>
          <w:sz w:val="22"/>
          <w:szCs w:val="24"/>
        </w:rPr>
        <w:t>н</w:t>
      </w:r>
      <w:r>
        <w:rPr>
          <w:b/>
          <w:iCs/>
          <w:spacing w:val="0"/>
          <w:w w:val="100"/>
          <w:sz w:val="22"/>
          <w:szCs w:val="24"/>
        </w:rPr>
        <w:t>формацию о том, будет ли такая программа осуществляться в других муниц</w:t>
      </w:r>
      <w:r>
        <w:rPr>
          <w:b/>
          <w:iCs/>
          <w:spacing w:val="0"/>
          <w:w w:val="100"/>
          <w:sz w:val="22"/>
          <w:szCs w:val="24"/>
        </w:rPr>
        <w:t>и</w:t>
      </w:r>
      <w:r>
        <w:rPr>
          <w:b/>
          <w:iCs/>
          <w:spacing w:val="0"/>
          <w:w w:val="100"/>
          <w:sz w:val="22"/>
          <w:szCs w:val="24"/>
        </w:rPr>
        <w:t>палитетах, в частности с учетом содержащегося на стр. 35 доклада упоминания о том, что в более чем 937 бразильских муниципалитетах и районах имеет место се</w:t>
      </w:r>
      <w:r>
        <w:rPr>
          <w:b/>
          <w:iCs/>
          <w:spacing w:val="0"/>
          <w:w w:val="100"/>
          <w:sz w:val="22"/>
          <w:szCs w:val="24"/>
        </w:rPr>
        <w:t>к</w:t>
      </w:r>
      <w:r>
        <w:rPr>
          <w:b/>
          <w:iCs/>
          <w:spacing w:val="0"/>
          <w:w w:val="100"/>
          <w:sz w:val="22"/>
          <w:szCs w:val="24"/>
        </w:rPr>
        <w:t>суальная эксплуатация в коммерческих целях.</w:t>
      </w:r>
    </w:p>
    <w:p w:rsidR="00C46ECE" w:rsidRDefault="00C46ECE">
      <w:pPr>
        <w:spacing w:line="240" w:lineRule="auto"/>
        <w:jc w:val="both"/>
        <w:rPr>
          <w:b/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Целью Программы комплексных мер по борьбе с сексуальным насилием в отношении детей и подростков в Бразилии (ПАИР) является создание и/или укрепление местных сетей путем принятия комплексных мер, обеспечивающих координацию и интеграцию соответствующих служб, при участии гражданского общества.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в шести муниципалитетах (Пакараима, штат Рорайма; Манаус, штат Амазонас; Риу-Бранку, штат Акри; Фейра-де-Сантана, штат Баия; Кампина-Гранде, штат Параиба; и Корумба, штат Мату-Гросу-ду-Сул) осуществляются инициативы по обеспечению технической помощи и профессиональной подготовки. В этой деятельности участвуют около 3000 специалистов в различных областях.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Основными задачами являются следующие: проведение 12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количественных и качественных исследований для оценки сексуального насилия в отношении детей и подростков; создание интегрированной системы сбора данных о положении дел на местах при уделении особого внимания сексуальному насилию в шести муниципалитетах, где проводится эксперимент; оснащение 14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советов по правам человека и попечительских советов; проведение пропагандистской кампании, направленной на мобилизацию местных сообществ, и одной международной кампании (охватывающей восемь южноамериканских стран); профессиональная подготовка 5000 специалистов в области предупреждения, оказания помощи, защиты и подотчетности в семи штатах (Акри, Амазонас, Рорайма, Баия, Параиба, Минас-Жерайс и Мату-Гросу-ду-Сул); сертификация служб технической экспертизы в шести штатах в части обеспечения гуманного предоставления услуг; и профессиональная подготовка молодежных групп в семи штатах, направленная на передачу ведущей роли в этой области детям и подросткам.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федеральное правительство распространило ПАИР еще на 56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муниципалитетов в 11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штатах, где выполняются экспериментальные проекты (Амазонас, Акри, Рорайма, Сеара, Параиба, Баия, Мату-Гросу-ду-Сул и Минас-Жерайс), а также в штате Мараньян, заключившем мировое соглашение, для того чтобы закрыть дела №12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426 и №12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427 – "Кастрация мальчиков в Мараньяне", переданные Межамериканской комиссии ОАГ по правам человека; и штате Риу-Гранди-ду-Норти. Преимуществами Программы воспользовались в общей сложности 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165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621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детей и подростков. К концу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согласно решениям, утвержденным Национальным советом по правам детей и подростков, Программа охватит штаты Рио-де-Жанейро, Рондония и Пара.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Выполняемые в рамках Программы инициативы включают национальную службу сообщения по телефону о случаях сексуальной эксплуатации детей и подростков – </w:t>
      </w:r>
      <w:r>
        <w:rPr>
          <w:i/>
          <w:spacing w:val="0"/>
          <w:w w:val="100"/>
          <w:sz w:val="22"/>
          <w:szCs w:val="24"/>
        </w:rPr>
        <w:t>Национальный телефон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</w:rPr>
        <w:t>обвинения 100 –</w:t>
      </w:r>
      <w:r>
        <w:rPr>
          <w:spacing w:val="0"/>
          <w:w w:val="100"/>
          <w:sz w:val="22"/>
          <w:szCs w:val="24"/>
        </w:rPr>
        <w:t xml:space="preserve"> бесплатную телефонную службу, имеющуюся во всех бразильских штатах. В реализации Программы участвуют Специальный секретариат по правам человека в рамках партнерства с компанией </w:t>
      </w:r>
      <w:r>
        <w:rPr>
          <w:spacing w:val="0"/>
          <w:w w:val="100"/>
          <w:sz w:val="22"/>
          <w:szCs w:val="24"/>
          <w:lang w:val="en-US"/>
        </w:rPr>
        <w:t>Petr</w:t>
      </w:r>
      <w:r>
        <w:rPr>
          <w:spacing w:val="0"/>
          <w:w w:val="100"/>
          <w:sz w:val="22"/>
          <w:szCs w:val="24"/>
        </w:rPr>
        <w:t>ó</w:t>
      </w:r>
      <w:r>
        <w:rPr>
          <w:spacing w:val="0"/>
          <w:w w:val="100"/>
          <w:sz w:val="22"/>
          <w:szCs w:val="24"/>
          <w:lang w:val="en-US"/>
        </w:rPr>
        <w:t>leo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Brasileiro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S</w:t>
      </w:r>
      <w:r>
        <w:rPr>
          <w:spacing w:val="0"/>
          <w:w w:val="100"/>
          <w:sz w:val="22"/>
          <w:szCs w:val="24"/>
        </w:rPr>
        <w:t>.</w:t>
      </w:r>
      <w:r>
        <w:rPr>
          <w:spacing w:val="0"/>
          <w:w w:val="100"/>
          <w:sz w:val="22"/>
          <w:szCs w:val="24"/>
          <w:lang w:val="en-US"/>
        </w:rPr>
        <w:t>A</w:t>
      </w:r>
      <w:r>
        <w:rPr>
          <w:spacing w:val="0"/>
          <w:w w:val="100"/>
          <w:sz w:val="22"/>
          <w:szCs w:val="24"/>
        </w:rPr>
        <w:t>.(</w:t>
      </w:r>
      <w:r>
        <w:rPr>
          <w:spacing w:val="0"/>
          <w:w w:val="100"/>
          <w:sz w:val="22"/>
          <w:szCs w:val="24"/>
          <w:lang w:val="en-US"/>
        </w:rPr>
        <w:t>Petrobr</w:t>
      </w:r>
      <w:r>
        <w:rPr>
          <w:spacing w:val="0"/>
          <w:w w:val="100"/>
          <w:sz w:val="22"/>
          <w:szCs w:val="24"/>
        </w:rPr>
        <w:t>á</w:t>
      </w:r>
      <w:r>
        <w:rPr>
          <w:spacing w:val="0"/>
          <w:w w:val="100"/>
          <w:sz w:val="22"/>
          <w:szCs w:val="24"/>
          <w:lang w:val="en-US"/>
        </w:rPr>
        <w:t>s</w:t>
      </w:r>
      <w:r>
        <w:rPr>
          <w:spacing w:val="0"/>
          <w:w w:val="100"/>
          <w:sz w:val="22"/>
          <w:szCs w:val="24"/>
        </w:rPr>
        <w:t>) и НПО "Центр консультаций, исследований и программ по проблемам детей и подростков". Цель программы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– получение сообщений о случаях насилия в отношении детей и подростков и прекращение появления таких случаев. Полученные сообщения показывают, что 72 процента жертв – женщины, из них 53 процента африканского происхождения и 42 процента из числа белого населения. В период с мая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по декабрь 2006 года прямой телефонной службой в масштабе всей страны было принято свыше 27 000 жалоб.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6.  </w:t>
      </w:r>
      <w:r>
        <w:rPr>
          <w:i w:val="0"/>
          <w:iCs/>
          <w:sz w:val="22"/>
        </w:rPr>
        <w:t>В докладе (с</w:t>
      </w:r>
      <w:r>
        <w:rPr>
          <w:i w:val="0"/>
          <w:iCs/>
          <w:sz w:val="22"/>
          <w:lang w:val="ru-RU"/>
        </w:rPr>
        <w:t>тр. 39</w:t>
      </w:r>
      <w:r>
        <w:rPr>
          <w:i w:val="0"/>
          <w:iCs/>
          <w:sz w:val="22"/>
        </w:rPr>
        <w:t>) отмечается, что в докладе Смешанной парламентской комиссии по расследованию, посвященном проблеме эксплу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тации детей и подростков в коммерческих целях, выявлены маршруты торго</w:t>
      </w:r>
      <w:r>
        <w:rPr>
          <w:i w:val="0"/>
          <w:iCs/>
          <w:sz w:val="22"/>
        </w:rPr>
        <w:t>в</w:t>
      </w:r>
      <w:r>
        <w:rPr>
          <w:i w:val="0"/>
          <w:iCs/>
          <w:sz w:val="22"/>
        </w:rPr>
        <w:t>ли девочками и мальчиками, расследованы сообщения об эксплуатации и н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званы имена приблизительно 250 человек, подозреваемых в участии в пр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 xml:space="preserve">ступной деятельности, связанной с сексуальной эксплуатацией. </w:t>
      </w:r>
      <w:r>
        <w:rPr>
          <w:i w:val="0"/>
          <w:iCs/>
          <w:sz w:val="22"/>
          <w:lang w:val="ru-RU"/>
        </w:rPr>
        <w:t>Сколько из</w:t>
      </w:r>
      <w:r>
        <w:rPr>
          <w:i w:val="0"/>
          <w:iCs/>
          <w:sz w:val="22"/>
        </w:rPr>
        <w:t xml:space="preserve"> этих подозреваемых лиц был</w:t>
      </w:r>
      <w:r>
        <w:rPr>
          <w:i w:val="0"/>
          <w:iCs/>
          <w:sz w:val="22"/>
          <w:lang w:val="ru-RU"/>
        </w:rPr>
        <w:t>о</w:t>
      </w:r>
      <w:r>
        <w:rPr>
          <w:i w:val="0"/>
          <w:iCs/>
          <w:sz w:val="22"/>
        </w:rPr>
        <w:t xml:space="preserve"> подвергнут</w:t>
      </w:r>
      <w:r>
        <w:rPr>
          <w:i w:val="0"/>
          <w:iCs/>
          <w:sz w:val="22"/>
          <w:lang w:val="ru-RU"/>
        </w:rPr>
        <w:t>о</w:t>
      </w:r>
      <w:r>
        <w:rPr>
          <w:i w:val="0"/>
          <w:iCs/>
          <w:sz w:val="22"/>
        </w:rPr>
        <w:t xml:space="preserve"> судебному преследованию и осуждено?</w:t>
      </w:r>
      <w:r>
        <w:rPr>
          <w:i w:val="0"/>
          <w:iCs/>
          <w:sz w:val="22"/>
          <w:lang w:val="ru-RU"/>
        </w:rPr>
        <w:t xml:space="preserve">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Парламентский фронт Национального конгресса в защиту детей и подростков следит за судебными разбирательствами, которые управление государственного прокурора проводит в каждом из 27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субъектов федерации по результатам расследования Смешанной парламентской комиссии, в том числе за делами тех 250 лиц, которым предъявлены обвинения в участии в сексуальной эксплуатации детей и подростков. Ожидается, что Комиссия представит свои заключения в первой половине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года. Следует заметить, что в Конституции Бразилии установлена взаимозависимость ветвей государственной власти. Так, предъявление обвинения является обязанностью прокуратур штатов, а судебное преследование – функцией судебных органов штатов.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Следует подчеркнуть, что на уровне федерального правительства программа "Сентинела", в рамках которой предоставляется психологическая поддержка детям, являющимся жертвами сексуальной эксплуатации, и которая в 2005 году охватывала 300 муниципалитетов, в 2006 году охватывала уже 1114 городов, а ее бюджет с 2003 года увеличился на 518 процентов.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7.  </w:t>
      </w:r>
      <w:r>
        <w:rPr>
          <w:i w:val="0"/>
          <w:iCs/>
          <w:sz w:val="22"/>
        </w:rPr>
        <w:t xml:space="preserve">Какому </w:t>
      </w:r>
      <w:r>
        <w:rPr>
          <w:i w:val="0"/>
          <w:iCs/>
          <w:sz w:val="22"/>
          <w:lang w:val="ru-RU"/>
        </w:rPr>
        <w:t>числу</w:t>
      </w:r>
      <w:r>
        <w:rPr>
          <w:i w:val="0"/>
          <w:iCs/>
          <w:sz w:val="22"/>
        </w:rPr>
        <w:t xml:space="preserve"> девочек была оказана помощь по линии упомянутой в докладе </w:t>
      </w:r>
      <w:r>
        <w:rPr>
          <w:i w:val="0"/>
          <w:iCs/>
          <w:sz w:val="22"/>
          <w:lang w:val="ru-RU"/>
        </w:rPr>
        <w:t xml:space="preserve">(стр. 39) </w:t>
      </w:r>
      <w:r>
        <w:rPr>
          <w:i w:val="0"/>
          <w:iCs/>
          <w:sz w:val="22"/>
        </w:rPr>
        <w:t xml:space="preserve">Программы по искоренению детского труда </w:t>
      </w:r>
      <w:r>
        <w:rPr>
          <w:i w:val="0"/>
          <w:iCs/>
          <w:sz w:val="22"/>
          <w:lang w:val="ru-RU"/>
        </w:rPr>
        <w:t xml:space="preserve">(ПЕТИ) </w:t>
      </w:r>
      <w:r>
        <w:rPr>
          <w:i w:val="0"/>
          <w:iCs/>
          <w:sz w:val="22"/>
        </w:rPr>
        <w:t>и каковы общие результ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ты этой программы, в частности в плане предотвращения детского тр</w:t>
      </w:r>
      <w:r>
        <w:rPr>
          <w:i w:val="0"/>
          <w:iCs/>
          <w:sz w:val="22"/>
        </w:rPr>
        <w:t>у</w:t>
      </w:r>
      <w:r>
        <w:rPr>
          <w:i w:val="0"/>
          <w:iCs/>
          <w:sz w:val="22"/>
        </w:rPr>
        <w:t xml:space="preserve">да?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Согласно данным Министерства социального развития и борьбы с голодом, 50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788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девочек получили помощь в рамках Программы по искоренению детского труда (Приложение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1), а 272 701 девочка, освобожденные от детского труда, получили помощь в рамках Программы семейных пособий [</w:t>
      </w:r>
      <w:r>
        <w:rPr>
          <w:i/>
          <w:spacing w:val="0"/>
          <w:w w:val="100"/>
          <w:sz w:val="22"/>
          <w:szCs w:val="24"/>
          <w:lang w:val="en-US"/>
        </w:rPr>
        <w:t>Bolsa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Fam</w:t>
      </w:r>
      <w:r>
        <w:rPr>
          <w:i/>
          <w:spacing w:val="0"/>
          <w:w w:val="100"/>
          <w:sz w:val="22"/>
          <w:szCs w:val="24"/>
        </w:rPr>
        <w:t>í</w:t>
      </w:r>
      <w:r>
        <w:rPr>
          <w:i/>
          <w:spacing w:val="0"/>
          <w:w w:val="100"/>
          <w:sz w:val="22"/>
          <w:szCs w:val="24"/>
          <w:lang w:val="en-US"/>
        </w:rPr>
        <w:t>lia</w:t>
      </w:r>
      <w:r>
        <w:rPr>
          <w:spacing w:val="0"/>
          <w:w w:val="100"/>
          <w:sz w:val="22"/>
          <w:szCs w:val="24"/>
        </w:rPr>
        <w:t>] (Приложение 2).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Воздействие программы ПЕТИ на предотвращение детского труда включает следующее: сокращение масштабов крайней нищеты и социального неравенства; улучшение положения с продовольствием и питанием в семьях, которым оказывается помощь; социальная и просветительская работа с семьями детей и подростков, которым в рамках программы оказывается помощь; освобождение детей и подростков от труда и эксплуатации на основании их выявления и занесения в Объединенный реестр социальных программ федерального правительства; ежемесячная посещаемость на уровне 85 процентов со стороны детей и подростков социальных и просветительских мероприятий программы ПЕТИ (продленный учебный день); укрепление семейных и общинных связей; доступ к культурным, спортивным и развлекательным мероприятиям с целью гармоничного развития детей и подростков. В рамках Единой системы социального обеспечения, частью которой является программа ПЕТИ, основное внимание уделяется базовой социальной и семейной ориентации и мерам социального контроля.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  <w:r>
        <w:rPr>
          <w:b/>
          <w:i/>
          <w:spacing w:val="0"/>
          <w:w w:val="100"/>
          <w:sz w:val="22"/>
          <w:szCs w:val="24"/>
        </w:rPr>
        <w:t>Насилие в отношении женщин</w:t>
      </w:r>
    </w:p>
    <w:p w:rsidR="00C46ECE" w:rsidRPr="00EE2787" w:rsidRDefault="00C46ECE">
      <w:pPr>
        <w:pStyle w:val="BodyText3"/>
        <w:autoSpaceDE w:val="0"/>
        <w:autoSpaceDN w:val="0"/>
        <w:adjustRightInd w:val="0"/>
        <w:rPr>
          <w:sz w:val="22"/>
          <w:lang w:val="ru-RU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8.  </w:t>
      </w:r>
      <w:r>
        <w:rPr>
          <w:i w:val="0"/>
          <w:iCs/>
          <w:sz w:val="22"/>
        </w:rPr>
        <w:t>Просьба представить информацию о том, был ли принят законопр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ект № 4559/2004 о насилии в отношении женщин, который был представлен в Национальный конгресс в ноябре 2004 года, и выполняются ли всеми соотве</w:t>
      </w:r>
      <w:r>
        <w:rPr>
          <w:i w:val="0"/>
          <w:iCs/>
          <w:sz w:val="22"/>
        </w:rPr>
        <w:t>т</w:t>
      </w:r>
      <w:r>
        <w:rPr>
          <w:i w:val="0"/>
          <w:iCs/>
          <w:sz w:val="22"/>
        </w:rPr>
        <w:t xml:space="preserve">ствующими органами упоминаемые </w:t>
      </w:r>
      <w:r>
        <w:rPr>
          <w:i w:val="0"/>
          <w:iCs/>
          <w:sz w:val="22"/>
          <w:lang w:val="ru-RU"/>
        </w:rPr>
        <w:t xml:space="preserve">на стр. 41 </w:t>
      </w:r>
      <w:r>
        <w:rPr>
          <w:i w:val="0"/>
          <w:iCs/>
          <w:sz w:val="22"/>
        </w:rPr>
        <w:t>доклад</w:t>
      </w:r>
      <w:r>
        <w:rPr>
          <w:i w:val="0"/>
          <w:iCs/>
          <w:sz w:val="22"/>
          <w:lang w:val="ru-RU"/>
        </w:rPr>
        <w:t>а</w:t>
      </w:r>
      <w:r>
        <w:rPr>
          <w:i w:val="0"/>
          <w:iCs/>
          <w:sz w:val="22"/>
        </w:rPr>
        <w:t xml:space="preserve"> руководящие принципы госуда</w:t>
      </w:r>
      <w:r>
        <w:rPr>
          <w:i w:val="0"/>
          <w:iCs/>
          <w:sz w:val="22"/>
        </w:rPr>
        <w:t>р</w:t>
      </w:r>
      <w:r>
        <w:rPr>
          <w:i w:val="0"/>
          <w:iCs/>
          <w:sz w:val="22"/>
        </w:rPr>
        <w:t>ственной политики и комплексных действий.</w:t>
      </w:r>
      <w:r>
        <w:rPr>
          <w:i w:val="0"/>
          <w:iCs/>
          <w:sz w:val="22"/>
          <w:lang w:val="ru-RU"/>
        </w:rPr>
        <w:t xml:space="preserve">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Президент Луис Инасиу Лула да Силва</w:t>
      </w:r>
      <w:r>
        <w:rPr>
          <w:spacing w:val="0"/>
          <w:w w:val="100"/>
          <w:sz w:val="22"/>
          <w:szCs w:val="19"/>
        </w:rPr>
        <w:t xml:space="preserve"> </w:t>
      </w:r>
      <w:r>
        <w:rPr>
          <w:spacing w:val="0"/>
          <w:w w:val="100"/>
          <w:sz w:val="22"/>
          <w:szCs w:val="24"/>
        </w:rPr>
        <w:t>7 августа 2006 года</w:t>
      </w:r>
      <w:r>
        <w:rPr>
          <w:spacing w:val="0"/>
          <w:w w:val="100"/>
          <w:sz w:val="22"/>
          <w:szCs w:val="19"/>
        </w:rPr>
        <w:t xml:space="preserve"> </w:t>
      </w:r>
      <w:r>
        <w:rPr>
          <w:spacing w:val="0"/>
          <w:w w:val="100"/>
          <w:sz w:val="22"/>
          <w:szCs w:val="24"/>
        </w:rPr>
        <w:t>утвердил Закон 11 340. Составленный на демократической основе и единогласно одобренный Национальным конгрессом, данный закон выполняется, и участвующие в этом органы адаптируются к новым руководящим принципам противодействия насилию в отношении 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Pargrafo"/>
        <w:spacing w:after="0" w:line="240" w:lineRule="auto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Эта новая составная часть законодательства, известная как закон Марии да Пенья (в честь женщины-фармацевта, убить которую дважды пытался ее муж), является весомым достижением для женщин, которые подвергаются насилию. Принимаемые меры зависят от конкретных обстоятельств – от удаления агрессора из дома до запрета на приближение к подвергавшимся нападениям жене и детям, до права женщины вернуть свою собственность и аннулировать выданные ей агрессору доверенности. Закон также предусматривает меры социальной защиты, такие как внесение женщины в реестр программ социальной защиты федерального уровня, уровня штата и муниципалитета.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До принятия этого закона бытовое и семейное насилие в отношении женщин считалось "менее опасным преступлением" и рассматривалось специальными уголовными судами наряду со ссорами между соседями или на улице и дорожно-транспортными происшествиями в числе других малозначительных преступлений. Новый закон признает серьезность бытового насилия и устанавливает, что такие преступления должны рассматриваться судами по бытовому и семейному насилию в отношении женщин, созданными при судебных учреждениях штатов и федерального округа. Еще одна инновация, введенная этим законом, заключается в том, что бытовое и семейное насилие в отношении женщин относится к нарушениям прав человека, а психологическое насилие признается формой насилия.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Специальный секретариат по политике в отношении женщин, входящий в состав канцелярии президента, распространил среди неправительственных организаций и/или высших учебных заведений, объединенных в консорциумы, приглашение вносить предложения по созданию Наблюдательного совета для контроля за соблюдением и применением Закона 11 340 (закон Марии да Пенья).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Pargrafo"/>
        <w:spacing w:after="0" w:line="240" w:lineRule="auto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Наблюдательный совет должен стать автономным и независимым, и его задачи будут заключаться в наблюдении и контроле </w:t>
      </w:r>
      <w:r>
        <w:rPr>
          <w:rFonts w:ascii="Times New Roman" w:hAnsi="Times New Roman"/>
          <w:sz w:val="22"/>
          <w:szCs w:val="24"/>
        </w:rPr>
        <w:t>за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</w:rPr>
        <w:t>соблюдением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</w:rPr>
        <w:t>применением</w:t>
      </w:r>
      <w:r>
        <w:rPr>
          <w:rFonts w:ascii="Times New Roman" w:hAnsi="Times New Roman"/>
          <w:sz w:val="22"/>
          <w:szCs w:val="24"/>
          <w:lang w:val="ru-RU"/>
        </w:rPr>
        <w:t xml:space="preserve"> этого закона. В политическом и структурном плане он будет связан с Национальным советом по правам женщин и будет вносить свой вклад в совершенствование государственной политики применительно к насилию в отношении женщин, с тем чтобы соответствовать положениям Конвенции Белем-ду-Пара и рекомендациям КЛДЖ. 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sz w:val="22"/>
          <w:lang w:val="ru-RU"/>
        </w:rPr>
        <w:br w:type="page"/>
      </w:r>
      <w:r>
        <w:rPr>
          <w:i w:val="0"/>
          <w:iCs/>
          <w:sz w:val="22"/>
          <w:lang w:val="ru-RU"/>
        </w:rPr>
        <w:t>9.  </w:t>
      </w:r>
      <w:r>
        <w:rPr>
          <w:i w:val="0"/>
          <w:iCs/>
          <w:sz w:val="22"/>
        </w:rPr>
        <w:t>Просьба представить информацию о результатах обследования, проведе</w:t>
      </w:r>
      <w:r>
        <w:rPr>
          <w:i w:val="0"/>
          <w:iCs/>
          <w:sz w:val="22"/>
        </w:rPr>
        <w:t>н</w:t>
      </w:r>
      <w:r>
        <w:rPr>
          <w:i w:val="0"/>
          <w:iCs/>
          <w:sz w:val="22"/>
        </w:rPr>
        <w:t>ного в Бразилии в рамках многостранового исследования Всемирной организ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ции здравоохранения по вопросам охраны здоровья женщин и применяемого в отношении женщин насилия в семье, в плане принятия новых стратегий и др</w:t>
      </w:r>
      <w:r>
        <w:rPr>
          <w:i w:val="0"/>
          <w:iCs/>
          <w:sz w:val="22"/>
        </w:rPr>
        <w:t>у</w:t>
      </w:r>
      <w:r>
        <w:rPr>
          <w:i w:val="0"/>
          <w:iCs/>
          <w:sz w:val="22"/>
        </w:rPr>
        <w:t>гих мер</w:t>
      </w:r>
      <w:r>
        <w:rPr>
          <w:i w:val="0"/>
          <w:iCs/>
          <w:sz w:val="22"/>
          <w:lang w:val="ru-RU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Обследование вошло в ряд других осуществляемых инициатив, проводимых кампаний и исследований, подчеркивающих существующую в Бразилии необходимость и далее решительно бороться против насилия в отношении женщин, в том числе и в сфере здравоохранения. Результаты обследования были очень хорошо восприняты в Бразилии; национальные газеты, региональная пресса, институты и учреждения, работающие в данной области, распространяли и комментировали результаты. Они были также положительно восприняты в Министерстве здравоохранения Бразилии, в особенности в технических его подразделениях, занимающихся охраной здоровья 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10.</w:t>
      </w:r>
      <w:r>
        <w:rPr>
          <w:i w:val="0"/>
          <w:iCs/>
          <w:sz w:val="22"/>
          <w:lang w:val="en-US"/>
        </w:rPr>
        <w:t> </w:t>
      </w:r>
      <w:r>
        <w:rPr>
          <w:i w:val="0"/>
          <w:iCs/>
          <w:sz w:val="22"/>
          <w:lang w:val="ru-RU"/>
        </w:rPr>
        <w:t> </w:t>
      </w:r>
      <w:r>
        <w:rPr>
          <w:i w:val="0"/>
          <w:iCs/>
          <w:sz w:val="22"/>
        </w:rPr>
        <w:t>Согласно докладу</w:t>
      </w:r>
      <w:r>
        <w:rPr>
          <w:i w:val="0"/>
          <w:iCs/>
          <w:sz w:val="22"/>
          <w:lang w:val="ru-RU"/>
        </w:rPr>
        <w:t xml:space="preserve"> (стр. 43)</w:t>
      </w:r>
      <w:r>
        <w:rPr>
          <w:i w:val="0"/>
          <w:iCs/>
          <w:sz w:val="22"/>
        </w:rPr>
        <w:t>, в марте 2003 года в соответствии с Указом № 4.625 (статья 3, раздел III) была учреждена Канцелярия омбудсмена в целях ра</w:t>
      </w:r>
      <w:r>
        <w:rPr>
          <w:i w:val="0"/>
          <w:iCs/>
          <w:sz w:val="22"/>
        </w:rPr>
        <w:t>с</w:t>
      </w:r>
      <w:r>
        <w:rPr>
          <w:i w:val="0"/>
          <w:iCs/>
          <w:sz w:val="22"/>
        </w:rPr>
        <w:t>смотрения предполагаемых случаев дискриминации и насилия в отношении женщин. Какое количество дел, связанных с предполагаемыми нарушениями и жалобами в связи с дискриминацией и насилием в отношении женщин</w:t>
      </w:r>
      <w:r>
        <w:rPr>
          <w:i w:val="0"/>
          <w:iCs/>
          <w:sz w:val="22"/>
          <w:lang w:val="ru-RU"/>
        </w:rPr>
        <w:t>,</w:t>
      </w:r>
      <w:r>
        <w:rPr>
          <w:i w:val="0"/>
          <w:iCs/>
          <w:sz w:val="22"/>
        </w:rPr>
        <w:t xml:space="preserve"> было получено омбудсменом и передано соответствующему компетентному органу для проведения расследования, и каковы р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зультаты?</w:t>
      </w:r>
      <w:r>
        <w:rPr>
          <w:i w:val="0"/>
          <w:iCs/>
          <w:sz w:val="22"/>
          <w:lang w:val="ru-RU"/>
        </w:rPr>
        <w:t xml:space="preserve"> </w:t>
      </w: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080"/>
        <w:gridCol w:w="1106"/>
        <w:gridCol w:w="1390"/>
      </w:tblGrid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CE" w:rsidRDefault="00C46ECE">
            <w:pPr>
              <w:spacing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b/>
                <w:spacing w:val="0"/>
                <w:w w:val="100"/>
                <w:szCs w:val="24"/>
              </w:rPr>
              <w:t>Всего жалоб в год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CE" w:rsidRDefault="00C46ECE">
            <w:pPr>
              <w:spacing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CE" w:rsidRDefault="00C46ECE">
            <w:pPr>
              <w:spacing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CE" w:rsidRDefault="00C46ECE">
            <w:pPr>
              <w:spacing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CE" w:rsidRDefault="00C46ECE">
            <w:pPr>
              <w:spacing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2006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CE" w:rsidRDefault="00C46ECE">
            <w:pPr>
              <w:spacing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CE" w:rsidRDefault="00C46ECE">
            <w:pPr>
              <w:spacing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CE" w:rsidRDefault="00C46ECE">
            <w:pPr>
              <w:spacing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364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CE" w:rsidRDefault="00C46ECE">
            <w:pPr>
              <w:spacing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351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870" w:type="dxa"/>
            <w:gridSpan w:val="4"/>
            <w:shd w:val="clear" w:color="auto" w:fill="FFFFFF"/>
          </w:tcPr>
          <w:p w:rsidR="00C46ECE" w:rsidRDefault="00C46ECE">
            <w:pPr>
              <w:spacing w:before="60" w:line="240" w:lineRule="auto"/>
              <w:jc w:val="both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Источник</w:t>
            </w:r>
            <w:r>
              <w:rPr>
                <w:spacing w:val="0"/>
                <w:w w:val="100"/>
                <w:szCs w:val="24"/>
                <w:lang w:val="en-US"/>
              </w:rPr>
              <w:t>: Ouvidoria/SPM – April 2007</w:t>
            </w:r>
            <w:r>
              <w:rPr>
                <w:spacing w:val="0"/>
                <w:w w:val="100"/>
                <w:szCs w:val="24"/>
              </w:rPr>
              <w:t>.</w:t>
            </w:r>
          </w:p>
        </w:tc>
      </w:tr>
    </w:tbl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  <w:lang w:val="en-US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Следует отметить, что сокращение числа жалоб в Канцелярию омбудсмена в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году объясняется учреждением Центральной службы помощи женщинам – </w:t>
      </w:r>
      <w:r>
        <w:rPr>
          <w:i/>
          <w:spacing w:val="0"/>
          <w:w w:val="100"/>
          <w:sz w:val="22"/>
          <w:szCs w:val="24"/>
        </w:rPr>
        <w:t>Номер 180</w:t>
      </w:r>
      <w:r>
        <w:rPr>
          <w:spacing w:val="0"/>
          <w:w w:val="100"/>
          <w:sz w:val="22"/>
          <w:szCs w:val="24"/>
        </w:rPr>
        <w:t>. Это бесплатная телефонная служба помощи женщинам в ситуациях, связанных с насилием.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году, когда была создана Канцелярия омбудсмена, бόльшая часть помощи оказывалась </w:t>
      </w:r>
      <w:r>
        <w:rPr>
          <w:i/>
          <w:spacing w:val="0"/>
          <w:w w:val="100"/>
          <w:sz w:val="22"/>
          <w:szCs w:val="24"/>
        </w:rPr>
        <w:t>лично</w:t>
      </w:r>
      <w:r>
        <w:rPr>
          <w:spacing w:val="0"/>
          <w:w w:val="100"/>
          <w:sz w:val="22"/>
          <w:szCs w:val="24"/>
        </w:rPr>
        <w:t xml:space="preserve"> (32,56 процента) и </w:t>
      </w:r>
      <w:r>
        <w:rPr>
          <w:i/>
          <w:spacing w:val="0"/>
          <w:w w:val="100"/>
          <w:sz w:val="22"/>
          <w:szCs w:val="24"/>
        </w:rPr>
        <w:t>по телефону</w:t>
      </w:r>
      <w:r>
        <w:rPr>
          <w:spacing w:val="0"/>
          <w:w w:val="100"/>
          <w:sz w:val="22"/>
          <w:szCs w:val="24"/>
        </w:rPr>
        <w:t xml:space="preserve"> (20,93 процента). Большинство просьб о помощи поступило из </w:t>
      </w:r>
      <w:r>
        <w:rPr>
          <w:i/>
          <w:spacing w:val="0"/>
          <w:w w:val="100"/>
          <w:sz w:val="22"/>
          <w:szCs w:val="24"/>
        </w:rPr>
        <w:t xml:space="preserve">Западно-Центрального </w:t>
      </w:r>
      <w:r>
        <w:rPr>
          <w:spacing w:val="0"/>
          <w:w w:val="100"/>
          <w:sz w:val="22"/>
          <w:szCs w:val="24"/>
        </w:rPr>
        <w:t xml:space="preserve">региона (33,72 процента), за которым следовал </w:t>
      </w:r>
      <w:r>
        <w:rPr>
          <w:i/>
          <w:spacing w:val="0"/>
          <w:w w:val="100"/>
          <w:sz w:val="22"/>
          <w:szCs w:val="24"/>
        </w:rPr>
        <w:t>Юго-Восточный</w:t>
      </w:r>
      <w:r>
        <w:rPr>
          <w:spacing w:val="0"/>
          <w:w w:val="100"/>
          <w:sz w:val="22"/>
          <w:szCs w:val="24"/>
        </w:rPr>
        <w:t xml:space="preserve"> (17,44 процента). Помощь запрашивалась в основном в форме </w:t>
      </w:r>
      <w:r>
        <w:rPr>
          <w:i/>
          <w:spacing w:val="0"/>
          <w:w w:val="100"/>
          <w:sz w:val="22"/>
          <w:szCs w:val="24"/>
        </w:rPr>
        <w:t>запросов</w:t>
      </w:r>
      <w:r>
        <w:rPr>
          <w:spacing w:val="0"/>
          <w:w w:val="100"/>
          <w:sz w:val="22"/>
          <w:szCs w:val="24"/>
        </w:rPr>
        <w:t xml:space="preserve"> (56,98 процента), за которыми следовали </w:t>
      </w:r>
      <w:r>
        <w:rPr>
          <w:i/>
          <w:spacing w:val="0"/>
          <w:w w:val="100"/>
          <w:sz w:val="22"/>
          <w:szCs w:val="24"/>
        </w:rPr>
        <w:t xml:space="preserve">обвинения </w:t>
      </w:r>
      <w:r>
        <w:rPr>
          <w:spacing w:val="0"/>
          <w:w w:val="100"/>
          <w:sz w:val="22"/>
          <w:szCs w:val="24"/>
        </w:rPr>
        <w:t xml:space="preserve">(33,72 процента). Наиболее актуальным вопросом были социальные и судебные претензии на доступ к </w:t>
      </w:r>
      <w:r>
        <w:rPr>
          <w:i/>
          <w:spacing w:val="0"/>
          <w:w w:val="100"/>
          <w:sz w:val="22"/>
          <w:szCs w:val="24"/>
        </w:rPr>
        <w:t xml:space="preserve">социальным правам </w:t>
      </w:r>
      <w:r>
        <w:rPr>
          <w:spacing w:val="0"/>
          <w:w w:val="100"/>
          <w:sz w:val="22"/>
          <w:szCs w:val="24"/>
        </w:rPr>
        <w:t>и их обеспечение (32,56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процента) в связи с судебными разбирательствами, социальной защитой, экономической и социальной уязвимостью, затем упоминалось </w:t>
      </w:r>
      <w:r>
        <w:rPr>
          <w:i/>
          <w:spacing w:val="0"/>
          <w:w w:val="100"/>
          <w:sz w:val="22"/>
          <w:szCs w:val="24"/>
        </w:rPr>
        <w:t xml:space="preserve">насилие </w:t>
      </w:r>
      <w:r>
        <w:rPr>
          <w:spacing w:val="0"/>
          <w:w w:val="100"/>
          <w:sz w:val="22"/>
          <w:szCs w:val="24"/>
        </w:rPr>
        <w:t xml:space="preserve">вообще (11,63 процента) (физическое, сексуальное и т. п.) и </w:t>
      </w:r>
      <w:r>
        <w:rPr>
          <w:i/>
          <w:spacing w:val="0"/>
          <w:w w:val="100"/>
          <w:sz w:val="22"/>
          <w:szCs w:val="24"/>
        </w:rPr>
        <w:t>занятость</w:t>
      </w:r>
      <w:r>
        <w:rPr>
          <w:spacing w:val="0"/>
          <w:w w:val="100"/>
          <w:sz w:val="22"/>
          <w:szCs w:val="24"/>
        </w:rPr>
        <w:t xml:space="preserve">, в связи с моральным преследованием, трудовым законодательством, выходом на рынок труда, в числе прочих вопросов; два последних вопроса занимали третье место в просьбах о помощи. Ситуации </w:t>
      </w:r>
      <w:r>
        <w:rPr>
          <w:i/>
          <w:spacing w:val="0"/>
          <w:w w:val="100"/>
          <w:sz w:val="22"/>
          <w:szCs w:val="24"/>
        </w:rPr>
        <w:t>бытового насилия</w:t>
      </w:r>
      <w:r>
        <w:rPr>
          <w:spacing w:val="0"/>
          <w:w w:val="100"/>
          <w:sz w:val="22"/>
          <w:szCs w:val="24"/>
        </w:rPr>
        <w:t xml:space="preserve"> (8,14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процента) и </w:t>
      </w:r>
      <w:r>
        <w:rPr>
          <w:i/>
          <w:spacing w:val="0"/>
          <w:w w:val="100"/>
          <w:sz w:val="22"/>
          <w:szCs w:val="24"/>
        </w:rPr>
        <w:t>убийства</w:t>
      </w:r>
      <w:r>
        <w:rPr>
          <w:spacing w:val="0"/>
          <w:w w:val="100"/>
          <w:sz w:val="22"/>
          <w:szCs w:val="24"/>
        </w:rPr>
        <w:t xml:space="preserve"> (8,14 процента) в общем занимали четвертое место, затем шло </w:t>
      </w:r>
      <w:r>
        <w:rPr>
          <w:i/>
          <w:spacing w:val="0"/>
          <w:w w:val="100"/>
          <w:sz w:val="22"/>
          <w:szCs w:val="24"/>
        </w:rPr>
        <w:t>законодательство</w:t>
      </w:r>
      <w:r>
        <w:rPr>
          <w:spacing w:val="0"/>
          <w:w w:val="100"/>
          <w:sz w:val="22"/>
          <w:szCs w:val="24"/>
        </w:rPr>
        <w:t xml:space="preserve"> (4,65 процента). </w:t>
      </w:r>
      <w:r>
        <w:rPr>
          <w:i/>
          <w:spacing w:val="0"/>
          <w:w w:val="100"/>
          <w:sz w:val="22"/>
          <w:szCs w:val="24"/>
        </w:rPr>
        <w:t>Дискриминация</w:t>
      </w:r>
      <w:r>
        <w:rPr>
          <w:spacing w:val="0"/>
          <w:w w:val="100"/>
          <w:sz w:val="22"/>
          <w:szCs w:val="24"/>
        </w:rPr>
        <w:t xml:space="preserve"> (3,49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процента) на основании расы, цвета кожи, этнического происхождения, сексуальной ориентации и т. п. и </w:t>
      </w:r>
      <w:r>
        <w:rPr>
          <w:i/>
          <w:spacing w:val="0"/>
          <w:w w:val="100"/>
          <w:sz w:val="22"/>
          <w:szCs w:val="24"/>
        </w:rPr>
        <w:t>торговля людьми</w:t>
      </w:r>
      <w:r>
        <w:rPr>
          <w:spacing w:val="0"/>
          <w:w w:val="100"/>
          <w:sz w:val="22"/>
          <w:szCs w:val="24"/>
        </w:rPr>
        <w:t xml:space="preserve"> (3,49 процента) занимали шестое место, а вопросы, относящиеся к </w:t>
      </w:r>
      <w:r>
        <w:rPr>
          <w:i/>
          <w:spacing w:val="0"/>
          <w:w w:val="100"/>
          <w:sz w:val="22"/>
          <w:szCs w:val="24"/>
        </w:rPr>
        <w:t>здоровью</w:t>
      </w:r>
      <w:r>
        <w:rPr>
          <w:spacing w:val="0"/>
          <w:w w:val="100"/>
          <w:sz w:val="22"/>
          <w:szCs w:val="24"/>
        </w:rPr>
        <w:t xml:space="preserve"> (2,33 процента), встречались реже.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В 2004 году основная часть помощи предоставлялась по </w:t>
      </w:r>
      <w:r>
        <w:rPr>
          <w:i/>
          <w:spacing w:val="0"/>
          <w:w w:val="100"/>
          <w:sz w:val="22"/>
          <w:szCs w:val="24"/>
        </w:rPr>
        <w:t>электронной почте</w:t>
      </w:r>
      <w:r>
        <w:rPr>
          <w:spacing w:val="0"/>
          <w:w w:val="100"/>
          <w:sz w:val="22"/>
          <w:szCs w:val="24"/>
        </w:rPr>
        <w:t xml:space="preserve"> (45,09 процента) и </w:t>
      </w:r>
      <w:r>
        <w:rPr>
          <w:i/>
          <w:spacing w:val="0"/>
          <w:w w:val="100"/>
          <w:sz w:val="22"/>
          <w:szCs w:val="24"/>
        </w:rPr>
        <w:t>телефону</w:t>
      </w:r>
      <w:r>
        <w:rPr>
          <w:spacing w:val="0"/>
          <w:w w:val="100"/>
          <w:sz w:val="22"/>
          <w:szCs w:val="24"/>
        </w:rPr>
        <w:t xml:space="preserve"> (21,88 процента). Большинство просьб о помощи опять-таки поступило из </w:t>
      </w:r>
      <w:r>
        <w:rPr>
          <w:i/>
          <w:spacing w:val="0"/>
          <w:w w:val="100"/>
          <w:sz w:val="22"/>
          <w:szCs w:val="24"/>
        </w:rPr>
        <w:t>Западно-Центрального</w:t>
      </w:r>
      <w:r>
        <w:rPr>
          <w:spacing w:val="0"/>
          <w:w w:val="100"/>
          <w:sz w:val="22"/>
          <w:szCs w:val="24"/>
        </w:rPr>
        <w:t xml:space="preserve"> региона (34,38 процента) и </w:t>
      </w:r>
      <w:r>
        <w:rPr>
          <w:i/>
          <w:spacing w:val="0"/>
          <w:w w:val="100"/>
          <w:sz w:val="22"/>
          <w:szCs w:val="24"/>
        </w:rPr>
        <w:t xml:space="preserve">Юго-Восточного </w:t>
      </w:r>
      <w:r>
        <w:rPr>
          <w:spacing w:val="0"/>
          <w:w w:val="100"/>
          <w:sz w:val="22"/>
          <w:szCs w:val="24"/>
        </w:rPr>
        <w:t>региона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 xml:space="preserve">(29,46 процента). Помощь запрашивалась в основном в форме </w:t>
      </w:r>
      <w:r>
        <w:rPr>
          <w:i/>
          <w:spacing w:val="0"/>
          <w:w w:val="100"/>
          <w:sz w:val="22"/>
          <w:szCs w:val="24"/>
        </w:rPr>
        <w:t>запросов</w:t>
      </w:r>
      <w:r>
        <w:rPr>
          <w:spacing w:val="0"/>
          <w:w w:val="100"/>
          <w:sz w:val="22"/>
          <w:szCs w:val="24"/>
        </w:rPr>
        <w:t xml:space="preserve"> (39,73 процента), за которыми следовали </w:t>
      </w:r>
      <w:r>
        <w:rPr>
          <w:i/>
          <w:spacing w:val="0"/>
          <w:w w:val="100"/>
          <w:sz w:val="22"/>
          <w:szCs w:val="24"/>
        </w:rPr>
        <w:t xml:space="preserve">обвинения </w:t>
      </w:r>
      <w:r>
        <w:rPr>
          <w:spacing w:val="0"/>
          <w:w w:val="100"/>
          <w:sz w:val="22"/>
          <w:szCs w:val="24"/>
        </w:rPr>
        <w:t xml:space="preserve">(27,23 процента). Наиболее актуальным вопросом был доступ к </w:t>
      </w:r>
      <w:r>
        <w:rPr>
          <w:i/>
          <w:spacing w:val="0"/>
          <w:w w:val="100"/>
          <w:sz w:val="22"/>
          <w:szCs w:val="24"/>
        </w:rPr>
        <w:t xml:space="preserve">социальным правам </w:t>
      </w:r>
      <w:r>
        <w:rPr>
          <w:spacing w:val="0"/>
          <w:w w:val="100"/>
          <w:sz w:val="22"/>
          <w:szCs w:val="24"/>
        </w:rPr>
        <w:t>и их обеспечение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 xml:space="preserve">(25 процентов), затем следовало </w:t>
      </w:r>
      <w:r>
        <w:rPr>
          <w:i/>
          <w:spacing w:val="0"/>
          <w:w w:val="100"/>
          <w:sz w:val="22"/>
          <w:szCs w:val="24"/>
        </w:rPr>
        <w:t>бытовое насилие</w:t>
      </w:r>
      <w:r>
        <w:rPr>
          <w:spacing w:val="0"/>
          <w:w w:val="100"/>
          <w:sz w:val="22"/>
          <w:szCs w:val="24"/>
        </w:rPr>
        <w:t xml:space="preserve"> (9,82 процента) и </w:t>
      </w:r>
      <w:r>
        <w:rPr>
          <w:i/>
          <w:spacing w:val="0"/>
          <w:w w:val="100"/>
          <w:sz w:val="22"/>
          <w:szCs w:val="24"/>
        </w:rPr>
        <w:t>занятость</w:t>
      </w:r>
      <w:r>
        <w:rPr>
          <w:spacing w:val="0"/>
          <w:w w:val="100"/>
          <w:sz w:val="22"/>
          <w:szCs w:val="24"/>
        </w:rPr>
        <w:t xml:space="preserve"> (8,93 процента), соответственно третье и четвертое места; и </w:t>
      </w:r>
      <w:r>
        <w:rPr>
          <w:i/>
          <w:spacing w:val="0"/>
          <w:w w:val="100"/>
          <w:sz w:val="22"/>
          <w:szCs w:val="24"/>
        </w:rPr>
        <w:t>дискриминация</w:t>
      </w:r>
      <w:r>
        <w:rPr>
          <w:spacing w:val="0"/>
          <w:w w:val="100"/>
          <w:sz w:val="22"/>
          <w:szCs w:val="24"/>
        </w:rPr>
        <w:t xml:space="preserve"> (8,04 процента) и </w:t>
      </w:r>
      <w:r>
        <w:rPr>
          <w:i/>
          <w:spacing w:val="0"/>
          <w:w w:val="100"/>
          <w:sz w:val="22"/>
          <w:szCs w:val="24"/>
        </w:rPr>
        <w:t xml:space="preserve">насилие </w:t>
      </w:r>
      <w:r>
        <w:rPr>
          <w:spacing w:val="0"/>
          <w:w w:val="100"/>
          <w:sz w:val="22"/>
          <w:szCs w:val="24"/>
        </w:rPr>
        <w:t>(8,04 процента), оба на пятом месте.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году бόльшая часть помощи оказывалась по </w:t>
      </w:r>
      <w:r>
        <w:rPr>
          <w:i/>
          <w:spacing w:val="0"/>
          <w:w w:val="100"/>
          <w:sz w:val="22"/>
          <w:szCs w:val="24"/>
        </w:rPr>
        <w:t>электронной почте</w:t>
      </w:r>
      <w:r>
        <w:rPr>
          <w:spacing w:val="0"/>
          <w:w w:val="100"/>
          <w:sz w:val="22"/>
          <w:szCs w:val="24"/>
        </w:rPr>
        <w:t xml:space="preserve"> (59,07 процента) и по </w:t>
      </w:r>
      <w:r>
        <w:rPr>
          <w:i/>
          <w:spacing w:val="0"/>
          <w:w w:val="100"/>
          <w:sz w:val="22"/>
          <w:szCs w:val="24"/>
        </w:rPr>
        <w:t xml:space="preserve">телефону </w:t>
      </w:r>
      <w:r>
        <w:rPr>
          <w:spacing w:val="0"/>
          <w:w w:val="100"/>
          <w:sz w:val="22"/>
          <w:szCs w:val="24"/>
        </w:rPr>
        <w:t xml:space="preserve">(18,41 процента). Большинство просьб о помощи поступили из </w:t>
      </w:r>
      <w:r>
        <w:rPr>
          <w:i/>
          <w:spacing w:val="0"/>
          <w:w w:val="100"/>
          <w:sz w:val="22"/>
          <w:szCs w:val="24"/>
        </w:rPr>
        <w:t xml:space="preserve">Юго-Восточного </w:t>
      </w:r>
      <w:r>
        <w:rPr>
          <w:spacing w:val="0"/>
          <w:w w:val="100"/>
          <w:sz w:val="22"/>
          <w:szCs w:val="24"/>
        </w:rPr>
        <w:t xml:space="preserve">региона (30,49 процента), за которым следовал </w:t>
      </w:r>
      <w:r>
        <w:rPr>
          <w:i/>
          <w:spacing w:val="0"/>
          <w:w w:val="100"/>
          <w:sz w:val="22"/>
          <w:szCs w:val="24"/>
        </w:rPr>
        <w:t>Западно-Центральный</w:t>
      </w:r>
      <w:r>
        <w:rPr>
          <w:spacing w:val="0"/>
          <w:w w:val="100"/>
          <w:sz w:val="22"/>
          <w:szCs w:val="24"/>
        </w:rPr>
        <w:t xml:space="preserve"> (24,45 процента). Помощь запрашивалась в основном в форме </w:t>
      </w:r>
      <w:r>
        <w:rPr>
          <w:i/>
          <w:spacing w:val="0"/>
          <w:w w:val="100"/>
          <w:sz w:val="22"/>
          <w:szCs w:val="24"/>
        </w:rPr>
        <w:t>запросов</w:t>
      </w:r>
      <w:r>
        <w:rPr>
          <w:spacing w:val="0"/>
          <w:w w:val="100"/>
          <w:sz w:val="22"/>
          <w:szCs w:val="24"/>
        </w:rPr>
        <w:t xml:space="preserve"> (39,29 процента), за которыми следовали </w:t>
      </w:r>
      <w:r>
        <w:rPr>
          <w:i/>
          <w:spacing w:val="0"/>
          <w:w w:val="100"/>
          <w:sz w:val="22"/>
          <w:szCs w:val="24"/>
        </w:rPr>
        <w:t xml:space="preserve">обвинения </w:t>
      </w:r>
      <w:r>
        <w:rPr>
          <w:spacing w:val="0"/>
          <w:w w:val="100"/>
          <w:sz w:val="22"/>
          <w:szCs w:val="24"/>
        </w:rPr>
        <w:t xml:space="preserve">(22,25 процента). На втором месте были вопросы, относящиеся к </w:t>
      </w:r>
      <w:r>
        <w:rPr>
          <w:i/>
          <w:spacing w:val="0"/>
          <w:w w:val="100"/>
          <w:sz w:val="22"/>
          <w:szCs w:val="24"/>
        </w:rPr>
        <w:t xml:space="preserve">социальным правам </w:t>
      </w:r>
      <w:r>
        <w:rPr>
          <w:spacing w:val="0"/>
          <w:w w:val="100"/>
          <w:sz w:val="22"/>
          <w:szCs w:val="24"/>
        </w:rPr>
        <w:t xml:space="preserve">(17,58 процента); на третьем месте была </w:t>
      </w:r>
      <w:r>
        <w:rPr>
          <w:i/>
          <w:spacing w:val="0"/>
          <w:w w:val="100"/>
          <w:sz w:val="22"/>
          <w:szCs w:val="24"/>
        </w:rPr>
        <w:t>дискриминация</w:t>
      </w:r>
      <w:r>
        <w:rPr>
          <w:spacing w:val="0"/>
          <w:w w:val="100"/>
          <w:sz w:val="22"/>
          <w:szCs w:val="24"/>
        </w:rPr>
        <w:t xml:space="preserve"> (11,26 процента); на четвертом – </w:t>
      </w:r>
      <w:r>
        <w:rPr>
          <w:i/>
          <w:spacing w:val="0"/>
          <w:w w:val="100"/>
          <w:sz w:val="22"/>
          <w:szCs w:val="24"/>
        </w:rPr>
        <w:t xml:space="preserve">насилие </w:t>
      </w:r>
      <w:r>
        <w:rPr>
          <w:spacing w:val="0"/>
          <w:w w:val="100"/>
          <w:sz w:val="22"/>
          <w:szCs w:val="24"/>
        </w:rPr>
        <w:t xml:space="preserve">(10,44 процента); а на пятом – </w:t>
      </w:r>
      <w:r>
        <w:rPr>
          <w:i/>
          <w:spacing w:val="0"/>
          <w:w w:val="100"/>
          <w:sz w:val="22"/>
          <w:szCs w:val="24"/>
        </w:rPr>
        <w:t xml:space="preserve">бытовое насилие </w:t>
      </w:r>
      <w:r>
        <w:rPr>
          <w:spacing w:val="0"/>
          <w:w w:val="100"/>
          <w:sz w:val="22"/>
          <w:szCs w:val="24"/>
        </w:rPr>
        <w:t>(7,97 процента).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году бόльшая часть помощи оказывалась по </w:t>
      </w:r>
      <w:r>
        <w:rPr>
          <w:i/>
          <w:spacing w:val="0"/>
          <w:w w:val="100"/>
          <w:sz w:val="22"/>
          <w:szCs w:val="24"/>
        </w:rPr>
        <w:t>электронной почте</w:t>
      </w:r>
      <w:r>
        <w:rPr>
          <w:spacing w:val="0"/>
          <w:w w:val="100"/>
          <w:sz w:val="22"/>
          <w:szCs w:val="24"/>
        </w:rPr>
        <w:t xml:space="preserve"> (60,97 процента) и по </w:t>
      </w:r>
      <w:r>
        <w:rPr>
          <w:i/>
          <w:spacing w:val="0"/>
          <w:w w:val="100"/>
          <w:sz w:val="22"/>
          <w:szCs w:val="24"/>
        </w:rPr>
        <w:t>телефону</w:t>
      </w:r>
      <w:r>
        <w:rPr>
          <w:spacing w:val="0"/>
          <w:w w:val="100"/>
          <w:sz w:val="22"/>
          <w:szCs w:val="24"/>
        </w:rPr>
        <w:t xml:space="preserve"> (8,83 процента). Большинство просьб о помощи поступили из </w:t>
      </w:r>
      <w:r>
        <w:rPr>
          <w:i/>
          <w:spacing w:val="0"/>
          <w:w w:val="100"/>
          <w:sz w:val="22"/>
          <w:szCs w:val="24"/>
        </w:rPr>
        <w:t xml:space="preserve">Юго-Восточного </w:t>
      </w:r>
      <w:r>
        <w:rPr>
          <w:spacing w:val="0"/>
          <w:w w:val="100"/>
          <w:sz w:val="22"/>
          <w:szCs w:val="24"/>
        </w:rPr>
        <w:t xml:space="preserve">региона (32,76 процента), за которым следовал </w:t>
      </w:r>
      <w:r>
        <w:rPr>
          <w:i/>
          <w:spacing w:val="0"/>
          <w:w w:val="100"/>
          <w:sz w:val="22"/>
          <w:szCs w:val="24"/>
        </w:rPr>
        <w:t>Западно-Центральный</w:t>
      </w:r>
      <w:r>
        <w:rPr>
          <w:spacing w:val="0"/>
          <w:w w:val="100"/>
          <w:sz w:val="22"/>
          <w:szCs w:val="24"/>
        </w:rPr>
        <w:t xml:space="preserve"> (19,66 процента). Помощь запрашивалась в основном в форме </w:t>
      </w:r>
      <w:r>
        <w:rPr>
          <w:i/>
          <w:spacing w:val="0"/>
          <w:w w:val="100"/>
          <w:sz w:val="22"/>
          <w:szCs w:val="24"/>
        </w:rPr>
        <w:t>запросов</w:t>
      </w:r>
      <w:r>
        <w:rPr>
          <w:spacing w:val="0"/>
          <w:w w:val="100"/>
          <w:sz w:val="22"/>
          <w:szCs w:val="24"/>
        </w:rPr>
        <w:t xml:space="preserve"> (51,85 процента) и </w:t>
      </w:r>
      <w:r>
        <w:rPr>
          <w:i/>
          <w:spacing w:val="0"/>
          <w:w w:val="100"/>
          <w:sz w:val="22"/>
          <w:szCs w:val="24"/>
        </w:rPr>
        <w:t>обвинений</w:t>
      </w:r>
      <w:r>
        <w:rPr>
          <w:spacing w:val="0"/>
          <w:w w:val="100"/>
          <w:sz w:val="22"/>
          <w:szCs w:val="24"/>
        </w:rPr>
        <w:t xml:space="preserve"> (16,24 процента). На втором месте по актуальности были </w:t>
      </w:r>
      <w:r>
        <w:rPr>
          <w:i/>
          <w:spacing w:val="0"/>
          <w:w w:val="100"/>
          <w:sz w:val="22"/>
          <w:szCs w:val="24"/>
        </w:rPr>
        <w:t xml:space="preserve">социальные права </w:t>
      </w:r>
      <w:r>
        <w:rPr>
          <w:spacing w:val="0"/>
          <w:w w:val="100"/>
          <w:sz w:val="22"/>
          <w:szCs w:val="24"/>
        </w:rPr>
        <w:t>(12,54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процента), за которыми следовало </w:t>
      </w:r>
      <w:r>
        <w:rPr>
          <w:i/>
          <w:spacing w:val="0"/>
          <w:w w:val="100"/>
          <w:sz w:val="22"/>
          <w:szCs w:val="24"/>
        </w:rPr>
        <w:t>насилие</w:t>
      </w:r>
      <w:r>
        <w:rPr>
          <w:spacing w:val="0"/>
          <w:w w:val="100"/>
          <w:sz w:val="22"/>
          <w:szCs w:val="24"/>
        </w:rPr>
        <w:t xml:space="preserve"> (10,83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процента) и </w:t>
      </w:r>
      <w:r>
        <w:rPr>
          <w:i/>
          <w:spacing w:val="0"/>
          <w:w w:val="100"/>
          <w:sz w:val="22"/>
          <w:szCs w:val="24"/>
        </w:rPr>
        <w:t>занятость</w:t>
      </w:r>
      <w:r>
        <w:rPr>
          <w:spacing w:val="0"/>
          <w:w w:val="100"/>
          <w:sz w:val="22"/>
          <w:szCs w:val="24"/>
        </w:rPr>
        <w:t xml:space="preserve"> (9,40 процента), занимавшие соответственно третье и четвертое места; </w:t>
      </w:r>
      <w:r>
        <w:rPr>
          <w:i/>
          <w:spacing w:val="0"/>
          <w:w w:val="100"/>
          <w:sz w:val="22"/>
          <w:szCs w:val="24"/>
        </w:rPr>
        <w:t>законодательство</w:t>
      </w:r>
      <w:r>
        <w:rPr>
          <w:spacing w:val="0"/>
          <w:w w:val="100"/>
          <w:sz w:val="22"/>
          <w:szCs w:val="24"/>
        </w:rPr>
        <w:t xml:space="preserve"> (8,55 процента) и </w:t>
      </w:r>
      <w:r>
        <w:rPr>
          <w:i/>
          <w:spacing w:val="0"/>
          <w:w w:val="100"/>
          <w:sz w:val="22"/>
          <w:szCs w:val="24"/>
        </w:rPr>
        <w:t>здоровье</w:t>
      </w:r>
      <w:r>
        <w:rPr>
          <w:spacing w:val="0"/>
          <w:w w:val="100"/>
          <w:sz w:val="22"/>
          <w:szCs w:val="24"/>
        </w:rPr>
        <w:t xml:space="preserve"> (6,84 процента) были на пятом и шестом местах соответственно, а </w:t>
      </w:r>
      <w:r>
        <w:rPr>
          <w:i/>
          <w:spacing w:val="0"/>
          <w:w w:val="100"/>
          <w:sz w:val="22"/>
          <w:szCs w:val="24"/>
        </w:rPr>
        <w:t>дискриминация</w:t>
      </w:r>
      <w:r>
        <w:rPr>
          <w:spacing w:val="0"/>
          <w:w w:val="100"/>
          <w:sz w:val="22"/>
          <w:szCs w:val="24"/>
        </w:rPr>
        <w:t xml:space="preserve"> (5,98 процента) и </w:t>
      </w:r>
      <w:r>
        <w:rPr>
          <w:i/>
          <w:spacing w:val="0"/>
          <w:w w:val="100"/>
          <w:sz w:val="22"/>
          <w:szCs w:val="24"/>
        </w:rPr>
        <w:t>бытовое насилие</w:t>
      </w:r>
      <w:r>
        <w:rPr>
          <w:spacing w:val="0"/>
          <w:w w:val="100"/>
          <w:sz w:val="22"/>
          <w:szCs w:val="24"/>
        </w:rPr>
        <w:t xml:space="preserve"> (5,70 процента) занимали седьмое и восьмое места.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По всем этим годам, как можно видеть из таблиц в Приложении 3 (ежегодные таблицы, где показаны спрос по регионам, происхождению, характеристикам и классификация по вопросам), на первом месте находится категория "Другие". В эту категорию включены различные вопросы – политическое преследование, вмешательство в работу государственных органов, просьбы об опубликовании, разъяснения относительно проектов и т. п.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Там также упоминается служба </w:t>
      </w:r>
      <w:r>
        <w:rPr>
          <w:i/>
          <w:spacing w:val="0"/>
          <w:w w:val="100"/>
          <w:sz w:val="22"/>
          <w:szCs w:val="24"/>
        </w:rPr>
        <w:t>Номер 180</w:t>
      </w:r>
      <w:r>
        <w:rPr>
          <w:spacing w:val="0"/>
          <w:w w:val="100"/>
          <w:sz w:val="22"/>
          <w:szCs w:val="24"/>
        </w:rPr>
        <w:t>, которая 17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апреля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отметила первую годовщину круглосуточного вещания после периода внедрения, начавшегося в ноябре 2005 года. Женщины могут бесплатно звонить с любого телефонного номера в стране и запрашивать информацию по правовым вопросам и конкретные данные по полицейским участкам, медицинским клиникам, убежищам и т. п.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Коммутационная станция работает на основах конфиденциальности и записывает вызовы относительно физической и психологической агрессии, сексуального насилия, сексуальных и моральных домогательств, непристойных нападений, изнасилований и торговли женщинами в целях эксплуатации.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Согласно статистическим данным, больше всего число убитых женщин в штате Пернамбуку. Ежемесячные отчеты по оказанной помощи направляются в координационные и консультационные женские центры в 15 штатах и 110 муниципалитетах. В штатах, где такие органы отсутствуют, этот документ направляется правительству штата, государственной прокуратуре и департаментам безопасности.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11.</w:t>
      </w:r>
      <w:r>
        <w:rPr>
          <w:i w:val="0"/>
          <w:iCs/>
          <w:sz w:val="22"/>
          <w:lang w:val="en-US"/>
        </w:rPr>
        <w:t>  </w:t>
      </w:r>
      <w:r>
        <w:rPr>
          <w:i w:val="0"/>
          <w:iCs/>
          <w:sz w:val="22"/>
        </w:rPr>
        <w:t>Как отмечалось Специальным докладчиком по вопросу о насилии в отн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шении женщин, его причинах и последствиях (</w:t>
      </w:r>
      <w:r>
        <w:rPr>
          <w:i w:val="0"/>
          <w:iCs/>
          <w:sz w:val="22"/>
          <w:lang w:val="en-US"/>
        </w:rPr>
        <w:t>E</w:t>
      </w:r>
      <w:r>
        <w:rPr>
          <w:i w:val="0"/>
          <w:iCs/>
          <w:sz w:val="22"/>
        </w:rPr>
        <w:t>/</w:t>
      </w:r>
      <w:r>
        <w:rPr>
          <w:i w:val="0"/>
          <w:iCs/>
          <w:sz w:val="22"/>
          <w:lang w:val="en-US"/>
        </w:rPr>
        <w:t>CN</w:t>
      </w:r>
      <w:r>
        <w:rPr>
          <w:i w:val="0"/>
          <w:iCs/>
          <w:sz w:val="22"/>
        </w:rPr>
        <w:t xml:space="preserve">.4/2006/61), в 2001 году Межамериканская комиссия по правам человека указала на 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>непринятие э</w:t>
      </w:r>
      <w:r>
        <w:rPr>
          <w:i w:val="0"/>
          <w:iCs/>
          <w:sz w:val="22"/>
        </w:rPr>
        <w:t>ф</w:t>
      </w:r>
      <w:r>
        <w:rPr>
          <w:i w:val="0"/>
          <w:iCs/>
          <w:sz w:val="22"/>
        </w:rPr>
        <w:t>фективных мер со стороны государства по судебному преследованию и осу</w:t>
      </w:r>
      <w:r>
        <w:rPr>
          <w:i w:val="0"/>
          <w:iCs/>
          <w:sz w:val="22"/>
        </w:rPr>
        <w:t>ж</w:t>
      </w:r>
      <w:r>
        <w:rPr>
          <w:i w:val="0"/>
          <w:iCs/>
          <w:sz w:val="22"/>
        </w:rPr>
        <w:t>дению виновных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 xml:space="preserve">. Просьба объяснить, что государство-участник делает </w:t>
      </w:r>
      <w:r>
        <w:rPr>
          <w:i w:val="0"/>
          <w:iCs/>
          <w:sz w:val="22"/>
          <w:lang w:val="ru-RU"/>
        </w:rPr>
        <w:t>в отношении</w:t>
      </w:r>
      <w:r>
        <w:rPr>
          <w:i w:val="0"/>
          <w:iCs/>
          <w:sz w:val="22"/>
        </w:rPr>
        <w:t xml:space="preserve"> этой оценки, а также представить данные о судебном преследовании и осужд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нии лиц, виновных в совершении насилия в отношении женщин</w:t>
      </w:r>
      <w:r>
        <w:rPr>
          <w:i w:val="0"/>
          <w:iCs/>
          <w:sz w:val="22"/>
          <w:lang w:val="ru-RU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  <w:lang w:val="en-US"/>
        </w:rPr>
        <w:t>C</w:t>
      </w:r>
      <w:r>
        <w:rPr>
          <w:spacing w:val="0"/>
          <w:w w:val="100"/>
          <w:sz w:val="22"/>
          <w:szCs w:val="24"/>
        </w:rPr>
        <w:t xml:space="preserve"> 1998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когда в Многогодичный план был включен особый бюджет для борьбы с насилием в отношении женщин, в этом отношении принимаются эффективные меры. Были утверждены проекты по созданию убежищ и по подготовке по гендерным вопросам представителей власти, в первую очередь начальников специализированных женских полицейских участков и общественных защитников.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когда к власти пришла новая администрация и был создан Специальный секретариат по политике в отношении женщин, масштаб программ профессиональной подготовки возрос, поддержка деятельности убежищ и справочных центров увеличилась, был принят Национальный план по борьбе с насилием в отношении женщин, что позволило свести воедино инициативы, ранее проводившиеся обособленно.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Следует отметить, что правительство Бразилии приняло меры в связи с рекомендацией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54/01 и уведомлением по делу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12 051 от Межамериканской комиссии по правам человека от 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апреля 2001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(дело Марии да Пенья), последовательно принимая меры для закрытия этого дела, в соответствии с рекомендациями этого межамериканского органа. Одна из рекомендаций Межамериканской комиссии по правам человека касалась принятия особого законодательного акта для пресечения насилия в отношении женщин. Это было выполнено, когда в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в силу вступил Закон 11 340. Учитывая прогресс, достигнутый в переговорах между истцами, жертвой, правительством штата Сеара (где произошло нарушение) и федеральным правительством, можно предположить, что к концу 2007 году стороны подпишут соглашение, и тем самым дело будет закрыто.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Совместно со Специальным секретариатом по правам человека Специальный секретариат по политике в отношении женщин следит еще за пятью делами по насилию в отношении бразильских женщин, в настоящее время рассматриваемыми Межамериканской комиссией по правам человека, но официальная позиция по какому-либо из них еще не была выработана. Тем не менее правительство Бразилии и Специальный секретариат по политике в отношении женщин делают все возможное, чтобы активизировать действия, направленные на пресечение насилия в отношении женщин, с тем чтобы предотвратить внесение новых дел в суды по правам человека.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Что касается того, чтό государство делает по данному вопросу, то есть для применения закона, включая данные по преследованию и вынесению обвинительных приговоров в отношении лиц, совершивших насилие в отношении женщин, следует напомнить, что Федеральная конституция Бразилии предусматривает разделение полномочий. В соответствии с этим преступления, связанные с нарушениями прав женщин, рассматриваются на уровне штатов и лишь потом могут попасть в Верховный суд как последнюю судебную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инстанцию</w:t>
      </w:r>
      <w:r w:rsidRPr="00EE2787">
        <w:rPr>
          <w:spacing w:val="0"/>
          <w:w w:val="100"/>
          <w:sz w:val="22"/>
          <w:szCs w:val="24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Далее следует отметить, что 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марта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Национальный совет правосудия утвердил рекомендацию 9, согласно которой при судах должны быть созданы суды, специализирующиеся по делам о бытовом и семейном насилии в отношении женщин. Создание специальных судов для помощи женщинам, которые являются жертвами бытового и семейного насилия, предусматривается Законом 11 340 (законом Марии да Пенья). В рекомендации судам также предлагается включить в свои банки данных статистику по бытовому насилию, взять на себя руководство проведением многодисциплинарных курсов по правам человека и гендерному насилию, с тем чтобы судьи были осведомлены по данным вопросам, а также обеспечить участие судебных органов в других службах сети помощи женщинам.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заключение следует отметить, что на уровне штатов принимаются меры для сбора статистических данных по насилию в отношении женщин. Примерами этого являются номера "Досье по женщинам", издаваемые Институтом общественной безопасности Рио-де-Жанейро. В этом издании помещаются статьи и информация о таких преступлениях, как изнасилование, насильственное нападение, связанное с совершением непристойных действий, тяжкие телесные повреждения, а также убийства и угрозы, жертвами которых являются женщины. Первый выпуск "Досье по женщинам" содержит данные, относящиеся к 2004 и 2005 годам, а во втором опубликованы данные, относящиеся к 2006 году.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b/>
          <w:i/>
          <w:iCs/>
          <w:spacing w:val="0"/>
          <w:w w:val="100"/>
          <w:sz w:val="22"/>
          <w:szCs w:val="24"/>
        </w:rPr>
      </w:pPr>
      <w:r>
        <w:rPr>
          <w:b/>
          <w:i/>
          <w:iCs/>
          <w:spacing w:val="0"/>
          <w:w w:val="100"/>
          <w:sz w:val="22"/>
          <w:szCs w:val="24"/>
        </w:rPr>
        <w:t>Политическая и общественная жизнь</w:t>
      </w:r>
    </w:p>
    <w:p w:rsidR="00C46ECE" w:rsidRPr="00EE2787" w:rsidRDefault="00C46ECE">
      <w:pPr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12.  </w:t>
      </w:r>
      <w:r>
        <w:rPr>
          <w:i w:val="0"/>
          <w:iCs/>
          <w:sz w:val="22"/>
        </w:rPr>
        <w:t>Просьба представить обновленную информацию об обсуждавшихся в Н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циональном конгрессе проектах законов, предусматривающих внесение изм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нений в Закон № 9504 о квотах от 30 сентября 1997 года</w:t>
      </w:r>
      <w:r>
        <w:rPr>
          <w:i w:val="0"/>
          <w:iCs/>
          <w:sz w:val="22"/>
          <w:lang w:val="ru-RU"/>
        </w:rPr>
        <w:t xml:space="preserve"> (стр. 49)</w:t>
      </w:r>
      <w:r>
        <w:rPr>
          <w:i w:val="0"/>
          <w:iCs/>
          <w:sz w:val="22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настоящее время дискуссии относительно внесения изменений в Закон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9504/1997 проходят в более широком контексте предлагаемой реформы политической системы Бразилии. Политическая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реформа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предоставляет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уникальную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возможность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изменения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политических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процессов</w:t>
      </w:r>
      <w:r w:rsidRPr="00EE2787">
        <w:rPr>
          <w:spacing w:val="0"/>
          <w:w w:val="100"/>
          <w:sz w:val="22"/>
          <w:szCs w:val="24"/>
        </w:rPr>
        <w:t xml:space="preserve">. </w:t>
      </w:r>
      <w:r>
        <w:rPr>
          <w:spacing w:val="0"/>
          <w:w w:val="100"/>
          <w:sz w:val="22"/>
          <w:szCs w:val="24"/>
        </w:rPr>
        <w:t>В более широком смысле она предполагает пересмотр распределения властных полномочий между государством и обществом; правил функционирования политических партий; норм, на которых строятся процессы выборов и принятия решений; и включает контроль со стороны общества за исполнением бюджета, концессиями на радио- и телевизионное вещание и структурой и работой органов судебной власти. Реформа открывает перспективы для совершенствования и демократизации политической системы и форм политического участия и представительства.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Законопроект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2679/2003 (прилагаемый к законопроекту 5268/2001) представляет собой законодательный проект, охватывающий большое число тем и одобренный Специальной комиссией по политической реформе, созданной исключительно для рассмотрения данного вопроса. В нем предусмотрены изменения положений Выборного кодекса, Закона о политических партиях и Закона о выборах.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К предлагаемым изменениям относятся: резервирование по меньшей мере 30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 и максимум 70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 мест для кандидатов каждого пола в списках, подаваемых всеми политическими партиями и коалициями; соблюдение гендерной квоты в списке, определенном (закрытом) партией или федерацией, с тем чтобы обеспечить возможность замены на кандидата другого пола по меньшей мере по одному месту из каждых трех, или замену 50/50 процентов; отведение не менее чем 20 или 30 процентов выделяемого партиям времени на радио и телевидении для пропаганды участия женщин в политической жизни; и выделение по меньшей мере 30 процентов из минимум 20 процентов [ресурсов], направляемых в партийные фонды и институты на виды деятельности, связанные со стимулированием и активизацией участия женщин (эквивалент 6 процентов партийных средств).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Реформа дает возможность содействовать углублению демократии и включению в политическую жизнь в недостаточной мере представленных в ней секторов. Именно для активизации дискуссий вопрос участия женщин в политической жизни будет одним из основных вопросов, рассматриваемых на второй Национальной конференции по политике в отношении женщин, запланированной на август 2007 года.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6"/>
        <w:gridCol w:w="1232"/>
        <w:gridCol w:w="1044"/>
        <w:gridCol w:w="1218"/>
        <w:gridCol w:w="1196"/>
        <w:gridCol w:w="986"/>
      </w:tblGrid>
      <w:tr w:rsidR="00C46ECE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6"/>
          </w:tcPr>
          <w:p w:rsidR="00C46ECE" w:rsidRDefault="00C46ECE">
            <w:pPr>
              <w:spacing w:before="10" w:after="10" w:line="240" w:lineRule="auto"/>
              <w:jc w:val="center"/>
              <w:rPr>
                <w:b/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Женщины на ответственных постах в Бразилии – 2007 год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6" w:type="dxa"/>
            <w:vMerge w:val="restart"/>
            <w:vAlign w:val="center"/>
          </w:tcPr>
          <w:p w:rsidR="00C46ECE" w:rsidRDefault="00C46ECE">
            <w:pPr>
              <w:spacing w:before="10" w:after="10" w:line="240" w:lineRule="auto"/>
              <w:jc w:val="both"/>
              <w:rPr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Законодательные органы</w:t>
            </w:r>
          </w:p>
        </w:tc>
        <w:tc>
          <w:tcPr>
            <w:tcW w:w="2276" w:type="dxa"/>
            <w:gridSpan w:val="2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Женщины</w:t>
            </w:r>
          </w:p>
        </w:tc>
        <w:tc>
          <w:tcPr>
            <w:tcW w:w="2414" w:type="dxa"/>
            <w:gridSpan w:val="2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Мужчины</w:t>
            </w:r>
          </w:p>
        </w:tc>
        <w:tc>
          <w:tcPr>
            <w:tcW w:w="986" w:type="dxa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Всего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6" w:type="dxa"/>
            <w:vMerge/>
          </w:tcPr>
          <w:p w:rsidR="00C46ECE" w:rsidRDefault="00C46ECE">
            <w:pPr>
              <w:spacing w:before="10" w:after="10"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Число</w:t>
            </w:r>
          </w:p>
        </w:tc>
        <w:tc>
          <w:tcPr>
            <w:tcW w:w="1044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1218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Число</w:t>
            </w:r>
          </w:p>
        </w:tc>
        <w:tc>
          <w:tcPr>
            <w:tcW w:w="119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98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100%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936" w:type="dxa"/>
          </w:tcPr>
          <w:p w:rsidR="00C46ECE" w:rsidRDefault="00C46ECE">
            <w:pPr>
              <w:spacing w:before="10" w:after="10" w:line="240" w:lineRule="auto"/>
              <w:jc w:val="both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Сенат</w:t>
            </w:r>
          </w:p>
        </w:tc>
        <w:tc>
          <w:tcPr>
            <w:tcW w:w="1232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10</w:t>
            </w:r>
          </w:p>
        </w:tc>
        <w:tc>
          <w:tcPr>
            <w:tcW w:w="1044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12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34</w:t>
            </w:r>
          </w:p>
        </w:tc>
        <w:tc>
          <w:tcPr>
            <w:tcW w:w="1218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71</w:t>
            </w:r>
          </w:p>
        </w:tc>
        <w:tc>
          <w:tcPr>
            <w:tcW w:w="119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87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66</w:t>
            </w:r>
          </w:p>
        </w:tc>
        <w:tc>
          <w:tcPr>
            <w:tcW w:w="98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81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936" w:type="dxa"/>
          </w:tcPr>
          <w:p w:rsidR="00C46ECE" w:rsidRDefault="00C46ECE">
            <w:pPr>
              <w:spacing w:before="10" w:after="10" w:line="240" w:lineRule="auto"/>
              <w:jc w:val="both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Палата депутатов</w:t>
            </w:r>
          </w:p>
        </w:tc>
        <w:tc>
          <w:tcPr>
            <w:tcW w:w="1232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45</w:t>
            </w:r>
          </w:p>
        </w:tc>
        <w:tc>
          <w:tcPr>
            <w:tcW w:w="1044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8,77</w:t>
            </w:r>
          </w:p>
        </w:tc>
        <w:tc>
          <w:tcPr>
            <w:tcW w:w="1218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468</w:t>
            </w:r>
          </w:p>
        </w:tc>
        <w:tc>
          <w:tcPr>
            <w:tcW w:w="119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91,23</w:t>
            </w:r>
          </w:p>
        </w:tc>
        <w:tc>
          <w:tcPr>
            <w:tcW w:w="98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513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936" w:type="dxa"/>
          </w:tcPr>
          <w:p w:rsidR="00C46ECE" w:rsidRDefault="00C46ECE">
            <w:pPr>
              <w:spacing w:before="10" w:after="10" w:line="240" w:lineRule="auto"/>
              <w:jc w:val="both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Ассамблеи штатов</w:t>
            </w:r>
          </w:p>
        </w:tc>
        <w:tc>
          <w:tcPr>
            <w:tcW w:w="1232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123</w:t>
            </w:r>
          </w:p>
        </w:tc>
        <w:tc>
          <w:tcPr>
            <w:tcW w:w="1044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11,61</w:t>
            </w:r>
          </w:p>
        </w:tc>
        <w:tc>
          <w:tcPr>
            <w:tcW w:w="1218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936</w:t>
            </w:r>
          </w:p>
        </w:tc>
        <w:tc>
          <w:tcPr>
            <w:tcW w:w="119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88,39</w:t>
            </w:r>
          </w:p>
        </w:tc>
        <w:tc>
          <w:tcPr>
            <w:tcW w:w="98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</w:t>
            </w:r>
            <w:r>
              <w:rPr>
                <w:spacing w:val="0"/>
                <w:w w:val="100"/>
                <w:szCs w:val="24"/>
              </w:rPr>
              <w:t> </w:t>
            </w:r>
            <w:r>
              <w:rPr>
                <w:spacing w:val="0"/>
                <w:w w:val="100"/>
                <w:szCs w:val="24"/>
                <w:lang w:val="en-US"/>
              </w:rPr>
              <w:t>059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936" w:type="dxa"/>
          </w:tcPr>
          <w:p w:rsidR="00C46ECE" w:rsidRDefault="00C46ECE">
            <w:pPr>
              <w:spacing w:before="10" w:after="10" w:line="240" w:lineRule="auto"/>
              <w:jc w:val="both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Городские советы</w:t>
            </w:r>
          </w:p>
        </w:tc>
        <w:tc>
          <w:tcPr>
            <w:tcW w:w="1232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6</w:t>
            </w:r>
            <w:r>
              <w:rPr>
                <w:spacing w:val="0"/>
                <w:w w:val="100"/>
                <w:szCs w:val="24"/>
              </w:rPr>
              <w:t> </w:t>
            </w:r>
            <w:r>
              <w:rPr>
                <w:spacing w:val="0"/>
                <w:w w:val="100"/>
                <w:szCs w:val="24"/>
                <w:lang w:val="en-US"/>
              </w:rPr>
              <w:t>556</w:t>
            </w:r>
          </w:p>
        </w:tc>
        <w:tc>
          <w:tcPr>
            <w:tcW w:w="1044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12,65</w:t>
            </w:r>
          </w:p>
        </w:tc>
        <w:tc>
          <w:tcPr>
            <w:tcW w:w="1218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42</w:t>
            </w:r>
            <w:r>
              <w:rPr>
                <w:spacing w:val="0"/>
                <w:w w:val="100"/>
                <w:szCs w:val="24"/>
              </w:rPr>
              <w:t> </w:t>
            </w:r>
            <w:r>
              <w:rPr>
                <w:spacing w:val="0"/>
                <w:w w:val="100"/>
                <w:szCs w:val="24"/>
                <w:lang w:val="en-US"/>
              </w:rPr>
              <w:t>252</w:t>
            </w:r>
          </w:p>
        </w:tc>
        <w:tc>
          <w:tcPr>
            <w:tcW w:w="119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87,35</w:t>
            </w:r>
          </w:p>
        </w:tc>
        <w:tc>
          <w:tcPr>
            <w:tcW w:w="986" w:type="dxa"/>
          </w:tcPr>
          <w:p w:rsidR="00C46ECE" w:rsidRDefault="00C46ECE">
            <w:pPr>
              <w:spacing w:before="10" w:after="10" w:line="240" w:lineRule="auto"/>
              <w:ind w:right="27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51</w:t>
            </w:r>
            <w:r>
              <w:rPr>
                <w:spacing w:val="0"/>
                <w:w w:val="100"/>
                <w:szCs w:val="24"/>
              </w:rPr>
              <w:t> </w:t>
            </w:r>
            <w:r>
              <w:rPr>
                <w:spacing w:val="0"/>
                <w:w w:val="100"/>
                <w:szCs w:val="24"/>
                <w:lang w:val="en-US"/>
              </w:rPr>
              <w:t>808</w:t>
            </w:r>
          </w:p>
        </w:tc>
      </w:tr>
    </w:tbl>
    <w:p w:rsidR="00C46ECE" w:rsidRDefault="00C46ECE">
      <w:pPr>
        <w:spacing w:before="10" w:after="10" w:line="240" w:lineRule="auto"/>
        <w:jc w:val="both"/>
        <w:rPr>
          <w:spacing w:val="0"/>
          <w:w w:val="100"/>
          <w:szCs w:val="24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0"/>
        <w:gridCol w:w="1230"/>
        <w:gridCol w:w="1048"/>
        <w:gridCol w:w="1204"/>
        <w:gridCol w:w="1223"/>
        <w:gridCol w:w="937"/>
      </w:tblGrid>
      <w:tr w:rsidR="00C46ECE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6"/>
          </w:tcPr>
          <w:p w:rsidR="00C46ECE" w:rsidRDefault="00C46ECE">
            <w:pPr>
              <w:spacing w:before="10" w:after="10" w:line="240" w:lineRule="auto"/>
              <w:jc w:val="center"/>
              <w:rPr>
                <w:b/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Женщины на ответственных постах в Бразилии – 2007 год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Merge w:val="restart"/>
            <w:vAlign w:val="center"/>
          </w:tcPr>
          <w:p w:rsidR="00C46ECE" w:rsidRDefault="00C46ECE">
            <w:pPr>
              <w:spacing w:before="10" w:after="10" w:line="240" w:lineRule="auto"/>
              <w:jc w:val="both"/>
              <w:rPr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Исполнительная власть</w:t>
            </w:r>
          </w:p>
        </w:tc>
        <w:tc>
          <w:tcPr>
            <w:tcW w:w="2278" w:type="dxa"/>
            <w:gridSpan w:val="2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Женщины</w:t>
            </w:r>
          </w:p>
        </w:tc>
        <w:tc>
          <w:tcPr>
            <w:tcW w:w="2427" w:type="dxa"/>
            <w:gridSpan w:val="2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Мужчины</w:t>
            </w:r>
          </w:p>
        </w:tc>
        <w:tc>
          <w:tcPr>
            <w:tcW w:w="937" w:type="dxa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Всего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vMerge/>
          </w:tcPr>
          <w:p w:rsidR="00C46ECE" w:rsidRDefault="00C46ECE">
            <w:pPr>
              <w:spacing w:before="10" w:after="10"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</w:p>
        </w:tc>
        <w:tc>
          <w:tcPr>
            <w:tcW w:w="1230" w:type="dxa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Число</w:t>
            </w:r>
          </w:p>
        </w:tc>
        <w:tc>
          <w:tcPr>
            <w:tcW w:w="1048" w:type="dxa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1204" w:type="dxa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Число</w:t>
            </w:r>
          </w:p>
        </w:tc>
        <w:tc>
          <w:tcPr>
            <w:tcW w:w="1223" w:type="dxa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Число</w:t>
            </w:r>
          </w:p>
        </w:tc>
        <w:tc>
          <w:tcPr>
            <w:tcW w:w="937" w:type="dxa"/>
          </w:tcPr>
          <w:p w:rsidR="00C46ECE" w:rsidRDefault="00C46ECE">
            <w:pPr>
              <w:spacing w:before="10" w:after="10"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%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970" w:type="dxa"/>
          </w:tcPr>
          <w:p w:rsidR="00C46ECE" w:rsidRDefault="00C46ECE">
            <w:pPr>
              <w:spacing w:before="10" w:after="10" w:line="240" w:lineRule="auto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Президент Республики</w:t>
            </w:r>
          </w:p>
        </w:tc>
        <w:tc>
          <w:tcPr>
            <w:tcW w:w="1230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–</w:t>
            </w:r>
          </w:p>
        </w:tc>
        <w:tc>
          <w:tcPr>
            <w:tcW w:w="1048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–</w:t>
            </w:r>
          </w:p>
        </w:tc>
        <w:tc>
          <w:tcPr>
            <w:tcW w:w="1204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</w:t>
            </w:r>
          </w:p>
        </w:tc>
        <w:tc>
          <w:tcPr>
            <w:tcW w:w="1223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100</w:t>
            </w:r>
          </w:p>
        </w:tc>
        <w:tc>
          <w:tcPr>
            <w:tcW w:w="937" w:type="dxa"/>
          </w:tcPr>
          <w:p w:rsidR="00C46ECE" w:rsidRDefault="00C46ECE">
            <w:pPr>
              <w:spacing w:before="10" w:after="10" w:line="240" w:lineRule="auto"/>
              <w:ind w:right="-105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46ECE" w:rsidRDefault="00C46ECE">
            <w:pPr>
              <w:spacing w:before="10" w:after="10" w:line="240" w:lineRule="auto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 xml:space="preserve">Правительства штатов и федерального округа </w:t>
            </w:r>
          </w:p>
        </w:tc>
        <w:tc>
          <w:tcPr>
            <w:tcW w:w="1230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</w:t>
            </w:r>
          </w:p>
        </w:tc>
        <w:tc>
          <w:tcPr>
            <w:tcW w:w="1048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14,81</w:t>
            </w:r>
          </w:p>
        </w:tc>
        <w:tc>
          <w:tcPr>
            <w:tcW w:w="1204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23</w:t>
            </w:r>
          </w:p>
        </w:tc>
        <w:tc>
          <w:tcPr>
            <w:tcW w:w="1223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85,19</w:t>
            </w:r>
          </w:p>
        </w:tc>
        <w:tc>
          <w:tcPr>
            <w:tcW w:w="937" w:type="dxa"/>
          </w:tcPr>
          <w:p w:rsidR="00C46ECE" w:rsidRDefault="00C46ECE">
            <w:pPr>
              <w:spacing w:before="10" w:after="10" w:line="240" w:lineRule="auto"/>
              <w:ind w:right="-105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27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46ECE" w:rsidRDefault="00C46ECE">
            <w:pPr>
              <w:spacing w:before="10" w:after="10" w:line="240" w:lineRule="auto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Муниципальные правительства</w:t>
            </w:r>
          </w:p>
        </w:tc>
        <w:tc>
          <w:tcPr>
            <w:tcW w:w="1230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418</w:t>
            </w:r>
          </w:p>
        </w:tc>
        <w:tc>
          <w:tcPr>
            <w:tcW w:w="1048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7,52</w:t>
            </w:r>
          </w:p>
        </w:tc>
        <w:tc>
          <w:tcPr>
            <w:tcW w:w="1204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5</w:t>
            </w:r>
            <w:r>
              <w:rPr>
                <w:spacing w:val="0"/>
                <w:w w:val="100"/>
                <w:szCs w:val="24"/>
              </w:rPr>
              <w:t> </w:t>
            </w:r>
            <w:r>
              <w:rPr>
                <w:spacing w:val="0"/>
                <w:w w:val="100"/>
                <w:szCs w:val="24"/>
                <w:lang w:val="en-US"/>
              </w:rPr>
              <w:t>141</w:t>
            </w:r>
          </w:p>
        </w:tc>
        <w:tc>
          <w:tcPr>
            <w:tcW w:w="1223" w:type="dxa"/>
          </w:tcPr>
          <w:p w:rsidR="00C46ECE" w:rsidRDefault="00C46ECE">
            <w:pPr>
              <w:spacing w:before="10" w:after="10" w:line="240" w:lineRule="auto"/>
              <w:ind w:right="340"/>
              <w:jc w:val="right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92,48</w:t>
            </w:r>
          </w:p>
        </w:tc>
        <w:tc>
          <w:tcPr>
            <w:tcW w:w="937" w:type="dxa"/>
          </w:tcPr>
          <w:p w:rsidR="00C46ECE" w:rsidRDefault="00C46ECE">
            <w:pPr>
              <w:spacing w:before="10" w:after="10" w:line="240" w:lineRule="auto"/>
              <w:ind w:right="-105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5</w:t>
            </w:r>
            <w:r>
              <w:rPr>
                <w:spacing w:val="0"/>
                <w:w w:val="100"/>
                <w:szCs w:val="24"/>
              </w:rPr>
              <w:t> </w:t>
            </w:r>
            <w:r>
              <w:rPr>
                <w:spacing w:val="0"/>
                <w:w w:val="100"/>
                <w:szCs w:val="24"/>
                <w:lang w:val="en-US"/>
              </w:rPr>
              <w:t>559</w:t>
            </w:r>
          </w:p>
        </w:tc>
      </w:tr>
    </w:tbl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  <w:lang w:val="en-US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13.  Сколько</w:t>
      </w:r>
      <w:r>
        <w:rPr>
          <w:i w:val="0"/>
          <w:iCs/>
          <w:sz w:val="22"/>
        </w:rPr>
        <w:t xml:space="preserve"> женщин-кандидатов приняло участие в семинарах по расширению возможностей женщин-кандидатов, которые были разработаны Специальным секретариатом по политике в отношении женщин</w:t>
      </w:r>
      <w:r>
        <w:rPr>
          <w:i w:val="0"/>
          <w:iCs/>
          <w:sz w:val="22"/>
          <w:lang w:val="ru-RU"/>
        </w:rPr>
        <w:t xml:space="preserve"> (СПЖ) (стр.</w:t>
      </w:r>
      <w:r>
        <w:rPr>
          <w:i w:val="0"/>
          <w:iCs/>
          <w:sz w:val="22"/>
          <w:lang w:val="en-US"/>
        </w:rPr>
        <w:t> </w:t>
      </w:r>
      <w:r>
        <w:rPr>
          <w:i w:val="0"/>
          <w:iCs/>
          <w:sz w:val="22"/>
          <w:lang w:val="ru-RU"/>
        </w:rPr>
        <w:t>50)</w:t>
      </w:r>
      <w:r>
        <w:rPr>
          <w:i w:val="0"/>
          <w:iCs/>
          <w:sz w:val="22"/>
        </w:rPr>
        <w:t>, и каковы р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зультаты этих семинаров в плане расширения участия женщин в политической жизни?</w:t>
      </w:r>
      <w:r>
        <w:rPr>
          <w:i w:val="0"/>
          <w:iCs/>
          <w:sz w:val="22"/>
          <w:lang w:val="ru-RU"/>
        </w:rPr>
        <w:t xml:space="preserve">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Информация о том, сколько женщин-кандидатов приняло участие в семинарах по расширению возможностей женщин-кандидатов, которые были разработаны Специальным секретариатом по политике в отношении женщин, отсутствует. Секретариат только финансирует проведение мероприятий по расширению возможностей, но сам их не организует. Что касается результатов этих семинаров, по нашему мнению, пока что они незначительны.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Специальный секретариат по политике в отношении женщин и Национальный совет по политике в отношении женщин считают, что необходимы углубленные и постоянные дискуссии по данному вопросу, ввиду чего он станет одним из основных предметов обсуждения на второй Национальной конференции по политике в отношении 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14.  </w:t>
      </w:r>
      <w:r>
        <w:rPr>
          <w:i w:val="0"/>
          <w:iCs/>
          <w:sz w:val="22"/>
        </w:rPr>
        <w:t>Согласно докладу</w:t>
      </w:r>
      <w:r>
        <w:rPr>
          <w:i w:val="0"/>
          <w:iCs/>
          <w:sz w:val="22"/>
          <w:lang w:val="ru-RU"/>
        </w:rPr>
        <w:t xml:space="preserve"> (стр. 57)</w:t>
      </w:r>
      <w:r>
        <w:rPr>
          <w:i w:val="0"/>
          <w:iCs/>
          <w:sz w:val="22"/>
        </w:rPr>
        <w:t>, в последние годы несколько сократилось число же</w:t>
      </w:r>
      <w:r>
        <w:rPr>
          <w:i w:val="0"/>
          <w:iCs/>
          <w:sz w:val="22"/>
        </w:rPr>
        <w:t>н</w:t>
      </w:r>
      <w:r>
        <w:rPr>
          <w:i w:val="0"/>
          <w:iCs/>
          <w:sz w:val="22"/>
        </w:rPr>
        <w:t>щин, принимаемых на дипломатическую службу, при этом большинство же</w:t>
      </w:r>
      <w:r>
        <w:rPr>
          <w:i w:val="0"/>
          <w:iCs/>
          <w:sz w:val="22"/>
        </w:rPr>
        <w:t>н</w:t>
      </w:r>
      <w:r>
        <w:rPr>
          <w:i w:val="0"/>
          <w:iCs/>
          <w:sz w:val="22"/>
        </w:rPr>
        <w:t>щин-дипломатов в ходе своей карьеры достигают лишь среднего уровня. Просьба сообщить, были ли приняты какие-либо меры по обеспечению сб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 xml:space="preserve">лансированного участия женщин в дипломатической службе, в том числе на самых высоких уровнях.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настоящее время правительство Бразилии не принимало конкретных мер для увеличения числа женщин на дипломатической службе. Вместе с тем следует напомнить, что информация, приведенная на стр.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57 шестого периодического доклада, представленного Бразилией в апреле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согласно которой за последние годы незначительно сократилось число женщин, принимаемых на дипломатическую службу, не совсем верна. Относительное сокращение числа женщин наблюдалось на одном экзамене на поступление на государственную службу – в 2003 году, а число женщин, принимаемых на дипломатическую службу, остается стабильным с 1980</w:t>
      </w:r>
      <w:r>
        <w:rPr>
          <w:spacing w:val="0"/>
          <w:w w:val="100"/>
          <w:sz w:val="22"/>
          <w:szCs w:val="24"/>
        </w:rPr>
        <w:noBreakHyphen/>
        <w:t>х годов, колеблясь год от года, но в среднем составляя около 20 процентов. На декабрь 2006 года женщины составляли 19,99 процента от общего числа бразильских дипломатов.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Вместе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с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тем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следует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признать</w:t>
      </w:r>
      <w:r w:rsidRPr="00EE2787">
        <w:rPr>
          <w:spacing w:val="0"/>
          <w:w w:val="100"/>
          <w:sz w:val="22"/>
          <w:szCs w:val="24"/>
        </w:rPr>
        <w:t xml:space="preserve">, </w:t>
      </w:r>
      <w:r>
        <w:rPr>
          <w:spacing w:val="0"/>
          <w:w w:val="100"/>
          <w:sz w:val="22"/>
          <w:szCs w:val="24"/>
        </w:rPr>
        <w:t>что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сохранение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этой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доли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в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неизменности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на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протяжении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последних</w:t>
      </w:r>
      <w:r w:rsidRPr="00EE2787">
        <w:rPr>
          <w:spacing w:val="0"/>
          <w:w w:val="100"/>
          <w:sz w:val="22"/>
          <w:szCs w:val="24"/>
        </w:rPr>
        <w:t xml:space="preserve"> 30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лет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представляет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собой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проблему</w:t>
      </w:r>
      <w:r w:rsidRPr="00EE2787">
        <w:rPr>
          <w:spacing w:val="0"/>
          <w:w w:val="100"/>
          <w:sz w:val="22"/>
          <w:szCs w:val="24"/>
        </w:rPr>
        <w:t xml:space="preserve">. </w:t>
      </w:r>
      <w:r>
        <w:rPr>
          <w:spacing w:val="0"/>
          <w:w w:val="100"/>
          <w:sz w:val="22"/>
          <w:szCs w:val="24"/>
        </w:rPr>
        <w:t>За этот период доля женщин в общем числе выпускников высших учебных заведений резко возросла, а в 2000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даже превысила долю мужчин. Это явление должно было бы найти отражение в численности женщин на дипломатической службе, как и в других областях, но пока этого не произошло.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Что касается продвижения женщин-дипломатов по службе, то стоит обратить внимание на значительное увеличение числа женщин в ранге министров первого класса (высший ранг на этом поприще) за последние четыре года. В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году, как говорится в докладе, женщины составляли лишь 6,1 процента от общей численности министров первого класса. К марту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этот показатель возрос до 8,7 процента – пусть само по себе это немного, но значительное увеличение за последние три года налицо. В этом отношении следует напомнить о назначении посла Марии Луизы Виотти главой постоянной делегации Бразилии при Организации Объединенных Наций.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15.  </w:t>
      </w:r>
      <w:r>
        <w:rPr>
          <w:i w:val="0"/>
          <w:iCs/>
          <w:sz w:val="22"/>
        </w:rPr>
        <w:t xml:space="preserve">В докладе </w:t>
      </w:r>
      <w:r>
        <w:rPr>
          <w:i w:val="0"/>
          <w:iCs/>
          <w:sz w:val="22"/>
          <w:lang w:val="ru-RU"/>
        </w:rPr>
        <w:t xml:space="preserve">(стр. 50–51) </w:t>
      </w:r>
      <w:r>
        <w:rPr>
          <w:i w:val="0"/>
          <w:iCs/>
          <w:sz w:val="22"/>
        </w:rPr>
        <w:t>отмечается, что на назначаемых должностях высшего уровня в судах уровень представленности женщин все еще незначителен. Чем объясн</w:t>
      </w:r>
      <w:r>
        <w:rPr>
          <w:i w:val="0"/>
          <w:iCs/>
          <w:sz w:val="22"/>
        </w:rPr>
        <w:t>я</w:t>
      </w:r>
      <w:r>
        <w:rPr>
          <w:i w:val="0"/>
          <w:iCs/>
          <w:sz w:val="22"/>
        </w:rPr>
        <w:t>ется такое положение и каким образом государство-участник намеревается р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шить эту проблему? В частности, какие осуществляются меры для обеспеч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ния того, чтобы женщины назначались на эти должности на равных с мужчинами условиях?</w:t>
      </w:r>
      <w:r>
        <w:rPr>
          <w:i w:val="0"/>
          <w:iCs/>
          <w:sz w:val="22"/>
          <w:lang w:val="ru-RU"/>
        </w:rPr>
        <w:t xml:space="preserve">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Одно из основных препятствий для увеличения числа женщин на должностях высшего уровня в судах заключается в том, что эти должности назначаемые, и традиционно они считаются мужскими. Был принят ряд инициатив, но их недостаточно, чтобы сломить сопротивление в самих судах, о чем свидетельствует попытка ввести квоты для женщин. До настоящего времени допуск женщин на такие должности высшего уровня расширяется очень медленно.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Тем не менее следует отметить, что председателем Федерального верховного суда в настоящее время является министр Эллен Грейси, а недавно президент республики назначил судью Марию Элизабет Гимараеш в Верховный военный суд, где она будет первой женщиной.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303"/>
        <w:gridCol w:w="1080"/>
        <w:gridCol w:w="1260"/>
        <w:gridCol w:w="1260"/>
        <w:gridCol w:w="947"/>
      </w:tblGrid>
      <w:tr w:rsidR="00C46ECE">
        <w:tblPrEx>
          <w:tblCellMar>
            <w:top w:w="0" w:type="dxa"/>
            <w:bottom w:w="0" w:type="dxa"/>
          </w:tblCellMar>
        </w:tblPrEx>
        <w:tc>
          <w:tcPr>
            <w:tcW w:w="9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pStyle w:val="Heading3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Число судей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 xml:space="preserve">Суды 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Женщины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Мужчины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всего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Число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100%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Федеральный верховный суд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18,18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81,82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11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</w:rPr>
              <w:t>Верховный суд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14,28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85,72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32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Верховный суд по трудовым вопросам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10,52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89,48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19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Верховный суд по вопросам выборов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</w:rPr>
              <w:t>Верховный военный суд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6,66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93,44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CE" w:rsidRDefault="00C46E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15</w:t>
            </w:r>
          </w:p>
        </w:tc>
      </w:tr>
    </w:tbl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Важная инициатива, принятая недавно Специальным секретариатом по политике в отношении женщин и Национальным советом по политике в отношении женщин, заключается во включении вопроса о численности женщин на руководящих должностях в число ключевых тем второй Национальной конференции по политике в отношении женщин.</w:t>
      </w:r>
    </w:p>
    <w:p w:rsidR="00C46ECE" w:rsidRPr="00EE2787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</w:p>
    <w:p w:rsidR="00C46ECE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  <w:r>
        <w:rPr>
          <w:b/>
          <w:i/>
          <w:spacing w:val="0"/>
          <w:w w:val="100"/>
          <w:sz w:val="22"/>
          <w:szCs w:val="24"/>
        </w:rPr>
        <w:t>Образование</w:t>
      </w:r>
    </w:p>
    <w:p w:rsidR="00C46ECE" w:rsidRPr="00EE2787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</w:p>
    <w:p w:rsidR="00C46ECE" w:rsidRDefault="00C46ECE">
      <w:pPr>
        <w:autoSpaceDE w:val="0"/>
        <w:autoSpaceDN w:val="0"/>
        <w:adjustRightInd w:val="0"/>
        <w:spacing w:line="240" w:lineRule="auto"/>
        <w:jc w:val="both"/>
        <w:rPr>
          <w:b/>
          <w:iCs/>
          <w:spacing w:val="0"/>
          <w:w w:val="100"/>
          <w:sz w:val="22"/>
          <w:szCs w:val="24"/>
        </w:rPr>
      </w:pPr>
      <w:r>
        <w:rPr>
          <w:b/>
          <w:iCs/>
          <w:spacing w:val="0"/>
          <w:w w:val="100"/>
          <w:sz w:val="22"/>
          <w:szCs w:val="24"/>
        </w:rPr>
        <w:t>16.  Учитывая (стр. 59), что культура доминирования мужчин диктует выбор мужчин</w:t>
      </w:r>
      <w:r>
        <w:rPr>
          <w:b/>
          <w:iCs/>
          <w:spacing w:val="0"/>
          <w:w w:val="100"/>
          <w:sz w:val="22"/>
          <w:szCs w:val="24"/>
        </w:rPr>
        <w:t>а</w:t>
      </w:r>
      <w:r>
        <w:rPr>
          <w:b/>
          <w:iCs/>
          <w:spacing w:val="0"/>
          <w:w w:val="100"/>
          <w:sz w:val="22"/>
          <w:szCs w:val="24"/>
        </w:rPr>
        <w:t>ми и женщинами конкретных областей деятельности, какие меры принимает или планирует принять правительство для исправления этой тенденции и п</w:t>
      </w:r>
      <w:r>
        <w:rPr>
          <w:b/>
          <w:iCs/>
          <w:spacing w:val="0"/>
          <w:w w:val="100"/>
          <w:sz w:val="22"/>
          <w:szCs w:val="24"/>
        </w:rPr>
        <w:t>о</w:t>
      </w:r>
      <w:r>
        <w:rPr>
          <w:b/>
          <w:iCs/>
          <w:spacing w:val="0"/>
          <w:w w:val="100"/>
          <w:sz w:val="22"/>
          <w:szCs w:val="24"/>
        </w:rPr>
        <w:t xml:space="preserve">ощрения диверсификации академических и профессиональных предпочтений?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Что касается ответственности Министерства образования, одной из целей Национального плана по политике в отношении женщин (2004 год) является включение руководящих принципов в отношении пола, расы и этнического происхождения в программы профессионально-технического обучения (направление 2.1.14). В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Министерство образования признало, что это представляет собой один из приоритетов, ввиду недостаточной проработанности данного направления.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Для реализации данной инициативы – исключительно в гендерной перспективе (поскольку этнорасовый компонент учтен в национальных руководящих принципах согласно Закону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10 639/2004) – меры по повышению осведомленности были приняты в 2006 году Национальным комитетом по мониторингу и координации выполнения Национального плана по политике в отношении женщин и Специальным секретариатом по политике в отношении женщин. Эти меры адресованы руководящему звену Секретариата по профессионально-техническому обучению Министерства здравоохранения и рассчитаны на то, чтобы повысить его осведомленность о значении связанных с гендерными аспектами мер.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Одним из проведенных в связи с этим мероприятий была лекция по гендерным аспектам и их отношению к профессиональной подготовке женщин и мужчин, прочитанная для административных работников и преподавателей в сфере профессионально-технического обучения на Национальной конференции по профессионально-техническому обучению, которая прошла в Бразилиа 5–8 ноября 2006 года. Одна из целей мероприятия заключалась в том, чтобы продемонстрировать значение национальных руководящих принципов профессионально-технического обучения, стимулируя диалог между различными заинтересованными сторонами.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Вместе с тем пока что Министерство образования не опубликовало руководящих принципов и не объявило о каких-либо мерах в отношении программ и практической деятельности средних, технических и профессиональных учебных заведений и высших учебных заведений, которые были бы направлены на сокращение сегрегации по гендерному признаку в различных сферах профессиональной и академической деятельности. Важно отметить, что штаты, муниципалитеты, школы и университеты обладают автономией в отношении программ обучения в рамках нормативов и общих руководящих принципов, установленных Министерством образования и Национальным советом по образованию в соответствии с Законом о руководящих принципах и основах в национальном образовании (Закон 9394/1996).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Для решения этой проблемы Министерство образования совместно со Специальным секретариатом по политике в отношении женщин приняли ряд инициатив, в том числе программы "Гендерные перспективы и разнообразие в школе" и "Женщины и наука".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Программа "Гендерные перспективы и разнообразие в школе" направлена на повышение подготовленности служащих системы образования, преподающих с 5-го по 8-й класс базового образования, по вопросам гендерного, сексуального, этнического и расового равенства. Курсы продолжительностью 200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часов проводились на экспериментальной основе в муниципалитетах Порту-Велью (Рондония), Салвадор (Баия), Доурадос (Мату-Гросу-ду-Сул), Маринга (Парана), Нова-Игуасу и Нитерой (Рио-де-Жанейро), и в них приняли участие 1200 учителей государственной системы образования.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Широкая популярность программы и приобретенные работниками сферы образования знания, а также применявшаяся инновационная методика обеспечили программе общенациональное признание, и несколько штатов выразили желание реализовать этот проект у себя. Программа также привлекла внимание Египта, Англии, Шотландии, Ирландии и Чили, где прошли презентации проекта.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настоящее время курс "Гендерные перспективы и разнообразие в школе" включен в программу Открытого университета (новаторский проект Министерства образования, которое создает центры поддержки высшего образования для демократизации образования). Проект также будет реализован в ряде штатов совместно с правительством и университетами каждого региона.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Основная цель программы – обеспечение элементов для изменения практики преподавания, упразднения предрассудков и прекращение их воспроизводства в школе. Прослушав этот курс, специалисты будут в своей повседневной практике располагать инструментами для регулирования установок и поведения, связанных с гендерными, этническими и расовыми отношениями, а также сексуальностью.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Программа "Женщины и наука" была разработана Специальным секретариатом по политике в отношении женщин совместно с Министерством образования, Министерством науки и техники, Национальным советом научно-технического развития и ЮНИФЕМ. Ее цель – подчеркнуть важность научных исследований и содействовать приобретению и распространению новых знаний в сферах гендерных отношений, исследований по проблемам женщин и феминизма.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pStyle w:val="Pargrafo"/>
        <w:spacing w:after="0" w:line="240" w:lineRule="auto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Первое издание программы в 2005</w:t>
      </w:r>
      <w:r>
        <w:rPr>
          <w:rFonts w:ascii="Times New Roman" w:hAnsi="Times New Roman"/>
          <w:sz w:val="22"/>
          <w:szCs w:val="24"/>
          <w:lang w:val="en-US"/>
        </w:rPr>
        <w:t> </w:t>
      </w:r>
      <w:r>
        <w:rPr>
          <w:rFonts w:ascii="Times New Roman" w:hAnsi="Times New Roman"/>
          <w:sz w:val="22"/>
          <w:szCs w:val="24"/>
          <w:lang w:val="ru-RU"/>
        </w:rPr>
        <w:t>году включало Закон</w:t>
      </w:r>
      <w:r>
        <w:rPr>
          <w:rFonts w:ascii="Times New Roman" w:hAnsi="Times New Roman"/>
          <w:sz w:val="22"/>
          <w:szCs w:val="24"/>
          <w:lang w:val="en-US"/>
        </w:rPr>
        <w:t> </w:t>
      </w:r>
      <w:r>
        <w:rPr>
          <w:rFonts w:ascii="Times New Roman" w:hAnsi="Times New Roman"/>
          <w:sz w:val="22"/>
          <w:szCs w:val="24"/>
          <w:lang w:val="ru-RU"/>
        </w:rPr>
        <w:t>45/2006 о Национальном совете научно-технических исследований, согласно которому выделялось 1,2</w:t>
      </w:r>
      <w:r>
        <w:rPr>
          <w:rFonts w:ascii="Times New Roman" w:hAnsi="Times New Roman"/>
          <w:sz w:val="22"/>
          <w:szCs w:val="24"/>
          <w:lang w:val="en-US"/>
        </w:rPr>
        <w:t> </w:t>
      </w:r>
      <w:r>
        <w:rPr>
          <w:rFonts w:ascii="Times New Roman" w:hAnsi="Times New Roman"/>
          <w:sz w:val="22"/>
          <w:szCs w:val="24"/>
          <w:lang w:val="ru-RU"/>
        </w:rPr>
        <w:t xml:space="preserve">млн. реалов в поддержку исследований в </w:t>
      </w:r>
      <w:r>
        <w:rPr>
          <w:rFonts w:ascii="Times New Roman" w:hAnsi="Times New Roman"/>
          <w:sz w:val="22"/>
          <w:szCs w:val="24"/>
        </w:rPr>
        <w:t>сферах гендерных отношений, по проблемам женщин и феминизма</w:t>
      </w:r>
      <w:r>
        <w:rPr>
          <w:rFonts w:ascii="Times New Roman" w:hAnsi="Times New Roman"/>
          <w:sz w:val="22"/>
          <w:szCs w:val="24"/>
          <w:lang w:val="ru-RU"/>
        </w:rPr>
        <w:t>; был учрежден первый приз за лучшее сочинение для учащихся средних школ и за научные статьи студентов и аспирантов по теме "Достижение гендерного равенства"; а также была проведена национальная встреча исследовательских центров и групп по теме "Размышляя о гендерных аспектах науки".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Второй раз приз за "Достижение гендерного равенства" присуждался в 2006 году. В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в рамках программы "Женщины и наука" приз за "Достижение гендерного равенства" будет вручен в третий раз, а Национальный совет научно-технических исследований проведет второй открытый конкурс в поддержку исследований в сферах гендерных отношений, по проблемам женщин и феминизма.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Министерство труда и занятости также осуществляет инициативы и обеспечивает стратегическую поддержку политики, способствующей разнообразию и ликвидации всех форм дискриминации. Эта политика проводится в рамках различных программ Государственной системы труда, занятости и доходов, солидарной экономики, трудовых отношений, надзора за соблюдением норм охраны труда, расширения и совершенствования сети борьбы с дискриминацией на рабочем месте, в соответствии с бразильской Программой работы по гендерным и расовым проблемам.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рамках этой Программы, наряду с борьбой против других видов дискриминации на рабочем месте, в приоритетные направления деятельности включается решение гендерных и расовых проблем, что демонстрируют такие знаменательные события, как национальные конференции, проводившиеся Специальным секретариатом по политике в отношении женщин (СПЖ) в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и Специальным секретариатом по политике содействия расовому равноправию в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году, а также Национальная конференция по правам человека, проведенная Специальным секретариатом по правам человека в 2004 году.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Цель заключается в соблюдении конституционных норм, которые отражают принятые Бразилией обязательства на международной арене, в первую очередь в отношении Конвенции №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100 МОТ, ратифицированной в 1957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году, Конвенции №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111 МОТ, ратифицированной в 1968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году, и Конвенции Организации Объединенных Наций о ликвидации всех форм дискриминации в отношении женщин, ратифицированной в 1984 году.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Программа реализуется во всех 27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штатах Федерации, а также в основных и вспомогательных региональных управлениях по труду, центрами по содействию равенству возможностей и борьбе с дискриминацией, созданными административным распоряжением 604 от 1 июня 2000 года.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Следует также упомянуть Трехстороннюю комиссию по равенству возможностей и гендерным и расовым отношениям, созданную Министерством труда и занятости Указом от 20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августа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со следующими целями: обсуждать и представлять предложения по государственной политике в отношении равных возможностей и режима, а также борьбы со всеми формами дискриминации на основании признаков пола и расы на рабочем месте; содействовать включению гендерных и расовых вопросов в реализацию программ, осуществление и оценку направлений деятельности и надзор за направлениями деятельности, проводимыми Министерством труда и занятости; поощрять и поддерживать парламентские инициативы по данной проблеме; и поддерживать и поощрять инициативы, принимаемые органами и структурами, в том числе гражданского общества, а также поощрять популяризацию соответствующего законодательства.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17.  </w:t>
      </w:r>
      <w:r>
        <w:rPr>
          <w:i w:val="0"/>
          <w:iCs/>
          <w:sz w:val="22"/>
        </w:rPr>
        <w:t>В докладе</w:t>
      </w:r>
      <w:r>
        <w:rPr>
          <w:i w:val="0"/>
          <w:iCs/>
          <w:sz w:val="22"/>
          <w:lang w:val="ru-RU"/>
        </w:rPr>
        <w:t xml:space="preserve"> (стр. 26)</w:t>
      </w:r>
      <w:r>
        <w:rPr>
          <w:i w:val="0"/>
          <w:iCs/>
          <w:sz w:val="22"/>
        </w:rPr>
        <w:t xml:space="preserve"> отмечается, что Межведомственный комитет по вопросам п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 xml:space="preserve">литики конструктивных мер 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>подготовил законопроект 3627/04, предусма</w:t>
      </w:r>
      <w:r>
        <w:rPr>
          <w:i w:val="0"/>
          <w:iCs/>
          <w:sz w:val="22"/>
        </w:rPr>
        <w:t>т</w:t>
      </w:r>
      <w:r>
        <w:rPr>
          <w:i w:val="0"/>
          <w:iCs/>
          <w:sz w:val="22"/>
        </w:rPr>
        <w:t>ривающий введение специальной системы вакансий в государственных вы</w:t>
      </w:r>
      <w:r>
        <w:rPr>
          <w:i w:val="0"/>
          <w:iCs/>
          <w:sz w:val="22"/>
        </w:rPr>
        <w:t>с</w:t>
      </w:r>
      <w:r>
        <w:rPr>
          <w:i w:val="0"/>
          <w:iCs/>
          <w:sz w:val="22"/>
        </w:rPr>
        <w:t>ших учебных заведениях федерального уровня для выпускников государстве</w:t>
      </w:r>
      <w:r>
        <w:rPr>
          <w:i w:val="0"/>
          <w:iCs/>
          <w:sz w:val="22"/>
        </w:rPr>
        <w:t>н</w:t>
      </w:r>
      <w:r>
        <w:rPr>
          <w:i w:val="0"/>
          <w:iCs/>
          <w:sz w:val="22"/>
        </w:rPr>
        <w:t>ных школ, в первую очередь для студентов из числа чернокожего и коренного населения. В настоящее время этот законопроект рассматривается в палате представителей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>. Просьба представить обновленную информацию об этом з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конопроекте и о том, принят ли он уже. Предусмотрены ли в законодател</w:t>
      </w:r>
      <w:r>
        <w:rPr>
          <w:i w:val="0"/>
          <w:iCs/>
          <w:sz w:val="22"/>
        </w:rPr>
        <w:t>ь</w:t>
      </w:r>
      <w:r>
        <w:rPr>
          <w:i w:val="0"/>
          <w:iCs/>
          <w:sz w:val="22"/>
        </w:rPr>
        <w:t>стве конкретные квоты для женщин и каково предполагаемое воздействие этого з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кона?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По законопроекту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3627/04, разработанному на основе предложений, представленных гражданским обществом членам Комиссии по образованию и культуре, и поданному в Национальный конгресс 20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мая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ожидается решение Палаты депутатов, после того как он был единогласно одобрен ее Комиссией по образованию, правам человека и меньшинствам и Комиссией по вопросам юстиции. Обсуждение законопроекта побудило бразильское общество обратить внимание на проблемы расизма и расовой дискриминации. Сильное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сопротивление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затрудняет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прохождение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законопроекта</w:t>
      </w:r>
      <w:r w:rsidRPr="00EE2787">
        <w:rPr>
          <w:spacing w:val="0"/>
          <w:w w:val="100"/>
          <w:sz w:val="22"/>
          <w:szCs w:val="24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Согласно данному законопроекту, который не предусматривает квот для женщин, 50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 мест, заполняемых по результатам государственных экзаменов на поступление в государственные высшие учебные заведения, резервируются для учащихся, получивших среднее образование в государственных школах. Минимальная доля этих мест должна отводиться лицам, которые объявляют себя представителями чернокожего и коренного населения, в соответствии с долей чернокожего населения, потомков выходцев из Африки (мулатов) и коренных народностей в населении штата, где расположено соответствующее учебное заведение. Следует напомнить, что женщины в Бразилии уже составляют большинство поступающих в университеты и оканчивающих их.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соответствии с этим ожидаемое воздействие данного законопроекта будет заключаться в уменьшении неравенства в доступе к высшему образованию по причине неравенства в доходах (в Бразилии учащиеся государственных средних школ происходят из менее обеспеченных слоев населения), а также уменьшении масштабов дискриминации по признакам этнического происхождения и расы. Согласно представленным Министерством экономики данным, на представителей чернокожего населения (чернокожие и мулаты), составляющих 46,9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процента населения страны, приходится только 24,1 процента поступающих в высшие учебные заведения (</w:t>
      </w:r>
      <w:r>
        <w:rPr>
          <w:i/>
          <w:iCs/>
          <w:spacing w:val="0"/>
          <w:w w:val="100"/>
          <w:sz w:val="22"/>
          <w:szCs w:val="24"/>
        </w:rPr>
        <w:t>"</w:t>
      </w:r>
      <w:r>
        <w:rPr>
          <w:i/>
          <w:spacing w:val="0"/>
          <w:w w:val="100"/>
          <w:sz w:val="22"/>
          <w:szCs w:val="24"/>
          <w:lang w:val="en-US"/>
        </w:rPr>
        <w:t>Cor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e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Ra</w:t>
      </w:r>
      <w:r>
        <w:rPr>
          <w:i/>
          <w:spacing w:val="0"/>
          <w:w w:val="100"/>
          <w:sz w:val="22"/>
          <w:szCs w:val="24"/>
        </w:rPr>
        <w:t>ç</w:t>
      </w:r>
      <w:r>
        <w:rPr>
          <w:i/>
          <w:spacing w:val="0"/>
          <w:w w:val="100"/>
          <w:sz w:val="22"/>
          <w:szCs w:val="24"/>
          <w:lang w:val="en-US"/>
        </w:rPr>
        <w:t>a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da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Educa</w:t>
      </w:r>
      <w:r>
        <w:rPr>
          <w:i/>
          <w:spacing w:val="0"/>
          <w:w w:val="100"/>
          <w:sz w:val="22"/>
          <w:szCs w:val="24"/>
        </w:rPr>
        <w:t>çã</w:t>
      </w:r>
      <w:r>
        <w:rPr>
          <w:i/>
          <w:spacing w:val="0"/>
          <w:w w:val="100"/>
          <w:sz w:val="22"/>
          <w:szCs w:val="24"/>
          <w:lang w:val="en-US"/>
        </w:rPr>
        <w:t>o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Superior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Brasileira</w:t>
      </w:r>
      <w:r>
        <w:rPr>
          <w:i/>
          <w:spacing w:val="0"/>
          <w:w w:val="100"/>
          <w:sz w:val="22"/>
          <w:szCs w:val="24"/>
        </w:rPr>
        <w:t>",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Brasil</w:t>
      </w:r>
      <w:r>
        <w:rPr>
          <w:spacing w:val="0"/>
          <w:w w:val="100"/>
          <w:sz w:val="22"/>
          <w:szCs w:val="24"/>
        </w:rPr>
        <w:t xml:space="preserve">, </w:t>
      </w:r>
      <w:r>
        <w:rPr>
          <w:spacing w:val="0"/>
          <w:w w:val="100"/>
          <w:sz w:val="22"/>
          <w:szCs w:val="24"/>
          <w:lang w:val="en-US"/>
        </w:rPr>
        <w:t>INEP</w:t>
      </w:r>
      <w:r>
        <w:rPr>
          <w:spacing w:val="0"/>
          <w:w w:val="100"/>
          <w:sz w:val="22"/>
          <w:szCs w:val="24"/>
        </w:rPr>
        <w:t>, 2005).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18.  </w:t>
      </w:r>
      <w:r>
        <w:rPr>
          <w:i w:val="0"/>
          <w:iCs/>
          <w:sz w:val="22"/>
        </w:rPr>
        <w:t xml:space="preserve">В докладе </w:t>
      </w:r>
      <w:r>
        <w:rPr>
          <w:i w:val="0"/>
          <w:iCs/>
          <w:sz w:val="22"/>
          <w:lang w:val="ru-RU"/>
        </w:rPr>
        <w:t xml:space="preserve">(стр. 64) </w:t>
      </w:r>
      <w:r>
        <w:rPr>
          <w:i w:val="0"/>
          <w:iCs/>
          <w:sz w:val="22"/>
        </w:rPr>
        <w:t>отмечается, что исключение пожилых и бедных женщин из системы обучения по</w:t>
      </w:r>
      <w:r>
        <w:rPr>
          <w:i w:val="0"/>
          <w:iCs/>
          <w:sz w:val="22"/>
        </w:rPr>
        <w:noBreakHyphen/>
        <w:t>прежнему является значительным и требует разработки специальной политики. Например, постепенно увеличивается доля неграмо</w:t>
      </w:r>
      <w:r>
        <w:rPr>
          <w:i w:val="0"/>
          <w:iCs/>
          <w:sz w:val="22"/>
        </w:rPr>
        <w:t>т</w:t>
      </w:r>
      <w:r>
        <w:rPr>
          <w:i w:val="0"/>
          <w:iCs/>
          <w:sz w:val="22"/>
        </w:rPr>
        <w:t xml:space="preserve">ных женщин среди женщин в возрасте старше 40 лет. В докладе также </w:t>
      </w:r>
      <w:r>
        <w:rPr>
          <w:i w:val="0"/>
          <w:iCs/>
          <w:sz w:val="22"/>
          <w:lang w:val="ru-RU"/>
        </w:rPr>
        <w:t xml:space="preserve">(стр. 65) </w:t>
      </w:r>
      <w:r>
        <w:rPr>
          <w:i w:val="0"/>
          <w:iCs/>
          <w:sz w:val="22"/>
        </w:rPr>
        <w:t>отмеч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ется, что темнокожие, а также женщины (и мужчины) из числа коренного нас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ления недостаточно представлены в системе образования Бразилии. Просьба указать, приняты ли правительством конкретные стратегии по повышению уровня грамотности и образования пожилых и бедных женщин, включая че</w:t>
      </w:r>
      <w:r>
        <w:rPr>
          <w:i w:val="0"/>
          <w:iCs/>
          <w:sz w:val="22"/>
        </w:rPr>
        <w:t>р</w:t>
      </w:r>
      <w:r>
        <w:rPr>
          <w:i w:val="0"/>
          <w:iCs/>
          <w:sz w:val="22"/>
        </w:rPr>
        <w:t>нокожих женщин и женщин из числа коренного населения. Просьба также ук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зать результаты, достигнутые в осуществлении этих стратегий.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Министерство образования в рамках программы "Грамотная Бразилия" не принимало каких-либо конкретных мер по повышению уровня грамотности и образования пожилых и бедных женщин, хотя значительную долю охваченных этой программой составляют женщины.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сфере образования чернокожим женщинам и представительницам коренных народностей, вне зависимости от их возрастных групп, косвенно помогают меры политики по совершенствованию образования, адресованные следующим группам/территориям: коренное население/расширение доступа к образованию на территориях коренных народностей; группы народности киломбола и расширение доступа к образованию на остающихся землях киломбу, населенных в основном потомками рабов.</w:t>
      </w:r>
    </w:p>
    <w:p w:rsidR="00C46ECE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  <w:r>
        <w:rPr>
          <w:b/>
          <w:i/>
          <w:spacing w:val="0"/>
          <w:w w:val="100"/>
          <w:sz w:val="22"/>
          <w:szCs w:val="24"/>
        </w:rPr>
        <w:br w:type="page"/>
        <w:t>Занятость</w:t>
      </w:r>
    </w:p>
    <w:p w:rsidR="00C46ECE" w:rsidRPr="00EE2787" w:rsidRDefault="00C46ECE">
      <w:pPr>
        <w:pStyle w:val="BodyText3"/>
        <w:autoSpaceDE w:val="0"/>
        <w:autoSpaceDN w:val="0"/>
        <w:adjustRightInd w:val="0"/>
        <w:rPr>
          <w:sz w:val="22"/>
          <w:lang w:val="ru-RU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19.</w:t>
      </w:r>
      <w:r>
        <w:rPr>
          <w:i w:val="0"/>
          <w:iCs/>
          <w:sz w:val="22"/>
          <w:lang w:val="en-US"/>
        </w:rPr>
        <w:t>  </w:t>
      </w:r>
      <w:r>
        <w:rPr>
          <w:i w:val="0"/>
          <w:iCs/>
          <w:sz w:val="22"/>
          <w:lang w:val="ru-RU"/>
        </w:rPr>
        <w:t xml:space="preserve">Сколько </w:t>
      </w:r>
      <w:r>
        <w:rPr>
          <w:i w:val="0"/>
          <w:iCs/>
          <w:sz w:val="22"/>
        </w:rPr>
        <w:t xml:space="preserve">женщин воспользовалось упоминаемыми в докладе </w:t>
      </w:r>
      <w:r>
        <w:rPr>
          <w:i w:val="0"/>
          <w:iCs/>
          <w:sz w:val="22"/>
          <w:lang w:val="ru-RU"/>
        </w:rPr>
        <w:t xml:space="preserve">(стр. 72) </w:t>
      </w:r>
      <w:r>
        <w:rPr>
          <w:i w:val="0"/>
          <w:iCs/>
          <w:sz w:val="22"/>
        </w:rPr>
        <w:t>Программой поощрения экономической независимости женщин в сфере труда и Программой борьбы с нищетой, и каковы результаты этих программ в плане предотвращения нищеты среди женщин?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Задача Программы поощрения экономической независимости женщин в сфере труда заключается в том, чтобы оказывать поддержку инициативам по расширению прав и возможностей женщин и наращиванию потенциала с целью содействия равенству перспектив в сфере труда, а также поощрять осуществление проектов, предназначающихся для достижения экономической независимости женщин, с тем чтобы установить контрольные показатели для проводимых правительством мероприятий в сферах занятости, труда и получения доходов, таких как создание бизнес-инкубаторов, кооперативов и ассоциаций.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поддержка оказывалась 23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проектам, что позволило подготовить 6600 женщин в масштабах всей страны. В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поддержку получили еще 23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проекта, и прошли подготовку свыше 2000 женщин в восьми штатах. В 2006 году Специальный секретариат по политике в отношении женщин оказывал поддержку 39 проектам, непосредственные преимущества от осуществления которых получили 2170 женщин в 14 штатах. За последние три года непосредственную выгоду от программы по расширению прав и возможностей женщин на рынке труда получили 10 170 женщин.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Что касается Программы семейных пособий, статистические данные из Единого реестра Национального секретариата по доходам и гражданству, Министерства социального развития и борьбы с голодом показывают, что преимуществами программы пользуются 11,1 млн. семей, проживающих во всех муниципалитетах страны. Примечательно, что 95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 пособий выплачиваются женщинам. В Приложении 4 содержится общая информация по Программе.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Начата оценка влияния программы на жизнь женщин. Это делалось в рамках обследования Программы семейных пособий [</w:t>
      </w:r>
      <w:r>
        <w:rPr>
          <w:i/>
          <w:spacing w:val="0"/>
          <w:w w:val="100"/>
          <w:sz w:val="22"/>
          <w:szCs w:val="24"/>
          <w:lang w:val="en-US"/>
        </w:rPr>
        <w:t>Bolsa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Fam</w:t>
      </w:r>
      <w:r>
        <w:rPr>
          <w:i/>
          <w:spacing w:val="0"/>
          <w:w w:val="100"/>
          <w:sz w:val="22"/>
          <w:szCs w:val="24"/>
        </w:rPr>
        <w:t>í</w:t>
      </w:r>
      <w:r>
        <w:rPr>
          <w:i/>
          <w:spacing w:val="0"/>
          <w:w w:val="100"/>
          <w:sz w:val="22"/>
          <w:szCs w:val="24"/>
          <w:lang w:val="en-US"/>
        </w:rPr>
        <w:t>lia</w:t>
      </w:r>
      <w:r>
        <w:rPr>
          <w:spacing w:val="0"/>
          <w:w w:val="100"/>
          <w:sz w:val="22"/>
          <w:szCs w:val="24"/>
        </w:rPr>
        <w:t>] под названием "Борьба с гендерным неравенством", проводившегося организацией "</w:t>
      </w:r>
      <w:r>
        <w:rPr>
          <w:spacing w:val="0"/>
          <w:w w:val="100"/>
          <w:sz w:val="22"/>
          <w:szCs w:val="24"/>
          <w:lang w:val="en-US"/>
        </w:rPr>
        <w:t>A</w:t>
      </w:r>
      <w:r>
        <w:rPr>
          <w:spacing w:val="0"/>
          <w:w w:val="100"/>
          <w:sz w:val="22"/>
          <w:szCs w:val="24"/>
        </w:rPr>
        <w:t>çõ</w:t>
      </w:r>
      <w:r>
        <w:rPr>
          <w:spacing w:val="0"/>
          <w:w w:val="100"/>
          <w:sz w:val="22"/>
          <w:szCs w:val="24"/>
          <w:lang w:val="en-US"/>
        </w:rPr>
        <w:t>es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em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G</w:t>
      </w:r>
      <w:r>
        <w:rPr>
          <w:spacing w:val="0"/>
          <w:w w:val="100"/>
          <w:sz w:val="22"/>
          <w:szCs w:val="24"/>
        </w:rPr>
        <w:t>ê</w:t>
      </w:r>
      <w:r>
        <w:rPr>
          <w:spacing w:val="0"/>
          <w:w w:val="100"/>
          <w:sz w:val="22"/>
          <w:szCs w:val="24"/>
          <w:lang w:val="en-US"/>
        </w:rPr>
        <w:t>nero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e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Cidadania</w:t>
      </w:r>
      <w:r>
        <w:rPr>
          <w:spacing w:val="0"/>
          <w:w w:val="100"/>
          <w:sz w:val="22"/>
          <w:szCs w:val="24"/>
        </w:rPr>
        <w:t>" (НПО), результаты которого были представлены Министерству социального развития и британскому Департаменту по международному развитию (</w:t>
      </w:r>
      <w:r>
        <w:rPr>
          <w:spacing w:val="0"/>
          <w:w w:val="100"/>
          <w:sz w:val="22"/>
          <w:szCs w:val="24"/>
          <w:lang w:val="en-US"/>
        </w:rPr>
        <w:t>DFID</w:t>
      </w:r>
      <w:r>
        <w:rPr>
          <w:spacing w:val="0"/>
          <w:w w:val="100"/>
          <w:sz w:val="22"/>
          <w:szCs w:val="24"/>
        </w:rPr>
        <w:t xml:space="preserve">). В рамках обследования информация собиралась на местах в 10 муниципалитетах с марта по июнь 2006 года. 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Один из выводов, сделанных по результатам обследования, состоит в том, что авторитет и общий статус получателей пособий в семье повышается, поскольку получаемый доход ставит их в более выгодное положение по сравнению с другими членами семьи, рабочие места и заработная плата которых не гарантированы. Следует напомнить, что пункт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14 Закона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863, которым была учреждена Программа семейных пособий [</w:t>
      </w:r>
      <w:r>
        <w:rPr>
          <w:i/>
          <w:spacing w:val="0"/>
          <w:w w:val="100"/>
          <w:sz w:val="22"/>
          <w:szCs w:val="24"/>
          <w:lang w:val="en-US"/>
        </w:rPr>
        <w:t>Bolsa</w:t>
      </w:r>
      <w:r>
        <w:rPr>
          <w:i/>
          <w:spacing w:val="0"/>
          <w:w w:val="100"/>
          <w:sz w:val="22"/>
          <w:szCs w:val="24"/>
        </w:rPr>
        <w:t xml:space="preserve"> </w:t>
      </w:r>
      <w:r>
        <w:rPr>
          <w:i/>
          <w:spacing w:val="0"/>
          <w:w w:val="100"/>
          <w:sz w:val="22"/>
          <w:szCs w:val="24"/>
          <w:lang w:val="en-US"/>
        </w:rPr>
        <w:t>Fam</w:t>
      </w:r>
      <w:r>
        <w:rPr>
          <w:i/>
          <w:spacing w:val="0"/>
          <w:w w:val="100"/>
          <w:sz w:val="22"/>
          <w:szCs w:val="24"/>
        </w:rPr>
        <w:t>í</w:t>
      </w:r>
      <w:r>
        <w:rPr>
          <w:i/>
          <w:spacing w:val="0"/>
          <w:w w:val="100"/>
          <w:sz w:val="22"/>
          <w:szCs w:val="24"/>
          <w:lang w:val="en-US"/>
        </w:rPr>
        <w:t>lia</w:t>
      </w:r>
      <w:r>
        <w:rPr>
          <w:spacing w:val="0"/>
          <w:w w:val="100"/>
          <w:sz w:val="22"/>
          <w:szCs w:val="24"/>
        </w:rPr>
        <w:t>], предусматривает, что пособия, согласно правилам, выплачиваются предпочтительно женщинам.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По результатам обследования были также определены три вида воздействия Программы на жизнь женщин – получателей пособий. Первое состоит в повышении их статуса как потребителей. Тот факт, что они являются держателями карт и получают фиксированный ежемесячный доход, отмечается как крупное достижение и государственными служащими, и самими получателями пособий, поскольку в силу этого повышается их покупательная способность.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Второй вид воздействия, отмечавшийся на местах, заключается в укреплении авторитета этих женщин в кругу семьи. Существуют убедительные доказательства того, что покупательная способность, являющаяся результатом получения семейного пособия, изменяет иерархическую структуру семьи, о чем свидетельствует получаемая женщинами способность принимать решения, в частности утверждать свой авторитет в семье.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Третий вид воздействия заключается в том, что женщины начинают понимать, что являются составной частью бразильского общества. Поскольку им приходится получать различные документы, такие как свидетельства о рождении и удостоверения личности, для того чтобы зарегистрироваться и подать заявления на семейные пособия, многие из женщин, в особенности в сельских районах, узнают, что каким-то образом принадлежат к широкомасштабной социальной структуре, которая охватывает не только их населенный пункт или район.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20.  </w:t>
      </w:r>
      <w:r>
        <w:rPr>
          <w:i w:val="0"/>
          <w:iCs/>
          <w:sz w:val="22"/>
        </w:rPr>
        <w:t>Согласно докладу</w:t>
      </w:r>
      <w:r>
        <w:rPr>
          <w:i w:val="0"/>
          <w:iCs/>
          <w:sz w:val="22"/>
          <w:lang w:val="ru-RU"/>
        </w:rPr>
        <w:t xml:space="preserve"> (стр. 76)</w:t>
      </w:r>
      <w:r>
        <w:rPr>
          <w:i w:val="0"/>
          <w:iCs/>
          <w:sz w:val="22"/>
        </w:rPr>
        <w:t xml:space="preserve">, законодательство, касающееся работы на дому, 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>пл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нируется пересмотреть в целях расширения всех прав домашней прислуги в сфере труда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>. Просьба представить дополнительную информацию о мерах по его пересмотру</w:t>
      </w:r>
      <w:r>
        <w:rPr>
          <w:i w:val="0"/>
          <w:iCs/>
          <w:sz w:val="22"/>
          <w:lang w:val="ru-RU"/>
        </w:rPr>
        <w:t>, о том, вступило ли оно</w:t>
      </w:r>
      <w:r>
        <w:rPr>
          <w:i w:val="0"/>
          <w:iCs/>
          <w:sz w:val="22"/>
        </w:rPr>
        <w:t xml:space="preserve"> </w:t>
      </w:r>
      <w:r>
        <w:rPr>
          <w:i w:val="0"/>
          <w:iCs/>
          <w:sz w:val="22"/>
          <w:lang w:val="ru-RU"/>
        </w:rPr>
        <w:br/>
      </w:r>
      <w:r>
        <w:rPr>
          <w:i w:val="0"/>
          <w:iCs/>
          <w:sz w:val="22"/>
        </w:rPr>
        <w:t xml:space="preserve">в силу и </w:t>
      </w:r>
      <w:r>
        <w:rPr>
          <w:i w:val="0"/>
          <w:iCs/>
          <w:sz w:val="22"/>
          <w:lang w:val="ru-RU"/>
        </w:rPr>
        <w:t xml:space="preserve">о его </w:t>
      </w:r>
      <w:r>
        <w:rPr>
          <w:i w:val="0"/>
          <w:iCs/>
          <w:sz w:val="22"/>
        </w:rPr>
        <w:t>воздействи</w:t>
      </w:r>
      <w:r>
        <w:rPr>
          <w:i w:val="0"/>
          <w:iCs/>
          <w:sz w:val="22"/>
          <w:lang w:val="ru-RU"/>
        </w:rPr>
        <w:t>и</w:t>
      </w:r>
      <w:r>
        <w:rPr>
          <w:i w:val="0"/>
          <w:iCs/>
          <w:sz w:val="22"/>
        </w:rPr>
        <w:t xml:space="preserve"> на поо</w:t>
      </w:r>
      <w:r>
        <w:rPr>
          <w:i w:val="0"/>
          <w:iCs/>
          <w:sz w:val="22"/>
        </w:rPr>
        <w:t>щ</w:t>
      </w:r>
      <w:r>
        <w:rPr>
          <w:i w:val="0"/>
          <w:iCs/>
          <w:sz w:val="22"/>
        </w:rPr>
        <w:t>рение и защиту прав женщин в области труда.</w:t>
      </w:r>
      <w:r>
        <w:rPr>
          <w:i w:val="0"/>
          <w:iCs/>
          <w:sz w:val="22"/>
          <w:lang w:val="ru-RU"/>
        </w:rPr>
        <w:t xml:space="preserve"> </w:t>
      </w:r>
    </w:p>
    <w:p w:rsidR="00C46ECE" w:rsidRPr="00EE2787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  <w:r>
        <w:rPr>
          <w:b w:val="0"/>
          <w:i w:val="0"/>
          <w:sz w:val="22"/>
          <w:lang w:val="ru-RU"/>
        </w:rPr>
        <w:t>Для стимулирования придания официального характера труду по дому федеральное правительство в марте 2006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года обнародовало временную меру 284, которая в августе 2006 года вступила в силу в качестве Закона 11 324. Согласно этому закону, налогоплательщик, нанимающий домашнюю прислугу, имеет право на налоговый вычет в размере 12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процентов, ежемесячно вносимый в Фонд социального страхования в качестве взноса работодателя. В настоящее время в стране насчитывается 6,5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млн. домашних работников, причем 4,8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млн. задействованы на неофициальном рынке труда.</w:t>
      </w: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  <w:r>
        <w:rPr>
          <w:b w:val="0"/>
          <w:i w:val="0"/>
          <w:sz w:val="22"/>
          <w:lang w:val="ru-RU"/>
        </w:rPr>
        <w:t xml:space="preserve">Согласно новому законодательству (совместно разработанному Специальным секретариатом по политике в отношении женщин, Министерством социальной безопасности, Министерством труда и занятости и </w:t>
      </w:r>
      <w:r>
        <w:rPr>
          <w:b w:val="0"/>
          <w:i w:val="0"/>
          <w:sz w:val="22"/>
        </w:rPr>
        <w:t>Специальны</w:t>
      </w:r>
      <w:r>
        <w:rPr>
          <w:b w:val="0"/>
          <w:i w:val="0"/>
          <w:sz w:val="22"/>
          <w:lang w:val="ru-RU"/>
        </w:rPr>
        <w:t>м</w:t>
      </w:r>
      <w:r>
        <w:rPr>
          <w:b w:val="0"/>
          <w:i w:val="0"/>
          <w:sz w:val="22"/>
        </w:rPr>
        <w:t xml:space="preserve"> </w:t>
      </w:r>
      <w:r>
        <w:rPr>
          <w:b w:val="0"/>
          <w:i w:val="0"/>
          <w:sz w:val="22"/>
          <w:lang w:val="ru-RU"/>
        </w:rPr>
        <w:t>секретариатом</w:t>
      </w:r>
      <w:r>
        <w:rPr>
          <w:b w:val="0"/>
          <w:i w:val="0"/>
          <w:sz w:val="22"/>
        </w:rPr>
        <w:t xml:space="preserve"> по политике содействия достижению расового равенства</w:t>
      </w:r>
      <w:r>
        <w:rPr>
          <w:b w:val="0"/>
          <w:i w:val="0"/>
          <w:sz w:val="22"/>
          <w:lang w:val="ru-RU"/>
        </w:rPr>
        <w:t>), работодатель имеет право на налоговый вычет в размере минимального размера оплаты труда одного домашнего работника начиная с дохода за 2006 год.</w:t>
      </w: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  <w:r>
        <w:rPr>
          <w:b w:val="0"/>
          <w:i w:val="0"/>
          <w:sz w:val="22"/>
          <w:lang w:val="ru-RU"/>
        </w:rPr>
        <w:t>Для просвещения населения Специальный секретариат по политике в отношении женщин в марте 2006 года развернул национальную кампанию радиопропаганды относительно стимулирования Федеральным правительством интеграции домашних работников в официальный рынок труда и повышения оплаты их труда. С 27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марта по 10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апреля 2006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 xml:space="preserve">года 79 наиболее популярных радиостанций в диапазонах </w:t>
      </w:r>
      <w:r>
        <w:rPr>
          <w:b w:val="0"/>
          <w:i w:val="0"/>
          <w:sz w:val="22"/>
          <w:lang w:val="en-US"/>
        </w:rPr>
        <w:t>AM</w:t>
      </w:r>
      <w:r>
        <w:rPr>
          <w:b w:val="0"/>
          <w:i w:val="0"/>
          <w:sz w:val="22"/>
          <w:lang w:val="ru-RU"/>
        </w:rPr>
        <w:t>/</w:t>
      </w:r>
      <w:r>
        <w:rPr>
          <w:b w:val="0"/>
          <w:i w:val="0"/>
          <w:sz w:val="22"/>
          <w:lang w:val="en-US"/>
        </w:rPr>
        <w:t>FM</w:t>
      </w:r>
      <w:r>
        <w:rPr>
          <w:b w:val="0"/>
          <w:i w:val="0"/>
          <w:sz w:val="22"/>
          <w:lang w:val="ru-RU"/>
        </w:rPr>
        <w:t xml:space="preserve"> проигрывали два 30</w:t>
      </w:r>
      <w:r>
        <w:rPr>
          <w:b w:val="0"/>
          <w:i w:val="0"/>
          <w:sz w:val="22"/>
          <w:lang w:val="ru-RU"/>
        </w:rPr>
        <w:noBreakHyphen/>
        <w:t>секундных радиоролика, целевой аудиторией которых являлись домашняя прислуга и ее работодатели и в которых демонстрировались преимущества принимаемой меры и важность наличия у работника оформленной трудовой книжки.</w:t>
      </w: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  <w:r>
        <w:rPr>
          <w:b w:val="0"/>
          <w:i w:val="0"/>
          <w:sz w:val="22"/>
          <w:lang w:val="ru-RU"/>
        </w:rPr>
        <w:t>В Законе 11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324 также обеспечиваются новые преимущества для домашних работников, которых удалось добиться в результате ожесточенных дискуссий между исполнительной властью и Национальным конгрессом и ассоциациями и профсоюзами домашних работников. Согласно новому закону домашняя прислуга получает право на 30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дней ежегодного отпуска, оплачиваемый отдых в воскресные и праздничные дни и сохранение рабочих мест со дня подтверждения беременности до пяти месяцев после родов. Работодатель более не имеет права удерживать из заработной платы прислуги расходы на питание, проживание и предметы гигиены.</w:t>
      </w: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22"/>
          <w:lang w:val="ru-RU"/>
        </w:rPr>
      </w:pPr>
      <w:r>
        <w:rPr>
          <w:b w:val="0"/>
          <w:i w:val="0"/>
          <w:sz w:val="22"/>
          <w:lang w:val="ru-RU"/>
        </w:rPr>
        <w:t>В качестве дополнения к новому закону исполнительная власть направила в Национальный конгресс законопроект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7363/2006, где вносятся изменения в статью 3-</w:t>
      </w:r>
      <w:r>
        <w:rPr>
          <w:b w:val="0"/>
          <w:i w:val="0"/>
          <w:sz w:val="22"/>
          <w:lang w:val="en-US"/>
        </w:rPr>
        <w:t>A</w:t>
      </w:r>
      <w:r>
        <w:rPr>
          <w:b w:val="0"/>
          <w:i w:val="0"/>
          <w:sz w:val="22"/>
          <w:lang w:val="ru-RU"/>
        </w:rPr>
        <w:t xml:space="preserve"> Закона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>5859 (декабрь 1972</w:t>
      </w:r>
      <w:r>
        <w:rPr>
          <w:b w:val="0"/>
          <w:i w:val="0"/>
          <w:sz w:val="22"/>
          <w:lang w:val="en-US"/>
        </w:rPr>
        <w:t> </w:t>
      </w:r>
      <w:r>
        <w:rPr>
          <w:b w:val="0"/>
          <w:i w:val="0"/>
          <w:sz w:val="22"/>
          <w:lang w:val="ru-RU"/>
        </w:rPr>
        <w:t xml:space="preserve">года), которым регламентируется профессия домашней прислуги и определяется включение домашней прислуги в гарантийный фонд выслуги лет. Законопроект рассматривается нижней палатой парламента и уже был утвержден </w:t>
      </w:r>
      <w:r>
        <w:rPr>
          <w:b w:val="0"/>
          <w:i w:val="0"/>
          <w:sz w:val="22"/>
        </w:rPr>
        <w:t xml:space="preserve">Комиссией по конституции, </w:t>
      </w:r>
      <w:r>
        <w:rPr>
          <w:b w:val="0"/>
          <w:i w:val="0"/>
          <w:sz w:val="22"/>
          <w:lang w:val="ru-RU"/>
        </w:rPr>
        <w:t>юстиции</w:t>
      </w:r>
      <w:r>
        <w:rPr>
          <w:b w:val="0"/>
          <w:i w:val="0"/>
          <w:sz w:val="22"/>
        </w:rPr>
        <w:t xml:space="preserve"> и гражданству</w:t>
      </w:r>
      <w:r>
        <w:rPr>
          <w:b w:val="0"/>
          <w:i w:val="0"/>
          <w:sz w:val="22"/>
          <w:lang w:val="ru-RU"/>
        </w:rPr>
        <w:t>.</w:t>
      </w:r>
    </w:p>
    <w:p w:rsidR="00C46ECE" w:rsidRDefault="00C46ECE">
      <w:pPr>
        <w:pStyle w:val="BodyText3"/>
        <w:autoSpaceDE w:val="0"/>
        <w:autoSpaceDN w:val="0"/>
        <w:adjustRightInd w:val="0"/>
        <w:rPr>
          <w:b w:val="0"/>
          <w:i w:val="0"/>
          <w:sz w:val="18"/>
          <w:lang w:val="ru-RU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Наконец, в марте 2007 года Комиссия по труду, административному управлению и государственной службе утвердила представленную Сенатом альтернативу законопроекту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1652/03, представленную конгрессменом Луишем Альберту (</w:t>
      </w:r>
      <w:r>
        <w:rPr>
          <w:spacing w:val="0"/>
          <w:w w:val="100"/>
          <w:sz w:val="22"/>
          <w:szCs w:val="24"/>
          <w:lang w:val="en-US"/>
        </w:rPr>
        <w:t>PT</w:t>
      </w:r>
      <w:r>
        <w:rPr>
          <w:spacing w:val="0"/>
          <w:w w:val="100"/>
          <w:sz w:val="22"/>
          <w:szCs w:val="24"/>
        </w:rPr>
        <w:t>-</w:t>
      </w:r>
      <w:r>
        <w:rPr>
          <w:spacing w:val="0"/>
          <w:w w:val="100"/>
          <w:sz w:val="22"/>
          <w:szCs w:val="24"/>
          <w:lang w:val="en-US"/>
        </w:rPr>
        <w:t>BA</w:t>
      </w:r>
      <w:r>
        <w:rPr>
          <w:spacing w:val="0"/>
          <w:w w:val="100"/>
          <w:sz w:val="22"/>
          <w:szCs w:val="24"/>
        </w:rPr>
        <w:t>), которой отменяется требование о представлении справки о хорошем поведении домашней прислуги. Этим законопроектом вносятся изменения в закон, регламентирующий профессию домашней прислуги (Закон 5859/72).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альтернативном законопроекте содержится требование, согласно которому домашняя прислуга должна представлять регистрационный номер системы социального страхования. Еще одно нововведение заключается в том, что работодатель должен в течение десяти дней сделать запись в трудовой книжке прислуги. При невыполнении этого требования он подвергается санкциям, предусмотренным в Кодексе законов о труде. Законопроект должен быть рассмотрен Комиссией по конституции, юстиции и гражданству и представлен на утверждение путем голосования.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21.</w:t>
      </w:r>
      <w:r>
        <w:rPr>
          <w:i w:val="0"/>
          <w:iCs/>
          <w:sz w:val="22"/>
          <w:lang w:val="en-US"/>
        </w:rPr>
        <w:t>  </w:t>
      </w:r>
      <w:r>
        <w:rPr>
          <w:i w:val="0"/>
          <w:iCs/>
          <w:sz w:val="22"/>
        </w:rPr>
        <w:t>Просьба представить статистические данные об участии женщин в орг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низованном и неорганизованном рынке труда, с разбивкой по секторам и по г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родским и сельским районам, по сравнению с мужчинами, и с указанием нам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тившихся за последнее время тенденций. Просьба также представить инфо</w:t>
      </w:r>
      <w:r>
        <w:rPr>
          <w:i w:val="0"/>
          <w:iCs/>
          <w:sz w:val="22"/>
        </w:rPr>
        <w:t>р</w:t>
      </w:r>
      <w:r>
        <w:rPr>
          <w:i w:val="0"/>
          <w:iCs/>
          <w:sz w:val="22"/>
        </w:rPr>
        <w:t>мацию о заработной плате женщин по сравнению с заработной платой мужчин в ра</w:t>
      </w:r>
      <w:r>
        <w:rPr>
          <w:i w:val="0"/>
          <w:iCs/>
          <w:sz w:val="22"/>
        </w:rPr>
        <w:t>з</w:t>
      </w:r>
      <w:r>
        <w:rPr>
          <w:i w:val="0"/>
          <w:iCs/>
          <w:sz w:val="22"/>
        </w:rPr>
        <w:t xml:space="preserve">личных секторах.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Приложении 5 представлена информация из банка данных Фонда Карлуша Чагаса о работе женщин (</w:t>
      </w:r>
      <w:hyperlink r:id="rId14" w:history="1"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http</w:t>
        </w:r>
        <w:r>
          <w:rPr>
            <w:rStyle w:val="Hyperlink"/>
            <w:color w:val="auto"/>
            <w:spacing w:val="0"/>
            <w:w w:val="100"/>
            <w:sz w:val="22"/>
            <w:szCs w:val="24"/>
          </w:rPr>
          <w:t>://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www</w:t>
        </w:r>
        <w:r>
          <w:rPr>
            <w:rStyle w:val="Hyperlink"/>
            <w:color w:val="auto"/>
            <w:spacing w:val="0"/>
            <w:w w:val="100"/>
            <w:sz w:val="22"/>
            <w:szCs w:val="24"/>
          </w:rPr>
          <w:t>.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fcc</w:t>
        </w:r>
        <w:r>
          <w:rPr>
            <w:rStyle w:val="Hyperlink"/>
            <w:color w:val="auto"/>
            <w:spacing w:val="0"/>
            <w:w w:val="100"/>
            <w:sz w:val="22"/>
            <w:szCs w:val="24"/>
          </w:rPr>
          <w:t>.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o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r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g</w:t>
        </w:r>
        <w:r>
          <w:rPr>
            <w:rStyle w:val="Hyperlink"/>
            <w:color w:val="auto"/>
            <w:spacing w:val="0"/>
            <w:w w:val="100"/>
            <w:sz w:val="22"/>
            <w:szCs w:val="24"/>
          </w:rPr>
          <w:t>.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br</w:t>
        </w:r>
        <w:r>
          <w:rPr>
            <w:rStyle w:val="Hyperlink"/>
            <w:color w:val="auto"/>
            <w:spacing w:val="0"/>
            <w:w w:val="100"/>
            <w:sz w:val="22"/>
            <w:szCs w:val="24"/>
          </w:rPr>
          <w:t>/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mulher</w:t>
        </w:r>
        <w:r>
          <w:rPr>
            <w:rStyle w:val="Hyperlink"/>
            <w:color w:val="auto"/>
            <w:spacing w:val="0"/>
            <w:w w:val="100"/>
            <w:sz w:val="22"/>
            <w:szCs w:val="24"/>
          </w:rPr>
          <w:t>/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index</w:t>
        </w:r>
        <w:r>
          <w:rPr>
            <w:rStyle w:val="Hyperlink"/>
            <w:color w:val="auto"/>
            <w:spacing w:val="0"/>
            <w:w w:val="100"/>
            <w:sz w:val="22"/>
            <w:szCs w:val="24"/>
          </w:rPr>
          <w:t>.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html</w:t>
        </w:r>
      </w:hyperlink>
      <w:r>
        <w:rPr>
          <w:spacing w:val="0"/>
          <w:w w:val="100"/>
          <w:sz w:val="22"/>
          <w:szCs w:val="24"/>
        </w:rPr>
        <w:t>). В этом банке данных о работе женщин в Бразилии содержатся исторические временные ряды начиная с 1979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полученные по данным обследований, которые проводились государственными учреждениями, такими как Бразильский институт географии и статистики (БИГС), данным демографических обследований и национальных выборочных обследований домашних хозяйств (НВОДХ); обследований Министерства труда, таких как ежегодный перечень социальных данных/</w:t>
      </w:r>
      <w:r>
        <w:rPr>
          <w:spacing w:val="0"/>
          <w:w w:val="100"/>
          <w:sz w:val="22"/>
          <w:szCs w:val="24"/>
          <w:lang w:val="en-US"/>
        </w:rPr>
        <w:t>RAIS</w:t>
      </w:r>
      <w:r>
        <w:rPr>
          <w:spacing w:val="0"/>
          <w:w w:val="100"/>
          <w:sz w:val="22"/>
          <w:szCs w:val="24"/>
        </w:rPr>
        <w:t>; обследований Министерства образования и культуры, проводившихся при помощи Национального института научных и практических исследований в области образов</w:t>
      </w:r>
      <w:r>
        <w:rPr>
          <w:spacing w:val="0"/>
          <w:w w:val="100"/>
          <w:sz w:val="22"/>
          <w:szCs w:val="24"/>
        </w:rPr>
        <w:t>а</w:t>
      </w:r>
      <w:r>
        <w:rPr>
          <w:spacing w:val="0"/>
          <w:w w:val="100"/>
          <w:sz w:val="22"/>
          <w:szCs w:val="24"/>
        </w:rPr>
        <w:t>ния им. Анисиу Тейшейры (ИНЕП), данных переписей в области высшего образования и школьных переписей.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iCs/>
          <w:spacing w:val="0"/>
          <w:w w:val="100"/>
          <w:sz w:val="22"/>
          <w:szCs w:val="24"/>
        </w:rPr>
      </w:pPr>
      <w:r>
        <w:rPr>
          <w:b/>
          <w:i/>
          <w:iCs/>
          <w:spacing w:val="0"/>
          <w:w w:val="100"/>
          <w:sz w:val="22"/>
          <w:szCs w:val="24"/>
        </w:rPr>
        <w:t>Здравоохранение</w:t>
      </w:r>
    </w:p>
    <w:p w:rsidR="00C46ECE" w:rsidRPr="00EE2787" w:rsidRDefault="00C46ECE">
      <w:pPr>
        <w:pStyle w:val="BodyText3"/>
        <w:autoSpaceDE w:val="0"/>
        <w:autoSpaceDN w:val="0"/>
        <w:adjustRightInd w:val="0"/>
        <w:rPr>
          <w:sz w:val="18"/>
          <w:lang w:val="ru-RU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22.  </w:t>
      </w:r>
      <w:r>
        <w:rPr>
          <w:i w:val="0"/>
          <w:iCs/>
          <w:sz w:val="22"/>
        </w:rPr>
        <w:t>Специальный докладчик по вопросу о насилии в отношении женщин, его причинах и последствиях в своем докладе (</w:t>
      </w:r>
      <w:r>
        <w:rPr>
          <w:i w:val="0"/>
          <w:iCs/>
          <w:sz w:val="22"/>
          <w:lang w:val="en-US"/>
        </w:rPr>
        <w:t>E</w:t>
      </w:r>
      <w:r>
        <w:rPr>
          <w:i w:val="0"/>
          <w:iCs/>
          <w:sz w:val="22"/>
        </w:rPr>
        <w:t>/</w:t>
      </w:r>
      <w:r>
        <w:rPr>
          <w:i w:val="0"/>
          <w:iCs/>
          <w:sz w:val="22"/>
          <w:lang w:val="en-US"/>
        </w:rPr>
        <w:t>CN</w:t>
      </w:r>
      <w:r>
        <w:rPr>
          <w:i w:val="0"/>
          <w:iCs/>
          <w:sz w:val="22"/>
        </w:rPr>
        <w:t>.4/2005/72) указал, что, н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смотря на предпринимаемые правительством Бразилии рассчитанные на пе</w:t>
      </w:r>
      <w:r>
        <w:rPr>
          <w:i w:val="0"/>
          <w:iCs/>
          <w:sz w:val="22"/>
        </w:rPr>
        <w:t>р</w:t>
      </w:r>
      <w:r>
        <w:rPr>
          <w:i w:val="0"/>
          <w:iCs/>
          <w:sz w:val="22"/>
        </w:rPr>
        <w:t xml:space="preserve">спективу усилия в области здравоохранения, 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>порядка 90 процентов женщин, проживающих в сельских районах Бразилии, не обращаются за дородовой п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мощью и/или не пользуются преимуществами бесплатного медицинского о</w:t>
      </w:r>
      <w:r>
        <w:rPr>
          <w:i w:val="0"/>
          <w:iCs/>
          <w:sz w:val="22"/>
        </w:rPr>
        <w:t>б</w:t>
      </w:r>
      <w:r>
        <w:rPr>
          <w:i w:val="0"/>
          <w:iCs/>
          <w:sz w:val="22"/>
        </w:rPr>
        <w:t>служивания, поскольку не имеют возможности попасть в клиники, распол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женные в городах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 xml:space="preserve">. Какие меры принимаются для исправления положения в этой области? Намеревается ли правительство создать мобильные клиники в целях охвата сельских районов, </w:t>
      </w:r>
      <w:r>
        <w:rPr>
          <w:i w:val="0"/>
          <w:iCs/>
          <w:sz w:val="22"/>
          <w:lang w:val="ru-RU"/>
        </w:rPr>
        <w:t>где</w:t>
      </w:r>
      <w:r>
        <w:rPr>
          <w:i w:val="0"/>
          <w:iCs/>
          <w:sz w:val="22"/>
        </w:rPr>
        <w:t xml:space="preserve"> нет объектов здравоохран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ния</w:t>
      </w:r>
      <w:r>
        <w:rPr>
          <w:i w:val="0"/>
          <w:iCs/>
          <w:sz w:val="22"/>
          <w:lang w:val="ru-RU"/>
        </w:rPr>
        <w:t>?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С 1950 года в Бразилии ускоренными темпами проходит процесс урбанизации, что подтверждается данными демографической переписи 2000 года. Увеличение численности городского населения на 26,8 млн. человек повысило степень урбанизации с </w:t>
      </w:r>
      <w:r w:rsidRPr="00EE2787">
        <w:rPr>
          <w:spacing w:val="0"/>
          <w:w w:val="100"/>
          <w:sz w:val="22"/>
          <w:szCs w:val="24"/>
        </w:rPr>
        <w:t>75</w:t>
      </w:r>
      <w:r>
        <w:rPr>
          <w:spacing w:val="0"/>
          <w:w w:val="100"/>
          <w:sz w:val="22"/>
          <w:szCs w:val="24"/>
        </w:rPr>
        <w:t>,</w:t>
      </w:r>
      <w:r w:rsidRPr="00EE2787">
        <w:rPr>
          <w:spacing w:val="0"/>
          <w:w w:val="100"/>
          <w:sz w:val="22"/>
          <w:szCs w:val="24"/>
        </w:rPr>
        <w:t>59</w:t>
      </w:r>
      <w:r>
        <w:rPr>
          <w:spacing w:val="0"/>
          <w:w w:val="100"/>
          <w:sz w:val="22"/>
          <w:szCs w:val="24"/>
        </w:rPr>
        <w:t xml:space="preserve"> процента в </w:t>
      </w:r>
      <w:r w:rsidRPr="00EE2787">
        <w:rPr>
          <w:spacing w:val="0"/>
          <w:w w:val="100"/>
          <w:sz w:val="22"/>
          <w:szCs w:val="24"/>
        </w:rPr>
        <w:t>1991</w:t>
      </w:r>
      <w:r>
        <w:rPr>
          <w:spacing w:val="0"/>
          <w:w w:val="100"/>
          <w:sz w:val="22"/>
          <w:szCs w:val="24"/>
        </w:rPr>
        <w:t> году до</w:t>
      </w:r>
      <w:r w:rsidRPr="00EE2787">
        <w:rPr>
          <w:spacing w:val="0"/>
          <w:w w:val="100"/>
          <w:sz w:val="22"/>
          <w:szCs w:val="24"/>
        </w:rPr>
        <w:t xml:space="preserve"> 81</w:t>
      </w:r>
      <w:r>
        <w:rPr>
          <w:spacing w:val="0"/>
          <w:w w:val="100"/>
          <w:sz w:val="22"/>
          <w:szCs w:val="24"/>
        </w:rPr>
        <w:t>,</w:t>
      </w:r>
      <w:r w:rsidRPr="00EE2787">
        <w:rPr>
          <w:spacing w:val="0"/>
          <w:w w:val="100"/>
          <w:sz w:val="22"/>
          <w:szCs w:val="24"/>
        </w:rPr>
        <w:t>23</w:t>
      </w:r>
      <w:r>
        <w:rPr>
          <w:spacing w:val="0"/>
          <w:w w:val="100"/>
          <w:sz w:val="22"/>
          <w:szCs w:val="24"/>
        </w:rPr>
        <w:t> процента в 2000 году</w:t>
      </w:r>
      <w:r w:rsidRPr="00EE2787">
        <w:rPr>
          <w:spacing w:val="0"/>
          <w:w w:val="100"/>
          <w:sz w:val="22"/>
          <w:szCs w:val="24"/>
        </w:rPr>
        <w:t xml:space="preserve">. </w:t>
      </w:r>
      <w:r>
        <w:rPr>
          <w:spacing w:val="0"/>
          <w:w w:val="100"/>
          <w:sz w:val="22"/>
          <w:szCs w:val="24"/>
        </w:rPr>
        <w:t>Это увеличение объясняется в основном тремя факторами: естественным приростом населения в городах, миграцией в городские районы и изменением статуса территорий, которые раньше считались сельскими. В общемировом контексте степень урбанизации в Бразилии близка к европейской, североамериканской и японской, превышая 75 процентов. Такие регионы, как Азия и Африка, остаются менее урбанизированными (менее 40 процентов).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Бразилии 96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 родов проходят в больницах, а 83,64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процента будущих матерей не менее четырех раз проходят предродовое обследование, как показано в приведенных ниже таблицах, что противоречит утверждению о том, что "порядка 90 процентов женщин, проживающих в сельских районах Бразилии, не обращаются за дородовой п</w:t>
      </w:r>
      <w:r>
        <w:rPr>
          <w:spacing w:val="0"/>
          <w:w w:val="100"/>
          <w:sz w:val="22"/>
          <w:szCs w:val="24"/>
        </w:rPr>
        <w:t>о</w:t>
      </w:r>
      <w:r>
        <w:rPr>
          <w:spacing w:val="0"/>
          <w:w w:val="100"/>
          <w:sz w:val="22"/>
          <w:szCs w:val="24"/>
        </w:rPr>
        <w:t>мощью". В настоящее время правительство Бразилии, а конкретнее Министерство здравоохранения, не планирует создавать мобильные клиники в целях охвата сельских районов.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60"/>
        <w:gridCol w:w="1134"/>
        <w:gridCol w:w="2292"/>
        <w:gridCol w:w="965"/>
        <w:gridCol w:w="765"/>
        <w:gridCol w:w="1081"/>
        <w:gridCol w:w="947"/>
      </w:tblGrid>
      <w:tr w:rsidR="00C46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7"/>
          </w:tcPr>
          <w:p w:rsidR="00C46ECE" w:rsidRDefault="00C46ECE">
            <w:pPr>
              <w:spacing w:before="20" w:after="20" w:line="240" w:lineRule="auto"/>
              <w:jc w:val="center"/>
              <w:rPr>
                <w:b/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Общее число рождений в разбивке по месту родов –</w:t>
            </w:r>
            <w:r>
              <w:rPr>
                <w:spacing w:val="0"/>
                <w:w w:val="100"/>
                <w:szCs w:val="24"/>
              </w:rPr>
              <w:t xml:space="preserve"> </w:t>
            </w:r>
            <w:r>
              <w:rPr>
                <w:b/>
                <w:spacing w:val="0"/>
                <w:w w:val="100"/>
                <w:szCs w:val="24"/>
              </w:rPr>
              <w:t>2004 год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C46ECE" w:rsidRDefault="00C46ECE">
            <w:pPr>
              <w:pStyle w:val="Pargrafo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Муниципалитет</w:t>
            </w:r>
          </w:p>
        </w:tc>
        <w:tc>
          <w:tcPr>
            <w:tcW w:w="1134" w:type="dxa"/>
          </w:tcPr>
          <w:p w:rsidR="00C46ECE" w:rsidRDefault="00C46ECE">
            <w:pPr>
              <w:spacing w:before="20" w:after="2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Больница</w:t>
            </w:r>
          </w:p>
        </w:tc>
        <w:tc>
          <w:tcPr>
            <w:tcW w:w="2292" w:type="dxa"/>
          </w:tcPr>
          <w:p w:rsidR="00C46ECE" w:rsidRDefault="00C46ECE">
            <w:pPr>
              <w:spacing w:before="20" w:after="2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Иное учреждение здравоохранения</w:t>
            </w:r>
          </w:p>
        </w:tc>
        <w:tc>
          <w:tcPr>
            <w:tcW w:w="965" w:type="dxa"/>
          </w:tcPr>
          <w:p w:rsidR="00C46ECE" w:rsidRDefault="00C46ECE">
            <w:pPr>
              <w:pStyle w:val="Pargrafo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Дома</w:t>
            </w:r>
          </w:p>
        </w:tc>
        <w:tc>
          <w:tcPr>
            <w:tcW w:w="765" w:type="dxa"/>
          </w:tcPr>
          <w:p w:rsidR="00C46ECE" w:rsidRDefault="00C46ECE">
            <w:pPr>
              <w:spacing w:before="20" w:after="2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Иное</w:t>
            </w:r>
          </w:p>
        </w:tc>
        <w:tc>
          <w:tcPr>
            <w:tcW w:w="1081" w:type="dxa"/>
          </w:tcPr>
          <w:p w:rsidR="00C46ECE" w:rsidRDefault="00C46ECE">
            <w:pPr>
              <w:spacing w:before="20" w:after="2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Неизвестно</w:t>
            </w:r>
          </w:p>
        </w:tc>
        <w:tc>
          <w:tcPr>
            <w:tcW w:w="947" w:type="dxa"/>
          </w:tcPr>
          <w:p w:rsidR="00C46ECE" w:rsidRDefault="00C46ECE">
            <w:pPr>
              <w:spacing w:before="20" w:after="20" w:line="240" w:lineRule="auto"/>
              <w:jc w:val="center"/>
              <w:rPr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Всего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C46ECE" w:rsidRDefault="00C46ECE">
            <w:pPr>
              <w:pStyle w:val="Pargrafo"/>
              <w:spacing w:before="20" w:after="20" w:line="240" w:lineRule="auto"/>
              <w:jc w:val="left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</w:t>
            </w:r>
            <w:r>
              <w:rPr>
                <w:spacing w:val="0"/>
                <w:w w:val="100"/>
                <w:szCs w:val="24"/>
              </w:rPr>
              <w:t> </w:t>
            </w:r>
            <w:r>
              <w:rPr>
                <w:spacing w:val="0"/>
                <w:w w:val="100"/>
                <w:szCs w:val="24"/>
                <w:lang w:val="en-US"/>
              </w:rPr>
              <w:t>928</w:t>
            </w:r>
            <w:r>
              <w:rPr>
                <w:spacing w:val="0"/>
                <w:w w:val="100"/>
                <w:szCs w:val="24"/>
              </w:rPr>
              <w:t> </w:t>
            </w:r>
            <w:r>
              <w:rPr>
                <w:spacing w:val="0"/>
                <w:w w:val="100"/>
                <w:szCs w:val="24"/>
                <w:lang w:val="en-US"/>
              </w:rPr>
              <w:t>155</w:t>
            </w:r>
          </w:p>
        </w:tc>
        <w:tc>
          <w:tcPr>
            <w:tcW w:w="2292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54 792</w:t>
            </w:r>
          </w:p>
        </w:tc>
        <w:tc>
          <w:tcPr>
            <w:tcW w:w="965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40 707</w:t>
            </w:r>
          </w:p>
        </w:tc>
        <w:tc>
          <w:tcPr>
            <w:tcW w:w="765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2 661</w:t>
            </w:r>
          </w:p>
        </w:tc>
        <w:tc>
          <w:tcPr>
            <w:tcW w:w="1081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233</w:t>
            </w:r>
          </w:p>
        </w:tc>
        <w:tc>
          <w:tcPr>
            <w:tcW w:w="947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3 026 548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C46ECE" w:rsidRDefault="00C46ECE">
            <w:pPr>
              <w:spacing w:before="20" w:after="20" w:line="240" w:lineRule="auto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b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96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76</w:t>
            </w:r>
          </w:p>
        </w:tc>
        <w:tc>
          <w:tcPr>
            <w:tcW w:w="2292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b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87</w:t>
            </w:r>
          </w:p>
        </w:tc>
        <w:tc>
          <w:tcPr>
            <w:tcW w:w="965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b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35</w:t>
            </w:r>
          </w:p>
        </w:tc>
        <w:tc>
          <w:tcPr>
            <w:tcW w:w="765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b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0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01</w:t>
            </w:r>
          </w:p>
        </w:tc>
        <w:tc>
          <w:tcPr>
            <w:tcW w:w="1081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b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0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01</w:t>
            </w:r>
          </w:p>
        </w:tc>
        <w:tc>
          <w:tcPr>
            <w:tcW w:w="947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100</w:t>
            </w:r>
          </w:p>
        </w:tc>
      </w:tr>
    </w:tbl>
    <w:p w:rsidR="00C46ECE" w:rsidRDefault="00C46ECE">
      <w:pPr>
        <w:spacing w:before="100" w:line="240" w:lineRule="auto"/>
        <w:jc w:val="both"/>
        <w:rPr>
          <w:spacing w:val="0"/>
          <w:w w:val="100"/>
          <w:szCs w:val="24"/>
        </w:rPr>
      </w:pPr>
      <w:r>
        <w:rPr>
          <w:spacing w:val="0"/>
          <w:w w:val="100"/>
          <w:szCs w:val="24"/>
        </w:rPr>
        <w:t xml:space="preserve">Источник: </w:t>
      </w:r>
      <w:r>
        <w:rPr>
          <w:spacing w:val="0"/>
          <w:w w:val="100"/>
          <w:szCs w:val="24"/>
          <w:lang w:val="en-US"/>
        </w:rPr>
        <w:t>MS</w:t>
      </w:r>
      <w:r>
        <w:rPr>
          <w:spacing w:val="0"/>
          <w:w w:val="100"/>
          <w:szCs w:val="24"/>
        </w:rPr>
        <w:t>/</w:t>
      </w:r>
      <w:r>
        <w:rPr>
          <w:spacing w:val="0"/>
          <w:w w:val="100"/>
          <w:szCs w:val="24"/>
          <w:lang w:val="en-US"/>
        </w:rPr>
        <w:t>SVS</w:t>
      </w:r>
      <w:r>
        <w:rPr>
          <w:spacing w:val="0"/>
          <w:w w:val="100"/>
          <w:szCs w:val="24"/>
        </w:rPr>
        <w:t>/</w:t>
      </w:r>
      <w:r>
        <w:rPr>
          <w:spacing w:val="0"/>
          <w:w w:val="100"/>
          <w:szCs w:val="24"/>
          <w:lang w:val="en-US"/>
        </w:rPr>
        <w:t>DASIS</w:t>
      </w:r>
      <w:r>
        <w:rPr>
          <w:spacing w:val="0"/>
          <w:w w:val="100"/>
          <w:szCs w:val="24"/>
        </w:rPr>
        <w:t xml:space="preserve"> – Система информации о живорождениях – </w:t>
      </w:r>
      <w:r>
        <w:rPr>
          <w:spacing w:val="0"/>
          <w:w w:val="100"/>
          <w:szCs w:val="24"/>
          <w:lang w:val="en-US"/>
        </w:rPr>
        <w:t>SINASC</w:t>
      </w:r>
      <w:r>
        <w:rPr>
          <w:spacing w:val="0"/>
          <w:w w:val="100"/>
          <w:szCs w:val="24"/>
        </w:rPr>
        <w:t>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80"/>
        <w:gridCol w:w="1080"/>
        <w:gridCol w:w="1080"/>
        <w:gridCol w:w="1080"/>
        <w:gridCol w:w="1260"/>
        <w:gridCol w:w="720"/>
        <w:gridCol w:w="805"/>
      </w:tblGrid>
      <w:tr w:rsidR="00C46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5" w:type="dxa"/>
            <w:gridSpan w:val="8"/>
          </w:tcPr>
          <w:p w:rsidR="00C46ECE" w:rsidRDefault="00C46ECE">
            <w:pPr>
              <w:pStyle w:val="Heading3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Предродовых обследований по числу рождений по месту проживания матери в год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C46ECE" w:rsidRDefault="00C46ECE">
            <w:pPr>
              <w:spacing w:before="20" w:after="20" w:line="240" w:lineRule="auto"/>
              <w:jc w:val="both"/>
              <w:rPr>
                <w:rFonts w:eastAsia="Arial Unicode MS"/>
                <w:b/>
                <w:spacing w:val="0"/>
                <w:w w:val="100"/>
                <w:szCs w:val="24"/>
              </w:rPr>
            </w:pPr>
            <w:r>
              <w:rPr>
                <w:rFonts w:eastAsia="Arial Unicode MS"/>
                <w:b/>
                <w:spacing w:val="0"/>
                <w:w w:val="100"/>
                <w:szCs w:val="24"/>
              </w:rPr>
              <w:t xml:space="preserve">Год </w:t>
            </w:r>
          </w:p>
        </w:tc>
        <w:tc>
          <w:tcPr>
            <w:tcW w:w="1080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  <w:lang w:val="en-US"/>
              </w:rPr>
            </w:pPr>
            <w:r>
              <w:rPr>
                <w:b/>
                <w:spacing w:val="0"/>
                <w:w w:val="100"/>
                <w:szCs w:val="24"/>
                <w:lang w:val="en-US"/>
              </w:rPr>
              <w:t>2001</w:t>
            </w:r>
          </w:p>
        </w:tc>
        <w:tc>
          <w:tcPr>
            <w:tcW w:w="1080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  <w:lang w:val="en-US"/>
              </w:rPr>
            </w:pPr>
            <w:r>
              <w:rPr>
                <w:b/>
                <w:spacing w:val="0"/>
                <w:w w:val="100"/>
                <w:szCs w:val="24"/>
                <w:lang w:val="en-US"/>
              </w:rPr>
              <w:t>2002</w:t>
            </w:r>
          </w:p>
        </w:tc>
        <w:tc>
          <w:tcPr>
            <w:tcW w:w="1080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  <w:lang w:val="en-US"/>
              </w:rPr>
            </w:pPr>
            <w:r>
              <w:rPr>
                <w:b/>
                <w:spacing w:val="0"/>
                <w:w w:val="100"/>
                <w:szCs w:val="24"/>
                <w:lang w:val="en-US"/>
              </w:rPr>
              <w:t>2003</w:t>
            </w:r>
          </w:p>
        </w:tc>
        <w:tc>
          <w:tcPr>
            <w:tcW w:w="1080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  <w:lang w:val="en-US"/>
              </w:rPr>
            </w:pPr>
            <w:r>
              <w:rPr>
                <w:b/>
                <w:spacing w:val="0"/>
                <w:w w:val="100"/>
                <w:szCs w:val="24"/>
                <w:lang w:val="en-US"/>
              </w:rPr>
              <w:t>2004</w:t>
            </w:r>
          </w:p>
        </w:tc>
        <w:tc>
          <w:tcPr>
            <w:tcW w:w="1260" w:type="dxa"/>
            <w:vAlign w:val="center"/>
          </w:tcPr>
          <w:p w:rsidR="00C46ECE" w:rsidRDefault="00C46ECE">
            <w:pPr>
              <w:pStyle w:val="texto-selecionadostyle56"/>
              <w:spacing w:before="20" w:beforeAutospacing="0" w:after="2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  <w:lang w:val="en-US"/>
              </w:rPr>
            </w:pPr>
            <w:r>
              <w:rPr>
                <w:b/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805" w:type="dxa"/>
          </w:tcPr>
          <w:p w:rsidR="00C46ECE" w:rsidRDefault="00C46ECE">
            <w:pPr>
              <w:spacing w:before="20" w:after="20"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bottom"/>
          </w:tcPr>
          <w:p w:rsidR="00C46ECE" w:rsidRDefault="00C46ECE">
            <w:pPr>
              <w:spacing w:before="20" w:after="20" w:line="240" w:lineRule="auto"/>
              <w:rPr>
                <w:rFonts w:eastAsia="Arial Unicode MS"/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>Не проводилось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136 143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112 324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95 314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83 970</w:t>
            </w:r>
          </w:p>
        </w:tc>
        <w:tc>
          <w:tcPr>
            <w:tcW w:w="1260" w:type="dxa"/>
            <w:vAlign w:val="bottom"/>
          </w:tcPr>
          <w:p w:rsidR="00C46ECE" w:rsidRDefault="00C46ECE">
            <w:pPr>
              <w:spacing w:before="20" w:after="20" w:line="240" w:lineRule="auto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427 751</w:t>
            </w:r>
          </w:p>
        </w:tc>
        <w:tc>
          <w:tcPr>
            <w:tcW w:w="720" w:type="dxa"/>
            <w:vAlign w:val="bottom"/>
          </w:tcPr>
          <w:p w:rsidR="00C46ECE" w:rsidRDefault="00C46ECE">
            <w:pPr>
              <w:spacing w:before="20" w:after="20" w:line="240" w:lineRule="auto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95</w:t>
            </w:r>
          </w:p>
        </w:tc>
        <w:tc>
          <w:tcPr>
            <w:tcW w:w="805" w:type="dxa"/>
          </w:tcPr>
          <w:p w:rsidR="00C46ECE" w:rsidRDefault="00C46ECE">
            <w:pPr>
              <w:spacing w:before="20" w:after="20"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</w:p>
        </w:tc>
      </w:tr>
      <w:tr w:rsidR="00C46ECE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bottom"/>
          </w:tcPr>
          <w:p w:rsidR="00C46ECE" w:rsidRDefault="00C46ECE">
            <w:pPr>
              <w:spacing w:before="20" w:after="20" w:line="240" w:lineRule="auto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</w:t>
            </w:r>
            <w:r>
              <w:rPr>
                <w:spacing w:val="0"/>
                <w:w w:val="100"/>
                <w:szCs w:val="24"/>
              </w:rPr>
              <w:t>–</w:t>
            </w:r>
            <w:r>
              <w:rPr>
                <w:spacing w:val="0"/>
                <w:w w:val="100"/>
                <w:szCs w:val="24"/>
                <w:lang w:val="en-US"/>
              </w:rPr>
              <w:t xml:space="preserve">3 </w:t>
            </w:r>
            <w:r>
              <w:rPr>
                <w:spacing w:val="0"/>
                <w:w w:val="100"/>
                <w:szCs w:val="24"/>
              </w:rPr>
              <w:t>обследования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345 848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322 688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300 382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283 855</w:t>
            </w:r>
          </w:p>
        </w:tc>
        <w:tc>
          <w:tcPr>
            <w:tcW w:w="1260" w:type="dxa"/>
            <w:vAlign w:val="bottom"/>
          </w:tcPr>
          <w:p w:rsidR="00C46ECE" w:rsidRDefault="00C46ECE">
            <w:pPr>
              <w:spacing w:before="20" w:after="20" w:line="240" w:lineRule="auto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1 252 773</w:t>
            </w:r>
          </w:p>
        </w:tc>
        <w:tc>
          <w:tcPr>
            <w:tcW w:w="720" w:type="dxa"/>
            <w:vAlign w:val="bottom"/>
          </w:tcPr>
          <w:p w:rsidR="00C46ECE" w:rsidRDefault="00C46ECE">
            <w:pPr>
              <w:spacing w:before="20" w:after="20" w:line="240" w:lineRule="auto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10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24</w:t>
            </w:r>
          </w:p>
        </w:tc>
        <w:tc>
          <w:tcPr>
            <w:tcW w:w="805" w:type="dxa"/>
          </w:tcPr>
          <w:p w:rsidR="00C46ECE" w:rsidRDefault="00C46ECE">
            <w:pPr>
              <w:spacing w:before="20" w:after="20" w:line="240" w:lineRule="auto"/>
              <w:jc w:val="both"/>
              <w:rPr>
                <w:spacing w:val="0"/>
                <w:w w:val="100"/>
                <w:szCs w:val="24"/>
                <w:lang w:val="en-US"/>
              </w:rPr>
            </w:pPr>
          </w:p>
        </w:tc>
      </w:tr>
      <w:tr w:rsidR="00C46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Align w:val="bottom"/>
          </w:tcPr>
          <w:p w:rsidR="00C46ECE" w:rsidRDefault="00C46ECE">
            <w:pPr>
              <w:spacing w:before="20" w:after="20" w:line="240" w:lineRule="auto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</w:t>
            </w:r>
            <w:r>
              <w:rPr>
                <w:spacing w:val="0"/>
                <w:w w:val="100"/>
                <w:szCs w:val="24"/>
              </w:rPr>
              <w:t>–</w:t>
            </w:r>
            <w:r>
              <w:rPr>
                <w:spacing w:val="0"/>
                <w:w w:val="100"/>
                <w:szCs w:val="24"/>
                <w:lang w:val="en-US"/>
              </w:rPr>
              <w:t xml:space="preserve">6 </w:t>
            </w:r>
            <w:r>
              <w:rPr>
                <w:spacing w:val="0"/>
                <w:w w:val="100"/>
                <w:szCs w:val="24"/>
              </w:rPr>
              <w:t>обследований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1 096 903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1 079 806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1 056 680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1 031 142</w:t>
            </w:r>
          </w:p>
        </w:tc>
        <w:tc>
          <w:tcPr>
            <w:tcW w:w="1260" w:type="dxa"/>
            <w:vAlign w:val="bottom"/>
          </w:tcPr>
          <w:p w:rsidR="00C46ECE" w:rsidRDefault="00C46ECE">
            <w:pPr>
              <w:spacing w:before="20" w:after="20" w:line="240" w:lineRule="auto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4 264 531</w:t>
            </w:r>
          </w:p>
        </w:tc>
        <w:tc>
          <w:tcPr>
            <w:tcW w:w="720" w:type="dxa"/>
            <w:vAlign w:val="bottom"/>
          </w:tcPr>
          <w:p w:rsidR="00C46ECE" w:rsidRDefault="00C46ECE">
            <w:pPr>
              <w:spacing w:before="20" w:after="20" w:line="240" w:lineRule="auto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34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84</w:t>
            </w:r>
          </w:p>
        </w:tc>
        <w:tc>
          <w:tcPr>
            <w:tcW w:w="805" w:type="dxa"/>
            <w:vMerge w:val="restart"/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83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64</w:t>
            </w:r>
          </w:p>
        </w:tc>
      </w:tr>
      <w:tr w:rsidR="00C46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Align w:val="bottom"/>
          </w:tcPr>
          <w:p w:rsidR="00C46ECE" w:rsidRDefault="00C46ECE">
            <w:pPr>
              <w:spacing w:before="20" w:after="20" w:line="240" w:lineRule="auto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</w:t>
            </w:r>
            <w:r>
              <w:rPr>
                <w:spacing w:val="0"/>
                <w:w w:val="100"/>
                <w:szCs w:val="24"/>
              </w:rPr>
              <w:t xml:space="preserve"> и более обследований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1 419 062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1 463 469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1 516 553</w:t>
            </w:r>
          </w:p>
        </w:tc>
        <w:tc>
          <w:tcPr>
            <w:tcW w:w="1080" w:type="dxa"/>
            <w:vAlign w:val="bottom"/>
          </w:tcPr>
          <w:p w:rsidR="00C46ECE" w:rsidRDefault="00C46ECE">
            <w:pPr>
              <w:spacing w:before="20" w:after="20" w:line="240" w:lineRule="auto"/>
              <w:ind w:right="57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1 573 185</w:t>
            </w:r>
          </w:p>
        </w:tc>
        <w:tc>
          <w:tcPr>
            <w:tcW w:w="1260" w:type="dxa"/>
            <w:vAlign w:val="bottom"/>
          </w:tcPr>
          <w:p w:rsidR="00C46ECE" w:rsidRDefault="00C46ECE">
            <w:pPr>
              <w:spacing w:before="20" w:after="20" w:line="240" w:lineRule="auto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5 972 269</w:t>
            </w:r>
          </w:p>
        </w:tc>
        <w:tc>
          <w:tcPr>
            <w:tcW w:w="720" w:type="dxa"/>
            <w:vAlign w:val="bottom"/>
          </w:tcPr>
          <w:p w:rsidR="00C46ECE" w:rsidRDefault="00C46ECE">
            <w:pPr>
              <w:spacing w:before="20" w:after="20" w:line="240" w:lineRule="auto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48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79</w:t>
            </w:r>
          </w:p>
        </w:tc>
        <w:tc>
          <w:tcPr>
            <w:tcW w:w="805" w:type="dxa"/>
            <w:vMerge/>
            <w:vAlign w:val="bottom"/>
          </w:tcPr>
          <w:p w:rsidR="00C46ECE" w:rsidRDefault="00C46ECE">
            <w:pPr>
              <w:spacing w:before="20" w:after="20"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</w:p>
        </w:tc>
      </w:tr>
    </w:tbl>
    <w:p w:rsidR="00C46ECE" w:rsidRDefault="00C46ECE">
      <w:pPr>
        <w:spacing w:before="40" w:line="240" w:lineRule="auto"/>
        <w:jc w:val="both"/>
        <w:rPr>
          <w:spacing w:val="0"/>
          <w:w w:val="100"/>
          <w:szCs w:val="24"/>
        </w:rPr>
      </w:pPr>
      <w:r>
        <w:rPr>
          <w:spacing w:val="0"/>
          <w:w w:val="100"/>
          <w:szCs w:val="24"/>
        </w:rPr>
        <w:t xml:space="preserve">Источник: </w:t>
      </w:r>
      <w:r>
        <w:rPr>
          <w:spacing w:val="0"/>
          <w:w w:val="100"/>
          <w:szCs w:val="24"/>
          <w:lang w:val="en-US"/>
        </w:rPr>
        <w:t>MS</w:t>
      </w:r>
      <w:r>
        <w:rPr>
          <w:spacing w:val="0"/>
          <w:w w:val="100"/>
          <w:szCs w:val="24"/>
        </w:rPr>
        <w:t>/</w:t>
      </w:r>
      <w:r>
        <w:rPr>
          <w:spacing w:val="0"/>
          <w:w w:val="100"/>
          <w:szCs w:val="24"/>
          <w:lang w:val="en-US"/>
        </w:rPr>
        <w:t>SVS</w:t>
      </w:r>
      <w:r>
        <w:rPr>
          <w:spacing w:val="0"/>
          <w:w w:val="100"/>
          <w:szCs w:val="24"/>
        </w:rPr>
        <w:t>/</w:t>
      </w:r>
      <w:r>
        <w:rPr>
          <w:spacing w:val="0"/>
          <w:w w:val="100"/>
          <w:szCs w:val="24"/>
          <w:lang w:val="en-US"/>
        </w:rPr>
        <w:t>DASIS</w:t>
      </w:r>
      <w:r>
        <w:rPr>
          <w:spacing w:val="0"/>
          <w:w w:val="100"/>
          <w:szCs w:val="24"/>
        </w:rPr>
        <w:t xml:space="preserve"> – Система информации о живорождениях – </w:t>
      </w:r>
      <w:r>
        <w:rPr>
          <w:spacing w:val="0"/>
          <w:w w:val="100"/>
          <w:szCs w:val="24"/>
          <w:lang w:val="en-US"/>
        </w:rPr>
        <w:t>SINASC</w:t>
      </w:r>
      <w:r>
        <w:rPr>
          <w:spacing w:val="0"/>
          <w:w w:val="100"/>
          <w:szCs w:val="24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Министерство здравоохранения вкладывает средства в базовое здравоохранение в рамках Стратегии здоровья семьи, чтобы максимально приблизить услуги здравоохранения к местам проживания населения. Как показано в приведенной ниже таблице, 24,21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процента семей, пользующихся услугами групп по охране здоровья, проживают в сельских районах.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8"/>
          <w:szCs w:val="24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934"/>
        <w:gridCol w:w="1080"/>
        <w:gridCol w:w="1710"/>
        <w:gridCol w:w="1170"/>
        <w:gridCol w:w="2160"/>
      </w:tblGrid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b/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Семьи, пользующиеся услугами групп по охране здоровья, по месту проживания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rPr>
                <w:rFonts w:eastAsia="Arial Unicode MS"/>
                <w:b/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Год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Городские районы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  <w:lang w:val="en-US"/>
              </w:rPr>
            </w:pPr>
            <w:r>
              <w:rPr>
                <w:b/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Сельские районы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  <w:lang w:val="en-US"/>
              </w:rPr>
            </w:pPr>
            <w:r>
              <w:rPr>
                <w:b/>
                <w:spacing w:val="0"/>
                <w:w w:val="100"/>
                <w:szCs w:val="24"/>
                <w:lang w:val="en-US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b/>
                <w:spacing w:val="0"/>
                <w:w w:val="100"/>
                <w:szCs w:val="24"/>
              </w:rPr>
            </w:pPr>
            <w:r>
              <w:rPr>
                <w:b/>
                <w:spacing w:val="0"/>
                <w:w w:val="100"/>
                <w:szCs w:val="24"/>
              </w:rPr>
              <w:t>Всего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200 351 966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66 952 185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25</w:t>
            </w:r>
            <w:r>
              <w:rPr>
                <w:spacing w:val="0"/>
                <w:w w:val="100"/>
                <w:szCs w:val="24"/>
              </w:rPr>
              <w:t>,</w:t>
            </w:r>
            <w:r>
              <w:rPr>
                <w:spacing w:val="0"/>
                <w:w w:val="100"/>
                <w:szCs w:val="24"/>
                <w:lang w:val="en-US"/>
              </w:rPr>
              <w:t>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267 304 151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218 109 864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75,85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69 437 744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24,15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287 547 608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224 058 987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75,87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71 278 781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295 337 768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both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2006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241 702 651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74 845 992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23,64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316 548 643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both"/>
              <w:rPr>
                <w:rFonts w:eastAsia="Arial Unicode MS"/>
                <w:spacing w:val="0"/>
                <w:w w:val="100"/>
                <w:szCs w:val="24"/>
              </w:rPr>
            </w:pPr>
            <w:r>
              <w:rPr>
                <w:spacing w:val="0"/>
                <w:w w:val="100"/>
                <w:szCs w:val="24"/>
              </w:rPr>
              <w:t xml:space="preserve">Всего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884 223 468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75,79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282 514 702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jc w:val="center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24,21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ECE" w:rsidRDefault="00C46ECE">
            <w:pPr>
              <w:spacing w:before="20" w:after="20" w:line="240" w:lineRule="auto"/>
              <w:ind w:right="470"/>
              <w:jc w:val="right"/>
              <w:rPr>
                <w:rFonts w:eastAsia="Arial Unicode MS"/>
                <w:spacing w:val="0"/>
                <w:w w:val="100"/>
                <w:szCs w:val="24"/>
                <w:lang w:val="en-US"/>
              </w:rPr>
            </w:pPr>
            <w:r>
              <w:rPr>
                <w:spacing w:val="0"/>
                <w:w w:val="100"/>
                <w:szCs w:val="24"/>
                <w:lang w:val="en-US"/>
              </w:rPr>
              <w:t>1 166 738 170</w:t>
            </w:r>
          </w:p>
        </w:tc>
      </w:tr>
    </w:tbl>
    <w:p w:rsidR="00C46ECE" w:rsidRDefault="00C46ECE">
      <w:pPr>
        <w:spacing w:before="40"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Cs w:val="24"/>
        </w:rPr>
        <w:t>Источник: Министерство здравоохранения, система информации о базовом здравоохранении (</w:t>
      </w:r>
      <w:r>
        <w:rPr>
          <w:spacing w:val="0"/>
          <w:w w:val="100"/>
          <w:szCs w:val="24"/>
          <w:lang w:val="en-US"/>
        </w:rPr>
        <w:t>SIAB</w:t>
      </w:r>
      <w:r>
        <w:rPr>
          <w:spacing w:val="0"/>
          <w:w w:val="100"/>
          <w:sz w:val="22"/>
          <w:szCs w:val="24"/>
        </w:rPr>
        <w:t>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рамках Национальной политики по сексуальному и репродуктивному здоровью Министерство здравоохранения поддерживает деятельность Национальной конфедерации сельскохозяйственных работников (КОНТАГ) по подготовке показателей прав на гендерное равенство и здоровье, в том числе сексуальное и репродуктивное. Проект предусматривает включение в политику Движения союза сельских рабочих и Политику в сфере охраны здоровья сельского населения методики, направленной на комплексный подход к гендерным проблемам, правам на сексуальное и репродуктивное здоровье, проблемам поколений, расы и этнического происхождения, а также географического деления. Осуществление проекта под руководством КОНТАГ началось в начале апреля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и рассчитано на три года.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Следует также отметить, что 8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марта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в ознаменование Международного женского дня президент Лула обнародовал Национальный пакт о сокращении материнской смертности. Пакт признан образцом социальной мобилизации и диалога для содействия достижению Целей в области развития Декларации тысячелетия Организации Объединенных Наций, поскольку он предусматривает совместную деятельность трех уровней государственной власти – федерального, штатов и муниципального – и широкого диапазона организаций гражданского общества. В рамках Пакта Министерство здравоохранения обязалось предоставить ресурсы на сумму 31,17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млн. реалов на поддержание инициатив по наращиванию потенциала ухода за женщинами и младенцами. На настоящее время 71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муниципалитет представил проекты по сокращению материнской смертности и смертности новорожденных.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Наряду с этим были проведены 26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семинаров на уровне штатов (воздержался только штат Сан-Паулу) для разработки планов действий, а также четыре совещания Национальной комиссии по мониторингу и оценке осуществления Национального пакта, участие в которых приняли 34 представителя гражданского общества и органов государственного управления.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23.  </w:t>
      </w:r>
      <w:r>
        <w:rPr>
          <w:i w:val="0"/>
          <w:iCs/>
          <w:sz w:val="22"/>
        </w:rPr>
        <w:t>Специальный докладчик по вопросу о торговле детьми, детской прост</w:t>
      </w:r>
      <w:r>
        <w:rPr>
          <w:i w:val="0"/>
          <w:iCs/>
          <w:sz w:val="22"/>
        </w:rPr>
        <w:t>и</w:t>
      </w:r>
      <w:r>
        <w:rPr>
          <w:i w:val="0"/>
          <w:iCs/>
          <w:sz w:val="22"/>
        </w:rPr>
        <w:t>туции и детской порнографии в своем докладе (</w:t>
      </w:r>
      <w:r>
        <w:rPr>
          <w:i w:val="0"/>
          <w:iCs/>
          <w:sz w:val="22"/>
          <w:lang w:val="en-US"/>
        </w:rPr>
        <w:t>E</w:t>
      </w:r>
      <w:r>
        <w:rPr>
          <w:i w:val="0"/>
          <w:iCs/>
          <w:sz w:val="22"/>
        </w:rPr>
        <w:t>/</w:t>
      </w:r>
      <w:r>
        <w:rPr>
          <w:i w:val="0"/>
          <w:iCs/>
          <w:sz w:val="22"/>
          <w:lang w:val="en-US"/>
        </w:rPr>
        <w:t>CN</w:t>
      </w:r>
      <w:r>
        <w:rPr>
          <w:i w:val="0"/>
          <w:iCs/>
          <w:sz w:val="22"/>
        </w:rPr>
        <w:t>.4/2004/9/</w:t>
      </w:r>
      <w:r>
        <w:rPr>
          <w:i w:val="0"/>
          <w:iCs/>
          <w:sz w:val="22"/>
          <w:lang w:val="en-US"/>
        </w:rPr>
        <w:t>Add</w:t>
      </w:r>
      <w:r>
        <w:rPr>
          <w:i w:val="0"/>
          <w:iCs/>
          <w:sz w:val="22"/>
        </w:rPr>
        <w:t>.2) выразил обеспокоенность положением в отношении абортов, указав, что только в 44 центрах во всей стране обеспечиваются услуги по проведению абортов и что это вынуждает многих женщин делать тайные аборты, подвергая свою жизнь опасности. Это является отрицанием права женщин на охрану здоровья. Просьба представить данные, если таковые имеются, о количестве матерей, умерших в результате совершения небезопасных абортов, и о мерах, планиру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 xml:space="preserve">мых с целью решения этой проблемы, с учетом того факта, что аборт </w:t>
      </w:r>
      <w:r>
        <w:rPr>
          <w:i w:val="0"/>
          <w:iCs/>
          <w:sz w:val="22"/>
          <w:lang w:val="ru-RU"/>
        </w:rPr>
        <w:t>разрешен</w:t>
      </w:r>
      <w:r>
        <w:rPr>
          <w:i w:val="0"/>
          <w:iCs/>
          <w:sz w:val="22"/>
        </w:rPr>
        <w:t xml:space="preserve"> в соответствии с разделами I и II статьи 128 Уголовного кодекса Бр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зилии.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Нелегальная практика абортов в Бразилии делает невозможным получение надежных статистических данных для поддержки более целенаправленных и конкретных мер государственной политики в отношении различных существующих в регионах обычаев и возрастных групп, где в большей мере распространены нежелательные беременности. В 2006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в соответствии со статьей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128 Уголовного кодекса Бразилии, где речь идет об угрозе жизни женщин и беременностях, являющихся результатом изнасилования, было произведено 2067 легальных абортов.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pStyle w:val="Pargrafo"/>
        <w:spacing w:after="0" w:line="240" w:lineRule="auto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За период с 2004 по 2006</w:t>
      </w:r>
      <w:r>
        <w:rPr>
          <w:rFonts w:ascii="Times New Roman" w:hAnsi="Times New Roman"/>
          <w:sz w:val="22"/>
          <w:szCs w:val="24"/>
          <w:lang w:val="en-US"/>
        </w:rPr>
        <w:t> </w:t>
      </w:r>
      <w:r>
        <w:rPr>
          <w:rFonts w:ascii="Times New Roman" w:hAnsi="Times New Roman"/>
          <w:sz w:val="22"/>
          <w:szCs w:val="24"/>
          <w:lang w:val="ru-RU"/>
        </w:rPr>
        <w:t xml:space="preserve">год в Единой системе здравоохранения было зарегистрировано 243 988 (2004 год), 241 019 (2005 год) и 222 135 (2006 год) женщин, которые после абортов подвергались выскабливанию. Эта процедура стоит на втором месте в обычной акушерской практике больниц, уступая лишь нормальным родам (эвтокии). В финансовом отношении на нее приходится ежегодно примерно 35 млн. реалов. Показатели смертности вследствие абортов выше среди женщин африканского происхождения. </w:t>
      </w:r>
    </w:p>
    <w:p w:rsidR="00C46ECE" w:rsidRDefault="00C46ECE">
      <w:pPr>
        <w:pStyle w:val="Pargrafo"/>
        <w:spacing w:after="0" w:line="240" w:lineRule="auto"/>
        <w:rPr>
          <w:rFonts w:ascii="Times New Roman" w:hAnsi="Times New Roman"/>
          <w:sz w:val="22"/>
          <w:szCs w:val="24"/>
          <w:lang w:val="ru-RU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Материнская смертность является показателем оценки состояния здоровья населения и отражает существующие нарушения нормального положения дел. Случаи смерти женщин фертильного возраста в результате беременности, аборта, родов и послеродовой инфекции в значительной степени можно предотвратить. Высокий показатель материнской смертности свидетельствует о неблагоприятных социально-экономических условиях, низком уровне информированности и образования, демографических тенденциях, связанных с бытовым насилием, а в первую очередь – о затрудненном доступе к качественным услугам здравоохранения.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Стабилизация показателей материнской смертности в 2000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может объясняться повышением качества акушерской помощи и мерами по планированию семьи. Вместе с тем показатели по Бразилии – 74,5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случая смерти на 100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 xml:space="preserve">тыс. живорождений (с поправкой на корректировочный фактор 1,4) показывают, что ситуация все еще является неприемлемой, поскольку показатель материнской смертности в развитых странах составляет от 6 до 20 случаев на 100 тыс. живорождений (источник: </w:t>
      </w:r>
      <w:r>
        <w:rPr>
          <w:spacing w:val="0"/>
          <w:w w:val="100"/>
          <w:sz w:val="22"/>
          <w:szCs w:val="24"/>
          <w:lang w:val="en-US"/>
        </w:rPr>
        <w:t>Sa</w:t>
      </w:r>
      <w:r>
        <w:rPr>
          <w:spacing w:val="0"/>
          <w:w w:val="100"/>
          <w:sz w:val="22"/>
          <w:szCs w:val="24"/>
        </w:rPr>
        <w:t>ú</w:t>
      </w:r>
      <w:r>
        <w:rPr>
          <w:spacing w:val="0"/>
          <w:w w:val="100"/>
          <w:sz w:val="22"/>
          <w:szCs w:val="24"/>
          <w:lang w:val="en-US"/>
        </w:rPr>
        <w:t>de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Bras</w:t>
      </w:r>
      <w:r>
        <w:rPr>
          <w:spacing w:val="0"/>
          <w:w w:val="100"/>
          <w:sz w:val="22"/>
          <w:szCs w:val="24"/>
        </w:rPr>
        <w:t>í</w:t>
      </w:r>
      <w:r>
        <w:rPr>
          <w:spacing w:val="0"/>
          <w:w w:val="100"/>
          <w:sz w:val="22"/>
          <w:szCs w:val="24"/>
          <w:lang w:val="en-US"/>
        </w:rPr>
        <w:t>lia</w:t>
      </w:r>
      <w:r>
        <w:rPr>
          <w:spacing w:val="0"/>
          <w:w w:val="100"/>
          <w:sz w:val="22"/>
          <w:szCs w:val="24"/>
        </w:rPr>
        <w:t xml:space="preserve"> 1005 – </w:t>
      </w:r>
      <w:r>
        <w:rPr>
          <w:spacing w:val="0"/>
          <w:w w:val="100"/>
          <w:sz w:val="22"/>
          <w:szCs w:val="24"/>
          <w:lang w:val="en-US"/>
        </w:rPr>
        <w:t>Uma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an</w:t>
      </w:r>
      <w:r>
        <w:rPr>
          <w:spacing w:val="0"/>
          <w:w w:val="100"/>
          <w:sz w:val="22"/>
          <w:szCs w:val="24"/>
        </w:rPr>
        <w:t>á</w:t>
      </w:r>
      <w:r>
        <w:rPr>
          <w:spacing w:val="0"/>
          <w:w w:val="100"/>
          <w:sz w:val="22"/>
          <w:szCs w:val="24"/>
          <w:lang w:val="en-US"/>
        </w:rPr>
        <w:t>lise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de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situa</w:t>
      </w:r>
      <w:r>
        <w:rPr>
          <w:spacing w:val="0"/>
          <w:w w:val="100"/>
          <w:sz w:val="22"/>
          <w:szCs w:val="24"/>
        </w:rPr>
        <w:t>çã</w:t>
      </w:r>
      <w:r>
        <w:rPr>
          <w:spacing w:val="0"/>
          <w:w w:val="100"/>
          <w:sz w:val="22"/>
          <w:szCs w:val="24"/>
          <w:lang w:val="en-US"/>
        </w:rPr>
        <w:t>o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de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sa</w:t>
      </w:r>
      <w:r>
        <w:rPr>
          <w:spacing w:val="0"/>
          <w:w w:val="100"/>
          <w:sz w:val="22"/>
          <w:szCs w:val="24"/>
        </w:rPr>
        <w:t>ú</w:t>
      </w:r>
      <w:r>
        <w:rPr>
          <w:spacing w:val="0"/>
          <w:w w:val="100"/>
          <w:sz w:val="22"/>
          <w:szCs w:val="24"/>
          <w:lang w:val="en-US"/>
        </w:rPr>
        <w:t>de</w:t>
      </w:r>
      <w:r>
        <w:rPr>
          <w:spacing w:val="0"/>
          <w:w w:val="100"/>
          <w:sz w:val="22"/>
          <w:szCs w:val="24"/>
        </w:rPr>
        <w:t xml:space="preserve"> – </w:t>
      </w:r>
      <w:r>
        <w:rPr>
          <w:spacing w:val="0"/>
          <w:w w:val="100"/>
          <w:sz w:val="22"/>
          <w:szCs w:val="24"/>
          <w:lang w:val="en-US"/>
        </w:rPr>
        <w:t>Secretaria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de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Vigil</w:t>
      </w:r>
      <w:r>
        <w:rPr>
          <w:spacing w:val="0"/>
          <w:w w:val="100"/>
          <w:sz w:val="22"/>
          <w:szCs w:val="24"/>
        </w:rPr>
        <w:t>â</w:t>
      </w:r>
      <w:r>
        <w:rPr>
          <w:spacing w:val="0"/>
          <w:w w:val="100"/>
          <w:sz w:val="22"/>
          <w:szCs w:val="24"/>
          <w:lang w:val="en-US"/>
        </w:rPr>
        <w:t>ncia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em</w:t>
      </w:r>
      <w:r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  <w:lang w:val="en-US"/>
        </w:rPr>
        <w:t>Sa</w:t>
      </w:r>
      <w:r>
        <w:rPr>
          <w:spacing w:val="0"/>
          <w:w w:val="100"/>
          <w:sz w:val="22"/>
          <w:szCs w:val="24"/>
        </w:rPr>
        <w:t>ú</w:t>
      </w:r>
      <w:r>
        <w:rPr>
          <w:spacing w:val="0"/>
          <w:w w:val="100"/>
          <w:sz w:val="22"/>
          <w:szCs w:val="24"/>
          <w:lang w:val="en-US"/>
        </w:rPr>
        <w:t>de</w:t>
      </w:r>
      <w:r>
        <w:rPr>
          <w:spacing w:val="0"/>
          <w:w w:val="100"/>
          <w:sz w:val="22"/>
          <w:szCs w:val="24"/>
        </w:rPr>
        <w:t>/</w:t>
      </w:r>
      <w:r>
        <w:rPr>
          <w:spacing w:val="0"/>
          <w:w w:val="100"/>
          <w:sz w:val="22"/>
          <w:szCs w:val="24"/>
          <w:lang w:val="en-US"/>
        </w:rPr>
        <w:t>MS</w:t>
      </w:r>
      <w:r>
        <w:rPr>
          <w:spacing w:val="0"/>
          <w:w w:val="100"/>
          <w:sz w:val="22"/>
          <w:szCs w:val="24"/>
        </w:rPr>
        <w:t xml:space="preserve">, </w:t>
      </w:r>
      <w:r>
        <w:rPr>
          <w:spacing w:val="0"/>
          <w:w w:val="100"/>
          <w:sz w:val="22"/>
          <w:szCs w:val="24"/>
          <w:lang w:val="en-US"/>
        </w:rPr>
        <w:t>Brasil</w:t>
      </w:r>
      <w:r>
        <w:rPr>
          <w:spacing w:val="0"/>
          <w:w w:val="100"/>
          <w:sz w:val="22"/>
          <w:szCs w:val="24"/>
        </w:rPr>
        <w:t>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 2002 по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 показатели смертности в результате абортов составляли соответственно 115, 152 и 156 случаев в год, то есть аборты являются четвертой по значимости причиной материнской смертности в Бразилии. На конец 2002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82 отделения в больницах были оборудованы для оказания помощи женщинам, которые стали жертвами изнасилования. В основном они располагались в столицах и столичных районах на юге и юго-западе; в 42 из этих отделений производились легальные аборты. В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было решено увеличить на 30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 объем услуг, оказываемых женщинам, оказавшимся в ситуациях насилия. Для этого Министерство здравоохранения в 2004 и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годах произвело капиталовложения в размере 1552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млн. реалов для учреждения 41 новой сети комплексных услуг для женщин и подростков, столкнувшихся с бытовым и сексуальным насилием в муниципалитетах, где показатели в отношении насилия наиболее высоки. В настоящее время действуют 142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службы, охватывающие все регионы страны. Таким образом, Бразилия превысила намеченный показатель, поскольку число служб возросло на 48 процентов.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Для сокращения материнской смертности Министерство здравоохранения принимает меры по повышению квалификации медицинских работников в сфере акушерства, планированию семьи и обеспечению ухода за женщинами, пережившими ситуации насилия. При действующей в настоящее время администрации Министерство пересмотрело Пособие по предотвращению насилия и смягчению ущерба, являющегося следствием насилия против женщин и подростков, а также разработало пособия по экстренной контрацепции и по правовым аспектам оказания помощи жертвам сексуального насилия.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Совместно со Специальным секретариатом по политике в отношении женщин и Национальным секретариатом Министерства юстиции по общественной безопасности Министерство здравоохранения разработало Педагогическую матрицу по созданию сетей, куда вошел комплекс данных, относящихся к теоретическим инструментам и технологическому совершенствованию, а также характеристикам и уровню профессиональной подготовки, необходимым для оказания комплексной помощи женщинам и подросткам, сталкивающимся с бытовым и сексуальным насилием. Министерство также подготовило Технический стандарт по оказанию помощи при выкидышах и провело разъяснительную работу с 1787 специалистами в сфере здравоохранения в основных родильных домах страны.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  <w:lang w:val="en-US"/>
        </w:rPr>
      </w:pPr>
      <w:r>
        <w:rPr>
          <w:spacing w:val="0"/>
          <w:w w:val="100"/>
          <w:sz w:val="22"/>
          <w:szCs w:val="24"/>
        </w:rPr>
        <w:br w:type="page"/>
        <w:t>В текущем году Министерство здравоохранения финансирует проведение исследований по сбору характеристик помощи, оказываемой женщинам, сталкивающимся с насилием, как исходных данных для разработки стратегий развертывания вышеупомянутых сетей.</w:t>
      </w:r>
    </w:p>
    <w:p w:rsidR="006D1F5D" w:rsidRPr="006D1F5D" w:rsidRDefault="006D1F5D" w:rsidP="006D1F5D">
      <w:pPr>
        <w:spacing w:line="120" w:lineRule="exact"/>
        <w:jc w:val="both"/>
        <w:rPr>
          <w:spacing w:val="0"/>
          <w:w w:val="100"/>
          <w:sz w:val="10"/>
          <w:szCs w:val="24"/>
          <w:lang w:val="en-US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рамках еще одного направления стратегии, разработанного с целью создания Сетей комплексной помощи женщинам и подросткам, сталкивающимся с бытовым и сексуальным насилием, проводились макрорегиональные семинары, где изучались как достижения, так и трудности, с которыми сталкиваются административные работники и специализированные службы здравоохранения, оказывающие помощь в случаях бытового насилия и при осложнениях, являющихся следствием сексуального насилия. Эта инициатива предусматривала координацию действий административных работников на трех уровнях государственного управления, а также специализированной больницы по оказанию комплексной помощи женщинам и подросткам, сталкивающимся с сексуальным насилием, для обеспечения помощи, обработки, выдачи антиретровирусных медикаментов, вакцин, экстренных контрацептивов, а также для проведения процедур, предусмотренных законодательством. В качестве инновационной инициативы Министерство здравоохранения ввело обязательное уведомление о случаях насилия.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Для повышения качества дородового ухода была усилена Программа гуманизации родов. С 2003 по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 к программе присоединились 1123 муниципалитета, и их общее число составило 5105. В 2002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было зарегистрировано 485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023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беременные женщины, и 26 346 из них прошли все процедуры. В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численность зарегистрированных беременных женщин составила 1 999 176, и 310 716 из них прошли все процедуры.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Для совершенствования стандартов ухода при родах Министерство здравоохранения провело два общенациональных семинара и 29 семинаров в штатах по гуманизации ухода при родах и ухода за новорожденными на основании научных данных. В работе семинаров приняли участие 1787 специалистов, в том числе директора, руководители отделений акушерства и неонатологии и акушерки из 439 крупных родильных домов во всех штатах Бразилии.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В течение первого периода нахождения правительства у власти Министерство здравоохранения повысило размер выплат, осуществляемых Единой службой здравоохранения за неосложненные роды </w:t>
      </w:r>
      <w:r w:rsidRPr="00EE2787">
        <w:rPr>
          <w:spacing w:val="0"/>
          <w:w w:val="100"/>
          <w:sz w:val="22"/>
          <w:szCs w:val="24"/>
        </w:rPr>
        <w:br/>
      </w:r>
      <w:r>
        <w:rPr>
          <w:spacing w:val="0"/>
          <w:w w:val="100"/>
          <w:sz w:val="22"/>
          <w:szCs w:val="24"/>
        </w:rPr>
        <w:t xml:space="preserve">(с 205 реалов в 2002 году до 291,15 реала в 2004 году), за кесарево сечение (с 337 реалов в 2002 году до 402,83 реала в 2004 году) и за маммографию </w:t>
      </w:r>
      <w:r w:rsidRPr="00EE2787">
        <w:rPr>
          <w:spacing w:val="0"/>
          <w:w w:val="100"/>
          <w:sz w:val="22"/>
          <w:szCs w:val="24"/>
        </w:rPr>
        <w:t>(</w:t>
      </w:r>
      <w:r>
        <w:rPr>
          <w:spacing w:val="0"/>
          <w:w w:val="100"/>
          <w:sz w:val="22"/>
          <w:szCs w:val="24"/>
        </w:rPr>
        <w:t>с</w:t>
      </w:r>
      <w:r w:rsidRPr="00EE2787">
        <w:rPr>
          <w:spacing w:val="0"/>
          <w:w w:val="100"/>
          <w:sz w:val="22"/>
          <w:szCs w:val="24"/>
        </w:rPr>
        <w:t xml:space="preserve"> 30,12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реала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в</w:t>
      </w:r>
      <w:r w:rsidRPr="00EE2787">
        <w:rPr>
          <w:spacing w:val="0"/>
          <w:w w:val="100"/>
          <w:sz w:val="22"/>
          <w:szCs w:val="24"/>
        </w:rPr>
        <w:t xml:space="preserve"> 2002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до</w:t>
      </w:r>
      <w:r w:rsidRPr="00EE2787">
        <w:rPr>
          <w:spacing w:val="0"/>
          <w:w w:val="100"/>
          <w:sz w:val="22"/>
          <w:szCs w:val="24"/>
        </w:rPr>
        <w:t xml:space="preserve"> 36,10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реала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в</w:t>
      </w:r>
      <w:r w:rsidRPr="00EE2787">
        <w:rPr>
          <w:spacing w:val="0"/>
          <w:w w:val="100"/>
          <w:sz w:val="22"/>
          <w:szCs w:val="24"/>
        </w:rPr>
        <w:t xml:space="preserve">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</w:t>
      </w:r>
      <w:r w:rsidRPr="00EE2787">
        <w:rPr>
          <w:spacing w:val="0"/>
          <w:w w:val="100"/>
          <w:sz w:val="22"/>
          <w:szCs w:val="24"/>
        </w:rPr>
        <w:t>).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Правительство также приняло Закон о сопровождающем лице, которым установлено ежедневное вознаграждение в размере 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реалов сопровождающему лицу и определен предельный срок (6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месяцев), в который больницы должны обеспечить соблюдение этой меры для гуманизации предоставления ухода.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Министерство здравоохранения обеспечило профессиональную подготовку 370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общинных сиделок "дула", которые сопровождают рожениц и оказывают им помощь во время родов в 13 штатах. Министерство также оказывало техническую и финансовую поддержку медицинским училищам во всех штатах для проведения 34 специализированных курсов по акушерству.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Для повышения качества родовспоможения при родах в домашних условиях Министерство здравоохранения также оказывало техническую и финансовую поддержку для профессиональной подготовки 85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специалистов здравоохранения широкого профиля для работы в качестве инструкторов и 904 традиционных акушерок в штатах Акри, Амазонас, Амапа, Пара, Мараньян, Алагоас, Параиба, Гояс, Минас-Жерайс, Мату-Гросу-ду-Сул и Мату-Гросу (округ здравоохранения коренного народа шаванте). Министерство также провело три программы профессиональной подготовки для акушерок с целью предотвращения распространения ЗППП/ВИЧ/СПИДа и вирусного гепатита, а также с целью подготовки специалистов в сфере здравоохранения и традиционных акушерок для работы в области сексуального и репродуктивного здоровья в верховьях реки Журуа (штат Акри) и на территориях Мамирауа и Амана (штат Амазонас).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Министерство здравоохранения также приступило к проведению Национальной кампании по распространению естественных родов и сокращению числа не являющихся необходимыми случаев кесарева сечения. Новым в этой кампании является вовлечение в нее частного сектора, на который приходится наибольшая доля случаев кесарева сечения, при помощи Национального управления дополнительных услуг в сфере здравоохранения.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2006 году Министерство здравоохранения опубликовало результаты исследования смертности среди женщин в возрасте от 10 до 49 лет, в котором особое внимание уделялось материнской смертности. Исследование, проведение которого координировал выдающийся ученый Руи Лауренти и его сотрудники, имело принципиальное значение для определения направлений стратегии и деятельности в рамках Национальной политики предоставления женщинам комплексных медицинских услуг. Министерство также оказало финансовую поддержку проведению 38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исследований по проблемам материнской смертности и смертности новорожденных. Возрос объем предоставляемых услуг обратимой контрацепции в 5235 муниципалитетах, на что было выделено 27 млн. реалов. В</w:t>
      </w:r>
      <w:r w:rsidRPr="00EE2787">
        <w:rPr>
          <w:spacing w:val="0"/>
          <w:w w:val="100"/>
          <w:sz w:val="22"/>
          <w:szCs w:val="24"/>
        </w:rPr>
        <w:t xml:space="preserve"> 2002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было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израсходовано</w:t>
      </w:r>
      <w:r w:rsidRPr="00EE2787">
        <w:rPr>
          <w:spacing w:val="0"/>
          <w:w w:val="100"/>
          <w:sz w:val="22"/>
          <w:szCs w:val="24"/>
        </w:rPr>
        <w:t xml:space="preserve"> 7,8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млн</w:t>
      </w:r>
      <w:r w:rsidRPr="00EE2787">
        <w:rPr>
          <w:spacing w:val="0"/>
          <w:w w:val="100"/>
          <w:sz w:val="22"/>
          <w:szCs w:val="24"/>
        </w:rPr>
        <w:t xml:space="preserve">. </w:t>
      </w:r>
      <w:r>
        <w:rPr>
          <w:spacing w:val="0"/>
          <w:w w:val="100"/>
          <w:sz w:val="22"/>
          <w:szCs w:val="24"/>
        </w:rPr>
        <w:t>реалов</w:t>
      </w:r>
      <w:r w:rsidRPr="00EE2787">
        <w:rPr>
          <w:spacing w:val="0"/>
          <w:w w:val="100"/>
          <w:sz w:val="22"/>
          <w:szCs w:val="24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2003–2005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годах Министерство здравоохранения выдало разрешения на работу 418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новым учреждениям, занимающимся блокированием фаллопиевых труб, в результате чего общее число получивших разрешение на работу учреждений составило 686, то есть их число возросло более чем на 50 процентов, что было целевым показателем, в абсолютном исчислении – 129 учреждений.</w:t>
      </w:r>
    </w:p>
    <w:p w:rsidR="00C46ECE" w:rsidRDefault="00C46ECE">
      <w:pPr>
        <w:spacing w:line="240" w:lineRule="auto"/>
        <w:jc w:val="both"/>
        <w:rPr>
          <w:iCs/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sz w:val="22"/>
          <w:lang w:val="ru-RU"/>
        </w:rPr>
      </w:pPr>
      <w:r>
        <w:rPr>
          <w:i w:val="0"/>
          <w:iCs/>
          <w:sz w:val="22"/>
          <w:lang w:val="ru-RU"/>
        </w:rPr>
        <w:t>24.  </w:t>
      </w:r>
      <w:r>
        <w:rPr>
          <w:i w:val="0"/>
          <w:iCs/>
          <w:sz w:val="22"/>
        </w:rPr>
        <w:t>Специальный докладчик по праву на образование (</w:t>
      </w:r>
      <w:r>
        <w:rPr>
          <w:i w:val="0"/>
          <w:iCs/>
          <w:sz w:val="22"/>
          <w:lang w:val="en-US"/>
        </w:rPr>
        <w:t>E</w:t>
      </w:r>
      <w:r>
        <w:rPr>
          <w:i w:val="0"/>
          <w:iCs/>
          <w:sz w:val="22"/>
        </w:rPr>
        <w:t>/</w:t>
      </w:r>
      <w:r>
        <w:rPr>
          <w:i w:val="0"/>
          <w:iCs/>
          <w:sz w:val="22"/>
          <w:lang w:val="en-US"/>
        </w:rPr>
        <w:t>CN</w:t>
      </w:r>
      <w:r>
        <w:rPr>
          <w:i w:val="0"/>
          <w:iCs/>
          <w:sz w:val="22"/>
        </w:rPr>
        <w:t>.4/2004/45) отм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тил, что в Бразилии на 1000 </w:t>
      </w:r>
      <w:r>
        <w:rPr>
          <w:i w:val="0"/>
          <w:iCs/>
          <w:sz w:val="22"/>
          <w:lang w:val="ru-RU"/>
        </w:rPr>
        <w:t>девушек</w:t>
      </w:r>
      <w:r>
        <w:rPr>
          <w:i w:val="0"/>
          <w:iCs/>
          <w:sz w:val="22"/>
        </w:rPr>
        <w:t xml:space="preserve"> в возрасте 15–19 лет приходится 50–100 живорождений. Просьба представить информацию о мерах, принятых пр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вительством в целях предотвращения нежелательной беременности среди по</w:t>
      </w:r>
      <w:r>
        <w:rPr>
          <w:i w:val="0"/>
          <w:iCs/>
          <w:sz w:val="22"/>
        </w:rPr>
        <w:t>д</w:t>
      </w:r>
      <w:r>
        <w:rPr>
          <w:i w:val="0"/>
          <w:iCs/>
          <w:sz w:val="22"/>
        </w:rPr>
        <w:t>ростков, и о результатах принятия таких мер за определенный период времени.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Все меры, принимаемые для поощрения планирования в репродуктивной сфере при работе соответствующих служб, учитывают особенности подростков. Наряду с этими мерами в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в школах была введена программа по проблемам охраны здоровья и профилактики. Программа была совместно разработана Министерством здравоохранения и Министерством образования, и ее задачей является сокращение уязвимости подростков в отношении заболеваний, передающихся половым путем, ВИЧ</w:t>
      </w:r>
      <w:r>
        <w:rPr>
          <w:spacing w:val="0"/>
          <w:w w:val="100"/>
          <w:sz w:val="22"/>
          <w:szCs w:val="24"/>
        </w:rPr>
        <w:noBreakHyphen/>
        <w:t>инфекции и нежелательной беременности путем просветительских и профилактических мер, а также расширения доступности презервативов.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Программа рассчитана на укрепление потенциала и постоянную подготовку учителей начальной и средней школы в отношении мер по предотвращению ЗППП/ВИЧ/СПИДа и ранних беременностей, в том числе раздачи 52-миллиметровых презервативов сексуально активным подросткам в возрасте 15–19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лет, учащимся в государственных школах. В 2004 году программа была видоизменена и скорректирована, и в настоящее время она адресована молодежи в возрасте 13–24 лет в начальной и средней школе. Следует отметить, что с 2000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 число беременных девочек подросткового возраста сократилось.</w:t>
      </w:r>
    </w:p>
    <w:p w:rsidR="00C46ECE" w:rsidRDefault="00C46ECE">
      <w:pPr>
        <w:pStyle w:val="Heading5"/>
        <w:spacing w:before="0" w:after="0"/>
        <w:jc w:val="both"/>
        <w:rPr>
          <w:sz w:val="22"/>
        </w:rPr>
      </w:pPr>
    </w:p>
    <w:p w:rsidR="00C46ECE" w:rsidRDefault="00C46ECE">
      <w:pPr>
        <w:pStyle w:val="Heading5"/>
        <w:spacing w:before="0" w:after="0"/>
        <w:jc w:val="both"/>
        <w:rPr>
          <w:sz w:val="22"/>
          <w:szCs w:val="24"/>
        </w:rPr>
      </w:pPr>
      <w:r>
        <w:rPr>
          <w:sz w:val="22"/>
        </w:rPr>
        <w:t>Сельские женщины</w:t>
      </w:r>
    </w:p>
    <w:p w:rsidR="00C46ECE" w:rsidRPr="00EE2787" w:rsidRDefault="00C46ECE">
      <w:pPr>
        <w:autoSpaceDE w:val="0"/>
        <w:autoSpaceDN w:val="0"/>
        <w:adjustRightInd w:val="0"/>
        <w:spacing w:line="240" w:lineRule="auto"/>
        <w:jc w:val="both"/>
        <w:rPr>
          <w:b/>
          <w:i/>
          <w:spacing w:val="0"/>
          <w:w w:val="100"/>
          <w:sz w:val="18"/>
          <w:szCs w:val="24"/>
        </w:rPr>
      </w:pPr>
    </w:p>
    <w:p w:rsidR="00C46ECE" w:rsidRDefault="00C46ECE">
      <w:pPr>
        <w:autoSpaceDE w:val="0"/>
        <w:autoSpaceDN w:val="0"/>
        <w:adjustRightInd w:val="0"/>
        <w:spacing w:line="240" w:lineRule="auto"/>
        <w:jc w:val="both"/>
        <w:rPr>
          <w:b/>
          <w:iCs/>
          <w:spacing w:val="0"/>
          <w:w w:val="100"/>
          <w:sz w:val="22"/>
          <w:szCs w:val="24"/>
        </w:rPr>
      </w:pPr>
      <w:r>
        <w:rPr>
          <w:b/>
          <w:iCs/>
          <w:spacing w:val="0"/>
          <w:w w:val="100"/>
          <w:sz w:val="22"/>
          <w:szCs w:val="24"/>
        </w:rPr>
        <w:t>25.  Согласно докладу (стр. 99), в Национальном плане, касающемся политики в отн</w:t>
      </w:r>
      <w:r>
        <w:rPr>
          <w:b/>
          <w:iCs/>
          <w:spacing w:val="0"/>
          <w:w w:val="100"/>
          <w:sz w:val="22"/>
          <w:szCs w:val="24"/>
        </w:rPr>
        <w:t>о</w:t>
      </w:r>
      <w:r>
        <w:rPr>
          <w:b/>
          <w:iCs/>
          <w:spacing w:val="0"/>
          <w:w w:val="100"/>
          <w:sz w:val="22"/>
          <w:szCs w:val="24"/>
        </w:rPr>
        <w:t>шении женщин, федеральное правительство заявило о своей цели предост</w:t>
      </w:r>
      <w:r>
        <w:rPr>
          <w:b/>
          <w:iCs/>
          <w:spacing w:val="0"/>
          <w:w w:val="100"/>
          <w:sz w:val="22"/>
          <w:szCs w:val="24"/>
        </w:rPr>
        <w:t>а</w:t>
      </w:r>
      <w:r>
        <w:rPr>
          <w:b/>
          <w:iCs/>
          <w:spacing w:val="0"/>
          <w:w w:val="100"/>
          <w:sz w:val="22"/>
          <w:szCs w:val="24"/>
        </w:rPr>
        <w:t xml:space="preserve">вить в рамках аграрной реформы в период с 2004 по 2007 год 400 000 совместных титулов на владение землей, при условии что участками земли будут владеть супружеские пары. Какое количество совместных титулов на владение землей уже предоставлено к настоящему времени?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16"/>
          <w:szCs w:val="24"/>
        </w:rPr>
      </w:pP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Ниже в таблице приведены данные по Национальному плану, касающемуся политики в отн</w:t>
      </w:r>
      <w:r>
        <w:rPr>
          <w:spacing w:val="0"/>
          <w:w w:val="100"/>
          <w:sz w:val="22"/>
          <w:szCs w:val="24"/>
        </w:rPr>
        <w:t>о</w:t>
      </w:r>
      <w:r>
        <w:rPr>
          <w:spacing w:val="0"/>
          <w:w w:val="100"/>
          <w:sz w:val="22"/>
          <w:szCs w:val="24"/>
        </w:rPr>
        <w:t>шении женщин, которые связаны с предоставлением правовых титулов на владение землей супружеским парам в рамках аграрной реформы в 2004–2007 годах.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16"/>
          <w:szCs w:val="2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562"/>
        <w:gridCol w:w="1980"/>
        <w:gridCol w:w="1440"/>
        <w:gridCol w:w="1440"/>
        <w:gridCol w:w="1440"/>
      </w:tblGrid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0" w:type="dxa"/>
            <w:gridSpan w:val="6"/>
          </w:tcPr>
          <w:p w:rsidR="00C46ECE" w:rsidRDefault="00C46ECE">
            <w:pPr>
              <w:pStyle w:val="texto-selecionadostyle56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Держатели правовых титулов в разбивке по полу, 2003–2006 годы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38" w:type="dxa"/>
          </w:tcPr>
          <w:p w:rsidR="00C46ECE" w:rsidRDefault="00C46ECE">
            <w:pPr>
              <w:pStyle w:val="Ttulodatabela"/>
              <w:snapToGrid w:val="0"/>
              <w:spacing w:before="20" w:after="20"/>
              <w:rPr>
                <w:rFonts w:cs="Times New Roman"/>
                <w:i w:val="0"/>
                <w:sz w:val="20"/>
                <w:lang w:val="ru-RU"/>
              </w:rPr>
            </w:pPr>
            <w:r>
              <w:rPr>
                <w:rFonts w:cs="Times New Roman"/>
                <w:i w:val="0"/>
                <w:sz w:val="20"/>
                <w:lang w:val="ru-RU"/>
              </w:rPr>
              <w:t>Пол</w:t>
            </w:r>
          </w:p>
        </w:tc>
        <w:tc>
          <w:tcPr>
            <w:tcW w:w="1562" w:type="dxa"/>
          </w:tcPr>
          <w:p w:rsidR="00C46ECE" w:rsidRDefault="00C46ECE">
            <w:pPr>
              <w:pStyle w:val="Ttulodatabela"/>
              <w:snapToGrid w:val="0"/>
              <w:spacing w:before="20" w:after="20"/>
              <w:rPr>
                <w:rFonts w:cs="Times New Roman"/>
                <w:i w:val="0"/>
                <w:sz w:val="20"/>
                <w:lang w:val="en-US"/>
              </w:rPr>
            </w:pPr>
            <w:r>
              <w:rPr>
                <w:rFonts w:cs="Times New Roman"/>
                <w:i w:val="0"/>
                <w:sz w:val="20"/>
                <w:lang w:val="en-US"/>
              </w:rPr>
              <w:t>2003</w:t>
            </w:r>
          </w:p>
        </w:tc>
        <w:tc>
          <w:tcPr>
            <w:tcW w:w="1980" w:type="dxa"/>
          </w:tcPr>
          <w:p w:rsidR="00C46ECE" w:rsidRDefault="00C46ECE">
            <w:pPr>
              <w:pStyle w:val="Ttulodatabela"/>
              <w:snapToGrid w:val="0"/>
              <w:spacing w:before="20" w:after="20"/>
              <w:rPr>
                <w:rFonts w:cs="Times New Roman"/>
                <w:i w:val="0"/>
                <w:sz w:val="20"/>
                <w:lang w:val="en-US"/>
              </w:rPr>
            </w:pPr>
            <w:r>
              <w:rPr>
                <w:rFonts w:cs="Times New Roman"/>
                <w:i w:val="0"/>
                <w:sz w:val="20"/>
                <w:lang w:val="en-US"/>
              </w:rPr>
              <w:t>2004</w:t>
            </w:r>
          </w:p>
        </w:tc>
        <w:tc>
          <w:tcPr>
            <w:tcW w:w="1440" w:type="dxa"/>
          </w:tcPr>
          <w:p w:rsidR="00C46ECE" w:rsidRDefault="00C46ECE">
            <w:pPr>
              <w:pStyle w:val="Ttulodatabela"/>
              <w:snapToGrid w:val="0"/>
              <w:spacing w:before="20" w:after="20"/>
              <w:rPr>
                <w:rFonts w:cs="Times New Roman"/>
                <w:i w:val="0"/>
                <w:sz w:val="20"/>
                <w:lang w:val="en-US"/>
              </w:rPr>
            </w:pPr>
            <w:r>
              <w:rPr>
                <w:rFonts w:cs="Times New Roman"/>
                <w:i w:val="0"/>
                <w:sz w:val="20"/>
                <w:lang w:val="en-US"/>
              </w:rPr>
              <w:t>2005</w:t>
            </w:r>
          </w:p>
        </w:tc>
        <w:tc>
          <w:tcPr>
            <w:tcW w:w="1440" w:type="dxa"/>
          </w:tcPr>
          <w:p w:rsidR="00C46ECE" w:rsidRDefault="00C46ECE">
            <w:pPr>
              <w:pStyle w:val="Ttulodatabela"/>
              <w:snapToGrid w:val="0"/>
              <w:spacing w:before="20" w:after="20"/>
              <w:rPr>
                <w:rFonts w:cs="Times New Roman"/>
                <w:i w:val="0"/>
                <w:sz w:val="20"/>
                <w:lang w:val="en-US"/>
              </w:rPr>
            </w:pPr>
            <w:r>
              <w:rPr>
                <w:rFonts w:cs="Times New Roman"/>
                <w:i w:val="0"/>
                <w:sz w:val="20"/>
                <w:lang w:val="en-US"/>
              </w:rPr>
              <w:t>2006</w:t>
            </w:r>
          </w:p>
        </w:tc>
        <w:tc>
          <w:tcPr>
            <w:tcW w:w="1440" w:type="dxa"/>
          </w:tcPr>
          <w:p w:rsidR="00C46ECE" w:rsidRDefault="00C46ECE">
            <w:pPr>
              <w:pStyle w:val="Ttulodatabela"/>
              <w:snapToGrid w:val="0"/>
              <w:spacing w:before="20" w:after="20"/>
              <w:rPr>
                <w:rFonts w:cs="Times New Roman"/>
                <w:i w:val="0"/>
                <w:sz w:val="20"/>
                <w:lang w:val="ru-RU"/>
              </w:rPr>
            </w:pPr>
            <w:r>
              <w:rPr>
                <w:rFonts w:cs="Times New Roman"/>
                <w:i w:val="0"/>
                <w:sz w:val="20"/>
                <w:lang w:val="ru-RU"/>
              </w:rPr>
              <w:t>ВСЕГО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8" w:type="dxa"/>
          </w:tcPr>
          <w:p w:rsidR="00C46ECE" w:rsidRDefault="00C46ECE">
            <w:pPr>
              <w:pStyle w:val="Contedodatabela"/>
              <w:snapToGrid w:val="0"/>
              <w:spacing w:before="20" w:after="20"/>
              <w:ind w:left="57"/>
              <w:jc w:val="both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  <w:lang w:val="ru-RU"/>
              </w:rPr>
              <w:t xml:space="preserve">Женщины </w:t>
            </w:r>
          </w:p>
        </w:tc>
        <w:tc>
          <w:tcPr>
            <w:tcW w:w="1562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979</w:t>
            </w:r>
          </w:p>
        </w:tc>
        <w:tc>
          <w:tcPr>
            <w:tcW w:w="1980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37</w:t>
            </w:r>
          </w:p>
        </w:tc>
        <w:tc>
          <w:tcPr>
            <w:tcW w:w="1440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280</w:t>
            </w:r>
          </w:p>
        </w:tc>
        <w:tc>
          <w:tcPr>
            <w:tcW w:w="1440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4</w:t>
            </w:r>
            <w:r>
              <w:rPr>
                <w:rFonts w:cs="Times New Roman"/>
                <w:sz w:val="20"/>
                <w:lang w:val="ru-RU"/>
              </w:rPr>
              <w:t> </w:t>
            </w:r>
            <w:r>
              <w:rPr>
                <w:rFonts w:cs="Times New Roman"/>
                <w:sz w:val="20"/>
                <w:lang w:val="en-US"/>
              </w:rPr>
              <w:t>328</w:t>
            </w:r>
          </w:p>
        </w:tc>
        <w:tc>
          <w:tcPr>
            <w:tcW w:w="1440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5 624</w:t>
            </w:r>
          </w:p>
        </w:tc>
      </w:tr>
      <w:tr w:rsidR="00C4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8" w:type="dxa"/>
          </w:tcPr>
          <w:p w:rsidR="00C46ECE" w:rsidRDefault="00C46ECE">
            <w:pPr>
              <w:pStyle w:val="Contedodatabela"/>
              <w:snapToGrid w:val="0"/>
              <w:spacing w:before="20" w:after="20"/>
              <w:ind w:left="57"/>
              <w:jc w:val="both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  <w:lang w:val="ru-RU"/>
              </w:rPr>
              <w:t xml:space="preserve">Мужчины </w:t>
            </w:r>
          </w:p>
        </w:tc>
        <w:tc>
          <w:tcPr>
            <w:tcW w:w="1562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1 079</w:t>
            </w:r>
          </w:p>
        </w:tc>
        <w:tc>
          <w:tcPr>
            <w:tcW w:w="1980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42</w:t>
            </w:r>
          </w:p>
        </w:tc>
        <w:tc>
          <w:tcPr>
            <w:tcW w:w="1440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360</w:t>
            </w:r>
          </w:p>
        </w:tc>
        <w:tc>
          <w:tcPr>
            <w:tcW w:w="1440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4 997</w:t>
            </w:r>
          </w:p>
        </w:tc>
        <w:tc>
          <w:tcPr>
            <w:tcW w:w="1440" w:type="dxa"/>
          </w:tcPr>
          <w:p w:rsidR="00C46ECE" w:rsidRDefault="00C46ECE">
            <w:pPr>
              <w:pStyle w:val="Contedodatabela"/>
              <w:snapToGrid w:val="0"/>
              <w:spacing w:before="20" w:after="2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6 479</w:t>
            </w:r>
          </w:p>
        </w:tc>
      </w:tr>
    </w:tbl>
    <w:p w:rsidR="00C46ECE" w:rsidRDefault="00C46ECE">
      <w:pPr>
        <w:spacing w:before="40" w:after="20" w:line="240" w:lineRule="auto"/>
        <w:jc w:val="both"/>
        <w:rPr>
          <w:spacing w:val="0"/>
          <w:w w:val="100"/>
          <w:szCs w:val="24"/>
          <w:lang w:val="en-US"/>
        </w:rPr>
      </w:pPr>
      <w:r>
        <w:rPr>
          <w:spacing w:val="0"/>
          <w:w w:val="100"/>
          <w:szCs w:val="24"/>
        </w:rPr>
        <w:t>Источник</w:t>
      </w:r>
      <w:r>
        <w:rPr>
          <w:spacing w:val="0"/>
          <w:w w:val="100"/>
          <w:szCs w:val="24"/>
          <w:lang w:val="en-US"/>
        </w:rPr>
        <w:t xml:space="preserve">: </w:t>
      </w:r>
      <w:r>
        <w:rPr>
          <w:spacing w:val="0"/>
          <w:w w:val="100"/>
          <w:szCs w:val="24"/>
        </w:rPr>
        <w:t>Министерство сельскохозяйственной реформы</w:t>
      </w:r>
      <w:r>
        <w:rPr>
          <w:spacing w:val="0"/>
          <w:w w:val="100"/>
          <w:szCs w:val="24"/>
          <w:lang w:val="en-US"/>
        </w:rPr>
        <w:t>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6"/>
          <w:szCs w:val="24"/>
          <w:lang w:val="en-US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Важно подчеркнуть, что 95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процентов планового наделения землей 400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000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семей в рамках Национальной программы аграрной реформы (НПАР) уже осуществлено, поскольку ее преимуществами воспользовались 385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000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семей. Выдача правовых титулов на владение землей происходит на более позднем этапе, поскольку в поселениях должна быть заложена инфраструктура и получена поддержка для производства, прежде чем могут быть выданы титулы на владение землей или разрешительные документы на ее использование.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16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Также важно отметить, что принимаются новые меры для расширения доступа женщин к НПАР и улучшения его условий. В соответствии с нормативной инструкцией №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38 Национальный институт по населенным пунктам и реформам аграрного сектора</w:t>
      </w:r>
      <w:r>
        <w:rPr>
          <w:spacing w:val="0"/>
          <w:w w:val="100"/>
          <w:sz w:val="22"/>
        </w:rPr>
        <w:t xml:space="preserve"> </w:t>
      </w:r>
      <w:r>
        <w:rPr>
          <w:spacing w:val="0"/>
          <w:w w:val="100"/>
          <w:sz w:val="22"/>
          <w:szCs w:val="24"/>
        </w:rPr>
        <w:t>намеревался расширить право женщин на доступ к Национальной программе аграрной реформы в рамках следующих мер:</w:t>
      </w:r>
    </w:p>
    <w:p w:rsidR="00C46ECE" w:rsidRDefault="00C46ECE">
      <w:pPr>
        <w:numPr>
          <w:ilvl w:val="0"/>
          <w:numId w:val="16"/>
        </w:numPr>
        <w:tabs>
          <w:tab w:val="clear" w:pos="750"/>
        </w:tabs>
        <w:spacing w:line="240" w:lineRule="auto"/>
        <w:ind w:left="748" w:hanging="391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Изменение процедур и механизмов регистрации заявителей; осуществление проектов в области аграрной реформы; учет семей в сферах упорядочения использования земли и выдачи правовых титулов; и введение регистрационных сертификатов на аграрную собственность в обязательном порядке мужчинам и женщинам, независимо от их гражданского состояния.</w:t>
      </w:r>
    </w:p>
    <w:p w:rsidR="00C46ECE" w:rsidRDefault="00C46ECE">
      <w:pPr>
        <w:numPr>
          <w:ilvl w:val="0"/>
          <w:numId w:val="16"/>
        </w:numPr>
        <w:tabs>
          <w:tab w:val="clear" w:pos="750"/>
        </w:tabs>
        <w:spacing w:line="240" w:lineRule="auto"/>
        <w:ind w:left="748" w:hanging="391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Обязательная декларация гражданского состояния или предоставление его доказательств. Подающая заявление семья, не сделавшая декларации гражданского состояния или представившая ложные сведения, будет лишена права участия в Национальной программе аграрной реформы.</w:t>
      </w:r>
    </w:p>
    <w:p w:rsidR="00C46ECE" w:rsidRDefault="00C46ECE">
      <w:pPr>
        <w:numPr>
          <w:ilvl w:val="0"/>
          <w:numId w:val="16"/>
        </w:numPr>
        <w:tabs>
          <w:tab w:val="clear" w:pos="750"/>
        </w:tabs>
        <w:spacing w:line="240" w:lineRule="auto"/>
        <w:ind w:left="748" w:hanging="391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Включение нового дополнительного критерия, в соответствии с которым предпочтение при классификации семей в отношении получения выгод от аграрной реформы отдается семьям, возглавляемым женщинами.</w:t>
      </w:r>
    </w:p>
    <w:p w:rsidR="00C46ECE" w:rsidRDefault="00C46ECE">
      <w:pPr>
        <w:numPr>
          <w:ilvl w:val="0"/>
          <w:numId w:val="16"/>
        </w:numPr>
        <w:tabs>
          <w:tab w:val="clear" w:pos="750"/>
        </w:tabs>
        <w:spacing w:line="240" w:lineRule="auto"/>
        <w:ind w:left="748" w:hanging="391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Введение сертификатов для женщин, участвующих в программе аграрной реформы, для содействия признанию их прав государственными учреждениями.</w:t>
      </w:r>
    </w:p>
    <w:p w:rsidR="00C46ECE" w:rsidRDefault="00C46ECE">
      <w:pPr>
        <w:numPr>
          <w:ilvl w:val="0"/>
          <w:numId w:val="16"/>
        </w:numPr>
        <w:tabs>
          <w:tab w:val="clear" w:pos="750"/>
        </w:tabs>
        <w:spacing w:line="240" w:lineRule="auto"/>
        <w:ind w:left="748" w:hanging="391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Оказание женщинам поддержки в рамках мероприятий по развитию сельских районов с целью содействия их экономической интеграции с помощью государственной политики, обеспечение их участия в принятии решений на уровне населенного пункта и включение определения архитектуры сельского жилища в качестве условия предоставления женщинам кредита на этом уровне.</w:t>
      </w:r>
    </w:p>
    <w:p w:rsidR="00C46ECE" w:rsidRDefault="00C46ECE">
      <w:pPr>
        <w:spacing w:line="240" w:lineRule="auto"/>
        <w:ind w:left="357"/>
        <w:jc w:val="both"/>
        <w:rPr>
          <w:spacing w:val="0"/>
          <w:w w:val="100"/>
          <w:sz w:val="22"/>
          <w:szCs w:val="24"/>
        </w:rPr>
      </w:pPr>
    </w:p>
    <w:p w:rsidR="00C46ECE" w:rsidRPr="00EE2787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26.  </w:t>
      </w:r>
      <w:r>
        <w:rPr>
          <w:i w:val="0"/>
          <w:iCs/>
          <w:sz w:val="22"/>
        </w:rPr>
        <w:t xml:space="preserve">В докладе </w:t>
      </w:r>
      <w:r>
        <w:rPr>
          <w:i w:val="0"/>
          <w:iCs/>
          <w:sz w:val="22"/>
          <w:lang w:val="ru-RU"/>
        </w:rPr>
        <w:t xml:space="preserve">(стр. 98) </w:t>
      </w:r>
      <w:r>
        <w:rPr>
          <w:i w:val="0"/>
          <w:iCs/>
          <w:sz w:val="22"/>
        </w:rPr>
        <w:t>отмечается, что результаты исследования различных форм н</w:t>
      </w:r>
      <w:r>
        <w:rPr>
          <w:i w:val="0"/>
          <w:iCs/>
          <w:sz w:val="22"/>
        </w:rPr>
        <w:t>а</w:t>
      </w:r>
      <w:r>
        <w:rPr>
          <w:i w:val="0"/>
          <w:iCs/>
          <w:sz w:val="22"/>
        </w:rPr>
        <w:t>силия в отношении женщин в сельских районах, проведенного Движ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нием сельских женщин "Санта Катарина</w:t>
      </w:r>
      <w:r>
        <w:rPr>
          <w:i w:val="0"/>
          <w:iCs/>
          <w:sz w:val="22"/>
          <w:lang w:val="ru-RU"/>
        </w:rPr>
        <w:t>"</w:t>
      </w:r>
      <w:r>
        <w:rPr>
          <w:i w:val="0"/>
          <w:iCs/>
          <w:sz w:val="22"/>
        </w:rPr>
        <w:t xml:space="preserve"> (2002 год), свидетельствуют о том, что из каждых 100 женщин 10 являются жертвами агрессии со стороны своих мужей. Просьба представить информацию о мерах, принятых с целью предотвращения и пресечения нас</w:t>
      </w:r>
      <w:r>
        <w:rPr>
          <w:i w:val="0"/>
          <w:iCs/>
          <w:sz w:val="22"/>
        </w:rPr>
        <w:t>и</w:t>
      </w:r>
      <w:r>
        <w:rPr>
          <w:i w:val="0"/>
          <w:iCs/>
          <w:sz w:val="22"/>
        </w:rPr>
        <w:t>лия в отношении сельских женщин.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На настоящий момент специальных мер с целью предотвращения и пресечения нас</w:t>
      </w:r>
      <w:r>
        <w:rPr>
          <w:spacing w:val="0"/>
          <w:w w:val="100"/>
          <w:sz w:val="22"/>
          <w:szCs w:val="24"/>
        </w:rPr>
        <w:t>и</w:t>
      </w:r>
      <w:r>
        <w:rPr>
          <w:spacing w:val="0"/>
          <w:w w:val="100"/>
          <w:sz w:val="22"/>
          <w:szCs w:val="24"/>
        </w:rPr>
        <w:t>лия в отношении сельских женщин принято не было. Действия в этом отношении проводятся в рамках общих мер по предотвращению насилия в отношении женщин, таких как закон Марии да Пенья. Следует отметить, что вопрос борьбы с насилием в отношении женщин также рассматривается на различных семинарах и в рамках кампаний, проводимых трудящимися сельскими женщинами.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pStyle w:val="BodyText3"/>
        <w:autoSpaceDE w:val="0"/>
        <w:autoSpaceDN w:val="0"/>
        <w:adjustRightInd w:val="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27.</w:t>
      </w:r>
      <w:r>
        <w:rPr>
          <w:i w:val="0"/>
          <w:iCs/>
          <w:sz w:val="22"/>
          <w:lang w:val="en-US"/>
        </w:rPr>
        <w:t>  </w:t>
      </w:r>
      <w:r>
        <w:rPr>
          <w:i w:val="0"/>
          <w:iCs/>
          <w:sz w:val="22"/>
        </w:rPr>
        <w:t xml:space="preserve">В докладе </w:t>
      </w:r>
      <w:r>
        <w:rPr>
          <w:i w:val="0"/>
          <w:iCs/>
          <w:sz w:val="22"/>
          <w:lang w:val="ru-RU"/>
        </w:rPr>
        <w:t xml:space="preserve">(стр. 96) </w:t>
      </w:r>
      <w:r>
        <w:rPr>
          <w:i w:val="0"/>
          <w:iCs/>
          <w:sz w:val="22"/>
        </w:rPr>
        <w:t>отмечается значительное неравенство в плане доходов, сущес</w:t>
      </w:r>
      <w:r>
        <w:rPr>
          <w:i w:val="0"/>
          <w:iCs/>
          <w:sz w:val="22"/>
        </w:rPr>
        <w:t>т</w:t>
      </w:r>
      <w:r>
        <w:rPr>
          <w:i w:val="0"/>
          <w:iCs/>
          <w:sz w:val="22"/>
        </w:rPr>
        <w:t>вующее между белыми и чернокожими сельскими женщинами; черн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кожие сельские женщины получают 56 процентов от того, что получают белые раб</w:t>
      </w:r>
      <w:r>
        <w:rPr>
          <w:i w:val="0"/>
          <w:iCs/>
          <w:sz w:val="22"/>
        </w:rPr>
        <w:t>о</w:t>
      </w:r>
      <w:r>
        <w:rPr>
          <w:i w:val="0"/>
          <w:iCs/>
          <w:sz w:val="22"/>
        </w:rPr>
        <w:t>тающие сельские женщины. Какие осуществляются меры для устранения ди</w:t>
      </w:r>
      <w:r>
        <w:rPr>
          <w:i w:val="0"/>
          <w:iCs/>
          <w:sz w:val="22"/>
        </w:rPr>
        <w:t>с</w:t>
      </w:r>
      <w:r>
        <w:rPr>
          <w:i w:val="0"/>
          <w:iCs/>
          <w:sz w:val="22"/>
        </w:rPr>
        <w:t>криминации в области доходов, с которой сталкиваются чернокожие сел</w:t>
      </w:r>
      <w:r>
        <w:rPr>
          <w:i w:val="0"/>
          <w:iCs/>
          <w:sz w:val="22"/>
        </w:rPr>
        <w:t>ь</w:t>
      </w:r>
      <w:r>
        <w:rPr>
          <w:i w:val="0"/>
          <w:iCs/>
          <w:sz w:val="22"/>
        </w:rPr>
        <w:t>ские женщины, и каковы результаты осуществления таких мер за определенный п</w:t>
      </w:r>
      <w:r>
        <w:rPr>
          <w:i w:val="0"/>
          <w:iCs/>
          <w:sz w:val="22"/>
        </w:rPr>
        <w:t>е</w:t>
      </w:r>
      <w:r>
        <w:rPr>
          <w:i w:val="0"/>
          <w:iCs/>
          <w:sz w:val="22"/>
        </w:rPr>
        <w:t>риод времени?</w:t>
      </w:r>
      <w:r>
        <w:rPr>
          <w:i w:val="0"/>
          <w:iCs/>
          <w:sz w:val="22"/>
          <w:lang w:val="ru-RU"/>
        </w:rPr>
        <w:t xml:space="preserve"> 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 xml:space="preserve">Что касается мер по устранению неравенства доходов чернокожих сельских женщин, то Министерство сельскохозяйственной реформы осуществило особую инициативу в рамках проекта этнического развития женщин народности киломбола, совместно с </w:t>
      </w:r>
      <w:r>
        <w:rPr>
          <w:spacing w:val="0"/>
          <w:w w:val="100"/>
          <w:sz w:val="22"/>
          <w:szCs w:val="24"/>
          <w:lang w:val="en-US"/>
        </w:rPr>
        <w:t>DFID</w:t>
      </w:r>
      <w:r>
        <w:rPr>
          <w:spacing w:val="0"/>
          <w:w w:val="100"/>
          <w:sz w:val="22"/>
          <w:szCs w:val="24"/>
        </w:rPr>
        <w:t xml:space="preserve"> и ЮНИФЕМ. Эти меры направлены на обеспечение соответствия программ, позитивные действия, распределение имеющихся ресурсов, наряду с разработкой государственной политики, при уделении основного внимания технической помощи и содействию развитию и сбыту в сельских районах.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18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Охватываемые проектом 21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община в 14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штатах (Амапа, Пара, Алагоас, Мараньян, Пернамбуку, Пиауи, Сержипи, Гояс, Мату-Гросу-ду-Сул, Мату-Гросу, Эспириту-Санту, Сан-Паулу, Рио-Гранди-ду-Сул и Санта Катарина) были отобраны, поскольку там имеются женские организации, пользующиеся преимуществами упорядочения использования земли, проводимого Министерством сельскохозяйственного развития и Национальным институтом по населенным пунктам и реформам аграрного сектора, и являющиеся бенефициарами Программы борьбы с голодом в общинах киломбола.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рамках этого проекта проводились следующие мероприятия: один семинар для ориентации и подготовки женщин киломбола для разработки проектов; две национальные конференции по теме "Женщины киломбола: гендерные аспекты и государственная политика в области этнического развития" (март и июнь 2005 года); и восемь поездок технического характера в общины, охватываемые проектом (август – октябрь 2005 года), с целью оценки существующего там положения, подготовки и планирования мероприятий, а также сбыта продукции, производимой женщинами киломбола.</w:t>
      </w:r>
    </w:p>
    <w:p w:rsidR="00C46ECE" w:rsidRDefault="00C46ECE">
      <w:pPr>
        <w:pStyle w:val="Pargrafo"/>
        <w:spacing w:after="0" w:line="240" w:lineRule="auto"/>
        <w:rPr>
          <w:rFonts w:ascii="Times New Roman" w:hAnsi="Times New Roman"/>
          <w:sz w:val="22"/>
          <w:szCs w:val="24"/>
          <w:lang w:val="ru-RU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Для содействия участию общин киломбола в жизни общества и в управлении жизнью общества был создан Постоянный комитет по гендерным и расовым проблемам и вопросам этнического происхождения при Национальном совете по вопросам сельского развития (КОНДРАФ). В Комитет входят представители Министерства сельскохозяйственного развития, других государственных органов, а также структур гражданского общества. Основываясь на особых запросах этих групп населения, Комитет ставит перед собой задачу ориентировать Министерство сельскохозяйственного развития в отношении подготовки, осуществления и оценки государственной политики.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2004 и 2005 годах поддержка была оказана пяти проектам, представленным производственными группами женщин киломбола из различных районов страны. Эти инициативы представляют собой попытку создания сети производства и сбыта для обеспечения продовольственной безопасности, управления традиционными землями и автономии женщин киломбола. На проекты было выделено 617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722,50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реала, из которых 209 744 реала были переведены в 2004 году, а 307 798,50 реала – в 2005 году.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Направления деятельности в рамках вышеупомянутых проектов включают следующее: содействие более активному участию женщин в местной экономике путем расширения перспектив занятости; укрепление добывающих отраслей сельского хозяйства, поощрение кооперативов и развитие агропромышленности, выращивание мелких животных и рыбоводство, на основании различных местных обычаев общин киломбола; расширение участия молодежи; содействие устойчивому развитию участвующих в проектах общин путем охвата их экотуризмом в рамках относящихся к этому сектору мероприятий; определение перспектив занятости и получения доходов на основе устойчивого управления природными ресурсами общин киломбола; и профессиональная подготовка и наращивание потенциала в сферах агроэкологии и продовольственной безопасности.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2004 году по инициативе Министерства сельскохозяйственного развития в Бразилиа была проведена первая Национальная ярмарка семейного фермерства и аграрной реформы. На ней было проведено обследование производственной деятельности общин киломбола, причем основное внимание уделялось художественным промыслам. В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ярмарке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приняли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участие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десять</w:t>
      </w:r>
      <w:r w:rsidRPr="00EE2787">
        <w:rPr>
          <w:spacing w:val="0"/>
          <w:w w:val="100"/>
          <w:sz w:val="22"/>
          <w:szCs w:val="24"/>
        </w:rPr>
        <w:t xml:space="preserve"> </w:t>
      </w:r>
      <w:r>
        <w:rPr>
          <w:spacing w:val="0"/>
          <w:w w:val="100"/>
          <w:sz w:val="22"/>
          <w:szCs w:val="24"/>
        </w:rPr>
        <w:t>общин</w:t>
      </w:r>
      <w:r w:rsidRPr="00EE2787">
        <w:rPr>
          <w:spacing w:val="0"/>
          <w:w w:val="100"/>
          <w:sz w:val="22"/>
          <w:szCs w:val="24"/>
        </w:rPr>
        <w:t xml:space="preserve">. </w:t>
      </w:r>
      <w:r>
        <w:rPr>
          <w:spacing w:val="0"/>
          <w:w w:val="100"/>
          <w:sz w:val="22"/>
          <w:szCs w:val="24"/>
        </w:rPr>
        <w:t>Во второй Национальной ярмарке семейного фермерства и аграрной реформы (МСР/2995) приняли участие 19 общин киломбола из девяти штатов.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Такие инициативы открывают широкие перспективы обмена идеями, не только среди киломбола, но и среди других участников. Наряду с этим данная инициатива позволила познакомить общественность с различными направлениями политики, проводимой федеральным правительством. Для обеспечения участия женщин в этих мероприятиях было выделено 142 100 реалов.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Для удовлетворения потребностей женщин в документах в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Министерство сельскохозяйственного развития (МСР) совместно со Специальным секретариатом по политике в отношении женщин учредило Национальную программу документации для сельских работающих женщин. В настоящее время программа осуществляется совместно с Национальным институтом по населенным пунктам и реформам аграрного сектора (ИНКРА) и федеральными управлениями МСР по всей стране. Цель программы заключается в том, чтобы бесплатно распространять такие документы, как удостоверения личности, идентификационные номера налогоплательщиков, трудовые книжки, свидетельства о рождении и свидетельства о регистрации в системе социального страхования.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приоритетное внимание уделялось группам населения, являвшимся в централизованном порядке объектами политики МСР/ИНКРА. Мероприятия проводились в каждом из регионов страны в наиболее нуждающихся штатах, а в рамках штатов – в районах с большей концентрацией сельских населенных пунктов. На первом этапе приоритет отдавался штатам и территориям с более значительными запросами в рамках проводимых МСР/ИНКРА мер. В 23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штатах было выдано 64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804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документа (исключениями стали штаты Акри, Риу-Гранди-ду-Сул, Рио-де-Жанейро и Риу-Гранди-ду-Норти).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Национальной программой документации для сельских работающих женщин были охвачены общины киломбола. В 2005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в 64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общинах девяти штатов женщинам киломбола были выданы 13 825 документов.</w:t>
      </w:r>
    </w:p>
    <w:p w:rsidR="00C46ECE" w:rsidRDefault="00C46ECE">
      <w:pPr>
        <w:pStyle w:val="Heading5"/>
        <w:spacing w:before="0" w:after="0"/>
        <w:jc w:val="both"/>
        <w:rPr>
          <w:sz w:val="22"/>
        </w:rPr>
      </w:pPr>
    </w:p>
    <w:p w:rsidR="00C46ECE" w:rsidRDefault="00C46ECE">
      <w:pPr>
        <w:pStyle w:val="Heading5"/>
        <w:spacing w:before="0" w:after="0"/>
        <w:jc w:val="both"/>
        <w:rPr>
          <w:sz w:val="22"/>
          <w:szCs w:val="24"/>
          <w:lang w:val="ru-RU"/>
        </w:rPr>
      </w:pPr>
      <w:r>
        <w:rPr>
          <w:sz w:val="22"/>
        </w:rPr>
        <w:t>Брак и семейные отношения</w:t>
      </w:r>
    </w:p>
    <w:p w:rsidR="00C46ECE" w:rsidRPr="00EE2787" w:rsidRDefault="00C46ECE">
      <w:pPr>
        <w:spacing w:line="240" w:lineRule="auto"/>
        <w:jc w:val="both"/>
        <w:rPr>
          <w:b/>
          <w:i/>
          <w:spacing w:val="0"/>
          <w:w w:val="100"/>
          <w:sz w:val="22"/>
          <w:szCs w:val="24"/>
        </w:rPr>
      </w:pPr>
    </w:p>
    <w:p w:rsidR="00C46ECE" w:rsidRPr="00EE2787" w:rsidRDefault="00C46ECE">
      <w:pPr>
        <w:spacing w:line="240" w:lineRule="auto"/>
        <w:jc w:val="both"/>
        <w:rPr>
          <w:b/>
          <w:iCs/>
          <w:spacing w:val="0"/>
          <w:w w:val="100"/>
          <w:sz w:val="22"/>
          <w:szCs w:val="24"/>
        </w:rPr>
      </w:pPr>
      <w:r>
        <w:rPr>
          <w:b/>
          <w:iCs/>
          <w:spacing w:val="0"/>
          <w:w w:val="100"/>
          <w:sz w:val="22"/>
          <w:szCs w:val="24"/>
        </w:rPr>
        <w:t>28.  Как отмечается в докладе (стр. 105), в Гражданском кодексе по</w:t>
      </w:r>
      <w:r>
        <w:rPr>
          <w:b/>
          <w:iCs/>
          <w:spacing w:val="0"/>
          <w:w w:val="100"/>
          <w:sz w:val="22"/>
          <w:szCs w:val="24"/>
        </w:rPr>
        <w:noBreakHyphen/>
        <w:t>прежнему содержа</w:t>
      </w:r>
      <w:r>
        <w:rPr>
          <w:b/>
          <w:iCs/>
          <w:spacing w:val="0"/>
          <w:w w:val="100"/>
          <w:sz w:val="22"/>
          <w:szCs w:val="24"/>
        </w:rPr>
        <w:t>т</w:t>
      </w:r>
      <w:r>
        <w:rPr>
          <w:b/>
          <w:iCs/>
          <w:spacing w:val="0"/>
          <w:w w:val="100"/>
          <w:sz w:val="22"/>
          <w:szCs w:val="24"/>
        </w:rPr>
        <w:t>ся дискриминационные положения, в том числе в отношении брака и семейных отношений, включая статью о брачном возрасте, которая устанавливает для мужчин и женщин различный возраст вступления в брак; статью, предоста</w:t>
      </w:r>
      <w:r>
        <w:rPr>
          <w:b/>
          <w:iCs/>
          <w:spacing w:val="0"/>
          <w:w w:val="100"/>
          <w:sz w:val="22"/>
          <w:szCs w:val="24"/>
        </w:rPr>
        <w:t>в</w:t>
      </w:r>
      <w:r>
        <w:rPr>
          <w:b/>
          <w:iCs/>
          <w:spacing w:val="0"/>
          <w:w w:val="100"/>
          <w:sz w:val="22"/>
          <w:szCs w:val="24"/>
        </w:rPr>
        <w:t>ляющую возможность отказа от защиты только замужним женщинам; и стат</w:t>
      </w:r>
      <w:r>
        <w:rPr>
          <w:b/>
          <w:iCs/>
          <w:spacing w:val="0"/>
          <w:w w:val="100"/>
          <w:sz w:val="22"/>
          <w:szCs w:val="24"/>
        </w:rPr>
        <w:t>ь</w:t>
      </w:r>
      <w:r>
        <w:rPr>
          <w:b/>
          <w:iCs/>
          <w:spacing w:val="0"/>
          <w:w w:val="100"/>
          <w:sz w:val="22"/>
          <w:szCs w:val="24"/>
        </w:rPr>
        <w:t>ю, устанавливающую ограничения на вступление женщины в брак. Учитывая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признание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правительством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необходимости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отменить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эти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положения</w:t>
      </w:r>
      <w:r w:rsidRPr="00EE2787">
        <w:rPr>
          <w:b/>
          <w:iCs/>
          <w:spacing w:val="0"/>
          <w:w w:val="100"/>
          <w:sz w:val="22"/>
          <w:szCs w:val="24"/>
        </w:rPr>
        <w:t xml:space="preserve">, </w:t>
      </w:r>
      <w:r>
        <w:rPr>
          <w:b/>
          <w:iCs/>
          <w:spacing w:val="0"/>
          <w:w w:val="100"/>
          <w:sz w:val="22"/>
          <w:szCs w:val="24"/>
        </w:rPr>
        <w:t>просьба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представить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обновленную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информацию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о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мерах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по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ликвидации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этих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дискр</w:t>
      </w:r>
      <w:r>
        <w:rPr>
          <w:b/>
          <w:iCs/>
          <w:spacing w:val="0"/>
          <w:w w:val="100"/>
          <w:sz w:val="22"/>
          <w:szCs w:val="24"/>
        </w:rPr>
        <w:t>и</w:t>
      </w:r>
      <w:r>
        <w:rPr>
          <w:b/>
          <w:iCs/>
          <w:spacing w:val="0"/>
          <w:w w:val="100"/>
          <w:sz w:val="22"/>
          <w:szCs w:val="24"/>
        </w:rPr>
        <w:t>минационных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положений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в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Гражданском</w:t>
      </w:r>
      <w:r w:rsidRPr="00EE2787">
        <w:rPr>
          <w:b/>
          <w:iCs/>
          <w:spacing w:val="0"/>
          <w:w w:val="100"/>
          <w:sz w:val="22"/>
          <w:szCs w:val="24"/>
        </w:rPr>
        <w:t xml:space="preserve"> </w:t>
      </w:r>
      <w:r>
        <w:rPr>
          <w:b/>
          <w:iCs/>
          <w:spacing w:val="0"/>
          <w:w w:val="100"/>
          <w:sz w:val="22"/>
          <w:szCs w:val="24"/>
        </w:rPr>
        <w:t>кодексе</w:t>
      </w:r>
      <w:r w:rsidRPr="00EE2787">
        <w:rPr>
          <w:b/>
          <w:iCs/>
          <w:spacing w:val="0"/>
          <w:w w:val="100"/>
          <w:sz w:val="22"/>
          <w:szCs w:val="24"/>
        </w:rPr>
        <w:t>.</w:t>
      </w:r>
    </w:p>
    <w:p w:rsidR="00C46ECE" w:rsidRPr="00EE2787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Полагаем, что данный ранее ответ был неточен, поскольку во вступившей в силу в 2003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году главе Гражданского кодекса относительно права на заключение брака, а конкретнее в статье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1517 говорится, что брак могут заключать мужчины и женщины в возрасте 16 лет, при наличии согласия родителей или их законных представителей, до достижения ими совершеннолетия.</w:t>
      </w:r>
    </w:p>
    <w:p w:rsidR="00C46ECE" w:rsidRDefault="00C46ECE">
      <w:pPr>
        <w:spacing w:line="240" w:lineRule="auto"/>
        <w:jc w:val="both"/>
        <w:rPr>
          <w:spacing w:val="0"/>
          <w:w w:val="100"/>
          <w:sz w:val="22"/>
          <w:szCs w:val="24"/>
        </w:rPr>
      </w:pPr>
    </w:p>
    <w:p w:rsidR="00C46ECE" w:rsidRDefault="00C46ECE">
      <w:pPr>
        <w:spacing w:after="120" w:line="240" w:lineRule="auto"/>
        <w:jc w:val="both"/>
        <w:rPr>
          <w:spacing w:val="0"/>
          <w:w w:val="100"/>
          <w:sz w:val="22"/>
          <w:szCs w:val="24"/>
        </w:rPr>
      </w:pPr>
      <w:r>
        <w:rPr>
          <w:spacing w:val="0"/>
          <w:w w:val="100"/>
          <w:sz w:val="22"/>
          <w:szCs w:val="24"/>
        </w:rPr>
        <w:t>В связи с этим стоит отметить, что в последнее время удалось добиться прогресса путем утверждения Закона 11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441 от 4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января 2007</w:t>
      </w:r>
      <w:r>
        <w:rPr>
          <w:spacing w:val="0"/>
          <w:w w:val="100"/>
          <w:sz w:val="22"/>
          <w:szCs w:val="24"/>
          <w:lang w:val="en-US"/>
        </w:rPr>
        <w:t> </w:t>
      </w:r>
      <w:r>
        <w:rPr>
          <w:spacing w:val="0"/>
          <w:w w:val="100"/>
          <w:sz w:val="22"/>
          <w:szCs w:val="24"/>
        </w:rPr>
        <w:t>года, который вносит изменения в положения Закона 5869 от января 1973 года (Гражданский процессуальный кодекс) и которым допускается опись, раздел имущества, добровольное раздельное проживание и развод в рамках административных процедур.</w:t>
      </w:r>
    </w:p>
    <w:p w:rsidR="00C46ECE" w:rsidRDefault="00C46ECE">
      <w:pPr>
        <w:spacing w:after="120" w:line="240" w:lineRule="auto"/>
        <w:jc w:val="both"/>
        <w:rPr>
          <w:b/>
          <w:i/>
          <w:spacing w:val="0"/>
          <w:w w:val="100"/>
          <w:sz w:val="22"/>
          <w:szCs w:val="24"/>
        </w:rPr>
      </w:pPr>
      <w:r>
        <w:rPr>
          <w:b/>
          <w:i/>
          <w:spacing w:val="0"/>
          <w:w w:val="100"/>
          <w:sz w:val="22"/>
          <w:szCs w:val="24"/>
        </w:rPr>
        <w:t>Факультативный протокол</w:t>
      </w:r>
    </w:p>
    <w:p w:rsidR="00C46ECE" w:rsidRDefault="00C46ECE">
      <w:pPr>
        <w:pStyle w:val="BodyText3"/>
        <w:spacing w:after="120"/>
        <w:rPr>
          <w:i w:val="0"/>
          <w:iCs/>
          <w:sz w:val="22"/>
          <w:lang w:val="ru-RU"/>
        </w:rPr>
      </w:pPr>
      <w:r>
        <w:rPr>
          <w:i w:val="0"/>
          <w:iCs/>
          <w:sz w:val="22"/>
          <w:lang w:val="ru-RU"/>
        </w:rPr>
        <w:t>29.  </w:t>
      </w:r>
      <w:r>
        <w:rPr>
          <w:i w:val="0"/>
          <w:iCs/>
          <w:sz w:val="22"/>
        </w:rPr>
        <w:t>Просьба изложить запланированные или планируемые правительством меры по пропаганде Факультативного протокола и поощрению его применения.</w:t>
      </w:r>
    </w:p>
    <w:p w:rsidR="00C46ECE" w:rsidRDefault="00C46ECE">
      <w:pPr>
        <w:pStyle w:val="BodyText"/>
        <w:jc w:val="both"/>
        <w:rPr>
          <w:sz w:val="22"/>
          <w:lang w:val="ru-RU"/>
        </w:rPr>
      </w:pPr>
      <w:r>
        <w:rPr>
          <w:sz w:val="22"/>
          <w:lang w:val="ru-RU"/>
        </w:rPr>
        <w:t>В целом Специальный секретариат по политике в отношении женщин сознает важность включения в программы профессиональной подготовки соглашений и международных договоров по правам женщин, подписанных Бразилией, в том числе КЛДЖ и Факультативного протокола к ней.</w:t>
      </w:r>
    </w:p>
    <w:p w:rsidR="00C46ECE" w:rsidRDefault="00C46ECE">
      <w:pPr>
        <w:pStyle w:val="BodyText"/>
        <w:jc w:val="both"/>
        <w:rPr>
          <w:sz w:val="22"/>
          <w:lang w:val="ru-RU"/>
        </w:rPr>
      </w:pPr>
      <w:r>
        <w:rPr>
          <w:sz w:val="22"/>
          <w:lang w:val="ru-RU"/>
        </w:rPr>
        <w:t>Необходимо обратить внимание на электронную публикацию, озаглавленную "Международные документы по правам женщин", в которую вошли основные международные документы по правам женщин, подписанные Бразилией: КЛДЖ и Факультативный протокол к ней, Конвенция Белем-ду-Пара, Каирская и Пекинская декларации, с краткими комментариями специалистов – Лейлы Линьяриш, Марии Луизы Виотти, Силвии Пиментел и Тани Патриоты.</w:t>
      </w:r>
    </w:p>
    <w:p w:rsidR="00C46ECE" w:rsidRPr="00EE2787" w:rsidRDefault="00C46ECE">
      <w:pPr>
        <w:pStyle w:val="BodyText"/>
        <w:jc w:val="both"/>
        <w:rPr>
          <w:sz w:val="22"/>
          <w:lang w:val="ru-RU"/>
        </w:rPr>
      </w:pPr>
      <w:hyperlink r:id="rId15" w:history="1">
        <w:r>
          <w:rPr>
            <w:rStyle w:val="Hyperlink"/>
            <w:color w:val="auto"/>
            <w:sz w:val="22"/>
            <w:lang w:val="en-US"/>
          </w:rPr>
          <w:t>http</w:t>
        </w:r>
        <w:r w:rsidRPr="00EE2787">
          <w:rPr>
            <w:rStyle w:val="Hyperlink"/>
            <w:color w:val="auto"/>
            <w:sz w:val="22"/>
            <w:lang w:val="ru-RU"/>
          </w:rPr>
          <w:t>://200.130.7.5/</w:t>
        </w:r>
        <w:r>
          <w:rPr>
            <w:rStyle w:val="Hyperlink"/>
            <w:color w:val="auto"/>
            <w:sz w:val="22"/>
            <w:lang w:val="en-US"/>
          </w:rPr>
          <w:t>s</w:t>
        </w:r>
        <w:r>
          <w:rPr>
            <w:rStyle w:val="Hyperlink"/>
            <w:color w:val="auto"/>
            <w:sz w:val="22"/>
            <w:lang w:val="en-US"/>
          </w:rPr>
          <w:t>pmu</w:t>
        </w:r>
        <w:r w:rsidRPr="00EE2787">
          <w:rPr>
            <w:rStyle w:val="Hyperlink"/>
            <w:color w:val="auto"/>
            <w:sz w:val="22"/>
            <w:lang w:val="ru-RU"/>
          </w:rPr>
          <w:t>/</w:t>
        </w:r>
        <w:r>
          <w:rPr>
            <w:rStyle w:val="Hyperlink"/>
            <w:color w:val="auto"/>
            <w:sz w:val="22"/>
            <w:lang w:val="en-US"/>
          </w:rPr>
          <w:t>docs</w:t>
        </w:r>
        <w:r w:rsidRPr="00EE2787">
          <w:rPr>
            <w:rStyle w:val="Hyperlink"/>
            <w:color w:val="auto"/>
            <w:sz w:val="22"/>
            <w:lang w:val="ru-RU"/>
          </w:rPr>
          <w:t>/</w:t>
        </w:r>
        <w:r>
          <w:rPr>
            <w:rStyle w:val="Hyperlink"/>
            <w:color w:val="auto"/>
            <w:sz w:val="22"/>
            <w:lang w:val="en-US"/>
          </w:rPr>
          <w:t>i</w:t>
        </w:r>
        <w:r>
          <w:rPr>
            <w:rStyle w:val="Hyperlink"/>
            <w:color w:val="auto"/>
            <w:sz w:val="22"/>
            <w:lang w:val="en-US"/>
          </w:rPr>
          <w:t>nst</w:t>
        </w:r>
        <w:r w:rsidRPr="00EE2787">
          <w:rPr>
            <w:rStyle w:val="Hyperlink"/>
            <w:color w:val="auto"/>
            <w:sz w:val="22"/>
            <w:lang w:val="ru-RU"/>
          </w:rPr>
          <w:t>_</w:t>
        </w:r>
        <w:r>
          <w:rPr>
            <w:rStyle w:val="Hyperlink"/>
            <w:color w:val="auto"/>
            <w:sz w:val="22"/>
            <w:lang w:val="en-US"/>
          </w:rPr>
          <w:t>int</w:t>
        </w:r>
        <w:r w:rsidRPr="00EE2787">
          <w:rPr>
            <w:rStyle w:val="Hyperlink"/>
            <w:color w:val="auto"/>
            <w:sz w:val="22"/>
            <w:lang w:val="ru-RU"/>
          </w:rPr>
          <w:t>.</w:t>
        </w:r>
        <w:r>
          <w:rPr>
            <w:rStyle w:val="Hyperlink"/>
            <w:color w:val="auto"/>
            <w:sz w:val="22"/>
            <w:lang w:val="en-US"/>
          </w:rPr>
          <w:t>pdf</w:t>
        </w:r>
      </w:hyperlink>
      <w:r w:rsidRPr="00EE2787">
        <w:rPr>
          <w:sz w:val="22"/>
          <w:lang w:val="ru-RU"/>
        </w:rPr>
        <w:t xml:space="preserve"> </w:t>
      </w:r>
    </w:p>
    <w:p w:rsidR="00C46ECE" w:rsidRDefault="00C46ECE">
      <w:pPr>
        <w:pStyle w:val="BodyText"/>
        <w:jc w:val="both"/>
        <w:rPr>
          <w:sz w:val="22"/>
          <w:lang w:val="ru-RU"/>
        </w:rPr>
      </w:pPr>
      <w:r>
        <w:rPr>
          <w:sz w:val="22"/>
          <w:lang w:val="ru-RU"/>
        </w:rPr>
        <w:t>В 2006</w:t>
      </w:r>
      <w:r>
        <w:rPr>
          <w:sz w:val="22"/>
          <w:lang w:val="en-US"/>
        </w:rPr>
        <w:t> </w:t>
      </w:r>
      <w:r>
        <w:rPr>
          <w:sz w:val="22"/>
          <w:lang w:val="ru-RU"/>
        </w:rPr>
        <w:t>году Секретариат опубликовал полный текст закона Марии да Пенья, запрещающего насилие в отношении женщин, и выделил основные содержащиеся в нем инновационные положения. Следует напомнить, что данный закон является реализацией одной из рекомендаций Комитета КЛДЖ.</w:t>
      </w:r>
    </w:p>
    <w:p w:rsidR="00C46ECE" w:rsidRPr="00EE2787" w:rsidRDefault="00C46ECE">
      <w:pPr>
        <w:pStyle w:val="BodyText"/>
        <w:jc w:val="both"/>
        <w:rPr>
          <w:sz w:val="22"/>
          <w:lang w:val="ru-RU"/>
        </w:rPr>
      </w:pPr>
      <w:hyperlink r:id="rId16" w:history="1">
        <w:r>
          <w:rPr>
            <w:rStyle w:val="Hyperlink"/>
            <w:color w:val="auto"/>
            <w:sz w:val="22"/>
            <w:lang w:val="en-US"/>
          </w:rPr>
          <w:t>http</w:t>
        </w:r>
        <w:r w:rsidRPr="00EE2787">
          <w:rPr>
            <w:rStyle w:val="Hyperlink"/>
            <w:color w:val="auto"/>
            <w:sz w:val="22"/>
            <w:lang w:val="ru-RU"/>
          </w:rPr>
          <w:t>://200.13</w:t>
        </w:r>
        <w:r w:rsidRPr="00EE2787">
          <w:rPr>
            <w:rStyle w:val="Hyperlink"/>
            <w:color w:val="auto"/>
            <w:sz w:val="22"/>
            <w:lang w:val="ru-RU"/>
          </w:rPr>
          <w:t>0</w:t>
        </w:r>
        <w:r w:rsidRPr="00EE2787">
          <w:rPr>
            <w:rStyle w:val="Hyperlink"/>
            <w:color w:val="auto"/>
            <w:sz w:val="22"/>
            <w:lang w:val="ru-RU"/>
          </w:rPr>
          <w:t>.7.5/</w:t>
        </w:r>
        <w:r>
          <w:rPr>
            <w:rStyle w:val="Hyperlink"/>
            <w:color w:val="auto"/>
            <w:sz w:val="22"/>
            <w:lang w:val="en-US"/>
          </w:rPr>
          <w:t>s</w:t>
        </w:r>
        <w:r>
          <w:rPr>
            <w:rStyle w:val="Hyperlink"/>
            <w:color w:val="auto"/>
            <w:sz w:val="22"/>
            <w:lang w:val="en-US"/>
          </w:rPr>
          <w:t>pmu</w:t>
        </w:r>
        <w:r w:rsidRPr="00EE2787">
          <w:rPr>
            <w:rStyle w:val="Hyperlink"/>
            <w:color w:val="auto"/>
            <w:sz w:val="22"/>
            <w:lang w:val="ru-RU"/>
          </w:rPr>
          <w:t>/</w:t>
        </w:r>
        <w:r>
          <w:rPr>
            <w:rStyle w:val="Hyperlink"/>
            <w:color w:val="auto"/>
            <w:sz w:val="22"/>
            <w:lang w:val="en-US"/>
          </w:rPr>
          <w:t>do</w:t>
        </w:r>
        <w:r>
          <w:rPr>
            <w:rStyle w:val="Hyperlink"/>
            <w:color w:val="auto"/>
            <w:sz w:val="22"/>
            <w:lang w:val="en-US"/>
          </w:rPr>
          <w:t>c</w:t>
        </w:r>
        <w:r>
          <w:rPr>
            <w:rStyle w:val="Hyperlink"/>
            <w:color w:val="auto"/>
            <w:sz w:val="22"/>
            <w:lang w:val="en-US"/>
          </w:rPr>
          <w:t>s</w:t>
        </w:r>
        <w:r w:rsidRPr="00EE2787">
          <w:rPr>
            <w:rStyle w:val="Hyperlink"/>
            <w:color w:val="auto"/>
            <w:sz w:val="22"/>
            <w:lang w:val="ru-RU"/>
          </w:rPr>
          <w:t>/</w:t>
        </w:r>
        <w:r>
          <w:rPr>
            <w:rStyle w:val="Hyperlink"/>
            <w:color w:val="auto"/>
            <w:sz w:val="22"/>
            <w:lang w:val="en-US"/>
          </w:rPr>
          <w:t>leimariadapenha</w:t>
        </w:r>
        <w:r w:rsidRPr="00EE2787">
          <w:rPr>
            <w:rStyle w:val="Hyperlink"/>
            <w:color w:val="auto"/>
            <w:sz w:val="22"/>
            <w:lang w:val="ru-RU"/>
          </w:rPr>
          <w:t>_1.</w:t>
        </w:r>
        <w:r>
          <w:rPr>
            <w:rStyle w:val="Hyperlink"/>
            <w:color w:val="auto"/>
            <w:sz w:val="22"/>
            <w:lang w:val="en-US"/>
          </w:rPr>
          <w:t>pdf</w:t>
        </w:r>
      </w:hyperlink>
      <w:r w:rsidRPr="00EE2787">
        <w:rPr>
          <w:sz w:val="22"/>
          <w:lang w:val="ru-RU"/>
        </w:rPr>
        <w:t xml:space="preserve"> </w:t>
      </w:r>
    </w:p>
    <w:p w:rsidR="00C46ECE" w:rsidRDefault="00C46ECE">
      <w:pPr>
        <w:pStyle w:val="BodyText"/>
        <w:jc w:val="both"/>
        <w:rPr>
          <w:sz w:val="22"/>
          <w:lang w:val="ru-RU"/>
        </w:rPr>
      </w:pPr>
      <w:r>
        <w:rPr>
          <w:sz w:val="22"/>
          <w:lang w:val="ru-RU"/>
        </w:rPr>
        <w:t>СПЖ поддерживает распространение пропагандирующих новый закон публикаций, таких как брошюра, озаглавленная "Указания по обращению со случаями бытового насилия против женщин на основании Закона</w:t>
      </w:r>
      <w:r>
        <w:rPr>
          <w:sz w:val="22"/>
          <w:lang w:val="en-US"/>
        </w:rPr>
        <w:t> </w:t>
      </w:r>
      <w:r>
        <w:rPr>
          <w:sz w:val="22"/>
          <w:lang w:val="ru-RU"/>
        </w:rPr>
        <w:t>11</w:t>
      </w:r>
      <w:r>
        <w:rPr>
          <w:sz w:val="22"/>
          <w:lang w:val="en-US"/>
        </w:rPr>
        <w:t> </w:t>
      </w:r>
      <w:r>
        <w:rPr>
          <w:sz w:val="22"/>
          <w:lang w:val="ru-RU"/>
        </w:rPr>
        <w:t>340/2006", брошюра, составленная начальником гражданской полиции штата Параиба Юмара Безерра Гомешом, относительно применения закона Марии да Пенья сотрудниками полицейских участков.</w:t>
      </w:r>
    </w:p>
    <w:p w:rsidR="00C46ECE" w:rsidRPr="00EE2787" w:rsidRDefault="00C46ECE">
      <w:pPr>
        <w:pStyle w:val="BodyText"/>
        <w:jc w:val="both"/>
        <w:rPr>
          <w:rStyle w:val="link-external"/>
          <w:sz w:val="22"/>
          <w:lang w:val="ru-RU"/>
        </w:rPr>
      </w:pPr>
      <w:hyperlink r:id="rId17" w:tgtFrame="_blank" w:history="1">
        <w:r>
          <w:rPr>
            <w:rStyle w:val="Hyperlink"/>
            <w:color w:val="auto"/>
            <w:sz w:val="22"/>
            <w:lang w:val="en-US"/>
          </w:rPr>
          <w:t>http</w:t>
        </w:r>
        <w:r w:rsidRPr="00EE2787">
          <w:rPr>
            <w:rStyle w:val="Hyperlink"/>
            <w:color w:val="auto"/>
            <w:sz w:val="22"/>
            <w:lang w:val="ru-RU"/>
          </w:rPr>
          <w:t>://200.130.7.5/</w:t>
        </w:r>
        <w:r>
          <w:rPr>
            <w:rStyle w:val="Hyperlink"/>
            <w:color w:val="auto"/>
            <w:sz w:val="22"/>
            <w:lang w:val="en-US"/>
          </w:rPr>
          <w:t>spmu</w:t>
        </w:r>
        <w:r w:rsidRPr="00EE2787">
          <w:rPr>
            <w:rStyle w:val="Hyperlink"/>
            <w:color w:val="auto"/>
            <w:sz w:val="22"/>
            <w:lang w:val="ru-RU"/>
          </w:rPr>
          <w:t>/</w:t>
        </w:r>
        <w:r>
          <w:rPr>
            <w:rStyle w:val="Hyperlink"/>
            <w:color w:val="auto"/>
            <w:sz w:val="22"/>
            <w:lang w:val="en-US"/>
          </w:rPr>
          <w:t>doc</w:t>
        </w:r>
        <w:r>
          <w:rPr>
            <w:rStyle w:val="Hyperlink"/>
            <w:color w:val="auto"/>
            <w:sz w:val="22"/>
            <w:lang w:val="en-US"/>
          </w:rPr>
          <w:t>s</w:t>
        </w:r>
        <w:r w:rsidRPr="00EE2787">
          <w:rPr>
            <w:rStyle w:val="Hyperlink"/>
            <w:color w:val="auto"/>
            <w:sz w:val="22"/>
            <w:lang w:val="ru-RU"/>
          </w:rPr>
          <w:t>/</w:t>
        </w:r>
        <w:r>
          <w:rPr>
            <w:rStyle w:val="Hyperlink"/>
            <w:color w:val="auto"/>
            <w:sz w:val="22"/>
            <w:lang w:val="en-US"/>
          </w:rPr>
          <w:t>Atendimento</w:t>
        </w:r>
        <w:r w:rsidRPr="00EE2787">
          <w:rPr>
            <w:rStyle w:val="Hyperlink"/>
            <w:color w:val="auto"/>
            <w:sz w:val="22"/>
            <w:lang w:val="ru-RU"/>
          </w:rPr>
          <w:t>-</w:t>
        </w:r>
        <w:r>
          <w:rPr>
            <w:rStyle w:val="Hyperlink"/>
            <w:color w:val="auto"/>
            <w:sz w:val="22"/>
            <w:lang w:val="en-US"/>
          </w:rPr>
          <w:t>Lei</w:t>
        </w:r>
        <w:r w:rsidRPr="00EE2787">
          <w:rPr>
            <w:rStyle w:val="Hyperlink"/>
            <w:color w:val="auto"/>
            <w:sz w:val="22"/>
            <w:lang w:val="ru-RU"/>
          </w:rPr>
          <w:t>11340_</w:t>
        </w:r>
        <w:r>
          <w:rPr>
            <w:rStyle w:val="Hyperlink"/>
            <w:color w:val="auto"/>
            <w:sz w:val="22"/>
            <w:lang w:val="en-US"/>
          </w:rPr>
          <w:t>paraiba</w:t>
        </w:r>
        <w:r w:rsidRPr="00EE2787">
          <w:rPr>
            <w:rStyle w:val="Hyperlink"/>
            <w:color w:val="auto"/>
            <w:sz w:val="22"/>
            <w:lang w:val="ru-RU"/>
          </w:rPr>
          <w:t>.</w:t>
        </w:r>
        <w:r>
          <w:rPr>
            <w:rStyle w:val="Hyperlink"/>
            <w:color w:val="auto"/>
            <w:sz w:val="22"/>
            <w:lang w:val="en-US"/>
          </w:rPr>
          <w:t>pdf</w:t>
        </w:r>
      </w:hyperlink>
    </w:p>
    <w:p w:rsidR="00C46ECE" w:rsidRDefault="00C46ECE">
      <w:pPr>
        <w:pStyle w:val="BodyText"/>
        <w:jc w:val="both"/>
        <w:rPr>
          <w:rStyle w:val="link-external"/>
          <w:sz w:val="22"/>
          <w:lang w:val="ru-RU"/>
        </w:rPr>
      </w:pPr>
      <w:r>
        <w:rPr>
          <w:rStyle w:val="link-external"/>
          <w:sz w:val="22"/>
          <w:lang w:val="ru-RU"/>
        </w:rPr>
        <w:t>Секретариат также поддержал распространение "Пособия по многопрофильной профессиональной подготовке", опубликованного судебными органами штата Мату-Гросу и предназначенного для оказания содействия многопрофильной профессиональной подготовке представителей власти, занимающихся применением Закона</w:t>
      </w:r>
      <w:r>
        <w:rPr>
          <w:rStyle w:val="link-external"/>
          <w:sz w:val="22"/>
          <w:lang w:val="en-US"/>
        </w:rPr>
        <w:t> </w:t>
      </w:r>
      <w:r>
        <w:rPr>
          <w:rStyle w:val="link-external"/>
          <w:sz w:val="22"/>
          <w:lang w:val="ru-RU"/>
        </w:rPr>
        <w:t>11</w:t>
      </w:r>
      <w:r>
        <w:rPr>
          <w:rStyle w:val="link-external"/>
          <w:sz w:val="22"/>
          <w:lang w:val="en-US"/>
        </w:rPr>
        <w:t> </w:t>
      </w:r>
      <w:r>
        <w:rPr>
          <w:rStyle w:val="link-external"/>
          <w:sz w:val="22"/>
          <w:lang w:val="ru-RU"/>
        </w:rPr>
        <w:t xml:space="preserve">340/2006 (закона </w:t>
      </w:r>
      <w:r>
        <w:rPr>
          <w:sz w:val="22"/>
          <w:lang w:val="ru-RU"/>
        </w:rPr>
        <w:t>Марии да Пенья)</w:t>
      </w:r>
      <w:r>
        <w:rPr>
          <w:rStyle w:val="link-external"/>
          <w:i/>
          <w:sz w:val="22"/>
          <w:lang w:val="ru-RU"/>
        </w:rPr>
        <w:t xml:space="preserve">. </w:t>
      </w:r>
      <w:r>
        <w:rPr>
          <w:rStyle w:val="link-external"/>
          <w:sz w:val="22"/>
          <w:lang w:val="ru-RU"/>
        </w:rPr>
        <w:t>В пособие включены основные документы, позволяющие понять значение этого закона в системе защиты прав женщин во внутригосударственных масштабах на основании Конституции Республики и в международных масштабах согласно ратифицированным Бразилией международным договорам и конвенциям.</w:t>
      </w:r>
    </w:p>
    <w:p w:rsidR="00C46ECE" w:rsidRPr="00EE2787" w:rsidRDefault="00C46ECE">
      <w:pPr>
        <w:spacing w:after="120" w:line="240" w:lineRule="auto"/>
        <w:jc w:val="both"/>
        <w:rPr>
          <w:spacing w:val="0"/>
          <w:w w:val="100"/>
          <w:sz w:val="22"/>
          <w:szCs w:val="24"/>
        </w:rPr>
      </w:pPr>
      <w:hyperlink r:id="rId18" w:history="1"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http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://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www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.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presidencia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.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gov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.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br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/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estrutura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_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presidencia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/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sepm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/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publicacoes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/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publi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_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capacitacao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_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maria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_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penha</w:t>
        </w:r>
        <w:r w:rsidRPr="00EE2787">
          <w:rPr>
            <w:rStyle w:val="Hyperlink"/>
            <w:color w:val="auto"/>
            <w:spacing w:val="0"/>
            <w:w w:val="100"/>
            <w:sz w:val="22"/>
            <w:szCs w:val="24"/>
          </w:rPr>
          <w:t>_</w:t>
        </w:r>
        <w:r>
          <w:rPr>
            <w:rStyle w:val="Hyperlink"/>
            <w:color w:val="auto"/>
            <w:spacing w:val="0"/>
            <w:w w:val="100"/>
            <w:sz w:val="22"/>
            <w:szCs w:val="24"/>
            <w:lang w:val="en-US"/>
          </w:rPr>
          <w:t>ms</w:t>
        </w:r>
      </w:hyperlink>
    </w:p>
    <w:p w:rsidR="00C46ECE" w:rsidRDefault="00C46E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jc w:val="both"/>
        <w:rPr>
          <w:spacing w:val="0"/>
          <w:w w:val="100"/>
          <w:sz w:val="22"/>
          <w:lang w:val="en-US"/>
        </w:rPr>
      </w:pPr>
      <w:r>
        <w:rPr>
          <w:noProof/>
          <w:spacing w:val="0"/>
          <w:w w:val="100"/>
          <w:sz w:val="20"/>
        </w:rPr>
        <w:pict>
          <v:line id="_x0000_s2055" style="position:absolute;left:0;text-align:left;z-index:1" from="212.5pt,7.2pt" to="284.5pt,7.2pt" strokeweight=".25pt"/>
        </w:pict>
      </w:r>
    </w:p>
    <w:sectPr w:rsidR="00C46ECE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6-20T16:18:00Z" w:initials="Start">
    <w:p w:rsidR="00C46ECE" w:rsidRDefault="00C46ECE">
      <w:pPr>
        <w:pStyle w:val="CommentText"/>
        <w:rPr>
          <w:lang w:val="en-US"/>
        </w:rPr>
      </w:pPr>
      <w:r>
        <w:fldChar w:fldCharType="begin"/>
      </w:r>
      <w:r>
        <w:rPr>
          <w:lang w:val="en-US"/>
        </w:rPr>
        <w:instrText>PAGE \# "'Page: '#'</w:instrText>
      </w:r>
      <w:r>
        <w:rPr>
          <w:lang w:val="en-US"/>
        </w:rPr>
        <w:br/>
        <w:instrText>'"</w:instrText>
      </w:r>
      <w:r>
        <w:rPr>
          <w:rStyle w:val="CommentReference"/>
          <w:lang w:val="en-US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rPr>
          <w:lang w:val="en-US"/>
        </w:rPr>
        <w:t>&lt;&lt;ODS JOB NO&gt;&gt;N0</w:t>
      </w:r>
      <w:r w:rsidR="00740436">
        <w:rPr>
          <w:lang w:val="en-US"/>
        </w:rPr>
        <w:t>7</w:t>
      </w:r>
      <w:r>
        <w:rPr>
          <w:lang w:val="en-US"/>
        </w:rPr>
        <w:t>33</w:t>
      </w:r>
      <w:r w:rsidR="00740436">
        <w:rPr>
          <w:lang w:val="en-US"/>
        </w:rPr>
        <w:t>251</w:t>
      </w:r>
      <w:r>
        <w:rPr>
          <w:lang w:val="en-US"/>
        </w:rPr>
        <w:t>R&lt;&lt;ODS JOB NO&gt;&gt;</w:t>
      </w:r>
    </w:p>
    <w:p w:rsidR="00C46ECE" w:rsidRDefault="00C46ECE">
      <w:pPr>
        <w:pStyle w:val="CommentText"/>
        <w:rPr>
          <w:lang w:val="en-US"/>
        </w:rPr>
      </w:pPr>
      <w:r>
        <w:rPr>
          <w:lang w:val="en-US"/>
        </w:rPr>
        <w:t>&lt;&lt;ODS DOC SYMBOL1&gt;&gt;CEDAW/C/BRA/</w:t>
      </w:r>
      <w:r w:rsidR="00740436">
        <w:rPr>
          <w:lang w:val="en-US"/>
        </w:rPr>
        <w:t>Q/</w:t>
      </w:r>
      <w:r>
        <w:rPr>
          <w:lang w:val="en-US"/>
        </w:rPr>
        <w:t>6</w:t>
      </w:r>
      <w:r w:rsidR="00740436">
        <w:rPr>
          <w:lang w:val="en-US"/>
        </w:rPr>
        <w:t>/Add.1</w:t>
      </w:r>
      <w:r>
        <w:rPr>
          <w:lang w:val="en-US"/>
        </w:rPr>
        <w:t>&lt;&lt;ODS DOC SYMBOL1&gt;&gt;</w:t>
      </w:r>
    </w:p>
    <w:p w:rsidR="00C46ECE" w:rsidRDefault="00C46ECE">
      <w:pPr>
        <w:pStyle w:val="CommentText"/>
        <w:rPr>
          <w:lang w:val="en-US"/>
        </w:rPr>
      </w:pPr>
      <w:r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36" w:rsidRDefault="00740436">
      <w:r>
        <w:separator/>
      </w:r>
    </w:p>
  </w:endnote>
  <w:endnote w:type="continuationSeparator" w:id="0">
    <w:p w:rsidR="00740436" w:rsidRDefault="0074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46ECE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C46ECE" w:rsidRDefault="00C46EC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86D24"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C46ECE" w:rsidRDefault="00C46ECE">
          <w:pPr>
            <w:pStyle w:val="Footer"/>
            <w:jc w:val="right"/>
            <w:rPr>
              <w:b w:val="0"/>
              <w:bCs/>
              <w:sz w:val="14"/>
              <w:lang w:val="en-US"/>
            </w:rPr>
          </w:pPr>
          <w:r>
            <w:rPr>
              <w:b w:val="0"/>
              <w:bCs/>
              <w:sz w:val="14"/>
              <w:lang w:val="en-US"/>
            </w:rPr>
            <w:t>07-33251</w:t>
          </w:r>
        </w:p>
      </w:tc>
    </w:tr>
  </w:tbl>
  <w:p w:rsidR="00C46ECE" w:rsidRDefault="00C46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46ECE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C46ECE" w:rsidRDefault="00C46ECE">
          <w:pPr>
            <w:pStyle w:val="Footer"/>
            <w:rPr>
              <w:b w:val="0"/>
              <w:bCs/>
              <w:sz w:val="14"/>
              <w:lang w:val="en-US"/>
            </w:rPr>
          </w:pPr>
          <w:r>
            <w:rPr>
              <w:b w:val="0"/>
              <w:bCs/>
              <w:sz w:val="14"/>
              <w:lang w:val="en-US"/>
            </w:rPr>
            <w:t>07-33251</w:t>
          </w:r>
        </w:p>
      </w:tc>
      <w:tc>
        <w:tcPr>
          <w:tcW w:w="5033" w:type="dxa"/>
          <w:vAlign w:val="bottom"/>
        </w:tcPr>
        <w:p w:rsidR="00C46ECE" w:rsidRDefault="00C46EC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474D8">
            <w:t>33</w:t>
          </w:r>
          <w:r>
            <w:fldChar w:fldCharType="end"/>
          </w:r>
        </w:p>
      </w:tc>
    </w:tr>
  </w:tbl>
  <w:p w:rsidR="00C46ECE" w:rsidRDefault="00C46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5D" w:rsidRPr="006D1F5D" w:rsidRDefault="006D1F5D" w:rsidP="006D1F5D">
    <w:pPr>
      <w:pStyle w:val="Footer"/>
      <w:spacing w:line="60" w:lineRule="exact"/>
      <w:rPr>
        <w:b w:val="0"/>
        <w:sz w:val="10"/>
      </w:rPr>
    </w:pPr>
  </w:p>
  <w:p w:rsidR="00C46ECE" w:rsidRDefault="00C46ECE" w:rsidP="006D1F5D">
    <w:pPr>
      <w:pStyle w:val="Footer"/>
      <w:spacing w:before="60" w:line="240" w:lineRule="exact"/>
      <w:rPr>
        <w:b w:val="0"/>
        <w:sz w:val="20"/>
        <w:lang w:val="en-US"/>
      </w:rPr>
    </w:pPr>
    <w:r>
      <w:rPr>
        <w:b w:val="0"/>
        <w:sz w:val="20"/>
      </w:rPr>
      <w:t>07-332</w:t>
    </w:r>
    <w:r>
      <w:rPr>
        <w:b w:val="0"/>
        <w:sz w:val="20"/>
        <w:lang w:val="en-US"/>
      </w:rPr>
      <w:t>51</w:t>
    </w:r>
    <w:r>
      <w:rPr>
        <w:b w:val="0"/>
        <w:sz w:val="20"/>
      </w:rPr>
      <w:t xml:space="preserve"> (</w:t>
    </w:r>
    <w:r>
      <w:rPr>
        <w:b w:val="0"/>
        <w:sz w:val="20"/>
        <w:lang w:val="en-US"/>
      </w:rPr>
      <w:t>R)</w:t>
    </w:r>
  </w:p>
  <w:p w:rsidR="006D1F5D" w:rsidRPr="006D1F5D" w:rsidRDefault="006D1F5D" w:rsidP="006D1F5D">
    <w:pPr>
      <w:pStyle w:val="Footer"/>
      <w:spacing w:before="60" w:line="240" w:lineRule="exact"/>
      <w:rPr>
        <w:rFonts w:ascii="Barcode 3 of 9 by request" w:hAnsi="Barcode 3 of 9 by request"/>
        <w:b w:val="0"/>
        <w:sz w:val="20"/>
        <w:lang w:val="en-US"/>
      </w:rPr>
    </w:pPr>
    <w:r w:rsidRPr="006D1F5D">
      <w:rPr>
        <w:rFonts w:ascii="Barcode 3 of 9 by request" w:hAnsi="Barcode 3 of 9 by request"/>
        <w:b w:val="0"/>
        <w:sz w:val="20"/>
        <w:lang w:val="en-US"/>
      </w:rPr>
      <w:t>*0733251*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36" w:rsidRDefault="00740436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740436" w:rsidRDefault="00740436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C46ECE" w:rsidRDefault="00C46ECE">
      <w:pPr>
        <w:pStyle w:val="FootnoteText"/>
        <w:tabs>
          <w:tab w:val="clear" w:pos="418"/>
        </w:tabs>
        <w:ind w:left="794" w:firstLine="0"/>
      </w:pPr>
      <w:r>
        <w:rPr>
          <w:rStyle w:val="FootnoteReference"/>
        </w:rPr>
        <w:t>*</w:t>
      </w:r>
      <w:r>
        <w:t xml:space="preserve"> </w:t>
      </w:r>
      <w:r>
        <w:rPr>
          <w:spacing w:val="0"/>
          <w:w w:val="100"/>
        </w:rPr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CE" w:rsidRDefault="00C46ECE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" o:allowincell="f" stroked="f">
          <v:textbox style="mso-rotate-with-shape:t"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C46ECE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C46ECE" w:rsidRDefault="00C46ECE">
                      <w:pPr>
                        <w:pStyle w:val="Header"/>
                        <w:spacing w:after="8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CEDAW/C/BRA/Q/6/Add.1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C46ECE" w:rsidRDefault="00C46ECE">
                      <w:pPr>
                        <w:pStyle w:val="Header"/>
                        <w:rPr>
                          <w:lang w:val="en-US"/>
                        </w:rPr>
                      </w:pPr>
                    </w:p>
                  </w:tc>
                </w:tr>
              </w:tbl>
              <w:p w:rsidR="00C46ECE" w:rsidRDefault="00C46ECE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CE" w:rsidRDefault="00C46ECE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" o:allowincell="f" stroked="f">
          <v:textbox style="mso-rotate-with-shape:t"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C46ECE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C46ECE" w:rsidRDefault="00C46ECE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C46ECE" w:rsidRDefault="00C46ECE">
                      <w:pPr>
                        <w:pStyle w:val="Header"/>
                        <w:spacing w:after="80"/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CEDAW/C/BRA/Q/6/Add.1</w:t>
                      </w:r>
                    </w:p>
                  </w:tc>
                </w:tr>
              </w:tbl>
              <w:p w:rsidR="00C46ECE" w:rsidRDefault="00C46ECE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112"/>
      <w:gridCol w:w="115"/>
      <w:gridCol w:w="169"/>
      <w:gridCol w:w="76"/>
      <w:gridCol w:w="3140"/>
    </w:tblGrid>
    <w:tr w:rsidR="00C46ECE" w:rsidRPr="00EE278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6379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C46ECE" w:rsidRDefault="00C46ECE">
          <w:pPr>
            <w:pStyle w:val="HCh"/>
            <w:spacing w:after="80"/>
            <w:ind w:left="1276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8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C46ECE" w:rsidRDefault="00C46ECE">
          <w:pPr>
            <w:pStyle w:val="Header"/>
            <w:spacing w:after="120"/>
          </w:pPr>
        </w:p>
      </w:tc>
      <w:tc>
        <w:tcPr>
          <w:tcW w:w="321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C46ECE" w:rsidRDefault="00C46ECE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EE2787">
            <w:rPr>
              <w:sz w:val="40"/>
              <w:lang w:val="en-US"/>
            </w:rPr>
            <w:t>CEDAW</w:t>
          </w:r>
          <w:r w:rsidRPr="00EE2787">
            <w:rPr>
              <w:sz w:val="20"/>
              <w:lang w:val="en-US"/>
            </w:rPr>
            <w:t>/C/BRA/</w:t>
          </w:r>
          <w:r>
            <w:rPr>
              <w:sz w:val="20"/>
              <w:lang w:val="en-US"/>
            </w:rPr>
            <w:t>Q/</w:t>
          </w:r>
          <w:r w:rsidRPr="00EE2787">
            <w:rPr>
              <w:sz w:val="20"/>
              <w:lang w:val="en-US"/>
            </w:rPr>
            <w:t>6</w:t>
          </w:r>
          <w:r>
            <w:rPr>
              <w:sz w:val="20"/>
              <w:lang w:val="en-US"/>
            </w:rPr>
            <w:t>/Add.1</w:t>
          </w:r>
        </w:p>
      </w:tc>
    </w:tr>
    <w:tr w:rsidR="00C46EC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C46ECE" w:rsidRDefault="00C46ECE">
          <w:pPr>
            <w:pStyle w:val="Header"/>
            <w:spacing w:before="109"/>
          </w:pPr>
          <w:r w:rsidRPr="00EE2787">
            <w:rPr>
              <w:lang w:val="en-US"/>
            </w:rP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C46ECE" w:rsidRDefault="00C46ECE">
          <w:pPr>
            <w:pStyle w:val="Header"/>
            <w:spacing w:before="109"/>
          </w:pPr>
        </w:p>
      </w:tc>
      <w:tc>
        <w:tcPr>
          <w:tcW w:w="5227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C46ECE" w:rsidRDefault="00C46EC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 xml:space="preserve">Конвенция о ликвидации </w:t>
          </w:r>
          <w:r>
            <w:rPr>
              <w:sz w:val="34"/>
            </w:rPr>
            <w:br/>
            <w:t>всех форм дискриминации в отношении женщин</w:t>
          </w:r>
        </w:p>
      </w:tc>
      <w:tc>
        <w:tcPr>
          <w:tcW w:w="245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C46ECE" w:rsidRDefault="00C46ECE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C46ECE" w:rsidRDefault="00C46ECE">
          <w:pPr>
            <w:spacing w:before="240"/>
            <w:rPr>
              <w:spacing w:val="0"/>
              <w:w w:val="100"/>
              <w:lang w:val="en-US"/>
            </w:rPr>
          </w:pPr>
          <w:r>
            <w:rPr>
              <w:spacing w:val="0"/>
              <w:w w:val="100"/>
              <w:lang w:val="en-US"/>
            </w:rPr>
            <w:t>Distr.: General</w:t>
          </w:r>
        </w:p>
        <w:p w:rsidR="00C46ECE" w:rsidRDefault="00C46ECE">
          <w:pPr>
            <w:rPr>
              <w:spacing w:val="0"/>
              <w:w w:val="100"/>
              <w:lang w:val="en-US"/>
            </w:rPr>
          </w:pPr>
          <w:r>
            <w:rPr>
              <w:spacing w:val="0"/>
              <w:w w:val="100"/>
              <w:lang w:val="en-US"/>
            </w:rPr>
            <w:t>4 May 2007</w:t>
          </w:r>
        </w:p>
        <w:p w:rsidR="00C46ECE" w:rsidRDefault="00C46ECE">
          <w:pPr>
            <w:rPr>
              <w:spacing w:val="0"/>
              <w:w w:val="100"/>
              <w:lang w:val="en-US"/>
            </w:rPr>
          </w:pPr>
        </w:p>
        <w:p w:rsidR="00C46ECE" w:rsidRDefault="00C46ECE">
          <w:pPr>
            <w:rPr>
              <w:spacing w:val="0"/>
              <w:w w:val="100"/>
              <w:lang w:val="en-US"/>
            </w:rPr>
          </w:pPr>
          <w:r>
            <w:rPr>
              <w:spacing w:val="0"/>
              <w:w w:val="100"/>
              <w:lang w:val="en-US"/>
            </w:rPr>
            <w:t>Russian</w:t>
          </w:r>
        </w:p>
        <w:p w:rsidR="00C46ECE" w:rsidRDefault="00C46ECE">
          <w:pPr>
            <w:rPr>
              <w:spacing w:val="0"/>
              <w:w w:val="100"/>
              <w:lang w:val="en-US"/>
            </w:rPr>
          </w:pPr>
          <w:r>
            <w:rPr>
              <w:spacing w:val="0"/>
              <w:w w:val="100"/>
              <w:lang w:val="en-US"/>
            </w:rPr>
            <w:t>Original: English</w:t>
          </w:r>
        </w:p>
      </w:tc>
    </w:tr>
  </w:tbl>
  <w:p w:rsidR="00C46ECE" w:rsidRDefault="00C46EC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FF569A"/>
    <w:multiLevelType w:val="hybridMultilevel"/>
    <w:tmpl w:val="E098D38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7">
    <w:nsid w:val="2D251FEE"/>
    <w:multiLevelType w:val="multilevel"/>
    <w:tmpl w:val="D1AE76A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suff w:val="nothing"/>
      <w:lvlText w:val=""/>
      <w:lvlJc w:val="left"/>
      <w:pPr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9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10">
    <w:nsid w:val="73606B27"/>
    <w:multiLevelType w:val="multilevel"/>
    <w:tmpl w:val="D1AE76A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suff w:val="nothing"/>
      <w:lvlText w:val=""/>
      <w:lvlJc w:val="left"/>
      <w:pPr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6"/>
  <w:hyphenationZone w:val="21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8/12/2005 1:30: PM"/>
    <w:docVar w:name="DocCategory" w:val="Doc"/>
    <w:docVar w:name="DocType" w:val="Final"/>
    <w:docVar w:name="JobNo" w:val="0547933R"/>
    <w:docVar w:name="OandT" w:val=" "/>
    <w:docVar w:name="Symbol1" w:val="CEDAW/C/BRA/6"/>
    <w:docVar w:name="Symbol2" w:val="-"/>
  </w:docVars>
  <w:rsids>
    <w:rsidRoot w:val="00C46ECE"/>
    <w:rsid w:val="001474D8"/>
    <w:rsid w:val="00186D24"/>
    <w:rsid w:val="006936F9"/>
    <w:rsid w:val="006D1F5D"/>
    <w:rsid w:val="00740436"/>
    <w:rsid w:val="00C46ECE"/>
    <w:rsid w:val="00D760A0"/>
    <w:rsid w:val="00E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ru-RU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pacing w:val="0"/>
      <w:w w:val="100"/>
      <w:kern w:val="0"/>
      <w:sz w:val="26"/>
      <w:szCs w:val="26"/>
      <w:lang w:val="pt-BR" w:eastAsia="pt-BR"/>
    </w:rPr>
  </w:style>
  <w:style w:type="paragraph" w:styleId="Heading5">
    <w:name w:val="heading 5"/>
    <w:basedOn w:val="Normal"/>
    <w:next w:val="Normal"/>
    <w:qFormat/>
    <w:pPr>
      <w:spacing w:before="240" w:after="60" w:line="240" w:lineRule="auto"/>
      <w:outlineLvl w:val="4"/>
    </w:pPr>
    <w:rPr>
      <w:b/>
      <w:bCs/>
      <w:i/>
      <w:iCs/>
      <w:spacing w:val="0"/>
      <w:w w:val="100"/>
      <w:kern w:val="0"/>
      <w:sz w:val="26"/>
      <w:szCs w:val="26"/>
      <w:lang w:val="pt-BR" w:eastAsia="pt-BR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outlineLvl w:val="5"/>
    </w:pPr>
    <w:rPr>
      <w:b/>
      <w:bCs/>
      <w:i/>
      <w:iCs/>
      <w:spacing w:val="0"/>
      <w:w w:val="100"/>
      <w:kern w:val="0"/>
      <w:sz w:val="24"/>
      <w:szCs w:val="24"/>
      <w:lang w:val="en-US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ru-RU" w:eastAsia="ru-RU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ru-RU" w:eastAsia="ru-RU"/>
    </w:rPr>
  </w:style>
  <w:style w:type="character" w:styleId="LineNumber">
    <w:name w:val="line number"/>
    <w:rPr>
      <w:sz w:val="14"/>
    </w:rPr>
  </w:style>
  <w:style w:type="paragraph" w:styleId="ListContinue2">
    <w:name w:val="List Continue 2"/>
    <w:basedOn w:val="Normal"/>
    <w:next w:val="Normal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  <w:style w:type="paragraph" w:styleId="BodyText3">
    <w:name w:val="Body Text 3"/>
    <w:basedOn w:val="Normal"/>
    <w:pPr>
      <w:spacing w:line="240" w:lineRule="auto"/>
      <w:jc w:val="both"/>
    </w:pPr>
    <w:rPr>
      <w:b/>
      <w:bCs/>
      <w:i/>
      <w:spacing w:val="0"/>
      <w:w w:val="100"/>
      <w:kern w:val="0"/>
      <w:sz w:val="24"/>
      <w:szCs w:val="24"/>
      <w:lang w:val="pt-BR" w:eastAsia="pt-BR"/>
    </w:rPr>
  </w:style>
  <w:style w:type="character" w:styleId="Hyperlink">
    <w:name w:val="Hyperlink"/>
    <w:rPr>
      <w:color w:val="0000FF"/>
      <w:u w:val="none"/>
    </w:rPr>
  </w:style>
  <w:style w:type="paragraph" w:customStyle="1" w:styleId="texto-selecionadostyle56">
    <w:name w:val="texto-selecionado style56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pacing w:val="0"/>
      <w:w w:val="100"/>
      <w:kern w:val="0"/>
      <w:sz w:val="24"/>
      <w:szCs w:val="24"/>
      <w:lang w:val="pt-BR" w:eastAsia="pt-BR"/>
    </w:rPr>
  </w:style>
  <w:style w:type="paragraph" w:customStyle="1" w:styleId="Pargrafo">
    <w:name w:val="Parágrafo"/>
    <w:basedOn w:val="Normal"/>
    <w:pPr>
      <w:spacing w:after="60" w:line="360" w:lineRule="auto"/>
      <w:jc w:val="both"/>
    </w:pPr>
    <w:rPr>
      <w:rFonts w:ascii="Arial" w:hAnsi="Arial"/>
      <w:spacing w:val="0"/>
      <w:w w:val="100"/>
      <w:kern w:val="0"/>
      <w:sz w:val="24"/>
      <w:lang w:val="pt-BR" w:eastAsia="pt-BR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line="240" w:lineRule="auto"/>
    </w:pPr>
    <w:rPr>
      <w:rFonts w:eastAsia="Lucida Sans Unicode" w:cs="Lucida Sans Unicode"/>
      <w:spacing w:val="0"/>
      <w:w w:val="100"/>
      <w:kern w:val="0"/>
      <w:sz w:val="24"/>
      <w:szCs w:val="24"/>
      <w:lang w:val="pt-BR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BodyText">
    <w:name w:val="Body Text"/>
    <w:basedOn w:val="Normal"/>
    <w:pPr>
      <w:spacing w:after="120" w:line="240" w:lineRule="auto"/>
    </w:pPr>
    <w:rPr>
      <w:spacing w:val="0"/>
      <w:w w:val="100"/>
      <w:kern w:val="0"/>
      <w:sz w:val="24"/>
      <w:szCs w:val="24"/>
      <w:lang w:val="pt-BR" w:eastAsia="pt-BR"/>
    </w:rPr>
  </w:style>
  <w:style w:type="character" w:customStyle="1" w:styleId="link-external">
    <w:name w:val="link-external"/>
    <w:basedOn w:val="DefaultParagraphFont"/>
  </w:style>
  <w:style w:type="character" w:styleId="FollowedHyperlink">
    <w:name w:val="FollowedHyperlink"/>
    <w:rPr>
      <w:color w:val="0000FF"/>
      <w:u w:val="none"/>
    </w:rPr>
  </w:style>
  <w:style w:type="paragraph" w:styleId="BalloonText">
    <w:name w:val="Balloon Text"/>
    <w:basedOn w:val="Normal"/>
    <w:semiHidden/>
    <w:rsid w:val="00EE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www.presidencia.gov.br/estrutura_presidencia/sepm/publicacoes/publi_capacitacao_maria_penha_m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200.130.7.5/spmu/docs/Atendimento-Lei11340_parai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200.130.7.5/spmu/docs/leimariadapenha_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200.130.7.5/spmu/docs/inst_int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cc.org.br/mulher/index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15733</Words>
  <Characters>89679</Characters>
  <Application>Microsoft Office Word</Application>
  <DocSecurity>4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105202</CharactersWithSpaces>
  <SharedDoc>false</SharedDoc>
  <HLinks>
    <vt:vector size="30" baseType="variant">
      <vt:variant>
        <vt:i4>6815822</vt:i4>
      </vt:variant>
      <vt:variant>
        <vt:i4>12</vt:i4>
      </vt:variant>
      <vt:variant>
        <vt:i4>0</vt:i4>
      </vt:variant>
      <vt:variant>
        <vt:i4>5</vt:i4>
      </vt:variant>
      <vt:variant>
        <vt:lpwstr>http://www.presidencia.gov.br/estrutura_presidencia/sepm/publicacoes/publi_capacitacao_maria_penha_ms</vt:lpwstr>
      </vt:variant>
      <vt:variant>
        <vt:lpwstr/>
      </vt:variant>
      <vt:variant>
        <vt:i4>8126532</vt:i4>
      </vt:variant>
      <vt:variant>
        <vt:i4>9</vt:i4>
      </vt:variant>
      <vt:variant>
        <vt:i4>0</vt:i4>
      </vt:variant>
      <vt:variant>
        <vt:i4>5</vt:i4>
      </vt:variant>
      <vt:variant>
        <vt:lpwstr>http://200.130.7.5/spmu/docs/Atendimento-Lei11340_paraiba.pdf</vt:lpwstr>
      </vt:variant>
      <vt:variant>
        <vt:lpwstr/>
      </vt:variant>
      <vt:variant>
        <vt:i4>3539012</vt:i4>
      </vt:variant>
      <vt:variant>
        <vt:i4>6</vt:i4>
      </vt:variant>
      <vt:variant>
        <vt:i4>0</vt:i4>
      </vt:variant>
      <vt:variant>
        <vt:i4>5</vt:i4>
      </vt:variant>
      <vt:variant>
        <vt:lpwstr>http://200.130.7.5/spmu/docs/leimariadapenha_1.pdf</vt:lpwstr>
      </vt:variant>
      <vt:variant>
        <vt:lpwstr/>
      </vt:variant>
      <vt:variant>
        <vt:i4>6684753</vt:i4>
      </vt:variant>
      <vt:variant>
        <vt:i4>3</vt:i4>
      </vt:variant>
      <vt:variant>
        <vt:i4>0</vt:i4>
      </vt:variant>
      <vt:variant>
        <vt:i4>5</vt:i4>
      </vt:variant>
      <vt:variant>
        <vt:lpwstr>http://200.130.7.5/spmu/docs/inst_int.pdf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http://www.fcc.org.br/mulher/index.html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Elena.Litvinova</dc:creator>
  <cp:keywords/>
  <dc:description/>
  <cp:lastModifiedBy>Maria.Griaznova_2</cp:lastModifiedBy>
  <cp:revision>7</cp:revision>
  <cp:lastPrinted>2007-06-20T15:35:00Z</cp:lastPrinted>
  <dcterms:created xsi:type="dcterms:W3CDTF">2007-06-20T13:28:00Z</dcterms:created>
  <dcterms:modified xsi:type="dcterms:W3CDTF">2007-06-20T18:00:00Z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0547933</vt:lpwstr>
  </property>
  <property fmtid="{D5CDD505-2E9C-101B-9397-08002B2CF9AE}" pid="3" name="Symbol1">
    <vt:lpwstr>CEDAW/C/BRA/6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34</vt:lpwstr>
  </property>
  <property fmtid="{D5CDD505-2E9C-101B-9397-08002B2CF9AE}" pid="8" name="Operator">
    <vt:lpwstr> Panichkina</vt:lpwstr>
  </property>
</Properties>
</file>