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BA23" w14:textId="77777777" w:rsidR="00C27069" w:rsidRDefault="00C27069" w:rsidP="00C27069">
      <w:pPr>
        <w:spacing w:line="240" w:lineRule="auto"/>
        <w:rPr>
          <w:sz w:val="2"/>
        </w:rPr>
        <w:sectPr w:rsidR="00C27069" w:rsidSect="00E32F8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2F78D337" w14:textId="057DC89A" w:rsidR="00E32F88" w:rsidRPr="00E32F88" w:rsidRDefault="00E32F88" w:rsidP="00E32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32F88">
        <w:rPr>
          <w:lang w:val="fr-FR"/>
        </w:rPr>
        <w:t>Comité pour l</w:t>
      </w:r>
      <w:r w:rsidR="00300867">
        <w:rPr>
          <w:lang w:val="fr-FR"/>
        </w:rPr>
        <w:t>’</w:t>
      </w:r>
      <w:r w:rsidRPr="00E32F88">
        <w:rPr>
          <w:lang w:val="fr-FR"/>
        </w:rPr>
        <w:t xml:space="preserve">élimination de la discrimination </w:t>
      </w:r>
      <w:r>
        <w:rPr>
          <w:lang w:val="fr-FR"/>
        </w:rPr>
        <w:br/>
      </w:r>
      <w:r w:rsidRPr="00E32F88">
        <w:rPr>
          <w:lang w:val="fr-FR"/>
        </w:rPr>
        <w:t>à l</w:t>
      </w:r>
      <w:r w:rsidR="00300867">
        <w:rPr>
          <w:lang w:val="fr-FR"/>
        </w:rPr>
        <w:t>’</w:t>
      </w:r>
      <w:r w:rsidRPr="00E32F88">
        <w:rPr>
          <w:lang w:val="fr-FR"/>
        </w:rPr>
        <w:t>égard des femmes</w:t>
      </w:r>
    </w:p>
    <w:p w14:paraId="494BBE4B" w14:textId="1A7DEA83" w:rsidR="00E32F88" w:rsidRPr="00E32F88" w:rsidRDefault="00E32F88" w:rsidP="00E32F88">
      <w:pPr>
        <w:pStyle w:val="SingleTxt"/>
        <w:spacing w:after="0" w:line="120" w:lineRule="exact"/>
        <w:rPr>
          <w:sz w:val="10"/>
          <w:lang w:val="fr-FR"/>
        </w:rPr>
      </w:pPr>
    </w:p>
    <w:p w14:paraId="6B9A56EA" w14:textId="1B05391C" w:rsidR="00E32F88" w:rsidRPr="00E32F88" w:rsidRDefault="00E32F88" w:rsidP="00E32F88">
      <w:pPr>
        <w:pStyle w:val="SingleTxt"/>
        <w:spacing w:after="0" w:line="120" w:lineRule="exact"/>
        <w:rPr>
          <w:sz w:val="10"/>
          <w:lang w:val="fr-FR"/>
        </w:rPr>
      </w:pPr>
    </w:p>
    <w:p w14:paraId="326CA271" w14:textId="0CA09688" w:rsidR="00E32F88" w:rsidRPr="00E32F88" w:rsidRDefault="00E32F88" w:rsidP="00E32F88">
      <w:pPr>
        <w:pStyle w:val="SingleTxt"/>
        <w:spacing w:after="0" w:line="120" w:lineRule="exact"/>
        <w:rPr>
          <w:sz w:val="10"/>
          <w:lang w:val="fr-FR"/>
        </w:rPr>
      </w:pPr>
    </w:p>
    <w:p w14:paraId="3F1AD501" w14:textId="29332960" w:rsidR="00E32F88" w:rsidRPr="00300867" w:rsidRDefault="00E32F88" w:rsidP="00E32F88">
      <w:pPr>
        <w:pStyle w:val="HCh0"/>
        <w:ind w:left="1267" w:right="1260" w:hanging="1267"/>
        <w:rPr>
          <w:lang w:val="fr-FR"/>
        </w:rPr>
      </w:pPr>
      <w:r w:rsidRPr="00E32F88">
        <w:rPr>
          <w:lang w:val="fr-FR"/>
        </w:rPr>
        <w:tab/>
      </w:r>
      <w:r w:rsidRPr="00E32F88">
        <w:rPr>
          <w:lang w:val="fr-FR"/>
        </w:rPr>
        <w:tab/>
      </w:r>
      <w:r w:rsidRPr="00300867">
        <w:rPr>
          <w:lang w:val="fr-FR"/>
        </w:rPr>
        <w:t>Observations finales concernant le septième rapport périodique de l</w:t>
      </w:r>
      <w:r w:rsidR="00300867" w:rsidRPr="00300867">
        <w:rPr>
          <w:lang w:val="fr-FR"/>
        </w:rPr>
        <w:t>’</w:t>
      </w:r>
      <w:r w:rsidRPr="00300867">
        <w:rPr>
          <w:lang w:val="fr-FR"/>
        </w:rPr>
        <w:t>État plurinational de Bolivie</w:t>
      </w:r>
      <w:r w:rsidRPr="00300867">
        <w:rPr>
          <w:b w:val="0"/>
          <w:bCs/>
          <w:sz w:val="20"/>
          <w:lang w:val="fr-FR"/>
        </w:rPr>
        <w:t>*</w:t>
      </w:r>
    </w:p>
    <w:p w14:paraId="036A69D3" w14:textId="14BE723B" w:rsidR="00E32F88" w:rsidRPr="00E32F88" w:rsidRDefault="00E32F88" w:rsidP="00E32F88">
      <w:pPr>
        <w:pStyle w:val="SingleTxt"/>
        <w:spacing w:after="0" w:line="120" w:lineRule="exact"/>
        <w:rPr>
          <w:sz w:val="10"/>
          <w:lang w:val="fr-FR"/>
        </w:rPr>
      </w:pPr>
    </w:p>
    <w:p w14:paraId="69310E15" w14:textId="19F634DE" w:rsidR="00E32F88" w:rsidRPr="00E32F88" w:rsidRDefault="00E32F88" w:rsidP="00E32F88">
      <w:pPr>
        <w:pStyle w:val="SingleTxt"/>
        <w:spacing w:after="0" w:line="120" w:lineRule="exact"/>
        <w:rPr>
          <w:sz w:val="10"/>
          <w:lang w:val="fr-FR"/>
        </w:rPr>
      </w:pPr>
    </w:p>
    <w:p w14:paraId="218BD421" w14:textId="00DC9528" w:rsidR="00E32F88" w:rsidRPr="00E32F88" w:rsidRDefault="00E32F88" w:rsidP="000F40FC">
      <w:pPr>
        <w:pStyle w:val="SingleTxt"/>
        <w:numPr>
          <w:ilvl w:val="0"/>
          <w:numId w:val="6"/>
        </w:numPr>
        <w:spacing w:line="240" w:lineRule="exact"/>
        <w:ind w:left="1267"/>
        <w:rPr>
          <w:lang w:val="fr-FR"/>
        </w:rPr>
      </w:pPr>
      <w:r w:rsidRPr="00E32F88">
        <w:rPr>
          <w:lang w:val="fr-FR"/>
        </w:rPr>
        <w:t>Le Comité a examiné le septième rapport périodique de l</w:t>
      </w:r>
      <w:r w:rsidR="00300867">
        <w:rPr>
          <w:lang w:val="fr-FR"/>
        </w:rPr>
        <w:t>’</w:t>
      </w:r>
      <w:r w:rsidRPr="00E32F88">
        <w:rPr>
          <w:lang w:val="fr-FR"/>
        </w:rPr>
        <w:t>État plurinational de Bolivie (</w:t>
      </w:r>
      <w:hyperlink r:id="rId17" w:history="1">
        <w:r w:rsidRPr="00E32F88">
          <w:rPr>
            <w:rStyle w:val="Hyperlink"/>
            <w:lang w:val="fr-FR"/>
          </w:rPr>
          <w:t>CEDAW/C/BOL/7</w:t>
        </w:r>
      </w:hyperlink>
      <w:r w:rsidRPr="00E32F88">
        <w:rPr>
          <w:lang w:val="fr-FR"/>
        </w:rPr>
        <w:t>) à ses 1896</w:t>
      </w:r>
      <w:r w:rsidRPr="00E32F88">
        <w:rPr>
          <w:vertAlign w:val="superscript"/>
          <w:lang w:val="fr-FR"/>
        </w:rPr>
        <w:t>e</w:t>
      </w:r>
      <w:r w:rsidRPr="00E32F88">
        <w:rPr>
          <w:lang w:val="fr-FR"/>
        </w:rPr>
        <w:t xml:space="preserve"> et 1898</w:t>
      </w:r>
      <w:r w:rsidRPr="00E32F88">
        <w:rPr>
          <w:vertAlign w:val="superscript"/>
          <w:lang w:val="fr-FR"/>
        </w:rPr>
        <w:t>e</w:t>
      </w:r>
      <w:r w:rsidRPr="00E32F88">
        <w:rPr>
          <w:lang w:val="fr-FR"/>
        </w:rPr>
        <w:t xml:space="preserve"> séances (</w:t>
      </w:r>
      <w:bookmarkStart w:id="1" w:name="_Hlk112689825"/>
      <w:r w:rsidRPr="00E32F88">
        <w:rPr>
          <w:lang w:val="fr-FR"/>
        </w:rPr>
        <w:t>CEDAW/C/SR.1896 et CEDAW/C/SR.1898</w:t>
      </w:r>
      <w:bookmarkEnd w:id="1"/>
      <w:r w:rsidRPr="00E32F88">
        <w:rPr>
          <w:lang w:val="fr-FR"/>
        </w:rPr>
        <w:t xml:space="preserve">), qui se sont tenues les 23 et 24 juin 2022. La liste de points et de questions établie par le groupe de travail de présession figure dans le document </w:t>
      </w:r>
      <w:hyperlink r:id="rId18" w:history="1">
        <w:r w:rsidRPr="00E32F88">
          <w:rPr>
            <w:rStyle w:val="Hyperlink"/>
            <w:lang w:val="fr-FR"/>
          </w:rPr>
          <w:t>CEDAW/C/BOL/Q/7</w:t>
        </w:r>
      </w:hyperlink>
      <w:r w:rsidRPr="00E32F88">
        <w:rPr>
          <w:lang w:val="fr-FR"/>
        </w:rPr>
        <w:t xml:space="preserve"> et les réponses de l</w:t>
      </w:r>
      <w:r w:rsidR="00300867">
        <w:rPr>
          <w:lang w:val="fr-FR"/>
        </w:rPr>
        <w:t>’</w:t>
      </w:r>
      <w:r w:rsidRPr="00E32F88">
        <w:rPr>
          <w:lang w:val="fr-FR"/>
        </w:rPr>
        <w:t xml:space="preserve">État plurinational de Bolivie dans le document </w:t>
      </w:r>
      <w:hyperlink r:id="rId19" w:history="1">
        <w:r w:rsidRPr="00E32F88">
          <w:rPr>
            <w:rStyle w:val="Hyperlink"/>
            <w:lang w:val="fr-FR"/>
          </w:rPr>
          <w:t>CEDAW/C/BOL/RQ/7</w:t>
        </w:r>
      </w:hyperlink>
      <w:r w:rsidRPr="00E32F88">
        <w:rPr>
          <w:lang w:val="fr-FR"/>
        </w:rPr>
        <w:t>.</w:t>
      </w:r>
    </w:p>
    <w:p w14:paraId="0C55C8F0" w14:textId="59BA6795" w:rsidR="00E32F88" w:rsidRPr="00E32F88" w:rsidRDefault="00E32F88" w:rsidP="00E32F88">
      <w:pPr>
        <w:pStyle w:val="SingleTxt"/>
        <w:spacing w:after="0" w:line="120" w:lineRule="exact"/>
        <w:rPr>
          <w:sz w:val="10"/>
          <w:lang w:val="fr-FR"/>
        </w:rPr>
      </w:pPr>
    </w:p>
    <w:p w14:paraId="5F249957" w14:textId="1A1B931F" w:rsidR="00E32F88" w:rsidRPr="00E32F88" w:rsidRDefault="00E32F88" w:rsidP="00E32F88">
      <w:pPr>
        <w:pStyle w:val="SingleTxt"/>
        <w:spacing w:after="0" w:line="120" w:lineRule="exact"/>
        <w:rPr>
          <w:sz w:val="10"/>
          <w:lang w:val="fr-FR"/>
        </w:rPr>
      </w:pPr>
    </w:p>
    <w:p w14:paraId="71823062" w14:textId="77777777" w:rsidR="00E32F88" w:rsidRPr="00E32F88" w:rsidRDefault="00E32F88" w:rsidP="00E32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t>A.</w:t>
      </w:r>
      <w:r w:rsidRPr="00E32F88">
        <w:rPr>
          <w:lang w:val="fr-FR"/>
        </w:rPr>
        <w:tab/>
        <w:t>Introduction</w:t>
      </w:r>
    </w:p>
    <w:p w14:paraId="2A871816" w14:textId="0E4B8976" w:rsidR="00E32F88" w:rsidRPr="00E32F88" w:rsidRDefault="00E32F88" w:rsidP="00E32F88">
      <w:pPr>
        <w:pStyle w:val="SingleTxt"/>
        <w:spacing w:after="0" w:line="120" w:lineRule="exact"/>
        <w:rPr>
          <w:sz w:val="10"/>
          <w:lang w:val="fr-FR"/>
        </w:rPr>
      </w:pPr>
    </w:p>
    <w:p w14:paraId="02E52E04" w14:textId="2D230122" w:rsidR="00E32F88" w:rsidRPr="00E32F88" w:rsidRDefault="00E32F88" w:rsidP="00E32F88">
      <w:pPr>
        <w:pStyle w:val="SingleTxt"/>
        <w:spacing w:after="0" w:line="120" w:lineRule="exact"/>
        <w:rPr>
          <w:sz w:val="10"/>
          <w:lang w:val="fr-FR"/>
        </w:rPr>
      </w:pPr>
    </w:p>
    <w:p w14:paraId="5EC500E0" w14:textId="2952D1A9" w:rsidR="00E32F88" w:rsidRPr="00E32F88" w:rsidRDefault="00E32F88" w:rsidP="000F40FC">
      <w:pPr>
        <w:pStyle w:val="SingleTxt"/>
        <w:numPr>
          <w:ilvl w:val="0"/>
          <w:numId w:val="6"/>
        </w:numPr>
        <w:spacing w:line="240" w:lineRule="exact"/>
        <w:ind w:left="1267"/>
        <w:rPr>
          <w:lang w:val="fr-FR"/>
        </w:rPr>
      </w:pPr>
      <w:r w:rsidRPr="00E32F88">
        <w:rPr>
          <w:lang w:val="fr-FR"/>
        </w:rPr>
        <w:t>Le Comité accueille avec satisfaction le septième rapport périodique de l</w:t>
      </w:r>
      <w:r w:rsidR="00300867">
        <w:rPr>
          <w:lang w:val="fr-FR"/>
        </w:rPr>
        <w:t>’</w:t>
      </w:r>
      <w:r w:rsidRPr="00E32F88">
        <w:rPr>
          <w:lang w:val="fr-FR"/>
        </w:rPr>
        <w:t>État partie. Il le remercie de son rapport de suivi sur les précédentes observations finales du Comité (</w:t>
      </w:r>
      <w:hyperlink r:id="rId20" w:history="1">
        <w:r w:rsidRPr="00E32F88">
          <w:rPr>
            <w:rStyle w:val="Hyperlink"/>
            <w:lang w:val="fr-FR"/>
          </w:rPr>
          <w:t>CEDAW/C/BOL/CO/5-6/Add.1</w:t>
        </w:r>
      </w:hyperlink>
      <w:r w:rsidRPr="00E32F88">
        <w:rPr>
          <w:lang w:val="fr-FR"/>
        </w:rPr>
        <w:t>) et de ses réponses écrites apportées à la liste de points et questions soulevés par le groupe de travail de présession. Il salue la présentation orale de la délégation et les éclaircissements complémentaires donnés en réponse aux questions orales et écrites posées par le Comité pendant le dialogue, qui fut constructif.</w:t>
      </w:r>
      <w:bookmarkStart w:id="2" w:name="BeginPage"/>
      <w:bookmarkEnd w:id="2"/>
    </w:p>
    <w:p w14:paraId="6A268D89" w14:textId="77777777" w:rsidR="00E32F88" w:rsidRPr="00E32F88" w:rsidRDefault="00E32F88" w:rsidP="00E32F88">
      <w:pPr>
        <w:framePr w:w="9792" w:h="432" w:hSpace="180" w:wrap="around" w:vAnchor="page" w:hAnchor="page" w:x="1164" w:y="1404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67614139" wp14:editId="184E700F">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E254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Pr>
          <w:spacing w:val="5"/>
          <w:w w:val="104"/>
          <w:sz w:val="17"/>
          <w:szCs w:val="20"/>
        </w:rPr>
        <w:tab/>
      </w:r>
      <w:r w:rsidRPr="00E32F88">
        <w:rPr>
          <w:spacing w:val="5"/>
          <w:w w:val="104"/>
          <w:sz w:val="17"/>
          <w:szCs w:val="20"/>
          <w:lang w:val="fr-FR"/>
        </w:rPr>
        <w:t>*</w:t>
      </w:r>
      <w:r w:rsidRPr="00E32F88">
        <w:rPr>
          <w:spacing w:val="5"/>
          <w:w w:val="104"/>
          <w:sz w:val="17"/>
          <w:szCs w:val="20"/>
          <w:lang w:val="fr-FR"/>
        </w:rPr>
        <w:tab/>
        <w:t>Adoptées par le Comité à sa quatre-vingt-deuxième session (13 juin-1</w:t>
      </w:r>
      <w:r w:rsidRPr="00E32F88">
        <w:rPr>
          <w:spacing w:val="5"/>
          <w:w w:val="104"/>
          <w:sz w:val="17"/>
          <w:szCs w:val="20"/>
          <w:vertAlign w:val="superscript"/>
          <w:lang w:val="fr-FR"/>
        </w:rPr>
        <w:t>er</w:t>
      </w:r>
      <w:r w:rsidRPr="00E32F88">
        <w:rPr>
          <w:spacing w:val="5"/>
          <w:w w:val="104"/>
          <w:sz w:val="17"/>
          <w:szCs w:val="20"/>
          <w:lang w:val="fr-FR"/>
        </w:rPr>
        <w:t> juillet 2022).</w:t>
      </w:r>
    </w:p>
    <w:p w14:paraId="46BF85BD" w14:textId="2BAB1B6D" w:rsidR="00E32F88" w:rsidRPr="00E32F88" w:rsidRDefault="00E32F88" w:rsidP="000F40FC">
      <w:pPr>
        <w:pStyle w:val="SingleTxt"/>
        <w:numPr>
          <w:ilvl w:val="0"/>
          <w:numId w:val="6"/>
        </w:numPr>
        <w:spacing w:line="240" w:lineRule="exact"/>
        <w:ind w:left="1267"/>
        <w:rPr>
          <w:lang w:val="fr-FR"/>
        </w:rPr>
      </w:pPr>
      <w:r w:rsidRPr="00E32F88">
        <w:rPr>
          <w:lang w:val="fr-FR"/>
        </w:rPr>
        <w:t>Le Comité félicite l</w:t>
      </w:r>
      <w:r w:rsidR="00300867">
        <w:rPr>
          <w:lang w:val="fr-FR"/>
        </w:rPr>
        <w:t>’</w:t>
      </w:r>
      <w:r w:rsidRPr="00E32F88">
        <w:rPr>
          <w:lang w:val="fr-FR"/>
        </w:rPr>
        <w:t>État partie pour sa délégation de haut niveau, qui était dirigée par la Ministre de la présidence, María Nela Prada Tejada, et comprenait des représentants du Ministère de la justice et de la transparence institutionnelle, du Service plurinational pour les femmes et l</w:t>
      </w:r>
      <w:r w:rsidR="00300867">
        <w:rPr>
          <w:lang w:val="fr-FR"/>
        </w:rPr>
        <w:t>’</w:t>
      </w:r>
      <w:r w:rsidRPr="00E32F88">
        <w:rPr>
          <w:lang w:val="fr-FR"/>
        </w:rPr>
        <w:t>élimination du patriarcat « Ana María Romero », du Ministère du gouvernement, du Ministère de la présidence et de la Mission permanente de l</w:t>
      </w:r>
      <w:r w:rsidR="00300867">
        <w:rPr>
          <w:lang w:val="fr-FR"/>
        </w:rPr>
        <w:t>’</w:t>
      </w:r>
      <w:r w:rsidRPr="00E32F88">
        <w:rPr>
          <w:lang w:val="fr-FR"/>
        </w:rPr>
        <w:t>État plurinational de Bolivie auprès de l</w:t>
      </w:r>
      <w:r w:rsidR="00300867">
        <w:rPr>
          <w:lang w:val="fr-FR"/>
        </w:rPr>
        <w:t>’</w:t>
      </w:r>
      <w:r w:rsidRPr="00E32F88">
        <w:rPr>
          <w:lang w:val="fr-FR"/>
        </w:rPr>
        <w:t>Office des Nations Unies et d</w:t>
      </w:r>
      <w:r w:rsidR="00300867">
        <w:rPr>
          <w:lang w:val="fr-FR"/>
        </w:rPr>
        <w:t>’</w:t>
      </w:r>
      <w:r w:rsidRPr="00E32F88">
        <w:rPr>
          <w:lang w:val="fr-FR"/>
        </w:rPr>
        <w:t>autres organisations internationales à Genève.</w:t>
      </w:r>
    </w:p>
    <w:p w14:paraId="3C7A80DF" w14:textId="05AEA43E" w:rsidR="00E32F88" w:rsidRPr="00E32F88" w:rsidRDefault="00E32F88" w:rsidP="00E32F88">
      <w:pPr>
        <w:pStyle w:val="SingleTxt"/>
        <w:spacing w:after="0" w:line="120" w:lineRule="exact"/>
        <w:rPr>
          <w:sz w:val="10"/>
          <w:lang w:val="fr-FR"/>
        </w:rPr>
      </w:pPr>
    </w:p>
    <w:p w14:paraId="17DFA017" w14:textId="790D435B" w:rsidR="00E32F88" w:rsidRPr="00E32F88" w:rsidRDefault="00E32F88" w:rsidP="00E32F88">
      <w:pPr>
        <w:pStyle w:val="SingleTxt"/>
        <w:spacing w:after="0" w:line="120" w:lineRule="exact"/>
        <w:rPr>
          <w:sz w:val="10"/>
          <w:lang w:val="fr-FR"/>
        </w:rPr>
      </w:pPr>
    </w:p>
    <w:p w14:paraId="45893374" w14:textId="77777777" w:rsidR="00E32F88" w:rsidRPr="00E32F88" w:rsidRDefault="00E32F88" w:rsidP="00E32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t>B.</w:t>
      </w:r>
      <w:r w:rsidRPr="00E32F88">
        <w:rPr>
          <w:lang w:val="fr-FR"/>
        </w:rPr>
        <w:tab/>
        <w:t>Aspects positifs</w:t>
      </w:r>
    </w:p>
    <w:p w14:paraId="3B87C83A" w14:textId="39A5FBCC" w:rsidR="00E32F88" w:rsidRPr="00E32F88" w:rsidRDefault="00E32F88" w:rsidP="00E32F88">
      <w:pPr>
        <w:pStyle w:val="SingleTxt"/>
        <w:spacing w:after="0" w:line="120" w:lineRule="exact"/>
        <w:rPr>
          <w:sz w:val="10"/>
          <w:lang w:val="fr-FR"/>
        </w:rPr>
      </w:pPr>
    </w:p>
    <w:p w14:paraId="2FB989F1" w14:textId="7BEDAB4E" w:rsidR="00E32F88" w:rsidRPr="00E32F88" w:rsidRDefault="00E32F88" w:rsidP="00E32F88">
      <w:pPr>
        <w:pStyle w:val="SingleTxt"/>
        <w:spacing w:after="0" w:line="120" w:lineRule="exact"/>
        <w:rPr>
          <w:sz w:val="10"/>
          <w:lang w:val="fr-FR"/>
        </w:rPr>
      </w:pPr>
    </w:p>
    <w:p w14:paraId="55E5E74B" w14:textId="694207BA" w:rsidR="00E32F88" w:rsidRPr="00E32F88" w:rsidRDefault="00E32F88" w:rsidP="000F40FC">
      <w:pPr>
        <w:pStyle w:val="SingleTxt"/>
        <w:numPr>
          <w:ilvl w:val="0"/>
          <w:numId w:val="6"/>
        </w:numPr>
        <w:spacing w:line="240" w:lineRule="exact"/>
        <w:ind w:left="1267"/>
        <w:rPr>
          <w:lang w:val="fr-FR"/>
        </w:rPr>
      </w:pPr>
      <w:r w:rsidRPr="00E32F88">
        <w:rPr>
          <w:lang w:val="fr-FR"/>
        </w:rPr>
        <w:t>Le Comité se félicite des progrès accomplis sur le front des réformes législatives depuis l</w:t>
      </w:r>
      <w:r w:rsidR="00300867">
        <w:rPr>
          <w:lang w:val="fr-FR"/>
        </w:rPr>
        <w:t>’</w:t>
      </w:r>
      <w:r w:rsidRPr="00E32F88">
        <w:rPr>
          <w:lang w:val="fr-FR"/>
        </w:rPr>
        <w:t>examen, en 2015, du rapport de l</w:t>
      </w:r>
      <w:r w:rsidR="00300867">
        <w:rPr>
          <w:lang w:val="fr-FR"/>
        </w:rPr>
        <w:t>’</w:t>
      </w:r>
      <w:r w:rsidRPr="00E32F88">
        <w:rPr>
          <w:lang w:val="fr-FR"/>
        </w:rPr>
        <w:t>État partie valant cinquième et sixième rapports périodiques (</w:t>
      </w:r>
      <w:hyperlink r:id="rId21" w:history="1">
        <w:r w:rsidRPr="00E32F88">
          <w:rPr>
            <w:rStyle w:val="Hyperlink"/>
            <w:lang w:val="fr-FR"/>
          </w:rPr>
          <w:t>CEDAW/C/BOL/CO/5-6</w:t>
        </w:r>
      </w:hyperlink>
      <w:r w:rsidRPr="00E32F88">
        <w:rPr>
          <w:lang w:val="fr-FR"/>
        </w:rPr>
        <w:t>), et notamment de l</w:t>
      </w:r>
      <w:r w:rsidR="00300867">
        <w:rPr>
          <w:lang w:val="fr-FR"/>
        </w:rPr>
        <w:t>’</w:t>
      </w:r>
      <w:r w:rsidRPr="00E32F88">
        <w:rPr>
          <w:lang w:val="fr-FR"/>
        </w:rPr>
        <w:t>adoption des textes suivants</w:t>
      </w:r>
      <w:r w:rsidR="00300867">
        <w:rPr>
          <w:lang w:val="fr-FR"/>
        </w:rPr>
        <w:t> :</w:t>
      </w:r>
    </w:p>
    <w:p w14:paraId="6FE710B2" w14:textId="7F25D832" w:rsidR="00E32F88" w:rsidRPr="00E32F88" w:rsidRDefault="00E32F88" w:rsidP="00E32F88">
      <w:pPr>
        <w:pStyle w:val="SingleTxt"/>
        <w:rPr>
          <w:lang w:val="fr-FR"/>
        </w:rPr>
      </w:pPr>
      <w:r w:rsidRPr="00E32F88">
        <w:rPr>
          <w:lang w:val="fr-FR"/>
        </w:rPr>
        <w:lastRenderedPageBreak/>
        <w:tab/>
        <w:t>a)</w:t>
      </w:r>
      <w:r w:rsidRPr="00E32F88">
        <w:rPr>
          <w:lang w:val="fr-FR"/>
        </w:rPr>
        <w:tab/>
        <w:t>le décret suprême n</w:t>
      </w:r>
      <w:r w:rsidRPr="00E32F88">
        <w:rPr>
          <w:vertAlign w:val="superscript"/>
          <w:lang w:val="fr-FR"/>
        </w:rPr>
        <w:t>o</w:t>
      </w:r>
      <w:r w:rsidRPr="00E32F88">
        <w:rPr>
          <w:lang w:val="fr-FR"/>
        </w:rPr>
        <w:t> 4589 (2021), qui réglemente la loi n</w:t>
      </w:r>
      <w:r w:rsidRPr="00E32F88">
        <w:rPr>
          <w:vertAlign w:val="superscript"/>
          <w:lang w:val="fr-FR"/>
        </w:rPr>
        <w:t>o</w:t>
      </w:r>
      <w:r w:rsidRPr="00E32F88">
        <w:rPr>
          <w:lang w:val="fr-FR"/>
        </w:rPr>
        <w:t> 2450 (2003), sur l</w:t>
      </w:r>
      <w:r w:rsidR="00300867">
        <w:rPr>
          <w:lang w:val="fr-FR"/>
        </w:rPr>
        <w:t>’</w:t>
      </w:r>
      <w:r w:rsidRPr="00E32F88">
        <w:rPr>
          <w:lang w:val="fr-FR"/>
        </w:rPr>
        <w:t>affiliation des employées et employés de maison à la Caisse nationale de santé</w:t>
      </w:r>
      <w:r w:rsidR="00300867">
        <w:rPr>
          <w:lang w:val="fr-FR"/>
        </w:rPr>
        <w:t> ;</w:t>
      </w:r>
    </w:p>
    <w:p w14:paraId="0E785E73" w14:textId="67FC8D94" w:rsidR="00E32F88" w:rsidRPr="00E32F88" w:rsidRDefault="00E32F88" w:rsidP="00E32F88">
      <w:pPr>
        <w:pStyle w:val="SingleTxt"/>
        <w:rPr>
          <w:lang w:val="fr-FR"/>
        </w:rPr>
      </w:pPr>
      <w:r w:rsidRPr="00E32F88">
        <w:rPr>
          <w:lang w:val="fr-FR"/>
        </w:rPr>
        <w:tab/>
        <w:t>b)</w:t>
      </w:r>
      <w:r w:rsidRPr="00E32F88">
        <w:rPr>
          <w:lang w:val="fr-FR"/>
        </w:rPr>
        <w:tab/>
        <w:t>la loi n</w:t>
      </w:r>
      <w:r w:rsidRPr="00E32F88">
        <w:rPr>
          <w:vertAlign w:val="superscript"/>
          <w:lang w:val="fr-FR"/>
        </w:rPr>
        <w:t>o </w:t>
      </w:r>
      <w:r w:rsidRPr="00E32F88">
        <w:rPr>
          <w:lang w:val="fr-FR"/>
        </w:rPr>
        <w:t>1309 (2020), qui prévoit des mesures complémentaires dans le cadre de la situation d</w:t>
      </w:r>
      <w:r w:rsidR="00300867">
        <w:rPr>
          <w:lang w:val="fr-FR"/>
        </w:rPr>
        <w:t>’</w:t>
      </w:r>
      <w:r w:rsidRPr="00E32F88">
        <w:rPr>
          <w:lang w:val="fr-FR"/>
        </w:rPr>
        <w:t>urgence liée à la maladie à coronavirus (COVID-19), notamment l</w:t>
      </w:r>
      <w:r w:rsidR="00300867">
        <w:rPr>
          <w:lang w:val="fr-FR"/>
        </w:rPr>
        <w:t>’</w:t>
      </w:r>
      <w:r w:rsidRPr="00E32F88">
        <w:rPr>
          <w:lang w:val="fr-FR"/>
        </w:rPr>
        <w:t>interdiction des licenciements ou du recours au chômage temporaire</w:t>
      </w:r>
      <w:r w:rsidR="00300867">
        <w:rPr>
          <w:lang w:val="fr-FR"/>
        </w:rPr>
        <w:t> ;</w:t>
      </w:r>
    </w:p>
    <w:p w14:paraId="3ACC16E7" w14:textId="7AD7779A" w:rsidR="00E32F88" w:rsidRPr="00E32F88" w:rsidRDefault="00E32F88" w:rsidP="00E32F88">
      <w:pPr>
        <w:pStyle w:val="SingleTxt"/>
        <w:rPr>
          <w:lang w:val="fr-FR"/>
        </w:rPr>
      </w:pPr>
      <w:r w:rsidRPr="00E32F88">
        <w:rPr>
          <w:lang w:val="fr-FR"/>
        </w:rPr>
        <w:tab/>
        <w:t>c)</w:t>
      </w:r>
      <w:r w:rsidRPr="00E32F88">
        <w:rPr>
          <w:lang w:val="fr-FR"/>
        </w:rPr>
        <w:tab/>
        <w:t>la loi n</w:t>
      </w:r>
      <w:r w:rsidRPr="00E32F88">
        <w:rPr>
          <w:vertAlign w:val="superscript"/>
          <w:lang w:val="fr-FR"/>
        </w:rPr>
        <w:t>o </w:t>
      </w:r>
      <w:r w:rsidRPr="00E32F88">
        <w:rPr>
          <w:lang w:val="fr-FR"/>
        </w:rPr>
        <w:t>1173 (2019) visant à accélérer la procédure pénale et à renforcer la lutte globale contre les violences faites aux enfants, aux adolescentes et adolescents et aux femmes</w:t>
      </w:r>
      <w:r w:rsidR="00300867">
        <w:rPr>
          <w:lang w:val="fr-FR"/>
        </w:rPr>
        <w:t> ;</w:t>
      </w:r>
    </w:p>
    <w:p w14:paraId="42976D71" w14:textId="1E3378E6" w:rsidR="00E32F88" w:rsidRPr="00E32F88" w:rsidRDefault="00E32F88" w:rsidP="00E32F88">
      <w:pPr>
        <w:pStyle w:val="SingleTxt"/>
        <w:rPr>
          <w:lang w:val="fr-FR"/>
        </w:rPr>
      </w:pPr>
      <w:r w:rsidRPr="00E32F88">
        <w:rPr>
          <w:lang w:val="fr-FR"/>
        </w:rPr>
        <w:tab/>
        <w:t>d)</w:t>
      </w:r>
      <w:r w:rsidRPr="00E32F88">
        <w:rPr>
          <w:lang w:val="fr-FR"/>
        </w:rPr>
        <w:tab/>
        <w:t>la loi n</w:t>
      </w:r>
      <w:r w:rsidRPr="00E32F88">
        <w:rPr>
          <w:vertAlign w:val="superscript"/>
          <w:lang w:val="fr-FR"/>
        </w:rPr>
        <w:t>o</w:t>
      </w:r>
      <w:r w:rsidRPr="00E32F88">
        <w:rPr>
          <w:lang w:val="fr-FR"/>
        </w:rPr>
        <w:t> 1152 (2019) sur le système de santé unique, universel et gratuit qui facilite l</w:t>
      </w:r>
      <w:r w:rsidR="00300867">
        <w:rPr>
          <w:lang w:val="fr-FR"/>
        </w:rPr>
        <w:t>’</w:t>
      </w:r>
      <w:r w:rsidRPr="00E32F88">
        <w:rPr>
          <w:lang w:val="fr-FR"/>
        </w:rPr>
        <w:t>accès aux consultations de santé sexuelle et procréative, une attention particulière étant accordée aux femmes, aux filles et aux garçons, aux adolescentes et aux adolescents, aux personnes âgées, aux personnes handicapées et aux membres des communautés autochtones paysannes et afro-boliviennes</w:t>
      </w:r>
      <w:r w:rsidR="00300867">
        <w:rPr>
          <w:lang w:val="fr-FR"/>
        </w:rPr>
        <w:t> ;</w:t>
      </w:r>
    </w:p>
    <w:p w14:paraId="464E5381" w14:textId="3E484564" w:rsidR="00E32F88" w:rsidRPr="00E32F88" w:rsidRDefault="00E32F88" w:rsidP="00E32F88">
      <w:pPr>
        <w:pStyle w:val="SingleTxt"/>
        <w:rPr>
          <w:lang w:val="fr-FR"/>
        </w:rPr>
      </w:pPr>
      <w:r w:rsidRPr="00E32F88">
        <w:rPr>
          <w:lang w:val="fr-FR"/>
        </w:rPr>
        <w:tab/>
        <w:t>e)</w:t>
      </w:r>
      <w:r w:rsidRPr="00E32F88">
        <w:rPr>
          <w:lang w:val="fr-FR"/>
        </w:rPr>
        <w:tab/>
        <w:t>la loi n</w:t>
      </w:r>
      <w:r w:rsidRPr="00E32F88">
        <w:rPr>
          <w:vertAlign w:val="superscript"/>
          <w:lang w:val="fr-FR"/>
        </w:rPr>
        <w:t>o</w:t>
      </w:r>
      <w:r w:rsidRPr="00E32F88">
        <w:rPr>
          <w:lang w:val="fr-FR"/>
        </w:rPr>
        <w:t> 1096 (2018) sur les organisations politiques, qui oblige ces organisations à mettre en place un système d</w:t>
      </w:r>
      <w:r w:rsidR="00300867">
        <w:rPr>
          <w:lang w:val="fr-FR"/>
        </w:rPr>
        <w:t>’</w:t>
      </w:r>
      <w:r w:rsidRPr="00E32F88">
        <w:rPr>
          <w:lang w:val="fr-FR"/>
        </w:rPr>
        <w:t>élimination du patriarcat au sein de leurs règles, en vue de promouvoir la parité, l</w:t>
      </w:r>
      <w:r w:rsidR="00300867">
        <w:rPr>
          <w:lang w:val="fr-FR"/>
        </w:rPr>
        <w:t>’</w:t>
      </w:r>
      <w:r w:rsidRPr="00E32F88">
        <w:rPr>
          <w:lang w:val="fr-FR"/>
        </w:rPr>
        <w:t>égalité d</w:t>
      </w:r>
      <w:r w:rsidR="00300867">
        <w:rPr>
          <w:lang w:val="fr-FR"/>
        </w:rPr>
        <w:t>’</w:t>
      </w:r>
      <w:r w:rsidRPr="00E32F88">
        <w:rPr>
          <w:lang w:val="fr-FR"/>
        </w:rPr>
        <w:t>accès aux emplois et l</w:t>
      </w:r>
      <w:r w:rsidR="00300867">
        <w:rPr>
          <w:lang w:val="fr-FR"/>
        </w:rPr>
        <w:t>’</w:t>
      </w:r>
      <w:r w:rsidRPr="00E32F88">
        <w:rPr>
          <w:lang w:val="fr-FR"/>
        </w:rPr>
        <w:t>action positive</w:t>
      </w:r>
      <w:r w:rsidR="00300867">
        <w:rPr>
          <w:lang w:val="fr-FR"/>
        </w:rPr>
        <w:t> ;</w:t>
      </w:r>
    </w:p>
    <w:p w14:paraId="45E65255" w14:textId="52838FB7" w:rsidR="00E32F88" w:rsidRPr="00E32F88" w:rsidRDefault="00E32F88" w:rsidP="00E32F88">
      <w:pPr>
        <w:pStyle w:val="SingleTxt"/>
        <w:rPr>
          <w:lang w:val="fr-FR"/>
        </w:rPr>
      </w:pPr>
      <w:r w:rsidRPr="00E32F88">
        <w:rPr>
          <w:lang w:val="fr-FR"/>
        </w:rPr>
        <w:tab/>
        <w:t>f)</w:t>
      </w:r>
      <w:r w:rsidRPr="00E32F88">
        <w:rPr>
          <w:lang w:val="fr-FR"/>
        </w:rPr>
        <w:tab/>
        <w:t>la loi n° 977 (2017) sur l</w:t>
      </w:r>
      <w:r w:rsidR="00300867">
        <w:rPr>
          <w:lang w:val="fr-FR"/>
        </w:rPr>
        <w:t>’</w:t>
      </w:r>
      <w:r w:rsidRPr="00E32F88">
        <w:rPr>
          <w:lang w:val="fr-FR"/>
        </w:rPr>
        <w:t>intégration professionnelle et l</w:t>
      </w:r>
      <w:r w:rsidR="00300867">
        <w:rPr>
          <w:lang w:val="fr-FR"/>
        </w:rPr>
        <w:t>’</w:t>
      </w:r>
      <w:r w:rsidRPr="00E32F88">
        <w:rPr>
          <w:lang w:val="fr-FR"/>
        </w:rPr>
        <w:t>aide financière aux personnes handicapées, et le décret suprême n</w:t>
      </w:r>
      <w:r w:rsidRPr="00E32F88">
        <w:rPr>
          <w:vertAlign w:val="superscript"/>
          <w:lang w:val="fr-FR"/>
        </w:rPr>
        <w:t>o</w:t>
      </w:r>
      <w:r w:rsidRPr="00E32F88">
        <w:rPr>
          <w:lang w:val="fr-FR"/>
        </w:rPr>
        <w:t> 3437 du 20 décembre 2017 portant réglementation de ladite loi</w:t>
      </w:r>
      <w:r w:rsidR="00300867">
        <w:rPr>
          <w:lang w:val="fr-FR"/>
        </w:rPr>
        <w:t> ;</w:t>
      </w:r>
    </w:p>
    <w:p w14:paraId="2FF151E2" w14:textId="0EF9C515" w:rsidR="00E32F88" w:rsidRPr="00E32F88" w:rsidRDefault="00E32F88" w:rsidP="00E32F88">
      <w:pPr>
        <w:pStyle w:val="SingleTxt"/>
        <w:rPr>
          <w:lang w:val="fr-FR"/>
        </w:rPr>
      </w:pPr>
      <w:r w:rsidRPr="00E32F88">
        <w:rPr>
          <w:lang w:val="fr-FR"/>
        </w:rPr>
        <w:tab/>
        <w:t>g)</w:t>
      </w:r>
      <w:r w:rsidRPr="00E32F88">
        <w:rPr>
          <w:lang w:val="fr-FR"/>
        </w:rPr>
        <w:tab/>
        <w:t>la loi n</w:t>
      </w:r>
      <w:r w:rsidRPr="00E32F88">
        <w:rPr>
          <w:vertAlign w:val="superscript"/>
          <w:lang w:val="fr-FR"/>
        </w:rPr>
        <w:t>o</w:t>
      </w:r>
      <w:r w:rsidRPr="00E32F88">
        <w:rPr>
          <w:lang w:val="fr-FR"/>
        </w:rPr>
        <w:t> 807 (2016) sur l</w:t>
      </w:r>
      <w:r w:rsidR="00300867">
        <w:rPr>
          <w:lang w:val="fr-FR"/>
        </w:rPr>
        <w:t>’</w:t>
      </w:r>
      <w:r w:rsidRPr="00E32F88">
        <w:rPr>
          <w:lang w:val="fr-FR"/>
        </w:rPr>
        <w:t>identité de genre</w:t>
      </w:r>
      <w:r w:rsidR="00300867">
        <w:rPr>
          <w:lang w:val="fr-FR"/>
        </w:rPr>
        <w:t> ;</w:t>
      </w:r>
    </w:p>
    <w:p w14:paraId="57DF1E1F" w14:textId="70A8FC0B" w:rsidR="00E32F88" w:rsidRPr="00E32F88" w:rsidRDefault="00E32F88" w:rsidP="00E32F88">
      <w:pPr>
        <w:pStyle w:val="SingleTxt"/>
        <w:rPr>
          <w:lang w:val="fr-FR"/>
        </w:rPr>
      </w:pPr>
      <w:r w:rsidRPr="00E32F88">
        <w:rPr>
          <w:lang w:val="fr-FR"/>
        </w:rPr>
        <w:tab/>
        <w:t>h)</w:t>
      </w:r>
      <w:r w:rsidRPr="00E32F88">
        <w:rPr>
          <w:lang w:val="fr-FR"/>
        </w:rPr>
        <w:tab/>
        <w:t>le décret suprême n</w:t>
      </w:r>
      <w:r w:rsidRPr="00E32F88">
        <w:rPr>
          <w:vertAlign w:val="superscript"/>
          <w:lang w:val="fr-FR"/>
        </w:rPr>
        <w:t>o</w:t>
      </w:r>
      <w:r w:rsidRPr="00E32F88">
        <w:rPr>
          <w:lang w:val="fr-FR"/>
        </w:rPr>
        <w:t> 2935 (2016), qui réglemente la loi n</w:t>
      </w:r>
      <w:r w:rsidRPr="00E32F88">
        <w:rPr>
          <w:vertAlign w:val="superscript"/>
          <w:lang w:val="fr-FR"/>
        </w:rPr>
        <w:t>o</w:t>
      </w:r>
      <w:r w:rsidRPr="00E32F88">
        <w:rPr>
          <w:lang w:val="fr-FR"/>
        </w:rPr>
        <w:t> 243 (2012) sur le harcèlement et la violence politiques à l</w:t>
      </w:r>
      <w:r w:rsidR="00300867">
        <w:rPr>
          <w:lang w:val="fr-FR"/>
        </w:rPr>
        <w:t>’</w:t>
      </w:r>
      <w:r w:rsidRPr="00E32F88">
        <w:rPr>
          <w:lang w:val="fr-FR"/>
        </w:rPr>
        <w:t>égard des femmes</w:t>
      </w:r>
      <w:r w:rsidR="00300867">
        <w:rPr>
          <w:lang w:val="fr-FR"/>
        </w:rPr>
        <w:t> ;</w:t>
      </w:r>
    </w:p>
    <w:p w14:paraId="25936EFE" w14:textId="77777777" w:rsidR="00E32F88" w:rsidRPr="00E32F88" w:rsidRDefault="00E32F88" w:rsidP="00E32F88">
      <w:pPr>
        <w:pStyle w:val="SingleTxt"/>
        <w:rPr>
          <w:lang w:val="fr-FR"/>
        </w:rPr>
      </w:pPr>
      <w:r w:rsidRPr="00E32F88">
        <w:rPr>
          <w:lang w:val="fr-FR"/>
        </w:rPr>
        <w:tab/>
        <w:t>i)</w:t>
      </w:r>
      <w:r w:rsidRPr="00E32F88">
        <w:rPr>
          <w:lang w:val="fr-FR"/>
        </w:rPr>
        <w:tab/>
        <w:t>la loi n</w:t>
      </w:r>
      <w:r w:rsidRPr="00E32F88">
        <w:rPr>
          <w:vertAlign w:val="superscript"/>
          <w:lang w:val="fr-FR"/>
        </w:rPr>
        <w:t>o</w:t>
      </w:r>
      <w:r w:rsidRPr="00E32F88">
        <w:rPr>
          <w:lang w:val="fr-FR"/>
        </w:rPr>
        <w:t> 848 (2016) instaurant la Décennie du peuple afro-bolivien.</w:t>
      </w:r>
    </w:p>
    <w:p w14:paraId="2415D70C" w14:textId="3D9555D6" w:rsidR="00E32F88" w:rsidRPr="00E32F88" w:rsidRDefault="00E32F88" w:rsidP="000F40FC">
      <w:pPr>
        <w:pStyle w:val="SingleTxt"/>
        <w:numPr>
          <w:ilvl w:val="0"/>
          <w:numId w:val="6"/>
        </w:numPr>
        <w:spacing w:line="240" w:lineRule="exact"/>
        <w:ind w:left="1267"/>
        <w:rPr>
          <w:lang w:val="fr-FR"/>
        </w:rPr>
      </w:pPr>
      <w:r w:rsidRPr="00E32F88">
        <w:rPr>
          <w:lang w:val="fr-FR"/>
        </w:rPr>
        <w:t>Le Comité salue les efforts déployés par l</w:t>
      </w:r>
      <w:r w:rsidR="00300867">
        <w:rPr>
          <w:lang w:val="fr-FR"/>
        </w:rPr>
        <w:t>’</w:t>
      </w:r>
      <w:r w:rsidRPr="00E32F88">
        <w:rPr>
          <w:lang w:val="fr-FR"/>
        </w:rPr>
        <w:t>État partie pour améliorer son cadre institutionnel et politique en vue d</w:t>
      </w:r>
      <w:r w:rsidR="00300867">
        <w:rPr>
          <w:lang w:val="fr-FR"/>
        </w:rPr>
        <w:t>’</w:t>
      </w:r>
      <w:r w:rsidRPr="00E32F88">
        <w:rPr>
          <w:lang w:val="fr-FR"/>
        </w:rPr>
        <w:t>accélérer l</w:t>
      </w:r>
      <w:r w:rsidR="00300867">
        <w:rPr>
          <w:lang w:val="fr-FR"/>
        </w:rPr>
        <w:t>’</w:t>
      </w:r>
      <w:r w:rsidRPr="00E32F88">
        <w:rPr>
          <w:lang w:val="fr-FR"/>
        </w:rPr>
        <w:t>élimination de la discrimination à l</w:t>
      </w:r>
      <w:r w:rsidR="00300867">
        <w:rPr>
          <w:lang w:val="fr-FR"/>
        </w:rPr>
        <w:t>’</w:t>
      </w:r>
      <w:r w:rsidRPr="00E32F88">
        <w:rPr>
          <w:lang w:val="fr-FR"/>
        </w:rPr>
        <w:t>égard des femmes et de promouvoir l</w:t>
      </w:r>
      <w:r w:rsidR="00300867">
        <w:rPr>
          <w:lang w:val="fr-FR"/>
        </w:rPr>
        <w:t>’</w:t>
      </w:r>
      <w:r w:rsidRPr="00E32F88">
        <w:rPr>
          <w:lang w:val="fr-FR"/>
        </w:rPr>
        <w:t>égalité des genres, notamment l</w:t>
      </w:r>
      <w:r w:rsidR="00300867">
        <w:rPr>
          <w:lang w:val="fr-FR"/>
        </w:rPr>
        <w:t>’</w:t>
      </w:r>
      <w:r w:rsidRPr="00E32F88">
        <w:rPr>
          <w:lang w:val="fr-FR"/>
        </w:rPr>
        <w:t>adoption ou la mise en place de ce qui suit</w:t>
      </w:r>
      <w:r w:rsidR="00300867">
        <w:rPr>
          <w:lang w:val="fr-FR"/>
        </w:rPr>
        <w:t> :</w:t>
      </w:r>
    </w:p>
    <w:p w14:paraId="74E7B9DA" w14:textId="299F4A14" w:rsidR="00E32F88" w:rsidRPr="00E32F88" w:rsidRDefault="00E32F88" w:rsidP="00E32F88">
      <w:pPr>
        <w:pStyle w:val="SingleTxt"/>
        <w:rPr>
          <w:lang w:val="fr-FR"/>
        </w:rPr>
      </w:pPr>
      <w:r w:rsidRPr="00E32F88">
        <w:rPr>
          <w:lang w:val="fr-FR"/>
        </w:rPr>
        <w:tab/>
        <w:t>a)</w:t>
      </w:r>
      <w:r w:rsidRPr="00E32F88">
        <w:rPr>
          <w:lang w:val="fr-FR"/>
        </w:rPr>
        <w:tab/>
        <w:t>le décret suprême n</w:t>
      </w:r>
      <w:r w:rsidRPr="00E32F88">
        <w:rPr>
          <w:vertAlign w:val="superscript"/>
          <w:lang w:val="fr-FR"/>
        </w:rPr>
        <w:t>o</w:t>
      </w:r>
      <w:r w:rsidRPr="00E32F88">
        <w:rPr>
          <w:lang w:val="fr-FR"/>
        </w:rPr>
        <w:t> 4650 du 5 janvier 2022, qui déclare 2022 comme étant l</w:t>
      </w:r>
      <w:r w:rsidR="00300867">
        <w:rPr>
          <w:lang w:val="fr-FR"/>
        </w:rPr>
        <w:t>’</w:t>
      </w:r>
      <w:r w:rsidRPr="00E32F88">
        <w:rPr>
          <w:lang w:val="fr-FR"/>
        </w:rPr>
        <w:t>Année de la révolution culturelle pour l</w:t>
      </w:r>
      <w:r w:rsidR="00300867">
        <w:rPr>
          <w:lang w:val="fr-FR"/>
        </w:rPr>
        <w:t>’</w:t>
      </w:r>
      <w:r w:rsidRPr="00E32F88">
        <w:rPr>
          <w:lang w:val="fr-FR"/>
        </w:rPr>
        <w:t>élimination du patriarcat</w:t>
      </w:r>
      <w:r w:rsidR="00300867">
        <w:rPr>
          <w:lang w:val="fr-FR"/>
        </w:rPr>
        <w:t> :</w:t>
      </w:r>
      <w:r w:rsidRPr="00E32F88">
        <w:rPr>
          <w:lang w:val="fr-FR"/>
        </w:rPr>
        <w:t xml:space="preserve"> pour une vie sans violence à l</w:t>
      </w:r>
      <w:r w:rsidR="00300867">
        <w:rPr>
          <w:lang w:val="fr-FR"/>
        </w:rPr>
        <w:t>’</w:t>
      </w:r>
      <w:r w:rsidRPr="00E32F88">
        <w:rPr>
          <w:lang w:val="fr-FR"/>
        </w:rPr>
        <w:t>égard des femmes</w:t>
      </w:r>
      <w:r w:rsidR="00300867">
        <w:rPr>
          <w:lang w:val="fr-FR"/>
        </w:rPr>
        <w:t> ;</w:t>
      </w:r>
    </w:p>
    <w:p w14:paraId="78D1DFDF" w14:textId="25000A42" w:rsidR="00E32F88" w:rsidRPr="00E32F88" w:rsidRDefault="00E32F88" w:rsidP="00E32F88">
      <w:pPr>
        <w:pStyle w:val="SingleTxt"/>
        <w:rPr>
          <w:lang w:val="fr-FR"/>
        </w:rPr>
      </w:pPr>
      <w:r w:rsidRPr="00E32F88">
        <w:rPr>
          <w:lang w:val="fr-FR"/>
        </w:rPr>
        <w:tab/>
        <w:t>b)</w:t>
      </w:r>
      <w:r w:rsidRPr="00E32F88">
        <w:rPr>
          <w:lang w:val="fr-FR"/>
        </w:rPr>
        <w:tab/>
        <w:t>la Commission nationale de suivi des affaires de féminicides en 2021</w:t>
      </w:r>
      <w:r w:rsidR="00300867">
        <w:rPr>
          <w:lang w:val="fr-FR"/>
        </w:rPr>
        <w:t> ;</w:t>
      </w:r>
    </w:p>
    <w:p w14:paraId="26865BA2" w14:textId="5A7122EB" w:rsidR="00E32F88" w:rsidRPr="00E32F88" w:rsidRDefault="00E32F88" w:rsidP="00E32F88">
      <w:pPr>
        <w:pStyle w:val="SingleTxt"/>
        <w:rPr>
          <w:lang w:val="fr-FR"/>
        </w:rPr>
      </w:pPr>
      <w:r w:rsidRPr="00E32F88">
        <w:rPr>
          <w:lang w:val="fr-FR"/>
        </w:rPr>
        <w:tab/>
        <w:t>c)</w:t>
      </w:r>
      <w:r w:rsidRPr="00E32F88">
        <w:rPr>
          <w:lang w:val="fr-FR"/>
        </w:rPr>
        <w:tab/>
        <w:t>l</w:t>
      </w:r>
      <w:r w:rsidR="00300867">
        <w:rPr>
          <w:lang w:val="fr-FR"/>
        </w:rPr>
        <w:t>’</w:t>
      </w:r>
      <w:r w:rsidRPr="00E32F88">
        <w:rPr>
          <w:lang w:val="fr-FR"/>
        </w:rPr>
        <w:t>arrêté ministériel n</w:t>
      </w:r>
      <w:r w:rsidRPr="00E32F88">
        <w:rPr>
          <w:vertAlign w:val="superscript"/>
          <w:lang w:val="fr-FR"/>
        </w:rPr>
        <w:t>o</w:t>
      </w:r>
      <w:r w:rsidRPr="00E32F88">
        <w:rPr>
          <w:lang w:val="fr-FR"/>
        </w:rPr>
        <w:t> 196/2021 du 8 mars 2021, portant approbation de la procédure de traitement des plaintes pour harcèlement et harcèlement sexuel des femmes sur le lieu de travail</w:t>
      </w:r>
      <w:r w:rsidR="00300867">
        <w:rPr>
          <w:lang w:val="fr-FR"/>
        </w:rPr>
        <w:t> ;</w:t>
      </w:r>
    </w:p>
    <w:p w14:paraId="0B7625CE" w14:textId="07F2C648" w:rsidR="00E32F88" w:rsidRPr="00E32F88" w:rsidRDefault="00E32F88" w:rsidP="00E32F88">
      <w:pPr>
        <w:pStyle w:val="SingleTxt"/>
        <w:rPr>
          <w:lang w:val="fr-FR"/>
        </w:rPr>
      </w:pPr>
      <w:r w:rsidRPr="00E32F88">
        <w:rPr>
          <w:lang w:val="fr-FR"/>
        </w:rPr>
        <w:tab/>
        <w:t>d)</w:t>
      </w:r>
      <w:r w:rsidRPr="00E32F88">
        <w:rPr>
          <w:lang w:val="fr-FR"/>
        </w:rPr>
        <w:tab/>
        <w:t>la résolution FGE/JLP/DAJ/2017/2020 du 27 novembre 2020, portant approbation du protocole normalisé pour la prise en charge spécialisée des victimes de la traite et du trafic d</w:t>
      </w:r>
      <w:r w:rsidR="00300867">
        <w:rPr>
          <w:lang w:val="fr-FR"/>
        </w:rPr>
        <w:t>’</w:t>
      </w:r>
      <w:r w:rsidRPr="00E32F88">
        <w:rPr>
          <w:lang w:val="fr-FR"/>
        </w:rPr>
        <w:t>êtres humains</w:t>
      </w:r>
      <w:r w:rsidR="00300867">
        <w:rPr>
          <w:lang w:val="fr-FR"/>
        </w:rPr>
        <w:t> ;</w:t>
      </w:r>
    </w:p>
    <w:p w14:paraId="4E94FC0B" w14:textId="2182E8FC" w:rsidR="00E32F88" w:rsidRPr="00E32F88" w:rsidRDefault="00E32F88" w:rsidP="00E32F88">
      <w:pPr>
        <w:pStyle w:val="SingleTxt"/>
        <w:rPr>
          <w:lang w:val="fr-FR"/>
        </w:rPr>
      </w:pPr>
      <w:r w:rsidRPr="00E32F88">
        <w:rPr>
          <w:lang w:val="fr-FR"/>
        </w:rPr>
        <w:tab/>
        <w:t>e)</w:t>
      </w:r>
      <w:r w:rsidRPr="00E32F88">
        <w:rPr>
          <w:lang w:val="fr-FR"/>
        </w:rPr>
        <w:tab/>
        <w:t>le décret suprême n</w:t>
      </w:r>
      <w:r w:rsidRPr="00E32F88">
        <w:rPr>
          <w:vertAlign w:val="superscript"/>
          <w:lang w:val="fr-FR"/>
        </w:rPr>
        <w:t>o</w:t>
      </w:r>
      <w:r w:rsidRPr="00E32F88">
        <w:rPr>
          <w:lang w:val="fr-FR"/>
        </w:rPr>
        <w:t> 4399 du 26 novembre 2020, qui renforce les mécanismes de prévention de la violence à l</w:t>
      </w:r>
      <w:r w:rsidR="00300867">
        <w:rPr>
          <w:lang w:val="fr-FR"/>
        </w:rPr>
        <w:t>’</w:t>
      </w:r>
      <w:r w:rsidRPr="00E32F88">
        <w:rPr>
          <w:lang w:val="fr-FR"/>
        </w:rPr>
        <w:t>égard des femmes et de prise en charge et de protection des femmes victimes de violence</w:t>
      </w:r>
      <w:r w:rsidR="00300867">
        <w:rPr>
          <w:lang w:val="fr-FR"/>
        </w:rPr>
        <w:t> ;</w:t>
      </w:r>
    </w:p>
    <w:p w14:paraId="44961247" w14:textId="09EE9A65" w:rsidR="00E32F88" w:rsidRPr="00E32F88" w:rsidRDefault="00E32F88" w:rsidP="00E32F88">
      <w:pPr>
        <w:pStyle w:val="SingleTxt"/>
        <w:rPr>
          <w:lang w:val="fr-FR"/>
        </w:rPr>
      </w:pPr>
      <w:r w:rsidRPr="00E32F88">
        <w:rPr>
          <w:lang w:val="fr-FR"/>
        </w:rPr>
        <w:tab/>
        <w:t>f)</w:t>
      </w:r>
      <w:r w:rsidRPr="00E32F88">
        <w:rPr>
          <w:lang w:val="fr-FR"/>
        </w:rPr>
        <w:tab/>
        <w:t>le décret suprême n</w:t>
      </w:r>
      <w:r w:rsidRPr="00E32F88">
        <w:rPr>
          <w:vertAlign w:val="superscript"/>
          <w:lang w:val="fr-FR"/>
        </w:rPr>
        <w:t>o</w:t>
      </w:r>
      <w:r w:rsidRPr="00E32F88">
        <w:rPr>
          <w:lang w:val="fr-FR"/>
        </w:rPr>
        <w:t> 4401 du 26 novembre 2020, portant approbation des mesures pour l</w:t>
      </w:r>
      <w:r w:rsidR="00300867">
        <w:rPr>
          <w:lang w:val="fr-FR"/>
        </w:rPr>
        <w:t>’</w:t>
      </w:r>
      <w:r w:rsidRPr="00E32F88">
        <w:rPr>
          <w:lang w:val="fr-FR"/>
        </w:rPr>
        <w:t>égalité d</w:t>
      </w:r>
      <w:r w:rsidR="00300867">
        <w:rPr>
          <w:lang w:val="fr-FR"/>
        </w:rPr>
        <w:t>’</w:t>
      </w:r>
      <w:r w:rsidRPr="00E32F88">
        <w:rPr>
          <w:lang w:val="fr-FR"/>
        </w:rPr>
        <w:t>accès à l</w:t>
      </w:r>
      <w:r w:rsidR="00300867">
        <w:rPr>
          <w:lang w:val="fr-FR"/>
        </w:rPr>
        <w:t>’</w:t>
      </w:r>
      <w:r w:rsidRPr="00E32F88">
        <w:rPr>
          <w:lang w:val="fr-FR"/>
        </w:rPr>
        <w:t>emploi et de rémunération</w:t>
      </w:r>
      <w:r w:rsidR="00300867">
        <w:rPr>
          <w:lang w:val="fr-FR"/>
        </w:rPr>
        <w:t> ;</w:t>
      </w:r>
    </w:p>
    <w:p w14:paraId="4C48174B" w14:textId="7022499C" w:rsidR="00E32F88" w:rsidRPr="00E32F88" w:rsidRDefault="00E32F88" w:rsidP="00E32F88">
      <w:pPr>
        <w:pStyle w:val="SingleTxt"/>
        <w:rPr>
          <w:lang w:val="fr-FR"/>
        </w:rPr>
      </w:pPr>
      <w:r w:rsidRPr="00E32F88">
        <w:rPr>
          <w:lang w:val="fr-FR"/>
        </w:rPr>
        <w:tab/>
        <w:t>g)</w:t>
      </w:r>
      <w:r w:rsidRPr="00E32F88">
        <w:rPr>
          <w:lang w:val="fr-FR"/>
        </w:rPr>
        <w:tab/>
        <w:t>l</w:t>
      </w:r>
      <w:r w:rsidR="00300867">
        <w:rPr>
          <w:lang w:val="fr-FR"/>
        </w:rPr>
        <w:t>’</w:t>
      </w:r>
      <w:r w:rsidRPr="00E32F88">
        <w:rPr>
          <w:lang w:val="fr-FR"/>
        </w:rPr>
        <w:t>arrêté ministériel n</w:t>
      </w:r>
      <w:r w:rsidRPr="00E32F88">
        <w:rPr>
          <w:vertAlign w:val="superscript"/>
          <w:lang w:val="fr-FR"/>
        </w:rPr>
        <w:t>o</w:t>
      </w:r>
      <w:r w:rsidRPr="00E32F88">
        <w:rPr>
          <w:lang w:val="fr-FR"/>
        </w:rPr>
        <w:t> 0282 du 28 mai 2020, portant approbation du protocole de traitement des femmes enceintes pendant la pandémie de COVID-19</w:t>
      </w:r>
      <w:r w:rsidR="00300867">
        <w:rPr>
          <w:lang w:val="fr-FR"/>
        </w:rPr>
        <w:t> ;</w:t>
      </w:r>
    </w:p>
    <w:p w14:paraId="04B26880" w14:textId="2D1CCF3A" w:rsidR="00E32F88" w:rsidRPr="00E32F88" w:rsidRDefault="00E32F88" w:rsidP="00E32F88">
      <w:pPr>
        <w:pStyle w:val="SingleTxt"/>
        <w:rPr>
          <w:lang w:val="fr-FR"/>
        </w:rPr>
      </w:pPr>
      <w:r w:rsidRPr="00E32F88">
        <w:rPr>
          <w:lang w:val="fr-FR"/>
        </w:rPr>
        <w:lastRenderedPageBreak/>
        <w:tab/>
        <w:t>h)</w:t>
      </w:r>
      <w:r w:rsidRPr="00E32F88">
        <w:rPr>
          <w:lang w:val="fr-FR"/>
        </w:rPr>
        <w:tab/>
        <w:t>l</w:t>
      </w:r>
      <w:r w:rsidR="00300867">
        <w:rPr>
          <w:lang w:val="fr-FR"/>
        </w:rPr>
        <w:t>’</w:t>
      </w:r>
      <w:r w:rsidRPr="00E32F88">
        <w:rPr>
          <w:lang w:val="fr-FR"/>
        </w:rPr>
        <w:t>arrêté ministériel n</w:t>
      </w:r>
      <w:r w:rsidRPr="00E32F88">
        <w:rPr>
          <w:vertAlign w:val="superscript"/>
          <w:lang w:val="fr-FR"/>
        </w:rPr>
        <w:t>o</w:t>
      </w:r>
      <w:r w:rsidRPr="00E32F88">
        <w:rPr>
          <w:lang w:val="fr-FR"/>
        </w:rPr>
        <w:t> 154/2019 du 31 décembre 2019, portant approbation du protocole interinstitutionnel pour la prise en charge et la protection des enfants, des adolescentes et adolescents et des femmes victimes de violence</w:t>
      </w:r>
      <w:r w:rsidR="00300867">
        <w:rPr>
          <w:lang w:val="fr-FR"/>
        </w:rPr>
        <w:t> ;</w:t>
      </w:r>
    </w:p>
    <w:p w14:paraId="4B5F9838" w14:textId="44D0F240" w:rsidR="00E32F88" w:rsidRPr="00E32F88" w:rsidRDefault="00E32F88" w:rsidP="00E32F88">
      <w:pPr>
        <w:pStyle w:val="SingleTxt"/>
        <w:rPr>
          <w:lang w:val="fr-FR"/>
        </w:rPr>
      </w:pPr>
      <w:r w:rsidRPr="00E32F88">
        <w:rPr>
          <w:lang w:val="fr-FR"/>
        </w:rPr>
        <w:tab/>
        <w:t>i)</w:t>
      </w:r>
      <w:r w:rsidRPr="00E32F88">
        <w:rPr>
          <w:lang w:val="fr-FR"/>
        </w:rPr>
        <w:tab/>
        <w:t>le Cabinet spécial de lutte contre la violence à l</w:t>
      </w:r>
      <w:r w:rsidR="00300867">
        <w:rPr>
          <w:lang w:val="fr-FR"/>
        </w:rPr>
        <w:t>’</w:t>
      </w:r>
      <w:r w:rsidRPr="00E32F88">
        <w:rPr>
          <w:lang w:val="fr-FR"/>
        </w:rPr>
        <w:t>égard des femmes et des enfants, qui a déclaré que la lutte contre les féminicides et les violences à l</w:t>
      </w:r>
      <w:r w:rsidR="00300867">
        <w:rPr>
          <w:lang w:val="fr-FR"/>
        </w:rPr>
        <w:t>’</w:t>
      </w:r>
      <w:r w:rsidRPr="00E32F88">
        <w:rPr>
          <w:lang w:val="fr-FR"/>
        </w:rPr>
        <w:t>égard des femmes et des filles était une priorité nationale et a publié une liste de 10 domaines d</w:t>
      </w:r>
      <w:r w:rsidR="00300867">
        <w:rPr>
          <w:lang w:val="fr-FR"/>
        </w:rPr>
        <w:t>’</w:t>
      </w:r>
      <w:r w:rsidRPr="00E32F88">
        <w:rPr>
          <w:lang w:val="fr-FR"/>
        </w:rPr>
        <w:t>action clés en 2019</w:t>
      </w:r>
      <w:r w:rsidR="00300867">
        <w:rPr>
          <w:lang w:val="fr-FR"/>
        </w:rPr>
        <w:t> ;</w:t>
      </w:r>
    </w:p>
    <w:p w14:paraId="2D5F6C25" w14:textId="1E28A4E0" w:rsidR="00E32F88" w:rsidRPr="00E32F88" w:rsidRDefault="00E32F88" w:rsidP="00E32F88">
      <w:pPr>
        <w:pStyle w:val="SingleTxt"/>
        <w:rPr>
          <w:lang w:val="fr-FR"/>
        </w:rPr>
      </w:pPr>
      <w:r w:rsidRPr="00E32F88">
        <w:rPr>
          <w:lang w:val="fr-FR"/>
        </w:rPr>
        <w:tab/>
        <w:t>j)</w:t>
      </w:r>
      <w:r w:rsidRPr="00E32F88">
        <w:rPr>
          <w:lang w:val="fr-FR"/>
        </w:rPr>
        <w:tab/>
        <w:t>les décrets suprêmes n</w:t>
      </w:r>
      <w:r w:rsidRPr="00E32F88">
        <w:rPr>
          <w:vertAlign w:val="superscript"/>
          <w:lang w:val="fr-FR"/>
        </w:rPr>
        <w:t>os</w:t>
      </w:r>
      <w:r w:rsidRPr="00E32F88">
        <w:rPr>
          <w:lang w:val="fr-FR"/>
        </w:rPr>
        <w:t> 3980 et 3981, portant approbation des stratégies visant à promouvoir la formation obligatoire à la prévention de la violence à l</w:t>
      </w:r>
      <w:r w:rsidR="00300867">
        <w:rPr>
          <w:lang w:val="fr-FR"/>
        </w:rPr>
        <w:t>’</w:t>
      </w:r>
      <w:r w:rsidRPr="00E32F88">
        <w:rPr>
          <w:lang w:val="fr-FR"/>
        </w:rPr>
        <w:t>égard des femmes pour les fonctionnaires, le personnel militaire et les entreprises du secteur public, en 2019</w:t>
      </w:r>
      <w:r w:rsidR="00300867">
        <w:rPr>
          <w:lang w:val="fr-FR"/>
        </w:rPr>
        <w:t> ;</w:t>
      </w:r>
    </w:p>
    <w:p w14:paraId="40C48C13" w14:textId="68BCBF11" w:rsidR="00E32F88" w:rsidRPr="00E32F88" w:rsidRDefault="00E32F88" w:rsidP="00E32F88">
      <w:pPr>
        <w:pStyle w:val="SingleTxt"/>
        <w:rPr>
          <w:lang w:val="fr-FR"/>
        </w:rPr>
      </w:pPr>
      <w:r w:rsidRPr="00E32F88">
        <w:rPr>
          <w:lang w:val="fr-FR"/>
        </w:rPr>
        <w:tab/>
        <w:t>k)</w:t>
      </w:r>
      <w:r w:rsidRPr="00E32F88">
        <w:rPr>
          <w:lang w:val="fr-FR"/>
        </w:rPr>
        <w:tab/>
        <w:t>le Système d</w:t>
      </w:r>
      <w:r w:rsidR="00300867">
        <w:rPr>
          <w:lang w:val="fr-FR"/>
        </w:rPr>
        <w:t>’</w:t>
      </w:r>
      <w:r w:rsidRPr="00E32F88">
        <w:rPr>
          <w:lang w:val="fr-FR"/>
        </w:rPr>
        <w:t>enregistrement et d</w:t>
      </w:r>
      <w:r w:rsidR="00300867">
        <w:rPr>
          <w:lang w:val="fr-FR"/>
        </w:rPr>
        <w:t>’</w:t>
      </w:r>
      <w:r w:rsidRPr="00E32F88">
        <w:rPr>
          <w:lang w:val="fr-FR"/>
        </w:rPr>
        <w:t>alerte rapide « Adela Zamudio » et la promotion de la spécialisation de la Force spéciale de lutte contre la violence « Genoveva Ríos », approuvés par le décret suprême n</w:t>
      </w:r>
      <w:r w:rsidRPr="00E32F88">
        <w:rPr>
          <w:vertAlign w:val="superscript"/>
          <w:lang w:val="fr-FR"/>
        </w:rPr>
        <w:t>o</w:t>
      </w:r>
      <w:r w:rsidRPr="00E32F88">
        <w:rPr>
          <w:lang w:val="fr-FR"/>
        </w:rPr>
        <w:t> 3834 du 13 mars 2019</w:t>
      </w:r>
      <w:r w:rsidR="00300867">
        <w:rPr>
          <w:lang w:val="fr-FR"/>
        </w:rPr>
        <w:t> ;</w:t>
      </w:r>
    </w:p>
    <w:p w14:paraId="4F3E9D6D" w14:textId="50B91C35" w:rsidR="00E32F88" w:rsidRPr="00E32F88" w:rsidRDefault="00E32F88" w:rsidP="00E32F88">
      <w:pPr>
        <w:pStyle w:val="SingleTxt"/>
        <w:rPr>
          <w:lang w:val="fr-FR"/>
        </w:rPr>
      </w:pPr>
      <w:r w:rsidRPr="00E32F88">
        <w:rPr>
          <w:lang w:val="fr-FR"/>
        </w:rPr>
        <w:tab/>
        <w:t>l)</w:t>
      </w:r>
      <w:r w:rsidRPr="00E32F88">
        <w:rPr>
          <w:lang w:val="fr-FR"/>
        </w:rPr>
        <w:tab/>
        <w:t>le Service plurinational pour les femmes et l</w:t>
      </w:r>
      <w:r w:rsidR="00300867">
        <w:rPr>
          <w:lang w:val="fr-FR"/>
        </w:rPr>
        <w:t>’</w:t>
      </w:r>
      <w:r w:rsidRPr="00E32F88">
        <w:rPr>
          <w:lang w:val="fr-FR"/>
        </w:rPr>
        <w:t>élimination du patriarcat « Ana María Romero », approuvé par le décret suprême n</w:t>
      </w:r>
      <w:r w:rsidRPr="00E32F88">
        <w:rPr>
          <w:vertAlign w:val="superscript"/>
          <w:lang w:val="fr-FR"/>
        </w:rPr>
        <w:t>o</w:t>
      </w:r>
      <w:r w:rsidRPr="00E32F88">
        <w:rPr>
          <w:lang w:val="fr-FR"/>
        </w:rPr>
        <w:t> 3774 du 16 janvier 2019</w:t>
      </w:r>
      <w:r w:rsidR="00300867">
        <w:rPr>
          <w:lang w:val="fr-FR"/>
        </w:rPr>
        <w:t> ;</w:t>
      </w:r>
    </w:p>
    <w:p w14:paraId="302A4759" w14:textId="795287E7" w:rsidR="00E32F88" w:rsidRPr="00E32F88" w:rsidRDefault="00E32F88" w:rsidP="00E32F88">
      <w:pPr>
        <w:pStyle w:val="SingleTxt"/>
        <w:rPr>
          <w:lang w:val="fr-FR"/>
        </w:rPr>
      </w:pPr>
      <w:r w:rsidRPr="00E32F88">
        <w:rPr>
          <w:lang w:val="fr-FR"/>
        </w:rPr>
        <w:tab/>
        <w:t>m)</w:t>
      </w:r>
      <w:r w:rsidRPr="00E32F88">
        <w:rPr>
          <w:lang w:val="fr-FR"/>
        </w:rPr>
        <w:tab/>
        <w:t>l</w:t>
      </w:r>
      <w:r w:rsidR="00300867">
        <w:rPr>
          <w:lang w:val="fr-FR"/>
        </w:rPr>
        <w:t>’</w:t>
      </w:r>
      <w:r w:rsidRPr="00E32F88">
        <w:rPr>
          <w:lang w:val="fr-FR"/>
        </w:rPr>
        <w:t>arrêté ministériel n</w:t>
      </w:r>
      <w:r w:rsidRPr="00E32F88">
        <w:rPr>
          <w:vertAlign w:val="superscript"/>
          <w:lang w:val="fr-FR"/>
        </w:rPr>
        <w:t>o</w:t>
      </w:r>
      <w:r w:rsidRPr="00E32F88">
        <w:rPr>
          <w:lang w:val="fr-FR"/>
        </w:rPr>
        <w:t> 2709/2017 du 17 octobre 2017, portant approbation du règlement visant à garantir le droit à l</w:t>
      </w:r>
      <w:r w:rsidR="00300867">
        <w:rPr>
          <w:lang w:val="fr-FR"/>
        </w:rPr>
        <w:t>’</w:t>
      </w:r>
      <w:r w:rsidRPr="00E32F88">
        <w:rPr>
          <w:lang w:val="fr-FR"/>
        </w:rPr>
        <w:t>éducation des élèves enceintes</w:t>
      </w:r>
      <w:r w:rsidR="00300867">
        <w:rPr>
          <w:lang w:val="fr-FR"/>
        </w:rPr>
        <w:t> ;</w:t>
      </w:r>
    </w:p>
    <w:p w14:paraId="60FFF89F" w14:textId="72633D5F" w:rsidR="00E32F88" w:rsidRPr="00E32F88" w:rsidRDefault="00E32F88" w:rsidP="00E32F88">
      <w:pPr>
        <w:pStyle w:val="SingleTxt"/>
        <w:rPr>
          <w:lang w:val="fr-FR"/>
        </w:rPr>
      </w:pPr>
      <w:r w:rsidRPr="00E32F88">
        <w:rPr>
          <w:lang w:val="fr-FR"/>
        </w:rPr>
        <w:tab/>
        <w:t>n)</w:t>
      </w:r>
      <w:r w:rsidRPr="00E32F88">
        <w:rPr>
          <w:lang w:val="fr-FR"/>
        </w:rPr>
        <w:tab/>
        <w:t>le règlement concernant la réception des plaintes et des démissions liées au harcèlement et à la violence politiques à l</w:t>
      </w:r>
      <w:r w:rsidR="00300867">
        <w:rPr>
          <w:lang w:val="fr-FR"/>
        </w:rPr>
        <w:t>’</w:t>
      </w:r>
      <w:r w:rsidRPr="00E32F88">
        <w:rPr>
          <w:lang w:val="fr-FR"/>
        </w:rPr>
        <w:t>égard des femmes, approuvé par la décision TSE-RSP-ADM n</w:t>
      </w:r>
      <w:r w:rsidRPr="00E32F88">
        <w:rPr>
          <w:vertAlign w:val="superscript"/>
          <w:lang w:val="fr-FR"/>
        </w:rPr>
        <w:t>o</w:t>
      </w:r>
      <w:r w:rsidRPr="00E32F88">
        <w:rPr>
          <w:lang w:val="fr-FR"/>
        </w:rPr>
        <w:t> 0158/2017 du 3 mai 2017</w:t>
      </w:r>
      <w:r w:rsidR="00300867">
        <w:rPr>
          <w:lang w:val="fr-FR"/>
        </w:rPr>
        <w:t> ;</w:t>
      </w:r>
    </w:p>
    <w:p w14:paraId="56F1DD0D" w14:textId="154236BB" w:rsidR="00E32F88" w:rsidRPr="00E32F88" w:rsidRDefault="00E32F88" w:rsidP="00E32F88">
      <w:pPr>
        <w:pStyle w:val="SingleTxt"/>
        <w:rPr>
          <w:lang w:val="fr-FR"/>
        </w:rPr>
      </w:pPr>
      <w:r w:rsidRPr="00E32F88">
        <w:rPr>
          <w:lang w:val="fr-FR"/>
        </w:rPr>
        <w:tab/>
        <w:t>o)</w:t>
      </w:r>
      <w:r w:rsidRPr="00E32F88">
        <w:rPr>
          <w:lang w:val="fr-FR"/>
        </w:rPr>
        <w:tab/>
        <w:t>la Commission interinstitutionnelle, dont le mandat est de mettre en œuvre une politique publique globale pour une vie décente des femmes boliviennes, approuvée par le décret suprême n</w:t>
      </w:r>
      <w:r w:rsidRPr="00E32F88">
        <w:rPr>
          <w:vertAlign w:val="superscript"/>
          <w:lang w:val="fr-FR"/>
        </w:rPr>
        <w:t>o</w:t>
      </w:r>
      <w:r w:rsidRPr="00E32F88">
        <w:rPr>
          <w:lang w:val="fr-FR"/>
        </w:rPr>
        <w:t> 3106 du 8 mars 2017</w:t>
      </w:r>
      <w:r w:rsidR="00300867">
        <w:rPr>
          <w:lang w:val="fr-FR"/>
        </w:rPr>
        <w:t> ;</w:t>
      </w:r>
    </w:p>
    <w:p w14:paraId="17BA2E24" w14:textId="63856E4D" w:rsidR="00E32F88" w:rsidRPr="00E32F88" w:rsidRDefault="00E32F88" w:rsidP="00E32F88">
      <w:pPr>
        <w:pStyle w:val="SingleTxt"/>
        <w:rPr>
          <w:lang w:val="fr-FR"/>
        </w:rPr>
      </w:pPr>
      <w:r w:rsidRPr="00E32F88">
        <w:rPr>
          <w:lang w:val="fr-FR"/>
        </w:rPr>
        <w:tab/>
        <w:t>p)</w:t>
      </w:r>
      <w:r w:rsidRPr="00E32F88">
        <w:rPr>
          <w:lang w:val="fr-FR"/>
        </w:rPr>
        <w:tab/>
        <w:t>le Plan multisectoriel pour la promotion de l</w:t>
      </w:r>
      <w:r w:rsidR="00300867">
        <w:rPr>
          <w:lang w:val="fr-FR"/>
        </w:rPr>
        <w:t>’</w:t>
      </w:r>
      <w:r w:rsidRPr="00E32F88">
        <w:rPr>
          <w:lang w:val="fr-FR"/>
        </w:rPr>
        <w:t>élimination du patriarcat et du droit des femmes de vivre dans de bonnes conditions (2016-2020), approuvé par l</w:t>
      </w:r>
      <w:r w:rsidR="00300867">
        <w:rPr>
          <w:lang w:val="fr-FR"/>
        </w:rPr>
        <w:t>’</w:t>
      </w:r>
      <w:r w:rsidRPr="00E32F88">
        <w:rPr>
          <w:lang w:val="fr-FR"/>
        </w:rPr>
        <w:t>arrêté interministériel n</w:t>
      </w:r>
      <w:r w:rsidRPr="00E32F88">
        <w:rPr>
          <w:vertAlign w:val="superscript"/>
          <w:lang w:val="fr-FR"/>
        </w:rPr>
        <w:t>o</w:t>
      </w:r>
      <w:r w:rsidRPr="00E32F88">
        <w:rPr>
          <w:lang w:val="fr-FR"/>
        </w:rPr>
        <w:t> 02/2016</w:t>
      </w:r>
      <w:r w:rsidR="00300867">
        <w:rPr>
          <w:lang w:val="fr-FR"/>
        </w:rPr>
        <w:t> ;</w:t>
      </w:r>
    </w:p>
    <w:p w14:paraId="5C88DC90" w14:textId="4F423238" w:rsidR="00E32F88" w:rsidRPr="00E32F88" w:rsidRDefault="00E32F88" w:rsidP="00E32F88">
      <w:pPr>
        <w:pStyle w:val="SingleTxt"/>
        <w:rPr>
          <w:lang w:val="fr-FR"/>
        </w:rPr>
      </w:pPr>
      <w:r w:rsidRPr="00E32F88">
        <w:rPr>
          <w:lang w:val="fr-FR"/>
        </w:rPr>
        <w:tab/>
        <w:t>q)</w:t>
      </w:r>
      <w:r w:rsidRPr="00E32F88">
        <w:rPr>
          <w:lang w:val="fr-FR"/>
        </w:rPr>
        <w:tab/>
        <w:t>le protocole pour une justice tenant compte des questions de genre, approuvé par le Tribunal suprême de justice par décision n</w:t>
      </w:r>
      <w:r w:rsidRPr="00E32F88">
        <w:rPr>
          <w:vertAlign w:val="superscript"/>
          <w:lang w:val="fr-FR"/>
        </w:rPr>
        <w:t>o</w:t>
      </w:r>
      <w:r w:rsidRPr="00E32F88">
        <w:rPr>
          <w:lang w:val="fr-FR"/>
        </w:rPr>
        <w:t> 126/2016 de la plénière du 22 novembre 2016, par l</w:t>
      </w:r>
      <w:r w:rsidR="00300867">
        <w:rPr>
          <w:lang w:val="fr-FR"/>
        </w:rPr>
        <w:t>’</w:t>
      </w:r>
      <w:r w:rsidRPr="00E32F88">
        <w:rPr>
          <w:lang w:val="fr-FR"/>
        </w:rPr>
        <w:t>accord n</w:t>
      </w:r>
      <w:r w:rsidRPr="00E32F88">
        <w:rPr>
          <w:vertAlign w:val="superscript"/>
          <w:lang w:val="fr-FR"/>
        </w:rPr>
        <w:t>o</w:t>
      </w:r>
      <w:r w:rsidRPr="00E32F88">
        <w:rPr>
          <w:lang w:val="fr-FR"/>
        </w:rPr>
        <w:t> 23/2016 du 23 novembre 2016 et par l</w:t>
      </w:r>
      <w:r w:rsidR="00300867">
        <w:rPr>
          <w:lang w:val="fr-FR"/>
        </w:rPr>
        <w:t>’</w:t>
      </w:r>
      <w:r w:rsidRPr="00E32F88">
        <w:rPr>
          <w:lang w:val="fr-FR"/>
        </w:rPr>
        <w:t>accord n</w:t>
      </w:r>
      <w:r w:rsidRPr="00E32F88">
        <w:rPr>
          <w:vertAlign w:val="superscript"/>
          <w:lang w:val="fr-FR"/>
        </w:rPr>
        <w:t>o</w:t>
      </w:r>
      <w:r w:rsidRPr="00E32F88">
        <w:rPr>
          <w:lang w:val="fr-FR"/>
        </w:rPr>
        <w:t> 193/2016 du 16 novembre 2016 de la Chambre plénière du Tribunal agricole et environnemental</w:t>
      </w:r>
      <w:r w:rsidR="00300867">
        <w:rPr>
          <w:lang w:val="fr-FR"/>
        </w:rPr>
        <w:t> ;</w:t>
      </w:r>
    </w:p>
    <w:p w14:paraId="09827714" w14:textId="1A8ACCC9" w:rsidR="00E32F88" w:rsidRPr="00E32F88" w:rsidRDefault="00E32F88" w:rsidP="00E32F88">
      <w:pPr>
        <w:pStyle w:val="SingleTxt"/>
        <w:rPr>
          <w:lang w:val="fr-FR"/>
        </w:rPr>
      </w:pPr>
      <w:r w:rsidRPr="00E32F88">
        <w:rPr>
          <w:lang w:val="fr-FR"/>
        </w:rPr>
        <w:tab/>
        <w:t>r)</w:t>
      </w:r>
      <w:r w:rsidRPr="00E32F88">
        <w:rPr>
          <w:lang w:val="fr-FR"/>
        </w:rPr>
        <w:tab/>
        <w:t>la procédure technique pour la prestation de services de santé, y compris les avortements légaux et sûrs, dans le cadre de l</w:t>
      </w:r>
      <w:r w:rsidR="00300867">
        <w:rPr>
          <w:lang w:val="fr-FR"/>
        </w:rPr>
        <w:t>’</w:t>
      </w:r>
      <w:r w:rsidRPr="00E32F88">
        <w:rPr>
          <w:lang w:val="fr-FR"/>
        </w:rPr>
        <w:t>arrêt n</w:t>
      </w:r>
      <w:r w:rsidRPr="00E32F88">
        <w:rPr>
          <w:vertAlign w:val="superscript"/>
          <w:lang w:val="fr-FR"/>
        </w:rPr>
        <w:t>o</w:t>
      </w:r>
      <w:r w:rsidRPr="00E32F88">
        <w:rPr>
          <w:lang w:val="fr-FR"/>
        </w:rPr>
        <w:t> 206/2014 de la Cour constitutionnelle plurinationale, approuvée par l</w:t>
      </w:r>
      <w:r w:rsidR="00300867">
        <w:rPr>
          <w:lang w:val="fr-FR"/>
        </w:rPr>
        <w:t>’</w:t>
      </w:r>
      <w:r w:rsidRPr="00E32F88">
        <w:rPr>
          <w:lang w:val="fr-FR"/>
        </w:rPr>
        <w:t>arrêté ministériel n</w:t>
      </w:r>
      <w:r w:rsidRPr="00E32F88">
        <w:rPr>
          <w:vertAlign w:val="superscript"/>
          <w:lang w:val="fr-FR"/>
        </w:rPr>
        <w:t>o</w:t>
      </w:r>
      <w:r w:rsidRPr="00E32F88">
        <w:rPr>
          <w:lang w:val="fr-FR"/>
        </w:rPr>
        <w:t> 027/2015 du 29 janvier 2015.</w:t>
      </w:r>
    </w:p>
    <w:p w14:paraId="6D1EE9EB" w14:textId="46F29588" w:rsidR="00E32F88" w:rsidRPr="00E32F88" w:rsidRDefault="00E32F88" w:rsidP="000F40FC">
      <w:pPr>
        <w:pStyle w:val="SingleTxt"/>
        <w:numPr>
          <w:ilvl w:val="0"/>
          <w:numId w:val="6"/>
        </w:numPr>
        <w:spacing w:line="240" w:lineRule="exact"/>
        <w:ind w:left="1267"/>
        <w:rPr>
          <w:lang w:val="fr-FR"/>
        </w:rPr>
      </w:pPr>
      <w:r w:rsidRPr="00E32F88">
        <w:rPr>
          <w:lang w:val="fr-FR"/>
        </w:rPr>
        <w:t>Le Comité note avec satisfaction que, depuis l</w:t>
      </w:r>
      <w:r w:rsidR="00300867">
        <w:rPr>
          <w:lang w:val="fr-FR"/>
        </w:rPr>
        <w:t>’</w:t>
      </w:r>
      <w:r w:rsidRPr="00E32F88">
        <w:rPr>
          <w:lang w:val="fr-FR"/>
        </w:rPr>
        <w:t>examen du précédent rapport, l</w:t>
      </w:r>
      <w:r w:rsidR="00300867">
        <w:rPr>
          <w:lang w:val="fr-FR"/>
        </w:rPr>
        <w:t>’</w:t>
      </w:r>
      <w:r w:rsidRPr="00E32F88">
        <w:rPr>
          <w:lang w:val="fr-FR"/>
        </w:rPr>
        <w:t>État partie a ratifié les instruments internationaux et régionaux ci-après, ou y a adhéré</w:t>
      </w:r>
      <w:r w:rsidR="00300867">
        <w:rPr>
          <w:lang w:val="fr-FR"/>
        </w:rPr>
        <w:t> :</w:t>
      </w:r>
    </w:p>
    <w:p w14:paraId="5600CA4A" w14:textId="7FD19107" w:rsidR="00E32F88" w:rsidRPr="00E32F88" w:rsidRDefault="00E32F88" w:rsidP="00E32F88">
      <w:pPr>
        <w:pStyle w:val="SingleTxt"/>
        <w:rPr>
          <w:lang w:val="fr-FR"/>
        </w:rPr>
      </w:pPr>
      <w:r w:rsidRPr="00E32F88">
        <w:rPr>
          <w:lang w:val="fr-FR"/>
        </w:rPr>
        <w:tab/>
        <w:t>a)</w:t>
      </w:r>
      <w:r w:rsidRPr="00E32F88">
        <w:rPr>
          <w:lang w:val="fr-FR"/>
        </w:rPr>
        <w:tab/>
        <w:t>l</w:t>
      </w:r>
      <w:r w:rsidR="00300867">
        <w:rPr>
          <w:lang w:val="fr-FR"/>
        </w:rPr>
        <w:t>’</w:t>
      </w:r>
      <w:r w:rsidRPr="00E32F88">
        <w:rPr>
          <w:lang w:val="fr-FR"/>
        </w:rPr>
        <w:t>Accord régional sur l</w:t>
      </w:r>
      <w:r w:rsidR="00300867">
        <w:rPr>
          <w:lang w:val="fr-FR"/>
        </w:rPr>
        <w:t>’</w:t>
      </w:r>
      <w:r w:rsidRPr="00E32F88">
        <w:rPr>
          <w:lang w:val="fr-FR"/>
        </w:rPr>
        <w:t>accès à l</w:t>
      </w:r>
      <w:r w:rsidR="00300867">
        <w:rPr>
          <w:lang w:val="fr-FR"/>
        </w:rPr>
        <w:t>’</w:t>
      </w:r>
      <w:r w:rsidRPr="00E32F88">
        <w:rPr>
          <w:lang w:val="fr-FR"/>
        </w:rPr>
        <w:t>information, la participation publique et l</w:t>
      </w:r>
      <w:r w:rsidR="00300867">
        <w:rPr>
          <w:lang w:val="fr-FR"/>
        </w:rPr>
        <w:t>’</w:t>
      </w:r>
      <w:r w:rsidRPr="00E32F88">
        <w:rPr>
          <w:lang w:val="fr-FR"/>
        </w:rPr>
        <w:t>accès à la justice à propos des questions environnementales en Amérique latine et dans les Caraïbes, en 2019</w:t>
      </w:r>
      <w:r w:rsidR="00300867">
        <w:rPr>
          <w:lang w:val="fr-FR"/>
        </w:rPr>
        <w:t> ;</w:t>
      </w:r>
    </w:p>
    <w:p w14:paraId="775D64B4" w14:textId="48C03968" w:rsidR="00E32F88" w:rsidRPr="00E32F88" w:rsidRDefault="00E32F88" w:rsidP="00E32F88">
      <w:pPr>
        <w:pStyle w:val="SingleTxt"/>
        <w:rPr>
          <w:lang w:val="fr-FR"/>
        </w:rPr>
      </w:pPr>
      <w:r w:rsidRPr="00E32F88">
        <w:rPr>
          <w:lang w:val="fr-FR"/>
        </w:rPr>
        <w:tab/>
        <w:t>b)</w:t>
      </w:r>
      <w:r w:rsidRPr="00E32F88">
        <w:rPr>
          <w:lang w:val="fr-FR"/>
        </w:rPr>
        <w:tab/>
        <w:t>la Convention interaméricaine sur la protection des droits de l</w:t>
      </w:r>
      <w:r w:rsidR="00300867">
        <w:rPr>
          <w:lang w:val="fr-FR"/>
        </w:rPr>
        <w:t>’</w:t>
      </w:r>
      <w:r w:rsidRPr="00E32F88">
        <w:rPr>
          <w:lang w:val="fr-FR"/>
        </w:rPr>
        <w:t>homme des personnes âgées, en 2017</w:t>
      </w:r>
      <w:r w:rsidR="00300867">
        <w:rPr>
          <w:lang w:val="fr-FR"/>
        </w:rPr>
        <w:t> ;</w:t>
      </w:r>
    </w:p>
    <w:p w14:paraId="54ED35D7" w14:textId="5D3EC14D" w:rsidR="00E32F88" w:rsidRPr="00E32F88" w:rsidRDefault="00E32F88" w:rsidP="00E32F88">
      <w:pPr>
        <w:pStyle w:val="SingleTxt"/>
        <w:rPr>
          <w:lang w:val="fr-FR"/>
        </w:rPr>
      </w:pPr>
      <w:r w:rsidRPr="00E32F88">
        <w:rPr>
          <w:lang w:val="fr-FR"/>
        </w:rPr>
        <w:tab/>
        <w:t>c)</w:t>
      </w:r>
      <w:r w:rsidRPr="00E32F88">
        <w:rPr>
          <w:lang w:val="fr-FR"/>
        </w:rPr>
        <w:tab/>
        <w:t>l</w:t>
      </w:r>
      <w:r w:rsidR="00300867">
        <w:rPr>
          <w:lang w:val="fr-FR"/>
        </w:rPr>
        <w:t>’</w:t>
      </w:r>
      <w:r w:rsidRPr="00E32F88">
        <w:rPr>
          <w:lang w:val="fr-FR"/>
        </w:rPr>
        <w:t>Accord de Paris sur les changements climatiques, en 2016.</w:t>
      </w:r>
    </w:p>
    <w:p w14:paraId="2B375B0A" w14:textId="2A4F9710" w:rsidR="00E32F88" w:rsidRPr="00E32F88" w:rsidRDefault="00E32F88" w:rsidP="00E32F88">
      <w:pPr>
        <w:pStyle w:val="SingleTxt"/>
        <w:spacing w:after="0" w:line="120" w:lineRule="exact"/>
        <w:rPr>
          <w:sz w:val="10"/>
          <w:lang w:val="fr-FR"/>
        </w:rPr>
      </w:pPr>
    </w:p>
    <w:p w14:paraId="4A630D50" w14:textId="5502A15C" w:rsidR="00E32F88" w:rsidRPr="00E32F88" w:rsidRDefault="00E32F88" w:rsidP="00E32F88">
      <w:pPr>
        <w:pStyle w:val="SingleTxt"/>
        <w:spacing w:after="0" w:line="120" w:lineRule="exact"/>
        <w:rPr>
          <w:sz w:val="10"/>
          <w:lang w:val="fr-FR"/>
        </w:rPr>
      </w:pPr>
    </w:p>
    <w:p w14:paraId="3EC40313" w14:textId="77777777" w:rsidR="00E32F88" w:rsidRPr="00E32F88" w:rsidRDefault="00E32F88" w:rsidP="00E32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lastRenderedPageBreak/>
        <w:tab/>
        <w:t>C.</w:t>
      </w:r>
      <w:r w:rsidRPr="00E32F88">
        <w:rPr>
          <w:lang w:val="fr-FR"/>
        </w:rPr>
        <w:tab/>
        <w:t>Objectifs de développement durable</w:t>
      </w:r>
    </w:p>
    <w:p w14:paraId="00B6C03B" w14:textId="6F80825B" w:rsidR="00E32F88" w:rsidRPr="00E32F88" w:rsidRDefault="00E32F88" w:rsidP="00E32F88">
      <w:pPr>
        <w:pStyle w:val="SingleTxt"/>
        <w:spacing w:after="0" w:line="120" w:lineRule="exact"/>
        <w:rPr>
          <w:sz w:val="10"/>
          <w:lang w:val="fr-FR"/>
        </w:rPr>
      </w:pPr>
    </w:p>
    <w:p w14:paraId="3015C044" w14:textId="4D7DB70F" w:rsidR="00E32F88" w:rsidRPr="00E32F88" w:rsidRDefault="00E32F88" w:rsidP="00E32F88">
      <w:pPr>
        <w:pStyle w:val="SingleTxt"/>
        <w:spacing w:after="0" w:line="120" w:lineRule="exact"/>
        <w:rPr>
          <w:sz w:val="10"/>
          <w:lang w:val="fr-FR"/>
        </w:rPr>
      </w:pPr>
    </w:p>
    <w:p w14:paraId="5E1DB0F0" w14:textId="6D2ACEEB" w:rsidR="00E32F88" w:rsidRPr="00E32F88" w:rsidRDefault="00E32F88" w:rsidP="000F40FC">
      <w:pPr>
        <w:pStyle w:val="SingleTxt"/>
        <w:numPr>
          <w:ilvl w:val="0"/>
          <w:numId w:val="6"/>
        </w:numPr>
        <w:spacing w:line="240" w:lineRule="exact"/>
        <w:ind w:left="1267"/>
        <w:rPr>
          <w:b/>
          <w:bCs/>
          <w:lang w:val="fr-FR"/>
        </w:rPr>
      </w:pPr>
      <w:r w:rsidRPr="00E32F88">
        <w:rPr>
          <w:b/>
          <w:bCs/>
          <w:lang w:val="fr-FR"/>
        </w:rPr>
        <w:t>Le Comité se félicite du soutien apporté par la communauté internationale aux objectifs de développement durable et préconise le respect de l</w:t>
      </w:r>
      <w:r w:rsidR="00300867">
        <w:rPr>
          <w:b/>
          <w:bCs/>
          <w:lang w:val="fr-FR"/>
        </w:rPr>
        <w:t>’</w:t>
      </w:r>
      <w:r w:rsidRPr="00E32F88">
        <w:rPr>
          <w:b/>
          <w:bCs/>
          <w:lang w:val="fr-FR"/>
        </w:rPr>
        <w:t>égalité des genres en droit (de jure) et dans les faits (de facto), conformément aux dispositions de la Convention, dans tous les aspects de la mise en œuvre du Programme de développement durable à l</w:t>
      </w:r>
      <w:r w:rsidR="00300867">
        <w:rPr>
          <w:b/>
          <w:bCs/>
          <w:lang w:val="fr-FR"/>
        </w:rPr>
        <w:t>’</w:t>
      </w:r>
      <w:r w:rsidRPr="00E32F88">
        <w:rPr>
          <w:b/>
          <w:bCs/>
          <w:lang w:val="fr-FR"/>
        </w:rPr>
        <w:t>horizon 2030. Il souligne l</w:t>
      </w:r>
      <w:r w:rsidR="00300867">
        <w:rPr>
          <w:b/>
          <w:bCs/>
          <w:lang w:val="fr-FR"/>
        </w:rPr>
        <w:t>’</w:t>
      </w:r>
      <w:r w:rsidRPr="00E32F88">
        <w:rPr>
          <w:b/>
          <w:bCs/>
          <w:lang w:val="fr-FR"/>
        </w:rPr>
        <w:t>importance de l</w:t>
      </w:r>
      <w:r w:rsidR="00300867">
        <w:rPr>
          <w:b/>
          <w:bCs/>
          <w:lang w:val="fr-FR"/>
        </w:rPr>
        <w:t>’</w:t>
      </w:r>
      <w:r w:rsidRPr="00E32F88">
        <w:rPr>
          <w:b/>
          <w:bCs/>
          <w:lang w:val="fr-FR"/>
        </w:rPr>
        <w:t>objectif 5 et de la prise en compte systématique des principes d</w:t>
      </w:r>
      <w:r w:rsidR="00300867">
        <w:rPr>
          <w:b/>
          <w:bCs/>
          <w:lang w:val="fr-FR"/>
        </w:rPr>
        <w:t>’</w:t>
      </w:r>
      <w:r w:rsidRPr="00E32F88">
        <w:rPr>
          <w:b/>
          <w:bCs/>
          <w:lang w:val="fr-FR"/>
        </w:rPr>
        <w:t>égalité et de non-discrimination dans la réalisation des 17 objectifs. Il encourage vivement l</w:t>
      </w:r>
      <w:r w:rsidR="00300867">
        <w:rPr>
          <w:b/>
          <w:bCs/>
          <w:lang w:val="fr-FR"/>
        </w:rPr>
        <w:t>’</w:t>
      </w:r>
      <w:r w:rsidRPr="00E32F88">
        <w:rPr>
          <w:b/>
          <w:bCs/>
          <w:lang w:val="fr-FR"/>
        </w:rPr>
        <w:t>État partie à reconnaître le rôle moteur joué par les femmes dans le développement durable de l</w:t>
      </w:r>
      <w:r w:rsidR="00300867">
        <w:rPr>
          <w:b/>
          <w:bCs/>
          <w:lang w:val="fr-FR"/>
        </w:rPr>
        <w:t>’</w:t>
      </w:r>
      <w:r w:rsidRPr="00E32F88">
        <w:rPr>
          <w:b/>
          <w:bCs/>
          <w:lang w:val="fr-FR"/>
        </w:rPr>
        <w:t>État plurinational de Bolivie et à adopter des politiques et des stratégies en conséquence.</w:t>
      </w:r>
    </w:p>
    <w:p w14:paraId="3419DE1A" w14:textId="7074E90F" w:rsidR="00E32F88" w:rsidRPr="00E32F88" w:rsidRDefault="00E32F88" w:rsidP="00E32F88">
      <w:pPr>
        <w:pStyle w:val="SingleTxt"/>
        <w:spacing w:after="0" w:line="120" w:lineRule="exact"/>
        <w:rPr>
          <w:sz w:val="10"/>
          <w:lang w:val="fr-FR"/>
        </w:rPr>
      </w:pPr>
    </w:p>
    <w:p w14:paraId="501DC688" w14:textId="21562068" w:rsidR="00E32F88" w:rsidRPr="00E32F88" w:rsidRDefault="00E32F88" w:rsidP="00E32F88">
      <w:pPr>
        <w:pStyle w:val="SingleTxt"/>
        <w:spacing w:after="0" w:line="120" w:lineRule="exact"/>
        <w:rPr>
          <w:sz w:val="10"/>
          <w:lang w:val="fr-FR"/>
        </w:rPr>
      </w:pPr>
    </w:p>
    <w:p w14:paraId="0B80C3F3" w14:textId="77777777" w:rsidR="00E32F88" w:rsidRPr="00E32F88" w:rsidRDefault="00E32F88" w:rsidP="00E32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t>D.</w:t>
      </w:r>
      <w:r w:rsidRPr="00E32F88">
        <w:rPr>
          <w:lang w:val="fr-FR"/>
        </w:rPr>
        <w:tab/>
        <w:t>Assemblée législative plurinationale</w:t>
      </w:r>
    </w:p>
    <w:p w14:paraId="65EA0769" w14:textId="4B7AA33D" w:rsidR="00E32F88" w:rsidRPr="00E32F88" w:rsidRDefault="00E32F88" w:rsidP="00E32F88">
      <w:pPr>
        <w:pStyle w:val="SingleTxt"/>
        <w:spacing w:after="0" w:line="120" w:lineRule="exact"/>
        <w:rPr>
          <w:sz w:val="10"/>
          <w:lang w:val="fr-FR"/>
        </w:rPr>
      </w:pPr>
    </w:p>
    <w:p w14:paraId="3AD549E8" w14:textId="23811CFA" w:rsidR="00E32F88" w:rsidRPr="00E32F88" w:rsidRDefault="00E32F88" w:rsidP="00E32F88">
      <w:pPr>
        <w:pStyle w:val="SingleTxt"/>
        <w:spacing w:after="0" w:line="120" w:lineRule="exact"/>
        <w:rPr>
          <w:sz w:val="10"/>
          <w:lang w:val="fr-FR"/>
        </w:rPr>
      </w:pPr>
    </w:p>
    <w:p w14:paraId="37B4342F" w14:textId="252F4CEA" w:rsidR="00E32F88" w:rsidRPr="00E32F88" w:rsidRDefault="00E32F88" w:rsidP="000F40FC">
      <w:pPr>
        <w:pStyle w:val="SingleTxt"/>
        <w:numPr>
          <w:ilvl w:val="0"/>
          <w:numId w:val="7"/>
        </w:numPr>
        <w:tabs>
          <w:tab w:val="num" w:pos="2804"/>
        </w:tabs>
        <w:spacing w:line="240" w:lineRule="exact"/>
        <w:rPr>
          <w:b/>
          <w:bCs/>
          <w:lang w:val="fr-FR"/>
        </w:rPr>
      </w:pPr>
      <w:r w:rsidRPr="00E32F88">
        <w:rPr>
          <w:b/>
          <w:bCs/>
          <w:lang w:val="fr-FR"/>
        </w:rPr>
        <w:t>Le Comité souligne le rôle essentiel du pouvoir législatif s</w:t>
      </w:r>
      <w:r w:rsidR="00300867">
        <w:rPr>
          <w:b/>
          <w:bCs/>
          <w:lang w:val="fr-FR"/>
        </w:rPr>
        <w:t>’</w:t>
      </w:r>
      <w:r w:rsidRPr="00E32F88">
        <w:rPr>
          <w:b/>
          <w:bCs/>
          <w:lang w:val="fr-FR"/>
        </w:rPr>
        <w:t xml:space="preserve">agissant de garantir la pleine mise en œuvre de la Convention (voir </w:t>
      </w:r>
      <w:hyperlink r:id="rId22" w:history="1">
        <w:r w:rsidRPr="00E32F88">
          <w:rPr>
            <w:rStyle w:val="Hyperlink"/>
            <w:b/>
            <w:bCs/>
            <w:lang w:val="fr-FR"/>
          </w:rPr>
          <w:t>A/65/38</w:t>
        </w:r>
      </w:hyperlink>
      <w:r w:rsidRPr="00E32F88">
        <w:rPr>
          <w:b/>
          <w:bCs/>
          <w:lang w:val="fr-FR"/>
        </w:rPr>
        <w:t>, deuxième partie, annexe VI). Il invite l</w:t>
      </w:r>
      <w:r w:rsidR="00300867">
        <w:rPr>
          <w:b/>
          <w:bCs/>
          <w:lang w:val="fr-FR"/>
        </w:rPr>
        <w:t>’</w:t>
      </w:r>
      <w:r w:rsidRPr="00E32F88">
        <w:rPr>
          <w:b/>
          <w:bCs/>
          <w:lang w:val="fr-FR"/>
        </w:rPr>
        <w:t>Assemblée législative plurinationale, dans le cadre de son mandat, à prendre les mesures nécessaires en vue de mettre en œuvre les présentes observations finales avant la soumission du prochain rapport périodique en application de la Convention.</w:t>
      </w:r>
    </w:p>
    <w:p w14:paraId="1742CDDC" w14:textId="507B9C51" w:rsidR="00E32F88" w:rsidRPr="00E32F88" w:rsidRDefault="00E32F88" w:rsidP="00E32F88">
      <w:pPr>
        <w:pStyle w:val="SingleTxt"/>
        <w:spacing w:after="0" w:line="120" w:lineRule="exact"/>
        <w:rPr>
          <w:sz w:val="10"/>
          <w:lang w:val="fr-FR"/>
        </w:rPr>
      </w:pPr>
    </w:p>
    <w:p w14:paraId="3128A1D9" w14:textId="7ED5D42D" w:rsidR="00E32F88" w:rsidRPr="00E32F88" w:rsidRDefault="00E32F88" w:rsidP="00E32F88">
      <w:pPr>
        <w:pStyle w:val="SingleTxt"/>
        <w:spacing w:after="0" w:line="120" w:lineRule="exact"/>
        <w:rPr>
          <w:sz w:val="10"/>
          <w:lang w:val="fr-FR"/>
        </w:rPr>
      </w:pPr>
    </w:p>
    <w:p w14:paraId="4E565B62" w14:textId="77777777" w:rsidR="00E32F88" w:rsidRPr="00E32F88" w:rsidRDefault="00E32F88" w:rsidP="00E32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t>E.</w:t>
      </w:r>
      <w:r w:rsidRPr="00E32F88">
        <w:rPr>
          <w:lang w:val="fr-FR"/>
        </w:rPr>
        <w:tab/>
        <w:t>Principaux sujets de préoccupation et recommandations</w:t>
      </w:r>
    </w:p>
    <w:p w14:paraId="61FCA5A0" w14:textId="7CBEA600" w:rsidR="00E32F88" w:rsidRPr="00E32F88" w:rsidRDefault="00E32F88" w:rsidP="00E32F88">
      <w:pPr>
        <w:pStyle w:val="SingleTxt"/>
        <w:spacing w:after="0" w:line="120" w:lineRule="exact"/>
        <w:rPr>
          <w:sz w:val="10"/>
          <w:lang w:val="fr-FR"/>
        </w:rPr>
      </w:pPr>
    </w:p>
    <w:p w14:paraId="38F35180" w14:textId="698A6CF2" w:rsidR="00E32F88" w:rsidRPr="00E32F88" w:rsidRDefault="00E32F88" w:rsidP="00E32F88">
      <w:pPr>
        <w:pStyle w:val="SingleTxt"/>
        <w:spacing w:after="0" w:line="120" w:lineRule="exact"/>
        <w:rPr>
          <w:sz w:val="10"/>
          <w:lang w:val="fr-FR"/>
        </w:rPr>
      </w:pPr>
    </w:p>
    <w:p w14:paraId="036B775B" w14:textId="77777777" w:rsidR="00E32F88" w:rsidRPr="00E32F88" w:rsidRDefault="00E32F88" w:rsidP="00E32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 xml:space="preserve">Cadre constitutionnel et juridique </w:t>
      </w:r>
    </w:p>
    <w:p w14:paraId="4CCEA17E" w14:textId="6C46956D" w:rsidR="00E32F88" w:rsidRPr="00E32F88" w:rsidRDefault="00E32F88" w:rsidP="00E32F88">
      <w:pPr>
        <w:pStyle w:val="SingleTxt"/>
        <w:spacing w:after="0" w:line="120" w:lineRule="exact"/>
        <w:rPr>
          <w:sz w:val="10"/>
          <w:lang w:val="fr-FR"/>
        </w:rPr>
      </w:pPr>
    </w:p>
    <w:p w14:paraId="2E164AE5" w14:textId="5F4E0CEF" w:rsidR="00E32F88" w:rsidRPr="00E32F88" w:rsidRDefault="00E32F88" w:rsidP="000F40FC">
      <w:pPr>
        <w:pStyle w:val="SingleTxt"/>
        <w:numPr>
          <w:ilvl w:val="0"/>
          <w:numId w:val="8"/>
        </w:numPr>
        <w:spacing w:line="240" w:lineRule="exact"/>
        <w:rPr>
          <w:lang w:val="fr-FR"/>
        </w:rPr>
      </w:pPr>
      <w:r w:rsidRPr="00E32F88">
        <w:rPr>
          <w:lang w:val="fr-FR"/>
        </w:rPr>
        <w:t>Le Comité félicite l</w:t>
      </w:r>
      <w:r w:rsidR="00300867">
        <w:rPr>
          <w:lang w:val="fr-FR"/>
        </w:rPr>
        <w:t>’</w:t>
      </w:r>
      <w:r w:rsidRPr="00E32F88">
        <w:rPr>
          <w:lang w:val="fr-FR"/>
        </w:rPr>
        <w:t>État partie d</w:t>
      </w:r>
      <w:r w:rsidR="00300867">
        <w:rPr>
          <w:lang w:val="fr-FR"/>
        </w:rPr>
        <w:t>’</w:t>
      </w:r>
      <w:r w:rsidRPr="00E32F88">
        <w:rPr>
          <w:lang w:val="fr-FR"/>
        </w:rPr>
        <w:t>avoir inclus le principe de non-discrimination et d</w:t>
      </w:r>
      <w:r w:rsidR="00300867">
        <w:rPr>
          <w:lang w:val="fr-FR"/>
        </w:rPr>
        <w:t>’</w:t>
      </w:r>
      <w:r w:rsidRPr="00E32F88">
        <w:rPr>
          <w:lang w:val="fr-FR"/>
        </w:rPr>
        <w:t>égalité des genres dans la Constitution, et d</w:t>
      </w:r>
      <w:r w:rsidR="00300867">
        <w:rPr>
          <w:lang w:val="fr-FR"/>
        </w:rPr>
        <w:t>’</w:t>
      </w:r>
      <w:r w:rsidRPr="00E32F88">
        <w:rPr>
          <w:lang w:val="fr-FR"/>
        </w:rPr>
        <w:t>avoir accompli des progrès dans l</w:t>
      </w:r>
      <w:r w:rsidR="00300867">
        <w:rPr>
          <w:lang w:val="fr-FR"/>
        </w:rPr>
        <w:t>’</w:t>
      </w:r>
      <w:r w:rsidRPr="00E32F88">
        <w:rPr>
          <w:lang w:val="fr-FR"/>
        </w:rPr>
        <w:t>adoption d</w:t>
      </w:r>
      <w:r w:rsidR="00300867">
        <w:rPr>
          <w:lang w:val="fr-FR"/>
        </w:rPr>
        <w:t>’</w:t>
      </w:r>
      <w:r w:rsidRPr="00E32F88">
        <w:rPr>
          <w:lang w:val="fr-FR"/>
        </w:rPr>
        <w:t>un cadre législatif et stratégique visant à éliminer la discrimination à l</w:t>
      </w:r>
      <w:r w:rsidR="00300867">
        <w:rPr>
          <w:lang w:val="fr-FR"/>
        </w:rPr>
        <w:t>’</w:t>
      </w:r>
      <w:r w:rsidRPr="00E32F88">
        <w:rPr>
          <w:lang w:val="fr-FR"/>
        </w:rPr>
        <w:t>égard des femmes. Il note également que les instruments internationaux relatifs aux droits de l</w:t>
      </w:r>
      <w:r w:rsidR="00300867">
        <w:rPr>
          <w:lang w:val="fr-FR"/>
        </w:rPr>
        <w:t>’</w:t>
      </w:r>
      <w:r w:rsidRPr="00E32F88">
        <w:rPr>
          <w:lang w:val="fr-FR"/>
        </w:rPr>
        <w:t>homme ratifiés par l</w:t>
      </w:r>
      <w:r w:rsidR="00300867">
        <w:rPr>
          <w:lang w:val="fr-FR"/>
        </w:rPr>
        <w:t>’</w:t>
      </w:r>
      <w:r w:rsidRPr="00E32F88">
        <w:rPr>
          <w:lang w:val="fr-FR"/>
        </w:rPr>
        <w:t>État partie font partie intégrante du droit bolivien. Il reste toutefois préoccupé par</w:t>
      </w:r>
      <w:r w:rsidR="00300867">
        <w:rPr>
          <w:lang w:val="fr-FR"/>
        </w:rPr>
        <w:t> :</w:t>
      </w:r>
    </w:p>
    <w:p w14:paraId="28441127" w14:textId="3B53EC30" w:rsidR="00E32F88" w:rsidRPr="00E32F88" w:rsidRDefault="00E32F88" w:rsidP="00E32F88">
      <w:pPr>
        <w:pStyle w:val="SingleTxt"/>
        <w:rPr>
          <w:lang w:val="fr-FR"/>
        </w:rPr>
      </w:pPr>
      <w:r w:rsidRPr="00E32F88">
        <w:rPr>
          <w:lang w:val="fr-FR"/>
        </w:rPr>
        <w:tab/>
        <w:t>a)</w:t>
      </w:r>
      <w:r w:rsidRPr="00E32F88">
        <w:rPr>
          <w:lang w:val="fr-FR"/>
        </w:rPr>
        <w:tab/>
        <w:t>les obstacles à l</w:t>
      </w:r>
      <w:r w:rsidR="00300867">
        <w:rPr>
          <w:lang w:val="fr-FR"/>
        </w:rPr>
        <w:t>’</w:t>
      </w:r>
      <w:r w:rsidRPr="00E32F88">
        <w:rPr>
          <w:lang w:val="fr-FR"/>
        </w:rPr>
        <w:t>application effective des lois et des politiques visant à protéger les droits des femmes</w:t>
      </w:r>
      <w:r w:rsidR="00300867">
        <w:rPr>
          <w:lang w:val="fr-FR"/>
        </w:rPr>
        <w:t> ;</w:t>
      </w:r>
    </w:p>
    <w:p w14:paraId="5652D677" w14:textId="06A0BD4F" w:rsidR="00E32F88" w:rsidRPr="00E32F88" w:rsidRDefault="00E32F88" w:rsidP="00E32F88">
      <w:pPr>
        <w:pStyle w:val="SingleTxt"/>
        <w:rPr>
          <w:lang w:val="fr-FR"/>
        </w:rPr>
      </w:pPr>
      <w:r w:rsidRPr="00E32F88">
        <w:rPr>
          <w:lang w:val="fr-FR"/>
        </w:rPr>
        <w:tab/>
        <w:t>b)</w:t>
      </w:r>
      <w:r w:rsidRPr="00E32F88">
        <w:rPr>
          <w:lang w:val="fr-FR"/>
        </w:rPr>
        <w:tab/>
        <w:t>la visibilité insuffisante de la Convention, du Protocole facultatif s</w:t>
      </w:r>
      <w:r w:rsidR="00300867">
        <w:rPr>
          <w:lang w:val="fr-FR"/>
        </w:rPr>
        <w:t>’</w:t>
      </w:r>
      <w:r w:rsidRPr="00E32F88">
        <w:rPr>
          <w:lang w:val="fr-FR"/>
        </w:rPr>
        <w:t>y rapportant et des recommandations générales du Comité ainsi que le manque de sensibilisation y afférent</w:t>
      </w:r>
      <w:r w:rsidR="00300867">
        <w:rPr>
          <w:lang w:val="fr-FR"/>
        </w:rPr>
        <w:t> ;</w:t>
      </w:r>
    </w:p>
    <w:p w14:paraId="42FA7024" w14:textId="6911E9C1" w:rsidR="00E32F88" w:rsidRPr="00E32F88" w:rsidRDefault="00E32F88" w:rsidP="00E32F88">
      <w:pPr>
        <w:pStyle w:val="SingleTxt"/>
        <w:rPr>
          <w:lang w:val="fr-FR"/>
        </w:rPr>
      </w:pPr>
      <w:r w:rsidRPr="00E32F88">
        <w:rPr>
          <w:lang w:val="fr-FR"/>
        </w:rPr>
        <w:tab/>
        <w:t>c)</w:t>
      </w:r>
      <w:r w:rsidRPr="00E32F88">
        <w:rPr>
          <w:lang w:val="fr-FR"/>
        </w:rPr>
        <w:tab/>
        <w:t>le manque d</w:t>
      </w:r>
      <w:r w:rsidR="00300867">
        <w:rPr>
          <w:lang w:val="fr-FR"/>
        </w:rPr>
        <w:t>’</w:t>
      </w:r>
      <w:r w:rsidRPr="00E32F88">
        <w:rPr>
          <w:lang w:val="fr-FR"/>
        </w:rPr>
        <w:t>informations dans les réponses de l</w:t>
      </w:r>
      <w:r w:rsidR="00300867">
        <w:rPr>
          <w:lang w:val="fr-FR"/>
        </w:rPr>
        <w:t>’</w:t>
      </w:r>
      <w:r w:rsidRPr="00E32F88">
        <w:rPr>
          <w:lang w:val="fr-FR"/>
        </w:rPr>
        <w:t>État partie sur les affaires judiciaires dans lesquelles les dispositions de la Convention ont été directement invoquées ou appliquées.</w:t>
      </w:r>
    </w:p>
    <w:p w14:paraId="1CACF7E9" w14:textId="1C89B58D" w:rsidR="00E32F88" w:rsidRPr="00E32F88" w:rsidRDefault="00E32F88" w:rsidP="000F40FC">
      <w:pPr>
        <w:pStyle w:val="SingleTxt"/>
        <w:numPr>
          <w:ilvl w:val="0"/>
          <w:numId w:val="8"/>
        </w:numPr>
        <w:spacing w:line="240" w:lineRule="exact"/>
        <w:rPr>
          <w:b/>
          <w:bCs/>
          <w:lang w:val="fr-FR"/>
        </w:rPr>
      </w:pPr>
      <w:r w:rsidRPr="00E32F88">
        <w:rPr>
          <w:b/>
          <w:bCs/>
          <w:lang w:val="fr-FR"/>
        </w:rPr>
        <w:t>Conformément à l</w:t>
      </w:r>
      <w:r w:rsidR="00300867">
        <w:rPr>
          <w:b/>
          <w:bCs/>
          <w:lang w:val="fr-FR"/>
        </w:rPr>
        <w:t>’</w:t>
      </w:r>
      <w:r w:rsidRPr="00E32F88">
        <w:rPr>
          <w:b/>
          <w:bCs/>
          <w:lang w:val="fr-FR"/>
        </w:rPr>
        <w:t>article premier de la Convention et à la recommandation générale n</w:t>
      </w:r>
      <w:r w:rsidRPr="00E32F88">
        <w:rPr>
          <w:b/>
          <w:bCs/>
          <w:vertAlign w:val="superscript"/>
          <w:lang w:val="fr-FR"/>
        </w:rPr>
        <w:t>o</w:t>
      </w:r>
      <w:r w:rsidRPr="00E32F88">
        <w:rPr>
          <w:b/>
          <w:bCs/>
          <w:lang w:val="fr-FR"/>
        </w:rPr>
        <w:t> 28 (2010) concernant les obligations fondamentales des États parties découlant de l</w:t>
      </w:r>
      <w:r w:rsidR="00300867">
        <w:rPr>
          <w:b/>
          <w:bCs/>
          <w:lang w:val="fr-FR"/>
        </w:rPr>
        <w:t>’</w:t>
      </w:r>
      <w:r w:rsidRPr="00E32F88">
        <w:rPr>
          <w:b/>
          <w:bCs/>
          <w:lang w:val="fr-FR"/>
        </w:rPr>
        <w:t>article 2 de la Convention, le Comité recommande à l</w:t>
      </w:r>
      <w:r w:rsidR="00300867">
        <w:rPr>
          <w:b/>
          <w:bCs/>
          <w:lang w:val="fr-FR"/>
        </w:rPr>
        <w:t>’</w:t>
      </w:r>
      <w:r w:rsidRPr="00E32F88">
        <w:rPr>
          <w:b/>
          <w:bCs/>
          <w:lang w:val="fr-FR"/>
        </w:rPr>
        <w:t>État partie</w:t>
      </w:r>
      <w:r w:rsidR="00300867">
        <w:rPr>
          <w:b/>
          <w:bCs/>
          <w:lang w:val="fr-FR"/>
        </w:rPr>
        <w:t> :</w:t>
      </w:r>
    </w:p>
    <w:p w14:paraId="32AF6F86" w14:textId="79E3BAC4"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renforcer l</w:t>
      </w:r>
      <w:r w:rsidR="00300867">
        <w:rPr>
          <w:b/>
          <w:bCs/>
          <w:lang w:val="fr-FR"/>
        </w:rPr>
        <w:t>’</w:t>
      </w:r>
      <w:r w:rsidRPr="00E32F88">
        <w:rPr>
          <w:b/>
          <w:bCs/>
          <w:lang w:val="fr-FR"/>
        </w:rPr>
        <w:t>application des lois et des politiques visant à éliminer la discrimination à l</w:t>
      </w:r>
      <w:r w:rsidR="00300867">
        <w:rPr>
          <w:b/>
          <w:bCs/>
          <w:lang w:val="fr-FR"/>
        </w:rPr>
        <w:t>’</w:t>
      </w:r>
      <w:r w:rsidRPr="00E32F88">
        <w:rPr>
          <w:b/>
          <w:bCs/>
          <w:lang w:val="fr-FR"/>
        </w:rPr>
        <w:t>égard des femmes dans tous les domaines couverts par la Convention</w:t>
      </w:r>
      <w:r w:rsidR="00300867">
        <w:rPr>
          <w:b/>
          <w:bCs/>
          <w:lang w:val="fr-FR"/>
        </w:rPr>
        <w:t> ;</w:t>
      </w:r>
    </w:p>
    <w:p w14:paraId="0F564545" w14:textId="5E524D99"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renforcer l</w:t>
      </w:r>
      <w:r w:rsidR="00300867">
        <w:rPr>
          <w:b/>
          <w:bCs/>
          <w:lang w:val="fr-FR"/>
        </w:rPr>
        <w:t>’</w:t>
      </w:r>
      <w:r w:rsidRPr="00E32F88">
        <w:rPr>
          <w:b/>
          <w:bCs/>
          <w:lang w:val="fr-FR"/>
        </w:rPr>
        <w:t>adoption de mesures appropriées pour garantir l</w:t>
      </w:r>
      <w:r w:rsidR="00300867">
        <w:rPr>
          <w:b/>
          <w:bCs/>
          <w:lang w:val="fr-FR"/>
        </w:rPr>
        <w:t>’</w:t>
      </w:r>
      <w:r w:rsidRPr="00E32F88">
        <w:rPr>
          <w:b/>
          <w:bCs/>
          <w:lang w:val="fr-FR"/>
        </w:rPr>
        <w:t>application de la Convention, de son protocole facultatif et de la jurisprudence du Comité, notamment en organisant des programmes systématiques de renforcement des capacités à l</w:t>
      </w:r>
      <w:r w:rsidR="00300867">
        <w:rPr>
          <w:b/>
          <w:bCs/>
          <w:lang w:val="fr-FR"/>
        </w:rPr>
        <w:t>’</w:t>
      </w:r>
      <w:r w:rsidRPr="00E32F88">
        <w:rPr>
          <w:b/>
          <w:bCs/>
          <w:lang w:val="fr-FR"/>
        </w:rPr>
        <w:t>intention des magistrats, des procureurs, des responsables de l</w:t>
      </w:r>
      <w:r w:rsidR="00300867">
        <w:rPr>
          <w:b/>
          <w:bCs/>
          <w:lang w:val="fr-FR"/>
        </w:rPr>
        <w:t>’</w:t>
      </w:r>
      <w:r w:rsidRPr="00E32F88">
        <w:rPr>
          <w:b/>
          <w:bCs/>
          <w:lang w:val="fr-FR"/>
        </w:rPr>
        <w:t>application des lois, des membres de l</w:t>
      </w:r>
      <w:r w:rsidR="00300867">
        <w:rPr>
          <w:b/>
          <w:bCs/>
          <w:lang w:val="fr-FR"/>
        </w:rPr>
        <w:t>’</w:t>
      </w:r>
      <w:r w:rsidRPr="00E32F88">
        <w:rPr>
          <w:b/>
          <w:bCs/>
          <w:lang w:val="fr-FR"/>
        </w:rPr>
        <w:t xml:space="preserve">Assemblée législative </w:t>
      </w:r>
      <w:r w:rsidRPr="00E32F88">
        <w:rPr>
          <w:b/>
          <w:bCs/>
          <w:lang w:val="fr-FR"/>
        </w:rPr>
        <w:lastRenderedPageBreak/>
        <w:t>plurinationale et des autres fonctionnaires chargés de la mise en œuvre de la Convention</w:t>
      </w:r>
      <w:r w:rsidR="00300867">
        <w:rPr>
          <w:b/>
          <w:bCs/>
          <w:lang w:val="fr-FR"/>
        </w:rPr>
        <w:t> ;</w:t>
      </w:r>
    </w:p>
    <w:p w14:paraId="7BAC1685" w14:textId="08F5C5EA"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de renforcer les efforts de sensibilisation aux droits des femmes et aux moyens de les faire respecter, en ciblant des groupes spécifiques tels que les femmes autochtones, afro-boliviennes, migrantes, demandeuses d</w:t>
      </w:r>
      <w:r w:rsidR="00300867">
        <w:rPr>
          <w:b/>
          <w:bCs/>
          <w:lang w:val="fr-FR"/>
        </w:rPr>
        <w:t>’</w:t>
      </w:r>
      <w:r w:rsidRPr="00E32F88">
        <w:rPr>
          <w:b/>
          <w:bCs/>
          <w:lang w:val="fr-FR"/>
        </w:rPr>
        <w:t>asile, réfugiées, handicapées et vivant dans des zones rurales et reculées, notamment en facilitant l</w:t>
      </w:r>
      <w:r w:rsidR="00300867">
        <w:rPr>
          <w:b/>
          <w:bCs/>
          <w:lang w:val="fr-FR"/>
        </w:rPr>
        <w:t>’</w:t>
      </w:r>
      <w:r w:rsidRPr="00E32F88">
        <w:rPr>
          <w:b/>
          <w:bCs/>
          <w:lang w:val="fr-FR"/>
        </w:rPr>
        <w:t>accès aux informations sur la Convention dans les langues autochtones et des formats accessibles, en coopération avec la société civile et les médias.</w:t>
      </w:r>
    </w:p>
    <w:p w14:paraId="13E8DDD6" w14:textId="12621995" w:rsidR="00E32F88" w:rsidRPr="00E32F88" w:rsidRDefault="00E32F88" w:rsidP="00E32F88">
      <w:pPr>
        <w:pStyle w:val="SingleTxt"/>
        <w:spacing w:after="0" w:line="120" w:lineRule="exact"/>
        <w:rPr>
          <w:sz w:val="10"/>
          <w:lang w:val="fr-FR"/>
        </w:rPr>
      </w:pPr>
    </w:p>
    <w:p w14:paraId="67931569" w14:textId="77777777" w:rsidR="00E32F88" w:rsidRPr="00E32F88" w:rsidRDefault="00E32F88" w:rsidP="00E32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 xml:space="preserve">Accès des femmes à la justice </w:t>
      </w:r>
    </w:p>
    <w:p w14:paraId="10A93F9B" w14:textId="2F815407" w:rsidR="00E32F88" w:rsidRPr="00E32F88" w:rsidRDefault="00E32F88" w:rsidP="00E32F88">
      <w:pPr>
        <w:pStyle w:val="SingleTxt"/>
        <w:spacing w:after="0" w:line="120" w:lineRule="exact"/>
        <w:rPr>
          <w:sz w:val="10"/>
          <w:lang w:val="fr-FR"/>
        </w:rPr>
      </w:pPr>
    </w:p>
    <w:p w14:paraId="47F9C459" w14:textId="1E109301" w:rsidR="00E32F88" w:rsidRPr="00E32F88" w:rsidRDefault="00E32F88" w:rsidP="000F40FC">
      <w:pPr>
        <w:pStyle w:val="SingleTxt"/>
        <w:numPr>
          <w:ilvl w:val="0"/>
          <w:numId w:val="9"/>
        </w:numPr>
        <w:spacing w:line="240" w:lineRule="exact"/>
        <w:rPr>
          <w:lang w:val="fr-FR"/>
        </w:rPr>
      </w:pPr>
      <w:r w:rsidRPr="00E32F88">
        <w:rPr>
          <w:lang w:val="fr-FR"/>
        </w:rPr>
        <w:t>Le Comité prend note des efforts déployés par l</w:t>
      </w:r>
      <w:r w:rsidR="00300867">
        <w:rPr>
          <w:lang w:val="fr-FR"/>
        </w:rPr>
        <w:t>’</w:t>
      </w:r>
      <w:r w:rsidRPr="00E32F88">
        <w:rPr>
          <w:lang w:val="fr-FR"/>
        </w:rPr>
        <w:t>État partie pour réformer son système judiciaire et améliorer l</w:t>
      </w:r>
      <w:r w:rsidR="00300867">
        <w:rPr>
          <w:lang w:val="fr-FR"/>
        </w:rPr>
        <w:t>’</w:t>
      </w:r>
      <w:r w:rsidRPr="00E32F88">
        <w:rPr>
          <w:lang w:val="fr-FR"/>
        </w:rPr>
        <w:t>accès des femmes à la justice, notamment l</w:t>
      </w:r>
      <w:r w:rsidR="00300867">
        <w:rPr>
          <w:lang w:val="fr-FR"/>
        </w:rPr>
        <w:t>’</w:t>
      </w:r>
      <w:r w:rsidRPr="00E32F88">
        <w:rPr>
          <w:lang w:val="fr-FR"/>
        </w:rPr>
        <w:t>adoption du protocole pour une justice tenant compte des questions de genre, l</w:t>
      </w:r>
      <w:r w:rsidR="00300867">
        <w:rPr>
          <w:lang w:val="fr-FR"/>
        </w:rPr>
        <w:t>’</w:t>
      </w:r>
      <w:r w:rsidRPr="00E32F88">
        <w:rPr>
          <w:lang w:val="fr-FR"/>
        </w:rPr>
        <w:t>Observatoire de la justice et des questions de genre de la Cour constitutionnelle plurinationale, et les Concours d</w:t>
      </w:r>
      <w:r w:rsidR="00300867">
        <w:rPr>
          <w:lang w:val="fr-FR"/>
        </w:rPr>
        <w:t>’</w:t>
      </w:r>
      <w:r w:rsidRPr="00E32F88">
        <w:rPr>
          <w:lang w:val="fr-FR"/>
        </w:rPr>
        <w:t>éloquence tenant compte des questions de genre. Le Comité est néanmoins préoccupé par ce qui suit</w:t>
      </w:r>
      <w:r w:rsidR="00300867">
        <w:rPr>
          <w:lang w:val="fr-FR"/>
        </w:rPr>
        <w:t> :</w:t>
      </w:r>
    </w:p>
    <w:p w14:paraId="53EE5629" w14:textId="0CCFCD62" w:rsidR="00E32F88" w:rsidRPr="00E32F88" w:rsidRDefault="00E32F88" w:rsidP="00E32F88">
      <w:pPr>
        <w:pStyle w:val="SingleTxt"/>
        <w:rPr>
          <w:lang w:val="fr-FR"/>
        </w:rPr>
      </w:pPr>
      <w:r w:rsidRPr="00E32F88">
        <w:rPr>
          <w:lang w:val="fr-FR"/>
        </w:rPr>
        <w:tab/>
        <w:t>a)</w:t>
      </w:r>
      <w:r w:rsidRPr="00E32F88">
        <w:rPr>
          <w:lang w:val="fr-FR"/>
        </w:rPr>
        <w:tab/>
        <w:t>l</w:t>
      </w:r>
      <w:r w:rsidR="00300867">
        <w:rPr>
          <w:lang w:val="fr-FR"/>
        </w:rPr>
        <w:t>’</w:t>
      </w:r>
      <w:r w:rsidRPr="00E32F88">
        <w:rPr>
          <w:lang w:val="fr-FR"/>
        </w:rPr>
        <w:t>absence de prise en compte des questions de genre dans le système judiciaire, notamment les attitudes négatives à l</w:t>
      </w:r>
      <w:r w:rsidR="00300867">
        <w:rPr>
          <w:lang w:val="fr-FR"/>
        </w:rPr>
        <w:t>’</w:t>
      </w:r>
      <w:r w:rsidRPr="00E32F88">
        <w:rPr>
          <w:lang w:val="fr-FR"/>
        </w:rPr>
        <w:t>égard des femmes qui signalent des violations de leurs droits</w:t>
      </w:r>
      <w:r w:rsidR="00300867">
        <w:rPr>
          <w:lang w:val="fr-FR"/>
        </w:rPr>
        <w:t> ;</w:t>
      </w:r>
    </w:p>
    <w:p w14:paraId="796C35D6" w14:textId="6FDFAC53" w:rsidR="00E32F88" w:rsidRPr="00E32F88" w:rsidRDefault="00E32F88" w:rsidP="00E32F88">
      <w:pPr>
        <w:pStyle w:val="SingleTxt"/>
        <w:rPr>
          <w:lang w:val="fr-FR"/>
        </w:rPr>
      </w:pPr>
      <w:r w:rsidRPr="00E32F88">
        <w:rPr>
          <w:lang w:val="fr-FR"/>
        </w:rPr>
        <w:tab/>
        <w:t>b)</w:t>
      </w:r>
      <w:r w:rsidRPr="00E32F88">
        <w:rPr>
          <w:lang w:val="fr-FR"/>
        </w:rPr>
        <w:tab/>
        <w:t>les allégations concernant la corruption, le manque d</w:t>
      </w:r>
      <w:r w:rsidR="00300867">
        <w:rPr>
          <w:lang w:val="fr-FR"/>
        </w:rPr>
        <w:t>’</w:t>
      </w:r>
      <w:r w:rsidRPr="00E32F88">
        <w:rPr>
          <w:lang w:val="fr-FR"/>
        </w:rPr>
        <w:t>indépendance du pouvoir judiciaire et du ministère public, et le nombre élevé de juges et de procureurs nommés à titre provisoire</w:t>
      </w:r>
      <w:r w:rsidR="00300867">
        <w:rPr>
          <w:lang w:val="fr-FR"/>
        </w:rPr>
        <w:t> ;</w:t>
      </w:r>
    </w:p>
    <w:p w14:paraId="475A55DE" w14:textId="0541E004" w:rsidR="00E32F88" w:rsidRPr="00E32F88" w:rsidRDefault="00E32F88" w:rsidP="00E32F88">
      <w:pPr>
        <w:pStyle w:val="SingleTxt"/>
        <w:rPr>
          <w:lang w:val="fr-FR"/>
        </w:rPr>
      </w:pPr>
      <w:r w:rsidRPr="00E32F88">
        <w:rPr>
          <w:lang w:val="fr-FR"/>
        </w:rPr>
        <w:tab/>
        <w:t>c)</w:t>
      </w:r>
      <w:r w:rsidRPr="00E32F88">
        <w:rPr>
          <w:lang w:val="fr-FR"/>
        </w:rPr>
        <w:tab/>
        <w:t>les obstacles financiers, linguistiques, physiques et géographiques entravant l</w:t>
      </w:r>
      <w:r w:rsidR="00300867">
        <w:rPr>
          <w:lang w:val="fr-FR"/>
        </w:rPr>
        <w:t>’</w:t>
      </w:r>
      <w:r w:rsidRPr="00E32F88">
        <w:rPr>
          <w:lang w:val="fr-FR"/>
        </w:rPr>
        <w:t>accès à la justice des femmes autochtones, afro-boliviennes et handicapées</w:t>
      </w:r>
      <w:r w:rsidR="00300867">
        <w:rPr>
          <w:lang w:val="fr-FR"/>
        </w:rPr>
        <w:t> ;</w:t>
      </w:r>
    </w:p>
    <w:p w14:paraId="6F9CFAB1" w14:textId="77777777" w:rsidR="00E32F88" w:rsidRPr="00E32F88" w:rsidRDefault="00E32F88" w:rsidP="00E32F88">
      <w:pPr>
        <w:pStyle w:val="SingleTxt"/>
        <w:rPr>
          <w:lang w:val="fr-FR"/>
        </w:rPr>
      </w:pPr>
      <w:r w:rsidRPr="00E32F88">
        <w:rPr>
          <w:lang w:val="fr-FR"/>
        </w:rPr>
        <w:tab/>
        <w:t>d)</w:t>
      </w:r>
      <w:r w:rsidRPr="00E32F88">
        <w:rPr>
          <w:lang w:val="fr-FR"/>
        </w:rPr>
        <w:tab/>
        <w:t>la stigmatisation sociale et culturelle, qui dissuade les femmes et les filles de déposer des plaintes, notamment en ce qui concerne la violence fondée sur le genre, et leur accès limité aux informations sur les mécanismes et les procédures de recours en cas de violation de leurs droits, en particulier en milieu rural.</w:t>
      </w:r>
    </w:p>
    <w:p w14:paraId="744A385B" w14:textId="60A5CF94" w:rsidR="00E32F88" w:rsidRPr="00E32F88" w:rsidRDefault="00E32F88" w:rsidP="000F40FC">
      <w:pPr>
        <w:pStyle w:val="SingleTxt"/>
        <w:numPr>
          <w:ilvl w:val="0"/>
          <w:numId w:val="9"/>
        </w:numPr>
        <w:spacing w:line="240" w:lineRule="exact"/>
        <w:rPr>
          <w:b/>
          <w:bCs/>
          <w:lang w:val="fr-FR"/>
        </w:rPr>
      </w:pPr>
      <w:r w:rsidRPr="00E32F88">
        <w:rPr>
          <w:b/>
          <w:bCs/>
          <w:lang w:val="fr-FR"/>
        </w:rPr>
        <w:t>Conformément à sa recommandation générale n</w:t>
      </w:r>
      <w:r w:rsidRPr="00E32F88">
        <w:rPr>
          <w:b/>
          <w:bCs/>
          <w:vertAlign w:val="superscript"/>
          <w:lang w:val="fr-FR"/>
        </w:rPr>
        <w:t>o</w:t>
      </w:r>
      <w:r w:rsidRPr="00E32F88">
        <w:rPr>
          <w:b/>
          <w:bCs/>
          <w:lang w:val="fr-FR"/>
        </w:rPr>
        <w:t> 33 (2015) sur l</w:t>
      </w:r>
      <w:r w:rsidR="00300867">
        <w:rPr>
          <w:b/>
          <w:bCs/>
          <w:lang w:val="fr-FR"/>
        </w:rPr>
        <w:t>’</w:t>
      </w:r>
      <w:r w:rsidRPr="00E32F88">
        <w:rPr>
          <w:b/>
          <w:bCs/>
          <w:lang w:val="fr-FR"/>
        </w:rPr>
        <w:t>accès des femmes à la justice, le Comité recommande à l</w:t>
      </w:r>
      <w:r w:rsidR="00300867">
        <w:rPr>
          <w:b/>
          <w:bCs/>
          <w:lang w:val="fr-FR"/>
        </w:rPr>
        <w:t>’</w:t>
      </w:r>
      <w:r w:rsidRPr="00E32F88">
        <w:rPr>
          <w:b/>
          <w:bCs/>
          <w:lang w:val="fr-FR"/>
        </w:rPr>
        <w:t>État partie</w:t>
      </w:r>
      <w:r w:rsidR="00300867">
        <w:rPr>
          <w:b/>
          <w:bCs/>
          <w:lang w:val="fr-FR"/>
        </w:rPr>
        <w:t> :</w:t>
      </w:r>
    </w:p>
    <w:p w14:paraId="5E60F62A" w14:textId="4AF2FD4E"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renforcer systématiquement les capacités des juges, des procureurs, des avocats et des responsables de l</w:t>
      </w:r>
      <w:r w:rsidR="00300867">
        <w:rPr>
          <w:b/>
          <w:bCs/>
          <w:lang w:val="fr-FR"/>
        </w:rPr>
        <w:t>’</w:t>
      </w:r>
      <w:r w:rsidRPr="00E32F88">
        <w:rPr>
          <w:b/>
          <w:bCs/>
          <w:lang w:val="fr-FR"/>
        </w:rPr>
        <w:t>application des lois en ce qui concerne l</w:t>
      </w:r>
      <w:r w:rsidR="00300867">
        <w:rPr>
          <w:b/>
          <w:bCs/>
          <w:lang w:val="fr-FR"/>
        </w:rPr>
        <w:t>’</w:t>
      </w:r>
      <w:r w:rsidRPr="00E32F88">
        <w:rPr>
          <w:b/>
          <w:bCs/>
          <w:lang w:val="fr-FR"/>
        </w:rPr>
        <w:t>application directe de la Convention ou l</w:t>
      </w:r>
      <w:r w:rsidR="00300867">
        <w:rPr>
          <w:b/>
          <w:bCs/>
          <w:lang w:val="fr-FR"/>
        </w:rPr>
        <w:t>’</w:t>
      </w:r>
      <w:r w:rsidRPr="00E32F88">
        <w:rPr>
          <w:b/>
          <w:bCs/>
          <w:lang w:val="fr-FR"/>
        </w:rPr>
        <w:t>interprétation de la législation nationale à la lumière de celle-ci, dans le cadre des procédures judiciaires et administratives, et d</w:t>
      </w:r>
      <w:r w:rsidR="00300867">
        <w:rPr>
          <w:b/>
          <w:bCs/>
          <w:lang w:val="fr-FR"/>
        </w:rPr>
        <w:t>’</w:t>
      </w:r>
      <w:r w:rsidRPr="00E32F88">
        <w:rPr>
          <w:b/>
          <w:bCs/>
          <w:lang w:val="fr-FR"/>
        </w:rPr>
        <w:t>établir des indicateurs pour garantir que les affaires portées par des femmes sont gérées en tenant compte des questions de genre</w:t>
      </w:r>
      <w:r w:rsidR="00300867">
        <w:rPr>
          <w:b/>
          <w:bCs/>
          <w:lang w:val="fr-FR"/>
        </w:rPr>
        <w:t> ;</w:t>
      </w:r>
    </w:p>
    <w:p w14:paraId="48D093E1" w14:textId="19AF0424"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redoubler d</w:t>
      </w:r>
      <w:r w:rsidR="00300867">
        <w:rPr>
          <w:b/>
          <w:bCs/>
          <w:lang w:val="fr-FR"/>
        </w:rPr>
        <w:t>’</w:t>
      </w:r>
      <w:r w:rsidRPr="00E32F88">
        <w:rPr>
          <w:b/>
          <w:bCs/>
          <w:lang w:val="fr-FR"/>
        </w:rPr>
        <w:t>efforts pour enquêter sur les cas de corruption du personnel de la justice et engager des poursuites, de punir dûment les auteurs et de garantir l</w:t>
      </w:r>
      <w:r w:rsidR="00300867">
        <w:rPr>
          <w:b/>
          <w:bCs/>
          <w:lang w:val="fr-FR"/>
        </w:rPr>
        <w:t>’</w:t>
      </w:r>
      <w:r w:rsidRPr="00E32F88">
        <w:rPr>
          <w:b/>
          <w:bCs/>
          <w:lang w:val="fr-FR"/>
        </w:rPr>
        <w:t>indépendance du pouvoir judiciaire et du ministère public, notamment en institutionnalisant le processus de nomination</w:t>
      </w:r>
      <w:r w:rsidR="00300867">
        <w:rPr>
          <w:b/>
          <w:bCs/>
          <w:lang w:val="fr-FR"/>
        </w:rPr>
        <w:t> ;</w:t>
      </w:r>
    </w:p>
    <w:p w14:paraId="04C60ACA" w14:textId="7E636114"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w:t>
      </w:r>
      <w:r w:rsidR="00300867">
        <w:rPr>
          <w:b/>
          <w:bCs/>
          <w:lang w:val="fr-FR"/>
        </w:rPr>
        <w:t>’</w:t>
      </w:r>
      <w:r w:rsidRPr="00E32F88">
        <w:rPr>
          <w:b/>
          <w:bCs/>
          <w:lang w:val="fr-FR"/>
        </w:rPr>
        <w:t>affecter les ressources humaines, techniques et financières nécessaires au secteur de la justice, en particulier dans les zones rurales et reculées, afin de permettre à toutes les femmes, notamment celles qui sont issues de groupes défavorisés et marginalisés, de faire valoir leurs droits et de renforcer le service plurinational de la défense publique</w:t>
      </w:r>
      <w:r w:rsidR="00300867">
        <w:rPr>
          <w:b/>
          <w:bCs/>
          <w:lang w:val="fr-FR"/>
        </w:rPr>
        <w:t> ;</w:t>
      </w:r>
    </w:p>
    <w:p w14:paraId="3C989803" w14:textId="77777777"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 xml:space="preserve">de continuer à sensibiliser les femmes à leurs droits et à diffuser des informations sur les recours disponibles pour dénoncer les violations de leurs </w:t>
      </w:r>
      <w:r w:rsidRPr="00E32F88">
        <w:rPr>
          <w:b/>
          <w:bCs/>
          <w:lang w:val="fr-FR"/>
        </w:rPr>
        <w:lastRenderedPageBreak/>
        <w:t>droits, et de garantir la disponibilité des recours juridiques, y compris des aménagements procéduraux, rapides et accessibles à toutes les femmes.</w:t>
      </w:r>
    </w:p>
    <w:p w14:paraId="450C8082" w14:textId="25E1928F" w:rsidR="00E32F88" w:rsidRPr="00E32F88" w:rsidRDefault="00E32F88" w:rsidP="00E32F88">
      <w:pPr>
        <w:pStyle w:val="SingleTxt"/>
        <w:spacing w:after="0" w:line="120" w:lineRule="exact"/>
        <w:rPr>
          <w:sz w:val="10"/>
          <w:lang w:val="fr-FR"/>
        </w:rPr>
      </w:pPr>
    </w:p>
    <w:p w14:paraId="0BAAD7C4" w14:textId="77777777" w:rsidR="00E32F88" w:rsidRPr="00E32F88" w:rsidRDefault="00E32F88" w:rsidP="00E32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Mécanisme national de promotion des femmes</w:t>
      </w:r>
    </w:p>
    <w:p w14:paraId="34243A31" w14:textId="41EC059B" w:rsidR="00E32F88" w:rsidRPr="00E32F88" w:rsidRDefault="00E32F88" w:rsidP="00E32F88">
      <w:pPr>
        <w:pStyle w:val="SingleTxt"/>
        <w:spacing w:after="0" w:line="120" w:lineRule="exact"/>
        <w:rPr>
          <w:sz w:val="10"/>
          <w:lang w:val="fr-FR"/>
        </w:rPr>
      </w:pPr>
    </w:p>
    <w:p w14:paraId="6CD94848" w14:textId="6AA4730B" w:rsidR="00E32F88" w:rsidRPr="00E32F88" w:rsidRDefault="00E32F88" w:rsidP="000F40FC">
      <w:pPr>
        <w:pStyle w:val="SingleTxt"/>
        <w:numPr>
          <w:ilvl w:val="0"/>
          <w:numId w:val="9"/>
        </w:numPr>
        <w:spacing w:line="240" w:lineRule="exact"/>
        <w:rPr>
          <w:lang w:val="fr-FR"/>
        </w:rPr>
      </w:pPr>
      <w:r w:rsidRPr="00E32F88">
        <w:rPr>
          <w:lang w:val="fr-FR"/>
        </w:rPr>
        <w:t>Le Comité se félicite de la création du Service plurinational pour les femmes et l</w:t>
      </w:r>
      <w:r w:rsidR="00300867">
        <w:rPr>
          <w:lang w:val="fr-FR"/>
        </w:rPr>
        <w:t>’</w:t>
      </w:r>
      <w:r w:rsidRPr="00E32F88">
        <w:rPr>
          <w:lang w:val="fr-FR"/>
        </w:rPr>
        <w:t>élimination du patriarcat « Ana María Romero ». Il reste toutefois préoccupé par</w:t>
      </w:r>
      <w:r w:rsidR="00300867">
        <w:rPr>
          <w:lang w:val="fr-FR"/>
        </w:rPr>
        <w:t> :</w:t>
      </w:r>
    </w:p>
    <w:p w14:paraId="66B6F43B" w14:textId="4ABFCA14" w:rsidR="00E32F88" w:rsidRPr="00E32F88" w:rsidRDefault="00E32F88" w:rsidP="00E32F88">
      <w:pPr>
        <w:pStyle w:val="SingleTxt"/>
        <w:rPr>
          <w:lang w:val="fr-FR"/>
        </w:rPr>
      </w:pPr>
      <w:r w:rsidRPr="00E32F88">
        <w:rPr>
          <w:lang w:val="fr-FR"/>
        </w:rPr>
        <w:tab/>
        <w:t>a)</w:t>
      </w:r>
      <w:r w:rsidRPr="00E32F88">
        <w:rPr>
          <w:lang w:val="fr-FR"/>
        </w:rPr>
        <w:tab/>
        <w:t>le manque de coordination entre la Vice-Ministre de l</w:t>
      </w:r>
      <w:r w:rsidR="00300867">
        <w:rPr>
          <w:lang w:val="fr-FR"/>
        </w:rPr>
        <w:t>’</w:t>
      </w:r>
      <w:r w:rsidRPr="00E32F88">
        <w:rPr>
          <w:lang w:val="fr-FR"/>
        </w:rPr>
        <w:t>égalité des chances au Ministère de la justice, le Service d</w:t>
      </w:r>
      <w:r w:rsidR="00300867">
        <w:rPr>
          <w:lang w:val="fr-FR"/>
        </w:rPr>
        <w:t>’</w:t>
      </w:r>
      <w:r w:rsidRPr="00E32F88">
        <w:rPr>
          <w:lang w:val="fr-FR"/>
        </w:rPr>
        <w:t>élimination du patriarcat et de la décolonisation au Ministère des cultures, de la décolonisation et de l</w:t>
      </w:r>
      <w:r w:rsidR="00300867">
        <w:rPr>
          <w:lang w:val="fr-FR"/>
        </w:rPr>
        <w:t>’</w:t>
      </w:r>
      <w:r w:rsidRPr="00E32F88">
        <w:rPr>
          <w:lang w:val="fr-FR"/>
        </w:rPr>
        <w:t>élimination du patriarcat et le Service plurinational pour les femmes et l</w:t>
      </w:r>
      <w:r w:rsidR="00300867">
        <w:rPr>
          <w:lang w:val="fr-FR"/>
        </w:rPr>
        <w:t>’</w:t>
      </w:r>
      <w:r w:rsidRPr="00E32F88">
        <w:rPr>
          <w:lang w:val="fr-FR"/>
        </w:rPr>
        <w:t>élimination du patriarcat pour mettre en œuvre des politiques publiques sur l</w:t>
      </w:r>
      <w:r w:rsidR="00300867">
        <w:rPr>
          <w:lang w:val="fr-FR"/>
        </w:rPr>
        <w:t>’</w:t>
      </w:r>
      <w:r w:rsidRPr="00E32F88">
        <w:rPr>
          <w:lang w:val="fr-FR"/>
        </w:rPr>
        <w:t>égalité des genres à tous les niveaux du gouvernement, et les allocations budgétaires insuffisantes pour permettre au mécanisme national de remplir son mandat</w:t>
      </w:r>
      <w:r w:rsidR="00300867">
        <w:rPr>
          <w:lang w:val="fr-FR"/>
        </w:rPr>
        <w:t> ;</w:t>
      </w:r>
    </w:p>
    <w:p w14:paraId="13C461DD" w14:textId="4B978BC3" w:rsidR="00E32F88" w:rsidRPr="00E32F88" w:rsidRDefault="00E32F88" w:rsidP="00E32F88">
      <w:pPr>
        <w:pStyle w:val="SingleTxt"/>
        <w:rPr>
          <w:lang w:val="fr-FR"/>
        </w:rPr>
      </w:pPr>
      <w:r w:rsidRPr="00E32F88">
        <w:rPr>
          <w:lang w:val="fr-FR"/>
        </w:rPr>
        <w:tab/>
        <w:t>b)</w:t>
      </w:r>
      <w:r w:rsidRPr="00E32F88">
        <w:rPr>
          <w:lang w:val="fr-FR"/>
        </w:rPr>
        <w:tab/>
        <w:t>l</w:t>
      </w:r>
      <w:r w:rsidR="00300867">
        <w:rPr>
          <w:lang w:val="fr-FR"/>
        </w:rPr>
        <w:t>’</w:t>
      </w:r>
      <w:r w:rsidRPr="00E32F88">
        <w:rPr>
          <w:lang w:val="fr-FR"/>
        </w:rPr>
        <w:t>absence d</w:t>
      </w:r>
      <w:r w:rsidR="00300867">
        <w:rPr>
          <w:lang w:val="fr-FR"/>
        </w:rPr>
        <w:t>’</w:t>
      </w:r>
      <w:r w:rsidRPr="00E32F88">
        <w:rPr>
          <w:lang w:val="fr-FR"/>
        </w:rPr>
        <w:t>un plan révisé de promotion des femmes et d</w:t>
      </w:r>
      <w:r w:rsidR="00300867">
        <w:rPr>
          <w:lang w:val="fr-FR"/>
        </w:rPr>
        <w:t>’</w:t>
      </w:r>
      <w:r w:rsidRPr="00E32F88">
        <w:rPr>
          <w:lang w:val="fr-FR"/>
        </w:rPr>
        <w:t>informations spécifiques et ventilées sur les investissements dans les politiques publiques liées aux droits des femmes, leur mise en œuvre et leurs résultats particuliers</w:t>
      </w:r>
      <w:r w:rsidR="00300867">
        <w:rPr>
          <w:lang w:val="fr-FR"/>
        </w:rPr>
        <w:t> ;</w:t>
      </w:r>
    </w:p>
    <w:p w14:paraId="6FEB1A5F" w14:textId="77777777" w:rsidR="00E32F88" w:rsidRPr="00E32F88" w:rsidRDefault="00E32F88" w:rsidP="00E32F88">
      <w:pPr>
        <w:pStyle w:val="SingleTxt"/>
        <w:rPr>
          <w:lang w:val="fr-FR"/>
        </w:rPr>
      </w:pPr>
      <w:r w:rsidRPr="00E32F88">
        <w:rPr>
          <w:lang w:val="fr-FR"/>
        </w:rPr>
        <w:tab/>
        <w:t>c)</w:t>
      </w:r>
      <w:r w:rsidRPr="00E32F88">
        <w:rPr>
          <w:lang w:val="fr-FR"/>
        </w:rPr>
        <w:tab/>
        <w:t>le financement insuffisant et les retards dans la nomination de la médiatrice.</w:t>
      </w:r>
    </w:p>
    <w:p w14:paraId="295FAC78" w14:textId="092D7BF3" w:rsidR="00E32F88" w:rsidRPr="00E32F88" w:rsidRDefault="00E32F88" w:rsidP="000F40FC">
      <w:pPr>
        <w:pStyle w:val="SingleTxt"/>
        <w:numPr>
          <w:ilvl w:val="0"/>
          <w:numId w:val="9"/>
        </w:numPr>
        <w:spacing w:line="240" w:lineRule="exact"/>
        <w:rPr>
          <w:b/>
          <w:bCs/>
          <w:lang w:val="fr-FR"/>
        </w:rPr>
      </w:pPr>
      <w:r w:rsidRPr="00E32F88">
        <w:rPr>
          <w:b/>
          <w:bCs/>
          <w:lang w:val="fr-FR"/>
        </w:rPr>
        <w:t>Rappelant les orientations contenues dans le Programme d</w:t>
      </w:r>
      <w:r w:rsidR="00300867">
        <w:rPr>
          <w:b/>
          <w:bCs/>
          <w:lang w:val="fr-FR"/>
        </w:rPr>
        <w:t>’</w:t>
      </w:r>
      <w:r w:rsidRPr="00E32F88">
        <w:rPr>
          <w:b/>
          <w:bCs/>
          <w:lang w:val="fr-FR"/>
        </w:rPr>
        <w:t>action de Beijing, notamment en ce qui concerne les conditions nécessaires au bon fonctionnement des mécanismes nationaux, le Comité recommande à l</w:t>
      </w:r>
      <w:r w:rsidR="00300867">
        <w:rPr>
          <w:b/>
          <w:bCs/>
          <w:lang w:val="fr-FR"/>
        </w:rPr>
        <w:t>’</w:t>
      </w:r>
      <w:r w:rsidRPr="00E32F88">
        <w:rPr>
          <w:b/>
          <w:bCs/>
          <w:lang w:val="fr-FR"/>
        </w:rPr>
        <w:t>État partie</w:t>
      </w:r>
      <w:r w:rsidR="00300867">
        <w:rPr>
          <w:b/>
          <w:bCs/>
          <w:lang w:val="fr-FR"/>
        </w:rPr>
        <w:t> :</w:t>
      </w:r>
    </w:p>
    <w:p w14:paraId="5668381B" w14:textId="279FBE6E"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renforcer les efforts visant à assurer la coordination entre la Vice-Ministre de l</w:t>
      </w:r>
      <w:r w:rsidR="00300867">
        <w:rPr>
          <w:b/>
          <w:bCs/>
          <w:lang w:val="fr-FR"/>
        </w:rPr>
        <w:t>’</w:t>
      </w:r>
      <w:r w:rsidRPr="00E32F88">
        <w:rPr>
          <w:b/>
          <w:bCs/>
          <w:lang w:val="fr-FR"/>
        </w:rPr>
        <w:t>égalité des chances, le Service d</w:t>
      </w:r>
      <w:r w:rsidR="00300867">
        <w:rPr>
          <w:b/>
          <w:bCs/>
          <w:lang w:val="fr-FR"/>
        </w:rPr>
        <w:t>’</w:t>
      </w:r>
      <w:r w:rsidRPr="00E32F88">
        <w:rPr>
          <w:b/>
          <w:bCs/>
          <w:lang w:val="fr-FR"/>
        </w:rPr>
        <w:t>élimination du patriarcat et de la décolonisation et le Service plurinational pour les femmes et l</w:t>
      </w:r>
      <w:r w:rsidR="00300867">
        <w:rPr>
          <w:b/>
          <w:bCs/>
          <w:lang w:val="fr-FR"/>
        </w:rPr>
        <w:t>’</w:t>
      </w:r>
      <w:r w:rsidRPr="00E32F88">
        <w:rPr>
          <w:b/>
          <w:bCs/>
          <w:lang w:val="fr-FR"/>
        </w:rPr>
        <w:t>élimination du patriarcat, et d</w:t>
      </w:r>
      <w:r w:rsidR="00300867">
        <w:rPr>
          <w:b/>
          <w:bCs/>
          <w:lang w:val="fr-FR"/>
        </w:rPr>
        <w:t>’</w:t>
      </w:r>
      <w:r w:rsidRPr="00E32F88">
        <w:rPr>
          <w:b/>
          <w:bCs/>
          <w:lang w:val="fr-FR"/>
        </w:rPr>
        <w:t>envisager la création d</w:t>
      </w:r>
      <w:r w:rsidR="00300867">
        <w:rPr>
          <w:b/>
          <w:bCs/>
          <w:lang w:val="fr-FR"/>
        </w:rPr>
        <w:t>’</w:t>
      </w:r>
      <w:r w:rsidRPr="00E32F88">
        <w:rPr>
          <w:b/>
          <w:bCs/>
          <w:lang w:val="fr-FR"/>
        </w:rPr>
        <w:t>un ministère de la femme chargé de coordonner toutes les politiques et les stratégies publiques en faveur de l</w:t>
      </w:r>
      <w:r w:rsidR="00300867">
        <w:rPr>
          <w:b/>
          <w:bCs/>
          <w:lang w:val="fr-FR"/>
        </w:rPr>
        <w:t>’</w:t>
      </w:r>
      <w:r w:rsidRPr="00E32F88">
        <w:rPr>
          <w:b/>
          <w:bCs/>
          <w:lang w:val="fr-FR"/>
        </w:rPr>
        <w:t>égalité des genres et de la promotion des femmes, avec des services compétents opérant au niveau infranational</w:t>
      </w:r>
      <w:r w:rsidR="00300867">
        <w:rPr>
          <w:b/>
          <w:bCs/>
          <w:lang w:val="fr-FR"/>
        </w:rPr>
        <w:t> ;</w:t>
      </w:r>
    </w:p>
    <w:p w14:paraId="773D4CB5" w14:textId="19BCA055"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w:t>
      </w:r>
      <w:r w:rsidR="00300867">
        <w:rPr>
          <w:b/>
          <w:bCs/>
          <w:lang w:val="fr-FR"/>
        </w:rPr>
        <w:t>’</w:t>
      </w:r>
      <w:r w:rsidRPr="00E32F88">
        <w:rPr>
          <w:b/>
          <w:bCs/>
          <w:lang w:val="fr-FR"/>
        </w:rPr>
        <w:t>accroître les ressources humaines, techniques et financières allouées aux entités susmentionnées et d</w:t>
      </w:r>
      <w:r w:rsidR="00300867">
        <w:rPr>
          <w:b/>
          <w:bCs/>
          <w:lang w:val="fr-FR"/>
        </w:rPr>
        <w:t>’</w:t>
      </w:r>
      <w:r w:rsidRPr="00E32F88">
        <w:rPr>
          <w:b/>
          <w:bCs/>
          <w:lang w:val="fr-FR"/>
        </w:rPr>
        <w:t>approfondir les connaissances spécialisées du personnel en matière de genre, afin de lui permettre de promouvoir l</w:t>
      </w:r>
      <w:r w:rsidR="00300867">
        <w:rPr>
          <w:b/>
          <w:bCs/>
          <w:lang w:val="fr-FR"/>
        </w:rPr>
        <w:t>’</w:t>
      </w:r>
      <w:r w:rsidRPr="00E32F88">
        <w:rPr>
          <w:b/>
          <w:bCs/>
          <w:lang w:val="fr-FR"/>
        </w:rPr>
        <w:t>égalité des genres, d</w:t>
      </w:r>
      <w:r w:rsidR="00300867">
        <w:rPr>
          <w:b/>
          <w:bCs/>
          <w:lang w:val="fr-FR"/>
        </w:rPr>
        <w:t>’</w:t>
      </w:r>
      <w:r w:rsidRPr="00E32F88">
        <w:rPr>
          <w:b/>
          <w:bCs/>
          <w:lang w:val="fr-FR"/>
        </w:rPr>
        <w:t>intégrer les questions de genre dans toutes les politiques gouvernementales et d</w:t>
      </w:r>
      <w:r w:rsidR="00300867">
        <w:rPr>
          <w:b/>
          <w:bCs/>
          <w:lang w:val="fr-FR"/>
        </w:rPr>
        <w:t>’</w:t>
      </w:r>
      <w:r w:rsidRPr="00E32F88">
        <w:rPr>
          <w:b/>
          <w:bCs/>
          <w:lang w:val="fr-FR"/>
        </w:rPr>
        <w:t>adopter une budgétisation tenant compte de ces questions</w:t>
      </w:r>
      <w:r w:rsidR="00300867">
        <w:rPr>
          <w:b/>
          <w:bCs/>
          <w:lang w:val="fr-FR"/>
        </w:rPr>
        <w:t> ;</w:t>
      </w:r>
    </w:p>
    <w:p w14:paraId="05B4A0FC" w14:textId="1448412B"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w:t>
      </w:r>
      <w:r w:rsidR="00300867">
        <w:rPr>
          <w:b/>
          <w:bCs/>
          <w:lang w:val="fr-FR"/>
        </w:rPr>
        <w:t>’</w:t>
      </w:r>
      <w:r w:rsidRPr="00E32F88">
        <w:rPr>
          <w:b/>
          <w:bCs/>
          <w:lang w:val="fr-FR"/>
        </w:rPr>
        <w:t>élaborer et de mettre en œuvre un plan détaillé pour l</w:t>
      </w:r>
      <w:r w:rsidR="00300867">
        <w:rPr>
          <w:b/>
          <w:bCs/>
          <w:lang w:val="fr-FR"/>
        </w:rPr>
        <w:t>’</w:t>
      </w:r>
      <w:r w:rsidRPr="00E32F88">
        <w:rPr>
          <w:b/>
          <w:bCs/>
          <w:lang w:val="fr-FR"/>
        </w:rPr>
        <w:t>égalité des genres et la promotion des femmes comprenant un système d</w:t>
      </w:r>
      <w:r w:rsidR="00300867">
        <w:rPr>
          <w:b/>
          <w:bCs/>
          <w:lang w:val="fr-FR"/>
        </w:rPr>
        <w:t>’</w:t>
      </w:r>
      <w:r w:rsidRPr="00E32F88">
        <w:rPr>
          <w:b/>
          <w:bCs/>
          <w:lang w:val="fr-FR"/>
        </w:rPr>
        <w:t>indicateurs afin d</w:t>
      </w:r>
      <w:r w:rsidR="00300867">
        <w:rPr>
          <w:b/>
          <w:bCs/>
          <w:lang w:val="fr-FR"/>
        </w:rPr>
        <w:t>’</w:t>
      </w:r>
      <w:r w:rsidRPr="00E32F88">
        <w:rPr>
          <w:b/>
          <w:bCs/>
          <w:lang w:val="fr-FR"/>
        </w:rPr>
        <w:t>améliorer la collecte de données ventilées et un mécanisme efficace de suivi, d</w:t>
      </w:r>
      <w:r w:rsidR="00300867">
        <w:rPr>
          <w:b/>
          <w:bCs/>
          <w:lang w:val="fr-FR"/>
        </w:rPr>
        <w:t>’</w:t>
      </w:r>
      <w:r w:rsidRPr="00E32F88">
        <w:rPr>
          <w:b/>
          <w:bCs/>
          <w:lang w:val="fr-FR"/>
        </w:rPr>
        <w:t>évaluation et d</w:t>
      </w:r>
      <w:r w:rsidR="00300867">
        <w:rPr>
          <w:b/>
          <w:bCs/>
          <w:lang w:val="fr-FR"/>
        </w:rPr>
        <w:t>’</w:t>
      </w:r>
      <w:r w:rsidRPr="00E32F88">
        <w:rPr>
          <w:b/>
          <w:bCs/>
          <w:lang w:val="fr-FR"/>
        </w:rPr>
        <w:t>établissement des responsabilités, et de veiller à ce que des ressources suffisantes soient allouées à sa mise en œuvre</w:t>
      </w:r>
      <w:r w:rsidR="00300867">
        <w:rPr>
          <w:b/>
          <w:bCs/>
          <w:lang w:val="fr-FR"/>
        </w:rPr>
        <w:t> ;</w:t>
      </w:r>
    </w:p>
    <w:p w14:paraId="7D90A64E" w14:textId="0ED02D03"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w:t>
      </w:r>
      <w:r w:rsidR="00300867">
        <w:rPr>
          <w:b/>
          <w:bCs/>
          <w:lang w:val="fr-FR"/>
        </w:rPr>
        <w:t>’</w:t>
      </w:r>
      <w:r w:rsidRPr="00E32F88">
        <w:rPr>
          <w:b/>
          <w:bCs/>
          <w:lang w:val="fr-FR"/>
        </w:rPr>
        <w:t>accélérer l</w:t>
      </w:r>
      <w:r w:rsidR="00300867">
        <w:rPr>
          <w:b/>
          <w:bCs/>
          <w:lang w:val="fr-FR"/>
        </w:rPr>
        <w:t>’</w:t>
      </w:r>
      <w:r w:rsidRPr="00E32F88">
        <w:rPr>
          <w:b/>
          <w:bCs/>
          <w:lang w:val="fr-FR"/>
        </w:rPr>
        <w:t>évaluation du Plan multisectoriel pour le progrès de l</w:t>
      </w:r>
      <w:r w:rsidR="00300867">
        <w:rPr>
          <w:b/>
          <w:bCs/>
          <w:lang w:val="fr-FR"/>
        </w:rPr>
        <w:t>’</w:t>
      </w:r>
      <w:r w:rsidRPr="00E32F88">
        <w:rPr>
          <w:b/>
          <w:bCs/>
          <w:lang w:val="fr-FR"/>
        </w:rPr>
        <w:t>élimination du patriarcat et le droit des femmes à vivre bien (2016-2020) et du Plan national pour l</w:t>
      </w:r>
      <w:r w:rsidR="00300867">
        <w:rPr>
          <w:b/>
          <w:bCs/>
          <w:lang w:val="fr-FR"/>
        </w:rPr>
        <w:t>’</w:t>
      </w:r>
      <w:r w:rsidRPr="00E32F88">
        <w:rPr>
          <w:b/>
          <w:bCs/>
          <w:lang w:val="fr-FR"/>
        </w:rPr>
        <w:t>égalité des chances (2009-2020)</w:t>
      </w:r>
      <w:r w:rsidR="00300867">
        <w:rPr>
          <w:b/>
          <w:bCs/>
          <w:lang w:val="fr-FR"/>
        </w:rPr>
        <w:t> ;</w:t>
      </w:r>
    </w:p>
    <w:p w14:paraId="3148F878" w14:textId="56A72185" w:rsidR="00E32F88" w:rsidRPr="00E32F88" w:rsidRDefault="00E32F88" w:rsidP="00E32F88">
      <w:pPr>
        <w:pStyle w:val="SingleTxt"/>
        <w:rPr>
          <w:b/>
          <w:bCs/>
          <w:lang w:val="fr-FR"/>
        </w:rPr>
      </w:pPr>
      <w:r w:rsidRPr="00E32F88">
        <w:rPr>
          <w:lang w:val="fr-FR"/>
        </w:rPr>
        <w:tab/>
        <w:t>e)</w:t>
      </w:r>
      <w:r w:rsidRPr="00E32F88">
        <w:rPr>
          <w:lang w:val="fr-FR"/>
        </w:rPr>
        <w:tab/>
      </w:r>
      <w:r w:rsidRPr="00E32F88">
        <w:rPr>
          <w:b/>
          <w:bCs/>
          <w:lang w:val="fr-FR"/>
        </w:rPr>
        <w:t>de fournir au Bureau de la médiatrice les ressources nécessaires à l</w:t>
      </w:r>
      <w:r w:rsidR="00300867">
        <w:rPr>
          <w:b/>
          <w:bCs/>
          <w:lang w:val="fr-FR"/>
        </w:rPr>
        <w:t>’</w:t>
      </w:r>
      <w:r w:rsidRPr="00E32F88">
        <w:rPr>
          <w:b/>
          <w:bCs/>
          <w:lang w:val="fr-FR"/>
        </w:rPr>
        <w:t>exécution de son mandat relatif aux droits des femmes et à l</w:t>
      </w:r>
      <w:r w:rsidR="00300867">
        <w:rPr>
          <w:b/>
          <w:bCs/>
          <w:lang w:val="fr-FR"/>
        </w:rPr>
        <w:t>’</w:t>
      </w:r>
      <w:r w:rsidRPr="00E32F88">
        <w:rPr>
          <w:b/>
          <w:bCs/>
          <w:lang w:val="fr-FR"/>
        </w:rPr>
        <w:t>assurance de son indépendance, dans le plein respect des Principes concernant le statut des institutions nationales pour la promotion et la protection des droits de l</w:t>
      </w:r>
      <w:r w:rsidR="00300867">
        <w:rPr>
          <w:b/>
          <w:bCs/>
          <w:lang w:val="fr-FR"/>
        </w:rPr>
        <w:t>’</w:t>
      </w:r>
      <w:r w:rsidRPr="00E32F88">
        <w:rPr>
          <w:b/>
          <w:bCs/>
          <w:lang w:val="fr-FR"/>
        </w:rPr>
        <w:t>homme (Principes de Paris), et d</w:t>
      </w:r>
      <w:r w:rsidR="00300867">
        <w:rPr>
          <w:b/>
          <w:bCs/>
          <w:lang w:val="fr-FR"/>
        </w:rPr>
        <w:t>’</w:t>
      </w:r>
      <w:r w:rsidRPr="00E32F88">
        <w:rPr>
          <w:b/>
          <w:bCs/>
          <w:lang w:val="fr-FR"/>
        </w:rPr>
        <w:t>accélérer la mise en place d</w:t>
      </w:r>
      <w:r w:rsidR="00300867">
        <w:rPr>
          <w:b/>
          <w:bCs/>
          <w:lang w:val="fr-FR"/>
        </w:rPr>
        <w:t>’</w:t>
      </w:r>
      <w:r w:rsidRPr="00E32F88">
        <w:rPr>
          <w:b/>
          <w:bCs/>
          <w:lang w:val="fr-FR"/>
        </w:rPr>
        <w:t>un processus transparent et participatif de sélection et de nomination du (de la) médiateur(trice).</w:t>
      </w:r>
    </w:p>
    <w:p w14:paraId="22C487D3" w14:textId="77777777" w:rsidR="00E32F88" w:rsidRPr="00E32F88" w:rsidRDefault="00E32F88" w:rsidP="00E32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lastRenderedPageBreak/>
        <w:tab/>
      </w:r>
      <w:r w:rsidRPr="00E32F88">
        <w:rPr>
          <w:lang w:val="fr-FR"/>
        </w:rPr>
        <w:tab/>
        <w:t xml:space="preserve">Stéréotypes fondés sur le genre </w:t>
      </w:r>
    </w:p>
    <w:p w14:paraId="689B77A7" w14:textId="58769E9A" w:rsidR="00E32F88" w:rsidRPr="00E32F88" w:rsidRDefault="00E32F88" w:rsidP="00E32F88">
      <w:pPr>
        <w:pStyle w:val="SingleTxt"/>
        <w:spacing w:after="0" w:line="120" w:lineRule="exact"/>
        <w:rPr>
          <w:sz w:val="10"/>
          <w:lang w:val="fr-FR"/>
        </w:rPr>
      </w:pPr>
    </w:p>
    <w:p w14:paraId="2F4A1EE1" w14:textId="433F191C" w:rsidR="00E32F88" w:rsidRPr="00E32F88" w:rsidRDefault="00E32F88" w:rsidP="000F40FC">
      <w:pPr>
        <w:pStyle w:val="SingleTxt"/>
        <w:numPr>
          <w:ilvl w:val="0"/>
          <w:numId w:val="10"/>
        </w:numPr>
        <w:spacing w:line="240" w:lineRule="exact"/>
        <w:rPr>
          <w:lang w:val="fr-FR"/>
        </w:rPr>
      </w:pPr>
      <w:r w:rsidRPr="00E32F88">
        <w:rPr>
          <w:lang w:val="fr-FR"/>
        </w:rPr>
        <w:t>Le Comité se félicite des efforts déployés par l</w:t>
      </w:r>
      <w:r w:rsidR="00300867">
        <w:rPr>
          <w:lang w:val="fr-FR"/>
        </w:rPr>
        <w:t>’</w:t>
      </w:r>
      <w:r w:rsidRPr="00E32F88">
        <w:rPr>
          <w:lang w:val="fr-FR"/>
        </w:rPr>
        <w:t>État partie pour mettre fin aux attitudes patriarcale et aux pratiques préjudiciables, notamment la campagne en faveur de l</w:t>
      </w:r>
      <w:r w:rsidR="00300867">
        <w:rPr>
          <w:lang w:val="fr-FR"/>
        </w:rPr>
        <w:t>’</w:t>
      </w:r>
      <w:r w:rsidRPr="00E32F88">
        <w:rPr>
          <w:lang w:val="fr-FR"/>
        </w:rPr>
        <w:t>égalité des genres axée sur les filles. Il note toutefois avec préoccupation la persistance de stéréotypes concernant les rôles et les responsabilités des femmes et des hommes dans la famille et dans la société, qui perpétuent la discrimination à l</w:t>
      </w:r>
      <w:r w:rsidR="00300867">
        <w:rPr>
          <w:lang w:val="fr-FR"/>
        </w:rPr>
        <w:t>’</w:t>
      </w:r>
      <w:r w:rsidRPr="00E32F88">
        <w:rPr>
          <w:lang w:val="fr-FR"/>
        </w:rPr>
        <w:t>égard des femmes dans des domaines tels que la participation politique, l</w:t>
      </w:r>
      <w:r w:rsidR="00300867">
        <w:rPr>
          <w:lang w:val="fr-FR"/>
        </w:rPr>
        <w:t>’</w:t>
      </w:r>
      <w:r w:rsidRPr="00E32F88">
        <w:rPr>
          <w:lang w:val="fr-FR"/>
        </w:rPr>
        <w:t>éducation, l</w:t>
      </w:r>
      <w:r w:rsidR="00300867">
        <w:rPr>
          <w:lang w:val="fr-FR"/>
        </w:rPr>
        <w:t>’</w:t>
      </w:r>
      <w:r w:rsidRPr="00E32F88">
        <w:rPr>
          <w:lang w:val="fr-FR"/>
        </w:rPr>
        <w:t>emploi et la santé, ainsi que la violence fondée sur le genre et la charge disproportionnée des travaux domestiques et des soins non rémunérés qui incombe aux femmes.</w:t>
      </w:r>
    </w:p>
    <w:p w14:paraId="498F7614" w14:textId="54B9CF70" w:rsidR="00E32F88" w:rsidRPr="00E32F88" w:rsidRDefault="00E32F88" w:rsidP="000F40FC">
      <w:pPr>
        <w:pStyle w:val="SingleTxt"/>
        <w:numPr>
          <w:ilvl w:val="0"/>
          <w:numId w:val="10"/>
        </w:numPr>
        <w:spacing w:line="240" w:lineRule="exact"/>
        <w:rPr>
          <w:b/>
          <w:bCs/>
          <w:lang w:val="fr-FR"/>
        </w:rPr>
      </w:pPr>
      <w:r w:rsidRPr="00E32F88">
        <w:rPr>
          <w:b/>
          <w:bCs/>
          <w:lang w:val="fr-FR"/>
        </w:rPr>
        <w:t>Le Comité recommande à l</w:t>
      </w:r>
      <w:r w:rsidR="00300867">
        <w:rPr>
          <w:b/>
          <w:bCs/>
          <w:lang w:val="fr-FR"/>
        </w:rPr>
        <w:t>’</w:t>
      </w:r>
      <w:r w:rsidRPr="00E32F88">
        <w:rPr>
          <w:b/>
          <w:bCs/>
          <w:lang w:val="fr-FR"/>
        </w:rPr>
        <w:t>État partie</w:t>
      </w:r>
      <w:r w:rsidR="00300867">
        <w:rPr>
          <w:b/>
          <w:bCs/>
          <w:lang w:val="fr-FR"/>
        </w:rPr>
        <w:t> :</w:t>
      </w:r>
    </w:p>
    <w:p w14:paraId="1FB1BD07" w14:textId="49D79CB9"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redoubler d</w:t>
      </w:r>
      <w:r w:rsidR="00300867">
        <w:rPr>
          <w:b/>
          <w:bCs/>
          <w:lang w:val="fr-FR"/>
        </w:rPr>
        <w:t>’</w:t>
      </w:r>
      <w:r w:rsidRPr="00E32F88">
        <w:rPr>
          <w:b/>
          <w:bCs/>
          <w:lang w:val="fr-FR"/>
        </w:rPr>
        <w:t>efforts pour mettre en œuvre une stratégie globale ciblant les filles, les garçons, les femmes et les hommes, en particulier les enseignantes et enseignants et les chefs religieux, en vue d</w:t>
      </w:r>
      <w:r w:rsidR="00300867">
        <w:rPr>
          <w:b/>
          <w:bCs/>
          <w:lang w:val="fr-FR"/>
        </w:rPr>
        <w:t>’</w:t>
      </w:r>
      <w:r w:rsidRPr="00E32F88">
        <w:rPr>
          <w:b/>
          <w:bCs/>
          <w:lang w:val="fr-FR"/>
        </w:rPr>
        <w:t>éliminer les stéréotypes discriminatoires sur les rôles et les responsabilités des femmes et des hommes dans la famille et dans la société</w:t>
      </w:r>
      <w:r w:rsidR="00300867">
        <w:rPr>
          <w:b/>
          <w:bCs/>
          <w:lang w:val="fr-FR"/>
        </w:rPr>
        <w:t> ;</w:t>
      </w:r>
    </w:p>
    <w:p w14:paraId="00AD6E45" w14:textId="68A7C3DB"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continuer à sensibiliser les journalistes et d</w:t>
      </w:r>
      <w:r w:rsidR="00300867">
        <w:rPr>
          <w:b/>
          <w:bCs/>
          <w:lang w:val="fr-FR"/>
        </w:rPr>
        <w:t>’</w:t>
      </w:r>
      <w:r w:rsidRPr="00E32F88">
        <w:rPr>
          <w:b/>
          <w:bCs/>
          <w:lang w:val="fr-FR"/>
        </w:rPr>
        <w:t>autres professionnels des médias aux droits des femmes et à l</w:t>
      </w:r>
      <w:r w:rsidR="00300867">
        <w:rPr>
          <w:b/>
          <w:bCs/>
          <w:lang w:val="fr-FR"/>
        </w:rPr>
        <w:t>’</w:t>
      </w:r>
      <w:r w:rsidRPr="00E32F88">
        <w:rPr>
          <w:b/>
          <w:bCs/>
          <w:lang w:val="fr-FR"/>
        </w:rPr>
        <w:t>égalité des genres, et de promouvoir des images positives des femmes en tant qu</w:t>
      </w:r>
      <w:r w:rsidR="00300867">
        <w:rPr>
          <w:b/>
          <w:bCs/>
          <w:lang w:val="fr-FR"/>
        </w:rPr>
        <w:t>’</w:t>
      </w:r>
      <w:r w:rsidRPr="00E32F88">
        <w:rPr>
          <w:b/>
          <w:bCs/>
          <w:lang w:val="fr-FR"/>
        </w:rPr>
        <w:t>agents actifs du développement et des masculinités positives et non violentes.</w:t>
      </w:r>
    </w:p>
    <w:p w14:paraId="186BED70" w14:textId="1FD42DFC" w:rsidR="00E32F88" w:rsidRPr="00E32F88" w:rsidRDefault="00E32F88" w:rsidP="00E32F88">
      <w:pPr>
        <w:pStyle w:val="SingleTxt"/>
        <w:spacing w:after="0" w:line="120" w:lineRule="exact"/>
        <w:rPr>
          <w:sz w:val="10"/>
          <w:lang w:val="fr-FR"/>
        </w:rPr>
      </w:pPr>
    </w:p>
    <w:p w14:paraId="7F80A725" w14:textId="472E846E" w:rsidR="00E32F88" w:rsidRPr="00E32F88" w:rsidRDefault="00E32F88" w:rsidP="00E32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Violence à l</w:t>
      </w:r>
      <w:r w:rsidR="00300867">
        <w:rPr>
          <w:lang w:val="fr-FR"/>
        </w:rPr>
        <w:t>’</w:t>
      </w:r>
      <w:r w:rsidRPr="00E32F88">
        <w:rPr>
          <w:lang w:val="fr-FR"/>
        </w:rPr>
        <w:t>égard des femmes fondée sur le genre</w:t>
      </w:r>
    </w:p>
    <w:p w14:paraId="05992A66" w14:textId="3435B5CE" w:rsidR="00E32F88" w:rsidRPr="00E32F88" w:rsidRDefault="00E32F88" w:rsidP="00E32F88">
      <w:pPr>
        <w:pStyle w:val="SingleTxt"/>
        <w:spacing w:after="0" w:line="120" w:lineRule="exact"/>
        <w:rPr>
          <w:sz w:val="10"/>
          <w:lang w:val="fr-FR"/>
        </w:rPr>
      </w:pPr>
    </w:p>
    <w:p w14:paraId="5FFC2ECB" w14:textId="01EC1398" w:rsidR="00E32F88" w:rsidRPr="00E32F88" w:rsidRDefault="00E32F88" w:rsidP="000F40FC">
      <w:pPr>
        <w:pStyle w:val="SingleTxt"/>
        <w:numPr>
          <w:ilvl w:val="0"/>
          <w:numId w:val="11"/>
        </w:numPr>
        <w:spacing w:line="240" w:lineRule="exact"/>
        <w:rPr>
          <w:lang w:val="fr-FR"/>
        </w:rPr>
      </w:pPr>
      <w:r w:rsidRPr="00E32F88">
        <w:rPr>
          <w:lang w:val="fr-FR"/>
        </w:rPr>
        <w:t>Le Comité prend note des mesures mises en place dans l</w:t>
      </w:r>
      <w:r w:rsidR="00300867">
        <w:rPr>
          <w:lang w:val="fr-FR"/>
        </w:rPr>
        <w:t>’</w:t>
      </w:r>
      <w:r w:rsidRPr="00E32F88">
        <w:rPr>
          <w:lang w:val="fr-FR"/>
        </w:rPr>
        <w:t>État partie pour répondre à la violence à l</w:t>
      </w:r>
      <w:r w:rsidR="00300867">
        <w:rPr>
          <w:lang w:val="fr-FR"/>
        </w:rPr>
        <w:t>’</w:t>
      </w:r>
      <w:r w:rsidRPr="00E32F88">
        <w:rPr>
          <w:lang w:val="fr-FR"/>
        </w:rPr>
        <w:t>égard des femmes fondée sur le genre, notamment la création de la Commission mixte spéciale chargée d</w:t>
      </w:r>
      <w:r w:rsidR="00300867">
        <w:rPr>
          <w:lang w:val="fr-FR"/>
        </w:rPr>
        <w:t>’</w:t>
      </w:r>
      <w:r w:rsidRPr="00E32F88">
        <w:rPr>
          <w:lang w:val="fr-FR"/>
        </w:rPr>
        <w:t>enquêter sur les retards dans le traitement et la résolution des cas de féminicides, et du service de la police bolivienne chargé des questions de genre. Il prend également note de l</w:t>
      </w:r>
      <w:r w:rsidR="00300867">
        <w:rPr>
          <w:lang w:val="fr-FR"/>
        </w:rPr>
        <w:t>’</w:t>
      </w:r>
      <w:r w:rsidRPr="00E32F88">
        <w:rPr>
          <w:lang w:val="fr-FR"/>
        </w:rPr>
        <w:t>arrêt de la Cour constitutionnelle n</w:t>
      </w:r>
      <w:r w:rsidRPr="00E32F88">
        <w:rPr>
          <w:vertAlign w:val="superscript"/>
          <w:lang w:val="fr-FR"/>
        </w:rPr>
        <w:t>o</w:t>
      </w:r>
      <w:r w:rsidRPr="00E32F88">
        <w:rPr>
          <w:lang w:val="fr-FR"/>
        </w:rPr>
        <w:t> 01/2022 du 31 mars 2022, par lequel les différentes entités publiques sont invitées à adopter des mesures efficaces pour lutter contre la violence fondée sur le genre. Le Comité est néanmoins préoccupé par ce qui suit</w:t>
      </w:r>
      <w:r w:rsidR="00300867">
        <w:rPr>
          <w:lang w:val="fr-FR"/>
        </w:rPr>
        <w:t> :</w:t>
      </w:r>
    </w:p>
    <w:p w14:paraId="689C143C" w14:textId="0E101EA2" w:rsidR="00E32F88" w:rsidRPr="00E32F88" w:rsidRDefault="00E32F88" w:rsidP="00E32F88">
      <w:pPr>
        <w:pStyle w:val="SingleTxt"/>
        <w:rPr>
          <w:lang w:val="fr-FR"/>
        </w:rPr>
      </w:pPr>
      <w:r w:rsidRPr="00E32F88">
        <w:rPr>
          <w:lang w:val="fr-FR"/>
        </w:rPr>
        <w:tab/>
        <w:t>a)</w:t>
      </w:r>
      <w:r w:rsidRPr="00E32F88">
        <w:rPr>
          <w:lang w:val="fr-FR"/>
        </w:rPr>
        <w:tab/>
        <w:t>l</w:t>
      </w:r>
      <w:r w:rsidR="00300867">
        <w:rPr>
          <w:lang w:val="fr-FR"/>
        </w:rPr>
        <w:t>’</w:t>
      </w:r>
      <w:r w:rsidRPr="00E32F88">
        <w:rPr>
          <w:lang w:val="fr-FR"/>
        </w:rPr>
        <w:t>absence de tribunaux spécialisés se consacrant exclusivement à l</w:t>
      </w:r>
      <w:r w:rsidR="00300867">
        <w:rPr>
          <w:lang w:val="fr-FR"/>
        </w:rPr>
        <w:t>’</w:t>
      </w:r>
      <w:r w:rsidRPr="00E32F88">
        <w:rPr>
          <w:lang w:val="fr-FR"/>
        </w:rPr>
        <w:t>examen des affaires de violence à l</w:t>
      </w:r>
      <w:r w:rsidR="00300867">
        <w:rPr>
          <w:lang w:val="fr-FR"/>
        </w:rPr>
        <w:t>’</w:t>
      </w:r>
      <w:r w:rsidRPr="00E32F88">
        <w:rPr>
          <w:lang w:val="fr-FR"/>
        </w:rPr>
        <w:t>égard des femmes fondée sur le genre</w:t>
      </w:r>
      <w:r w:rsidR="00300867">
        <w:rPr>
          <w:lang w:val="fr-FR"/>
        </w:rPr>
        <w:t> ;</w:t>
      </w:r>
    </w:p>
    <w:p w14:paraId="46C1309E" w14:textId="49D32CC5" w:rsidR="00E32F88" w:rsidRPr="00E32F88" w:rsidRDefault="00E32F88" w:rsidP="00E32F88">
      <w:pPr>
        <w:pStyle w:val="SingleTxt"/>
        <w:rPr>
          <w:lang w:val="fr-FR"/>
        </w:rPr>
      </w:pPr>
      <w:r w:rsidRPr="00E32F88">
        <w:rPr>
          <w:lang w:val="fr-FR"/>
        </w:rPr>
        <w:tab/>
        <w:t>b)</w:t>
      </w:r>
      <w:r w:rsidRPr="00E32F88">
        <w:rPr>
          <w:lang w:val="fr-FR"/>
        </w:rPr>
        <w:tab/>
        <w:t>l</w:t>
      </w:r>
      <w:r w:rsidR="00300867">
        <w:rPr>
          <w:lang w:val="fr-FR"/>
        </w:rPr>
        <w:t>’</w:t>
      </w:r>
      <w:r w:rsidRPr="00E32F88">
        <w:rPr>
          <w:lang w:val="fr-FR"/>
        </w:rPr>
        <w:t>incidence élevée de la violence fondée sur le genre, en particulier les féminicides et la violence sexuelle, ainsi que l</w:t>
      </w:r>
      <w:r w:rsidR="00300867">
        <w:rPr>
          <w:lang w:val="fr-FR"/>
        </w:rPr>
        <w:t>’</w:t>
      </w:r>
      <w:r w:rsidRPr="00E32F88">
        <w:rPr>
          <w:lang w:val="fr-FR"/>
        </w:rPr>
        <w:t>impunité généralisée des auteurs de ces actes</w:t>
      </w:r>
      <w:r w:rsidR="00300867">
        <w:rPr>
          <w:lang w:val="fr-FR"/>
        </w:rPr>
        <w:t> ;</w:t>
      </w:r>
    </w:p>
    <w:p w14:paraId="7C72E9AC" w14:textId="7720A839" w:rsidR="00E32F88" w:rsidRPr="00E32F88" w:rsidRDefault="00E32F88" w:rsidP="00E32F88">
      <w:pPr>
        <w:pStyle w:val="SingleTxt"/>
        <w:rPr>
          <w:lang w:val="fr-FR"/>
        </w:rPr>
      </w:pPr>
      <w:r w:rsidRPr="00E32F88">
        <w:rPr>
          <w:lang w:val="fr-FR"/>
        </w:rPr>
        <w:tab/>
        <w:t>c)</w:t>
      </w:r>
      <w:r w:rsidRPr="00E32F88">
        <w:rPr>
          <w:lang w:val="fr-FR"/>
        </w:rPr>
        <w:tab/>
        <w:t>la définition du viol et de l</w:t>
      </w:r>
      <w:r w:rsidR="00300867">
        <w:rPr>
          <w:lang w:val="fr-FR"/>
        </w:rPr>
        <w:t>’</w:t>
      </w:r>
      <w:r w:rsidRPr="00E32F88">
        <w:rPr>
          <w:lang w:val="fr-FR"/>
        </w:rPr>
        <w:t>atteinte sexuelle sur mineur dans le Code pénal est incompatible avec les normes relatives aux droits humains et les filles ne peuvent déposer une plainte pour violence sexuelle qu</w:t>
      </w:r>
      <w:r w:rsidR="00300867">
        <w:rPr>
          <w:lang w:val="fr-FR"/>
        </w:rPr>
        <w:t>’</w:t>
      </w:r>
      <w:r w:rsidRPr="00E32F88">
        <w:rPr>
          <w:lang w:val="fr-FR"/>
        </w:rPr>
        <w:t>avec l</w:t>
      </w:r>
      <w:r w:rsidR="00300867">
        <w:rPr>
          <w:lang w:val="fr-FR"/>
        </w:rPr>
        <w:t>’</w:t>
      </w:r>
      <w:r w:rsidRPr="00E32F88">
        <w:rPr>
          <w:lang w:val="fr-FR"/>
        </w:rPr>
        <w:t>autorisation de leurs parents ou avec l</w:t>
      </w:r>
      <w:r w:rsidR="00300867">
        <w:rPr>
          <w:lang w:val="fr-FR"/>
        </w:rPr>
        <w:t>’</w:t>
      </w:r>
      <w:r w:rsidRPr="00E32F88">
        <w:rPr>
          <w:lang w:val="fr-FR"/>
        </w:rPr>
        <w:t>aide d</w:t>
      </w:r>
      <w:r w:rsidR="00300867">
        <w:rPr>
          <w:lang w:val="fr-FR"/>
        </w:rPr>
        <w:t>’</w:t>
      </w:r>
      <w:r w:rsidRPr="00E32F88">
        <w:rPr>
          <w:lang w:val="fr-FR"/>
        </w:rPr>
        <w:t>une organisation prestataire de services ou d</w:t>
      </w:r>
      <w:r w:rsidR="00300867">
        <w:rPr>
          <w:lang w:val="fr-FR"/>
        </w:rPr>
        <w:t>’</w:t>
      </w:r>
      <w:r w:rsidRPr="00E32F88">
        <w:rPr>
          <w:lang w:val="fr-FR"/>
        </w:rPr>
        <w:t>un(e) médiateur(trice)</w:t>
      </w:r>
      <w:r w:rsidR="00300867">
        <w:rPr>
          <w:lang w:val="fr-FR"/>
        </w:rPr>
        <w:t> ;</w:t>
      </w:r>
    </w:p>
    <w:p w14:paraId="5F7B683D" w14:textId="2227BB03" w:rsidR="00E32F88" w:rsidRPr="00E32F88" w:rsidRDefault="00E32F88" w:rsidP="00E32F88">
      <w:pPr>
        <w:pStyle w:val="SingleTxt"/>
        <w:rPr>
          <w:lang w:val="fr-FR"/>
        </w:rPr>
      </w:pPr>
      <w:r w:rsidRPr="00E32F88">
        <w:rPr>
          <w:lang w:val="fr-FR"/>
        </w:rPr>
        <w:tab/>
        <w:t>d)</w:t>
      </w:r>
      <w:r w:rsidRPr="00E32F88">
        <w:rPr>
          <w:lang w:val="fr-FR"/>
        </w:rPr>
        <w:tab/>
        <w:t>le manque de coordination entre les autorités intervenant dans le traitement des cas de violence fondée sur le genre, malgré l</w:t>
      </w:r>
      <w:r w:rsidR="00300867">
        <w:rPr>
          <w:lang w:val="fr-FR"/>
        </w:rPr>
        <w:t>’</w:t>
      </w:r>
      <w:r w:rsidRPr="00E32F88">
        <w:rPr>
          <w:lang w:val="fr-FR"/>
        </w:rPr>
        <w:t>existence d</w:t>
      </w:r>
      <w:r w:rsidR="00300867">
        <w:rPr>
          <w:lang w:val="fr-FR"/>
        </w:rPr>
        <w:t>’</w:t>
      </w:r>
      <w:r w:rsidRPr="00E32F88">
        <w:rPr>
          <w:lang w:val="fr-FR"/>
        </w:rPr>
        <w:t>un formulaire de plainte unique, et les obstacles à la dénonciation de ces cas pendant la pandémie de COVID-19</w:t>
      </w:r>
      <w:r w:rsidR="00300867">
        <w:rPr>
          <w:lang w:val="fr-FR"/>
        </w:rPr>
        <w:t> ;</w:t>
      </w:r>
    </w:p>
    <w:p w14:paraId="1C5AD6A3" w14:textId="11ED1DE3" w:rsidR="00E32F88" w:rsidRPr="00E32F88" w:rsidRDefault="00E32F88" w:rsidP="00E32F88">
      <w:pPr>
        <w:pStyle w:val="SingleTxt"/>
        <w:rPr>
          <w:lang w:val="fr-FR"/>
        </w:rPr>
      </w:pPr>
      <w:r w:rsidRPr="00E32F88">
        <w:rPr>
          <w:lang w:val="fr-FR"/>
        </w:rPr>
        <w:tab/>
        <w:t>e)</w:t>
      </w:r>
      <w:r w:rsidRPr="00E32F88">
        <w:rPr>
          <w:lang w:val="fr-FR"/>
        </w:rPr>
        <w:tab/>
        <w:t>la protection insuffisante et inefficace contre les représailles pour les femmes victimes de la violence fondée sur le genre qui demandent justice</w:t>
      </w:r>
      <w:r w:rsidR="00300867">
        <w:rPr>
          <w:lang w:val="fr-FR"/>
        </w:rPr>
        <w:t> ;</w:t>
      </w:r>
    </w:p>
    <w:p w14:paraId="63E8E2F6" w14:textId="3226E9D9" w:rsidR="00E32F88" w:rsidRPr="00E32F88" w:rsidRDefault="00E32F88" w:rsidP="00E32F88">
      <w:pPr>
        <w:pStyle w:val="SingleTxt"/>
        <w:rPr>
          <w:lang w:val="fr-FR"/>
        </w:rPr>
      </w:pPr>
      <w:r w:rsidRPr="00E32F88">
        <w:rPr>
          <w:lang w:val="fr-FR"/>
        </w:rPr>
        <w:tab/>
        <w:t>f)</w:t>
      </w:r>
      <w:r w:rsidRPr="00E32F88">
        <w:rPr>
          <w:lang w:val="fr-FR"/>
        </w:rPr>
        <w:tab/>
        <w:t>la non-conformité au devoir de précaution dans les enquêtes et les poursuites des cas de violence fondée sur le genre, y compris la revictimisation des rescapées, le manque d</w:t>
      </w:r>
      <w:r w:rsidR="00300867">
        <w:rPr>
          <w:lang w:val="fr-FR"/>
        </w:rPr>
        <w:t>’</w:t>
      </w:r>
      <w:r w:rsidRPr="00E32F88">
        <w:rPr>
          <w:lang w:val="fr-FR"/>
        </w:rPr>
        <w:t xml:space="preserve">application des ordonnances de protection et le nombre élevé </w:t>
      </w:r>
      <w:r w:rsidRPr="00E32F88">
        <w:rPr>
          <w:lang w:val="fr-FR"/>
        </w:rPr>
        <w:lastRenderedPageBreak/>
        <w:t>d</w:t>
      </w:r>
      <w:r w:rsidR="00300867">
        <w:rPr>
          <w:lang w:val="fr-FR"/>
        </w:rPr>
        <w:t>’</w:t>
      </w:r>
      <w:r w:rsidRPr="00E32F88">
        <w:rPr>
          <w:lang w:val="fr-FR"/>
        </w:rPr>
        <w:t>affaires qui sont retirées pendant la phase d</w:t>
      </w:r>
      <w:r w:rsidR="00300867">
        <w:rPr>
          <w:lang w:val="fr-FR"/>
        </w:rPr>
        <w:t>’</w:t>
      </w:r>
      <w:r w:rsidRPr="00E32F88">
        <w:rPr>
          <w:lang w:val="fr-FR"/>
        </w:rPr>
        <w:t>enquête préliminaire ou résolues par d</w:t>
      </w:r>
      <w:r w:rsidR="00300867">
        <w:rPr>
          <w:lang w:val="fr-FR"/>
        </w:rPr>
        <w:t>’</w:t>
      </w:r>
      <w:r w:rsidRPr="00E32F88">
        <w:rPr>
          <w:lang w:val="fr-FR"/>
        </w:rPr>
        <w:t>autres méthodes</w:t>
      </w:r>
      <w:r w:rsidR="00300867">
        <w:rPr>
          <w:lang w:val="fr-FR"/>
        </w:rPr>
        <w:t> ;</w:t>
      </w:r>
    </w:p>
    <w:p w14:paraId="7857D699" w14:textId="1C82FA68" w:rsidR="00E32F88" w:rsidRPr="00E32F88" w:rsidRDefault="00E32F88" w:rsidP="00E32F88">
      <w:pPr>
        <w:pStyle w:val="SingleTxt"/>
        <w:rPr>
          <w:lang w:val="fr-FR"/>
        </w:rPr>
      </w:pPr>
      <w:r w:rsidRPr="00E32F88">
        <w:rPr>
          <w:lang w:val="fr-FR"/>
        </w:rPr>
        <w:tab/>
        <w:t>g)</w:t>
      </w:r>
      <w:r w:rsidRPr="00E32F88">
        <w:rPr>
          <w:lang w:val="fr-FR"/>
        </w:rPr>
        <w:tab/>
        <w:t>les services d</w:t>
      </w:r>
      <w:r w:rsidR="00300867">
        <w:rPr>
          <w:lang w:val="fr-FR"/>
        </w:rPr>
        <w:t>’</w:t>
      </w:r>
      <w:r w:rsidRPr="00E32F88">
        <w:rPr>
          <w:lang w:val="fr-FR"/>
        </w:rPr>
        <w:t>appui limités pour les victimes de la violence fondée sur le genre, y compris le manque de conseils psychosociaux, d</w:t>
      </w:r>
      <w:r w:rsidR="00300867">
        <w:rPr>
          <w:lang w:val="fr-FR"/>
        </w:rPr>
        <w:t>’</w:t>
      </w:r>
      <w:r w:rsidRPr="00E32F88">
        <w:rPr>
          <w:lang w:val="fr-FR"/>
        </w:rPr>
        <w:t>assistance juridique, d</w:t>
      </w:r>
      <w:r w:rsidR="00300867">
        <w:rPr>
          <w:lang w:val="fr-FR"/>
        </w:rPr>
        <w:t>’</w:t>
      </w:r>
      <w:r w:rsidRPr="00E32F88">
        <w:rPr>
          <w:lang w:val="fr-FR"/>
        </w:rPr>
        <w:t>abris adéquats et le manque de ressources pour fournir une gamme complète de services juridiques municipaux.</w:t>
      </w:r>
    </w:p>
    <w:p w14:paraId="5CD0A69D" w14:textId="36322833" w:rsidR="00E32F88" w:rsidRPr="00E32F88" w:rsidRDefault="00E32F88" w:rsidP="000F40FC">
      <w:pPr>
        <w:pStyle w:val="SingleTxt"/>
        <w:numPr>
          <w:ilvl w:val="0"/>
          <w:numId w:val="11"/>
        </w:numPr>
        <w:spacing w:line="240" w:lineRule="exact"/>
        <w:rPr>
          <w:b/>
          <w:bCs/>
          <w:lang w:val="fr-FR"/>
        </w:rPr>
      </w:pPr>
      <w:r w:rsidRPr="00E32F88">
        <w:rPr>
          <w:b/>
          <w:bCs/>
          <w:lang w:val="fr-FR"/>
        </w:rPr>
        <w:t>Rappelant sa recommandation générale n</w:t>
      </w:r>
      <w:r w:rsidRPr="00E32F88">
        <w:rPr>
          <w:b/>
          <w:bCs/>
          <w:vertAlign w:val="superscript"/>
          <w:lang w:val="fr-FR"/>
        </w:rPr>
        <w:t>o</w:t>
      </w:r>
      <w:r w:rsidRPr="00E32F88">
        <w:rPr>
          <w:b/>
          <w:bCs/>
          <w:lang w:val="fr-FR"/>
        </w:rPr>
        <w:t> 35 (2017) sur la violence à l</w:t>
      </w:r>
      <w:r w:rsidR="00300867">
        <w:rPr>
          <w:b/>
          <w:bCs/>
          <w:lang w:val="fr-FR"/>
        </w:rPr>
        <w:t>’</w:t>
      </w:r>
      <w:r w:rsidRPr="00E32F88">
        <w:rPr>
          <w:b/>
          <w:bCs/>
          <w:lang w:val="fr-FR"/>
        </w:rPr>
        <w:t>égard des femmes fondée sur le genre, portant actualisation de la recommandation générale n</w:t>
      </w:r>
      <w:r w:rsidRPr="00E32F88">
        <w:rPr>
          <w:b/>
          <w:bCs/>
          <w:vertAlign w:val="superscript"/>
          <w:lang w:val="fr-FR"/>
        </w:rPr>
        <w:t>o</w:t>
      </w:r>
      <w:r w:rsidRPr="00E32F88">
        <w:rPr>
          <w:b/>
          <w:bCs/>
          <w:lang w:val="fr-FR"/>
        </w:rPr>
        <w:t> 19, le Comité recommande à l</w:t>
      </w:r>
      <w:r w:rsidR="00300867">
        <w:rPr>
          <w:b/>
          <w:bCs/>
          <w:lang w:val="fr-FR"/>
        </w:rPr>
        <w:t>’</w:t>
      </w:r>
      <w:r w:rsidRPr="00E32F88">
        <w:rPr>
          <w:b/>
          <w:bCs/>
          <w:lang w:val="fr-FR"/>
        </w:rPr>
        <w:t>État partie</w:t>
      </w:r>
      <w:r w:rsidR="00300867">
        <w:rPr>
          <w:b/>
          <w:bCs/>
          <w:lang w:val="fr-FR"/>
        </w:rPr>
        <w:t> :</w:t>
      </w:r>
    </w:p>
    <w:p w14:paraId="4B94B8C4" w14:textId="27D452E9"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mettre en place des tribunaux spécialisés qui sont seuls compétents pour instruire les affaires de violence fondée sur le genre, et de nommer davantage de procureurs spécialisés dans ce domaine</w:t>
      </w:r>
      <w:r w:rsidR="00300867">
        <w:rPr>
          <w:b/>
          <w:bCs/>
          <w:lang w:val="fr-FR"/>
        </w:rPr>
        <w:t> ;</w:t>
      </w:r>
    </w:p>
    <w:p w14:paraId="238107FA" w14:textId="41A89814"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modifier l</w:t>
      </w:r>
      <w:r w:rsidR="00300867">
        <w:rPr>
          <w:b/>
          <w:bCs/>
          <w:lang w:val="fr-FR"/>
        </w:rPr>
        <w:t>’</w:t>
      </w:r>
      <w:r w:rsidRPr="00E32F88">
        <w:rPr>
          <w:b/>
          <w:bCs/>
          <w:lang w:val="fr-FR"/>
        </w:rPr>
        <w:t>article 308 du code pénal pour ancrer la définition du viol sur l</w:t>
      </w:r>
      <w:r w:rsidR="00300867">
        <w:rPr>
          <w:b/>
          <w:bCs/>
          <w:lang w:val="fr-FR"/>
        </w:rPr>
        <w:t>’</w:t>
      </w:r>
      <w:r w:rsidRPr="00E32F88">
        <w:rPr>
          <w:b/>
          <w:bCs/>
          <w:lang w:val="fr-FR"/>
        </w:rPr>
        <w:t>absence de consentement plutôt que sur l</w:t>
      </w:r>
      <w:r w:rsidR="00300867">
        <w:rPr>
          <w:b/>
          <w:bCs/>
          <w:lang w:val="fr-FR"/>
        </w:rPr>
        <w:t>’</w:t>
      </w:r>
      <w:r w:rsidRPr="00E32F88">
        <w:rPr>
          <w:b/>
          <w:bCs/>
          <w:lang w:val="fr-FR"/>
        </w:rPr>
        <w:t>usage, ou la menace d</w:t>
      </w:r>
      <w:r w:rsidR="00300867">
        <w:rPr>
          <w:b/>
          <w:bCs/>
          <w:lang w:val="fr-FR"/>
        </w:rPr>
        <w:t>’</w:t>
      </w:r>
      <w:r w:rsidRPr="00E32F88">
        <w:rPr>
          <w:b/>
          <w:bCs/>
          <w:lang w:val="fr-FR"/>
        </w:rPr>
        <w:t>usage, de la force, et d</w:t>
      </w:r>
      <w:r w:rsidR="00300867">
        <w:rPr>
          <w:b/>
          <w:bCs/>
          <w:lang w:val="fr-FR"/>
        </w:rPr>
        <w:t>’</w:t>
      </w:r>
      <w:r w:rsidRPr="00E32F88">
        <w:rPr>
          <w:b/>
          <w:bCs/>
          <w:lang w:val="fr-FR"/>
        </w:rPr>
        <w:t>abroger l</w:t>
      </w:r>
      <w:r w:rsidR="00300867">
        <w:rPr>
          <w:b/>
          <w:bCs/>
          <w:lang w:val="fr-FR"/>
        </w:rPr>
        <w:t>’</w:t>
      </w:r>
      <w:r w:rsidRPr="00E32F88">
        <w:rPr>
          <w:b/>
          <w:bCs/>
          <w:lang w:val="fr-FR"/>
        </w:rPr>
        <w:t>article 309 du code pénal sur l</w:t>
      </w:r>
      <w:r w:rsidR="00300867">
        <w:rPr>
          <w:b/>
          <w:bCs/>
          <w:lang w:val="fr-FR"/>
        </w:rPr>
        <w:t>’</w:t>
      </w:r>
      <w:r w:rsidRPr="00E32F88">
        <w:rPr>
          <w:b/>
          <w:bCs/>
          <w:lang w:val="fr-FR"/>
        </w:rPr>
        <w:t>atteinte sexuelle sur mineur, qui suppose, dans la pratique, l</w:t>
      </w:r>
      <w:r w:rsidR="00300867">
        <w:rPr>
          <w:b/>
          <w:bCs/>
          <w:lang w:val="fr-FR"/>
        </w:rPr>
        <w:t>’</w:t>
      </w:r>
      <w:r w:rsidRPr="00E32F88">
        <w:rPr>
          <w:b/>
          <w:bCs/>
          <w:lang w:val="fr-FR"/>
        </w:rPr>
        <w:t>impunité pour les cas de viols et d</w:t>
      </w:r>
      <w:r w:rsidR="00300867">
        <w:rPr>
          <w:b/>
          <w:bCs/>
          <w:lang w:val="fr-FR"/>
        </w:rPr>
        <w:t>’</w:t>
      </w:r>
      <w:r w:rsidRPr="00E32F88">
        <w:rPr>
          <w:b/>
          <w:bCs/>
          <w:lang w:val="fr-FR"/>
        </w:rPr>
        <w:t>atteintes sexuelles sur les filles</w:t>
      </w:r>
      <w:r w:rsidR="00300867">
        <w:rPr>
          <w:b/>
          <w:bCs/>
          <w:lang w:val="fr-FR"/>
        </w:rPr>
        <w:t> ;</w:t>
      </w:r>
    </w:p>
    <w:p w14:paraId="281BD451" w14:textId="395216F4"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w:t>
      </w:r>
      <w:r w:rsidR="00300867">
        <w:rPr>
          <w:b/>
          <w:bCs/>
          <w:lang w:val="fr-FR"/>
        </w:rPr>
        <w:t>’</w:t>
      </w:r>
      <w:r w:rsidRPr="00E32F88">
        <w:rPr>
          <w:b/>
          <w:bCs/>
          <w:lang w:val="fr-FR"/>
        </w:rPr>
        <w:t>encourager le signalement de la violence à l</w:t>
      </w:r>
      <w:r w:rsidR="00300867">
        <w:rPr>
          <w:b/>
          <w:bCs/>
          <w:lang w:val="fr-FR"/>
        </w:rPr>
        <w:t>’</w:t>
      </w:r>
      <w:r w:rsidRPr="00E32F88">
        <w:rPr>
          <w:b/>
          <w:bCs/>
          <w:lang w:val="fr-FR"/>
        </w:rPr>
        <w:t>égard des femmes et des filles fondée sur le genre et d</w:t>
      </w:r>
      <w:r w:rsidR="00300867">
        <w:rPr>
          <w:b/>
          <w:bCs/>
          <w:lang w:val="fr-FR"/>
        </w:rPr>
        <w:t>’</w:t>
      </w:r>
      <w:r w:rsidRPr="00E32F88">
        <w:rPr>
          <w:b/>
          <w:bCs/>
          <w:lang w:val="fr-FR"/>
        </w:rPr>
        <w:t xml:space="preserve">abroger </w:t>
      </w:r>
      <w:bookmarkStart w:id="3" w:name="_Hlk112765952"/>
      <w:r w:rsidRPr="00E32F88">
        <w:rPr>
          <w:b/>
          <w:bCs/>
          <w:lang w:val="fr-FR"/>
        </w:rPr>
        <w:t>l</w:t>
      </w:r>
      <w:r w:rsidR="00300867">
        <w:rPr>
          <w:b/>
          <w:bCs/>
          <w:lang w:val="fr-FR"/>
        </w:rPr>
        <w:t>’</w:t>
      </w:r>
      <w:r w:rsidRPr="00E32F88">
        <w:rPr>
          <w:b/>
          <w:bCs/>
          <w:lang w:val="fr-FR"/>
        </w:rPr>
        <w:t>exigence pour les filles de fournir une autorisation parentale ou d</w:t>
      </w:r>
      <w:r w:rsidR="00300867">
        <w:rPr>
          <w:b/>
          <w:bCs/>
          <w:lang w:val="fr-FR"/>
        </w:rPr>
        <w:t>’</w:t>
      </w:r>
      <w:r w:rsidRPr="00E32F88">
        <w:rPr>
          <w:b/>
          <w:bCs/>
          <w:lang w:val="fr-FR"/>
        </w:rPr>
        <w:t>être accompagnée d</w:t>
      </w:r>
      <w:r w:rsidR="00300867">
        <w:rPr>
          <w:b/>
          <w:bCs/>
          <w:lang w:val="fr-FR"/>
        </w:rPr>
        <w:t>’</w:t>
      </w:r>
      <w:r w:rsidRPr="00E32F88">
        <w:rPr>
          <w:b/>
          <w:bCs/>
          <w:lang w:val="fr-FR"/>
        </w:rPr>
        <w:t>un membre d</w:t>
      </w:r>
      <w:r w:rsidR="00300867">
        <w:rPr>
          <w:b/>
          <w:bCs/>
          <w:lang w:val="fr-FR"/>
        </w:rPr>
        <w:t>’</w:t>
      </w:r>
      <w:r w:rsidRPr="00E32F88">
        <w:rPr>
          <w:b/>
          <w:bCs/>
          <w:lang w:val="fr-FR"/>
        </w:rPr>
        <w:t>une organisation prestataire de services ou d</w:t>
      </w:r>
      <w:r w:rsidR="00300867">
        <w:rPr>
          <w:b/>
          <w:bCs/>
          <w:lang w:val="fr-FR"/>
        </w:rPr>
        <w:t>’</w:t>
      </w:r>
      <w:r w:rsidRPr="00E32F88">
        <w:rPr>
          <w:b/>
          <w:bCs/>
          <w:lang w:val="fr-FR"/>
        </w:rPr>
        <w:t>un(e) médiateur(trice) pour signaler les cas de violence fondée sur le genre, notamment la violence sexuelle et la violence domestique</w:t>
      </w:r>
      <w:bookmarkEnd w:id="3"/>
      <w:r w:rsidR="00300867">
        <w:rPr>
          <w:b/>
          <w:bCs/>
          <w:lang w:val="fr-FR"/>
        </w:rPr>
        <w:t> ;</w:t>
      </w:r>
    </w:p>
    <w:p w14:paraId="4EAD00BD" w14:textId="562CD79D"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garantir la délivrance puis l</w:t>
      </w:r>
      <w:r w:rsidR="00300867">
        <w:rPr>
          <w:b/>
          <w:bCs/>
          <w:lang w:val="fr-FR"/>
        </w:rPr>
        <w:t>’</w:t>
      </w:r>
      <w:r w:rsidRPr="00E32F88">
        <w:rPr>
          <w:b/>
          <w:bCs/>
          <w:lang w:val="fr-FR"/>
        </w:rPr>
        <w:t>application et le suivi efficaces et rapides des ordonnances de protection dans les affaires de violence familiale, y compris, le cas échéant, des ordres d</w:t>
      </w:r>
      <w:r w:rsidR="00300867">
        <w:rPr>
          <w:b/>
          <w:bCs/>
          <w:lang w:val="fr-FR"/>
        </w:rPr>
        <w:t>’</w:t>
      </w:r>
      <w:r w:rsidRPr="00E32F88">
        <w:rPr>
          <w:b/>
          <w:bCs/>
          <w:lang w:val="fr-FR"/>
        </w:rPr>
        <w:t>expulsion, et d</w:t>
      </w:r>
      <w:r w:rsidR="00300867">
        <w:rPr>
          <w:b/>
          <w:bCs/>
          <w:lang w:val="fr-FR"/>
        </w:rPr>
        <w:t>’</w:t>
      </w:r>
      <w:r w:rsidRPr="00E32F88">
        <w:rPr>
          <w:b/>
          <w:bCs/>
          <w:lang w:val="fr-FR"/>
        </w:rPr>
        <w:t>imposer des sanctions suffisamment dissuasives en cas de non-respect de ces ordonnances</w:t>
      </w:r>
      <w:r w:rsidR="00300867">
        <w:rPr>
          <w:b/>
          <w:bCs/>
          <w:lang w:val="fr-FR"/>
        </w:rPr>
        <w:t> ;</w:t>
      </w:r>
      <w:r w:rsidRPr="00E32F88">
        <w:rPr>
          <w:lang w:val="fr-FR"/>
        </w:rPr>
        <w:t xml:space="preserve"> </w:t>
      </w:r>
    </w:p>
    <w:p w14:paraId="5E024047" w14:textId="0E666614" w:rsidR="00E32F88" w:rsidRPr="00E32F88" w:rsidRDefault="00E32F88" w:rsidP="00E32F88">
      <w:pPr>
        <w:pStyle w:val="SingleTxt"/>
        <w:rPr>
          <w:b/>
          <w:bCs/>
          <w:lang w:val="fr-FR"/>
        </w:rPr>
      </w:pPr>
      <w:r w:rsidRPr="00E32F88">
        <w:rPr>
          <w:lang w:val="fr-FR"/>
        </w:rPr>
        <w:tab/>
        <w:t>e)</w:t>
      </w:r>
      <w:r w:rsidRPr="00E32F88">
        <w:rPr>
          <w:lang w:val="fr-FR"/>
        </w:rPr>
        <w:tab/>
      </w:r>
      <w:r w:rsidRPr="00E32F88">
        <w:rPr>
          <w:b/>
          <w:bCs/>
          <w:lang w:val="fr-FR"/>
        </w:rPr>
        <w:t>de faire en sorte que toutes les affaires de violence fondée sur le genre fassent l</w:t>
      </w:r>
      <w:r w:rsidR="00300867">
        <w:rPr>
          <w:b/>
          <w:bCs/>
          <w:lang w:val="fr-FR"/>
        </w:rPr>
        <w:t>’</w:t>
      </w:r>
      <w:r w:rsidRPr="00E32F88">
        <w:rPr>
          <w:b/>
          <w:bCs/>
          <w:lang w:val="fr-FR"/>
        </w:rPr>
        <w:t>objet d</w:t>
      </w:r>
      <w:r w:rsidR="00300867">
        <w:rPr>
          <w:b/>
          <w:bCs/>
          <w:lang w:val="fr-FR"/>
        </w:rPr>
        <w:t>’</w:t>
      </w:r>
      <w:r w:rsidRPr="00E32F88">
        <w:rPr>
          <w:b/>
          <w:bCs/>
          <w:lang w:val="fr-FR"/>
        </w:rPr>
        <w:t>une enquête rigoureuse, que leurs auteurs soient poursuivis et punis comme il se doit, et qu</w:t>
      </w:r>
      <w:r w:rsidR="00300867">
        <w:rPr>
          <w:b/>
          <w:bCs/>
          <w:lang w:val="fr-FR"/>
        </w:rPr>
        <w:t>’</w:t>
      </w:r>
      <w:r w:rsidRPr="00E32F88">
        <w:rPr>
          <w:b/>
          <w:bCs/>
          <w:lang w:val="fr-FR"/>
        </w:rPr>
        <w:t>une réparation complète soit accordée aux victimes</w:t>
      </w:r>
      <w:r w:rsidR="00300867">
        <w:rPr>
          <w:b/>
          <w:bCs/>
          <w:lang w:val="fr-FR"/>
        </w:rPr>
        <w:t> ;</w:t>
      </w:r>
    </w:p>
    <w:p w14:paraId="1768DA08" w14:textId="6C79C10E" w:rsidR="00E32F88" w:rsidRPr="00E32F88" w:rsidRDefault="00E32F88" w:rsidP="00E32F88">
      <w:pPr>
        <w:pStyle w:val="SingleTxt"/>
        <w:rPr>
          <w:b/>
          <w:bCs/>
          <w:lang w:val="fr-FR"/>
        </w:rPr>
      </w:pPr>
      <w:r w:rsidRPr="00E32F88">
        <w:rPr>
          <w:lang w:val="fr-FR"/>
        </w:rPr>
        <w:tab/>
        <w:t>f)</w:t>
      </w:r>
      <w:r w:rsidRPr="00E32F88">
        <w:rPr>
          <w:lang w:val="fr-FR"/>
        </w:rPr>
        <w:tab/>
      </w:r>
      <w:r w:rsidRPr="00E32F88">
        <w:rPr>
          <w:b/>
          <w:bCs/>
          <w:lang w:val="fr-FR"/>
        </w:rPr>
        <w:t>de veiller à mettre en place des services de soutien aux victimes appropriés et à garantir l</w:t>
      </w:r>
      <w:r w:rsidR="00300867">
        <w:rPr>
          <w:b/>
          <w:bCs/>
          <w:lang w:val="fr-FR"/>
        </w:rPr>
        <w:t>’</w:t>
      </w:r>
      <w:r w:rsidRPr="00E32F88">
        <w:rPr>
          <w:b/>
          <w:bCs/>
          <w:lang w:val="fr-FR"/>
        </w:rPr>
        <w:t>accès adéquat des victimes de la violence à l</w:t>
      </w:r>
      <w:r w:rsidR="00300867">
        <w:rPr>
          <w:b/>
          <w:bCs/>
          <w:lang w:val="fr-FR"/>
        </w:rPr>
        <w:t>’</w:t>
      </w:r>
      <w:r w:rsidRPr="00E32F88">
        <w:rPr>
          <w:b/>
          <w:bCs/>
          <w:lang w:val="fr-FR"/>
        </w:rPr>
        <w:t>égard des femmes aux traitements médicaux, y compris à des certificats médicaux gratuits, à un accompagnement psychologique, à une assistance juridique et à des abris, en particulier dans les zones rurales.</w:t>
      </w:r>
    </w:p>
    <w:p w14:paraId="2C813083" w14:textId="1EF0EE7B" w:rsidR="00E32F88" w:rsidRPr="00E32F88" w:rsidRDefault="00E32F88" w:rsidP="00E32F88">
      <w:pPr>
        <w:pStyle w:val="SingleTxt"/>
        <w:spacing w:after="0" w:line="120" w:lineRule="exact"/>
        <w:rPr>
          <w:sz w:val="10"/>
          <w:lang w:val="fr-FR"/>
        </w:rPr>
      </w:pPr>
    </w:p>
    <w:p w14:paraId="732ECFA1" w14:textId="77777777" w:rsidR="00E32F88" w:rsidRPr="00E32F88" w:rsidRDefault="00E32F88" w:rsidP="00E32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Traite et exploitation de la prostitution</w:t>
      </w:r>
    </w:p>
    <w:p w14:paraId="65E03C9C" w14:textId="518E6BB8" w:rsidR="00E32F88" w:rsidRPr="00E32F88" w:rsidRDefault="00E32F88" w:rsidP="00E32F88">
      <w:pPr>
        <w:pStyle w:val="SingleTxt"/>
        <w:spacing w:after="0" w:line="120" w:lineRule="exact"/>
        <w:rPr>
          <w:sz w:val="10"/>
          <w:lang w:val="fr-FR"/>
        </w:rPr>
      </w:pPr>
    </w:p>
    <w:p w14:paraId="668226E1" w14:textId="67610A62" w:rsidR="00E32F88" w:rsidRPr="00E32F88" w:rsidRDefault="00E32F88" w:rsidP="000F40FC">
      <w:pPr>
        <w:pStyle w:val="SingleTxt"/>
        <w:numPr>
          <w:ilvl w:val="0"/>
          <w:numId w:val="12"/>
        </w:numPr>
        <w:spacing w:line="240" w:lineRule="exact"/>
        <w:rPr>
          <w:lang w:val="fr-FR"/>
        </w:rPr>
      </w:pPr>
      <w:r w:rsidRPr="00E32F88">
        <w:rPr>
          <w:lang w:val="fr-FR"/>
        </w:rPr>
        <w:t>Le Comité prend note de la nouvelle politique plurinationale de lutte contre la traite et le trafic d</w:t>
      </w:r>
      <w:r w:rsidR="00300867">
        <w:rPr>
          <w:lang w:val="fr-FR"/>
        </w:rPr>
        <w:t>’</w:t>
      </w:r>
      <w:r w:rsidRPr="00E32F88">
        <w:rPr>
          <w:lang w:val="fr-FR"/>
        </w:rPr>
        <w:t>êtres humains (2021-2025), des protocoles visant à aider les victimes, des accords bilatéraux et de la campagne « Une personne informée est une victime de moins ». Le Comité est néanmoins préoccupé par</w:t>
      </w:r>
      <w:r w:rsidR="00300867">
        <w:rPr>
          <w:lang w:val="fr-FR"/>
        </w:rPr>
        <w:t> :</w:t>
      </w:r>
    </w:p>
    <w:p w14:paraId="2A1A6965" w14:textId="48A92BEA" w:rsidR="00E32F88" w:rsidRPr="00E32F88" w:rsidRDefault="00E32F88" w:rsidP="00E32F88">
      <w:pPr>
        <w:pStyle w:val="SingleTxt"/>
        <w:rPr>
          <w:lang w:val="fr-FR"/>
        </w:rPr>
      </w:pPr>
      <w:r w:rsidRPr="00E32F88">
        <w:rPr>
          <w:lang w:val="fr-FR"/>
        </w:rPr>
        <w:tab/>
        <w:t>a)</w:t>
      </w:r>
      <w:r w:rsidRPr="00E32F88">
        <w:rPr>
          <w:lang w:val="fr-FR"/>
        </w:rPr>
        <w:tab/>
        <w:t>le fait que le Conseil plurinational de lutte contre la traite et le trafic d</w:t>
      </w:r>
      <w:r w:rsidR="00300867">
        <w:rPr>
          <w:lang w:val="fr-FR"/>
        </w:rPr>
        <w:t>’</w:t>
      </w:r>
      <w:r w:rsidRPr="00E32F88">
        <w:rPr>
          <w:lang w:val="fr-FR"/>
        </w:rPr>
        <w:t>êtres humains soit chargé de coordonner les efforts de lutte contre la traite au niveau national et, en même temps, d</w:t>
      </w:r>
      <w:r w:rsidR="00300867">
        <w:rPr>
          <w:lang w:val="fr-FR"/>
        </w:rPr>
        <w:t>’</w:t>
      </w:r>
      <w:r w:rsidRPr="00E32F88">
        <w:rPr>
          <w:lang w:val="fr-FR"/>
        </w:rPr>
        <w:t>évaluer les progrès réalisés dans le cadre des initiatives de lutte contre la traite</w:t>
      </w:r>
      <w:r w:rsidR="00300867">
        <w:rPr>
          <w:lang w:val="fr-FR"/>
        </w:rPr>
        <w:t> ;</w:t>
      </w:r>
    </w:p>
    <w:p w14:paraId="524A117F" w14:textId="214FFF92" w:rsidR="00E32F88" w:rsidRPr="00E32F88" w:rsidRDefault="00E32F88" w:rsidP="00E32F88">
      <w:pPr>
        <w:pStyle w:val="SingleTxt"/>
        <w:rPr>
          <w:lang w:val="fr-FR"/>
        </w:rPr>
      </w:pPr>
      <w:r w:rsidRPr="00E32F88">
        <w:rPr>
          <w:lang w:val="fr-FR"/>
        </w:rPr>
        <w:tab/>
        <w:t>b)</w:t>
      </w:r>
      <w:r w:rsidRPr="00E32F88">
        <w:rPr>
          <w:lang w:val="fr-FR"/>
        </w:rPr>
        <w:tab/>
        <w:t>les difficultés liées à l</w:t>
      </w:r>
      <w:r w:rsidR="00300867">
        <w:rPr>
          <w:lang w:val="fr-FR"/>
        </w:rPr>
        <w:t>’</w:t>
      </w:r>
      <w:r w:rsidRPr="00E32F88">
        <w:rPr>
          <w:lang w:val="fr-FR"/>
        </w:rPr>
        <w:t>application de la loi n</w:t>
      </w:r>
      <w:r w:rsidRPr="00E32F88">
        <w:rPr>
          <w:vertAlign w:val="superscript"/>
          <w:lang w:val="fr-FR"/>
        </w:rPr>
        <w:t>o</w:t>
      </w:r>
      <w:r w:rsidRPr="00E32F88">
        <w:rPr>
          <w:lang w:val="fr-FR"/>
        </w:rPr>
        <w:t> 263, relative à la lutte contre la traite et le trafic d</w:t>
      </w:r>
      <w:r w:rsidR="00300867">
        <w:rPr>
          <w:lang w:val="fr-FR"/>
        </w:rPr>
        <w:t>’</w:t>
      </w:r>
      <w:r w:rsidRPr="00E32F88">
        <w:rPr>
          <w:lang w:val="fr-FR"/>
        </w:rPr>
        <w:t>êtres humains, notamment au sein des autorités départementales et municipales autonomes</w:t>
      </w:r>
      <w:r w:rsidR="00300867">
        <w:rPr>
          <w:lang w:val="fr-FR"/>
        </w:rPr>
        <w:t> ;</w:t>
      </w:r>
    </w:p>
    <w:p w14:paraId="7E8E0BC0" w14:textId="153E20A4" w:rsidR="00E32F88" w:rsidRPr="00E32F88" w:rsidRDefault="00E32F88" w:rsidP="00E32F88">
      <w:pPr>
        <w:pStyle w:val="SingleTxt"/>
        <w:rPr>
          <w:lang w:val="fr-FR"/>
        </w:rPr>
      </w:pPr>
      <w:r w:rsidRPr="00E32F88">
        <w:rPr>
          <w:lang w:val="fr-FR"/>
        </w:rPr>
        <w:lastRenderedPageBreak/>
        <w:tab/>
        <w:t>c)</w:t>
      </w:r>
      <w:r w:rsidRPr="00E32F88">
        <w:rPr>
          <w:lang w:val="fr-FR"/>
        </w:rPr>
        <w:tab/>
        <w:t>le manque de procédures propres à identifier rapidement les victimes de la traite et à les orienter vers les services compétents</w:t>
      </w:r>
      <w:r w:rsidR="00300867">
        <w:rPr>
          <w:lang w:val="fr-FR"/>
        </w:rPr>
        <w:t> ;</w:t>
      </w:r>
    </w:p>
    <w:p w14:paraId="2A65C40E" w14:textId="6A6B62B0" w:rsidR="00E32F88" w:rsidRPr="00E32F88" w:rsidRDefault="00E32F88" w:rsidP="00E32F88">
      <w:pPr>
        <w:pStyle w:val="SingleTxt"/>
        <w:rPr>
          <w:lang w:val="fr-FR"/>
        </w:rPr>
      </w:pPr>
      <w:r w:rsidRPr="00E32F88">
        <w:rPr>
          <w:lang w:val="fr-FR"/>
        </w:rPr>
        <w:tab/>
        <w:t>d)</w:t>
      </w:r>
      <w:r w:rsidRPr="00E32F88">
        <w:rPr>
          <w:lang w:val="fr-FR"/>
        </w:rPr>
        <w:tab/>
        <w:t>les allégations concernant des retards et des refus s</w:t>
      </w:r>
      <w:r w:rsidR="00300867">
        <w:rPr>
          <w:lang w:val="fr-FR"/>
        </w:rPr>
        <w:t>’</w:t>
      </w:r>
      <w:r w:rsidRPr="00E32F88">
        <w:rPr>
          <w:lang w:val="fr-FR"/>
        </w:rPr>
        <w:t>agissant de la délivrance de visas humanitaires aux victimes étrangères de la traite si elles ne coopèrent pas avec les autorités</w:t>
      </w:r>
      <w:r w:rsidR="00300867">
        <w:rPr>
          <w:lang w:val="fr-FR"/>
        </w:rPr>
        <w:t> ;</w:t>
      </w:r>
    </w:p>
    <w:p w14:paraId="1D1F17F1" w14:textId="370B89B0" w:rsidR="00E32F88" w:rsidRPr="00E32F88" w:rsidRDefault="00E32F88" w:rsidP="00E32F88">
      <w:pPr>
        <w:pStyle w:val="SingleTxt"/>
        <w:rPr>
          <w:lang w:val="fr-FR"/>
        </w:rPr>
      </w:pPr>
      <w:r w:rsidRPr="00E32F88">
        <w:rPr>
          <w:lang w:val="fr-FR"/>
        </w:rPr>
        <w:tab/>
        <w:t>e)</w:t>
      </w:r>
      <w:r w:rsidRPr="00E32F88">
        <w:rPr>
          <w:lang w:val="fr-FR"/>
        </w:rPr>
        <w:tab/>
        <w:t>le manque d</w:t>
      </w:r>
      <w:r w:rsidR="00300867">
        <w:rPr>
          <w:lang w:val="fr-FR"/>
        </w:rPr>
        <w:t>’</w:t>
      </w:r>
      <w:r w:rsidRPr="00E32F88">
        <w:rPr>
          <w:lang w:val="fr-FR"/>
        </w:rPr>
        <w:t>informations sur les mesures prises pour aider les femmes qui souhaitent quitter la prostitution à accéder à des programmes de sortie et à d</w:t>
      </w:r>
      <w:r w:rsidR="00300867">
        <w:rPr>
          <w:lang w:val="fr-FR"/>
        </w:rPr>
        <w:t>’</w:t>
      </w:r>
      <w:r w:rsidRPr="00E32F88">
        <w:rPr>
          <w:lang w:val="fr-FR"/>
        </w:rPr>
        <w:t>autres sources de revenus.</w:t>
      </w:r>
    </w:p>
    <w:p w14:paraId="4CE63DA2" w14:textId="506BFB32" w:rsidR="00E32F88" w:rsidRPr="00E32F88" w:rsidRDefault="00E32F88" w:rsidP="000F40FC">
      <w:pPr>
        <w:pStyle w:val="SingleTxt"/>
        <w:numPr>
          <w:ilvl w:val="0"/>
          <w:numId w:val="12"/>
        </w:numPr>
        <w:spacing w:line="240" w:lineRule="exact"/>
        <w:rPr>
          <w:b/>
          <w:bCs/>
          <w:lang w:val="fr-FR"/>
        </w:rPr>
      </w:pPr>
      <w:r w:rsidRPr="00E32F88">
        <w:rPr>
          <w:b/>
          <w:bCs/>
          <w:lang w:val="fr-FR"/>
        </w:rPr>
        <w:t>Se référant à sa recommandation générale n</w:t>
      </w:r>
      <w:r w:rsidRPr="00E32F88">
        <w:rPr>
          <w:b/>
          <w:bCs/>
          <w:vertAlign w:val="superscript"/>
          <w:lang w:val="fr-FR"/>
        </w:rPr>
        <w:t>o</w:t>
      </w:r>
      <w:r w:rsidRPr="00E32F88">
        <w:rPr>
          <w:b/>
          <w:bCs/>
          <w:lang w:val="fr-FR"/>
        </w:rPr>
        <w:t> 38 (2020) sur la traite des femmes et des filles dans le contexte des migrations internationales, le Comité recommande à l</w:t>
      </w:r>
      <w:r w:rsidR="00300867">
        <w:rPr>
          <w:b/>
          <w:bCs/>
          <w:lang w:val="fr-FR"/>
        </w:rPr>
        <w:t>’</w:t>
      </w:r>
      <w:r w:rsidRPr="00E32F88">
        <w:rPr>
          <w:b/>
          <w:bCs/>
          <w:lang w:val="fr-FR"/>
        </w:rPr>
        <w:t>État partie</w:t>
      </w:r>
      <w:r w:rsidR="00300867">
        <w:rPr>
          <w:b/>
          <w:bCs/>
          <w:lang w:val="fr-FR"/>
        </w:rPr>
        <w:t> :</w:t>
      </w:r>
    </w:p>
    <w:p w14:paraId="37D75BD3" w14:textId="42BD5A99"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w:t>
      </w:r>
      <w:r w:rsidR="00300867">
        <w:rPr>
          <w:b/>
          <w:bCs/>
          <w:lang w:val="fr-FR"/>
        </w:rPr>
        <w:t>’</w:t>
      </w:r>
      <w:r w:rsidRPr="00E32F88">
        <w:rPr>
          <w:b/>
          <w:bCs/>
          <w:lang w:val="fr-FR"/>
        </w:rPr>
        <w:t>éliminer tout chevauchement d</w:t>
      </w:r>
      <w:r w:rsidR="00300867">
        <w:rPr>
          <w:b/>
          <w:bCs/>
          <w:lang w:val="fr-FR"/>
        </w:rPr>
        <w:t>’</w:t>
      </w:r>
      <w:r w:rsidRPr="00E32F88">
        <w:rPr>
          <w:b/>
          <w:bCs/>
          <w:lang w:val="fr-FR"/>
        </w:rPr>
        <w:t>autorité en ce qui concerne la mise en œuvre, la coordination et l</w:t>
      </w:r>
      <w:r w:rsidR="00300867">
        <w:rPr>
          <w:b/>
          <w:bCs/>
          <w:lang w:val="fr-FR"/>
        </w:rPr>
        <w:t>’</w:t>
      </w:r>
      <w:r w:rsidRPr="00E32F88">
        <w:rPr>
          <w:b/>
          <w:bCs/>
          <w:lang w:val="fr-FR"/>
        </w:rPr>
        <w:t>évaluation des efforts de lutte contre la traite des femmes et des filles</w:t>
      </w:r>
      <w:r w:rsidR="00300867">
        <w:rPr>
          <w:b/>
          <w:bCs/>
          <w:lang w:val="fr-FR"/>
        </w:rPr>
        <w:t> ;</w:t>
      </w:r>
    </w:p>
    <w:p w14:paraId="5BEA7DAD" w14:textId="1DB00253"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w:t>
      </w:r>
      <w:r w:rsidR="00300867">
        <w:rPr>
          <w:b/>
          <w:bCs/>
          <w:lang w:val="fr-FR"/>
        </w:rPr>
        <w:t>’</w:t>
      </w:r>
      <w:r w:rsidRPr="00E32F88">
        <w:rPr>
          <w:b/>
          <w:bCs/>
          <w:lang w:val="fr-FR"/>
        </w:rPr>
        <w:t>enquêter, de poursuivre et de punir dûment les auteurs de la traite, de veiller à ce que les victimes obtiennent réparation intégrale, de renforcer la coopération internationale en vue de prévenir la traite et d</w:t>
      </w:r>
      <w:r w:rsidR="00300867">
        <w:rPr>
          <w:b/>
          <w:bCs/>
          <w:lang w:val="fr-FR"/>
        </w:rPr>
        <w:t>’</w:t>
      </w:r>
      <w:r w:rsidRPr="00E32F88">
        <w:rPr>
          <w:b/>
          <w:bCs/>
          <w:lang w:val="fr-FR"/>
        </w:rPr>
        <w:t>harmoniser les procédures juridiques qui permettent d</w:t>
      </w:r>
      <w:r w:rsidR="00300867">
        <w:rPr>
          <w:b/>
          <w:bCs/>
          <w:lang w:val="fr-FR"/>
        </w:rPr>
        <w:t>’</w:t>
      </w:r>
      <w:r w:rsidRPr="00E32F88">
        <w:rPr>
          <w:b/>
          <w:bCs/>
          <w:lang w:val="fr-FR"/>
        </w:rPr>
        <w:t>engager des poursuites contre les trafiquants</w:t>
      </w:r>
      <w:r w:rsidR="00300867">
        <w:rPr>
          <w:b/>
          <w:bCs/>
          <w:lang w:val="fr-FR"/>
        </w:rPr>
        <w:t> ;</w:t>
      </w:r>
    </w:p>
    <w:p w14:paraId="4DE42F63" w14:textId="6EE4A6FC"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de fournir systématiquement aux intervenants de première ligne, y compris les responsables de l</w:t>
      </w:r>
      <w:r w:rsidR="00300867">
        <w:rPr>
          <w:b/>
          <w:bCs/>
          <w:lang w:val="fr-FR"/>
        </w:rPr>
        <w:t>’</w:t>
      </w:r>
      <w:r w:rsidRPr="00E32F88">
        <w:rPr>
          <w:b/>
          <w:bCs/>
          <w:lang w:val="fr-FR"/>
        </w:rPr>
        <w:t>application des lois, le personnel chargé du contrôle aux frontières et les prestataires de soins de santé, une formation sur le repérage précoce des victimes et leur orientation vers les services compétents aux fins de leur protection et de leur réadaptation</w:t>
      </w:r>
      <w:r w:rsidR="00300867">
        <w:rPr>
          <w:b/>
          <w:bCs/>
          <w:lang w:val="fr-FR"/>
        </w:rPr>
        <w:t> ;</w:t>
      </w:r>
    </w:p>
    <w:p w14:paraId="45FAC520" w14:textId="3B343774"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fournir une assistance juridique, médicale et psychologique, y compris des visas humanitaires aux victimes de la traite d</w:t>
      </w:r>
      <w:r w:rsidR="00300867">
        <w:rPr>
          <w:b/>
          <w:bCs/>
          <w:lang w:val="fr-FR"/>
        </w:rPr>
        <w:t>’</w:t>
      </w:r>
      <w:r w:rsidRPr="00E32F88">
        <w:rPr>
          <w:b/>
          <w:bCs/>
          <w:lang w:val="fr-FR"/>
        </w:rPr>
        <w:t>origine étrangère, indépendamment de leur statut de témoin et de leur coopération avec les autorités</w:t>
      </w:r>
      <w:r w:rsidR="00300867">
        <w:rPr>
          <w:b/>
          <w:bCs/>
          <w:lang w:val="fr-FR"/>
        </w:rPr>
        <w:t> ;</w:t>
      </w:r>
    </w:p>
    <w:p w14:paraId="40694680" w14:textId="00A18E5B" w:rsidR="00E32F88" w:rsidRPr="00E32F88" w:rsidRDefault="00E32F88" w:rsidP="00E32F88">
      <w:pPr>
        <w:pStyle w:val="SingleTxt"/>
        <w:rPr>
          <w:b/>
          <w:bCs/>
          <w:lang w:val="fr-FR"/>
        </w:rPr>
      </w:pPr>
      <w:r w:rsidRPr="00E32F88">
        <w:rPr>
          <w:lang w:val="fr-FR"/>
        </w:rPr>
        <w:tab/>
        <w:t>e)</w:t>
      </w:r>
      <w:r w:rsidRPr="00E32F88">
        <w:rPr>
          <w:lang w:val="fr-FR"/>
        </w:rPr>
        <w:tab/>
      </w:r>
      <w:r w:rsidRPr="00E32F88">
        <w:rPr>
          <w:b/>
          <w:bCs/>
          <w:lang w:val="fr-FR"/>
        </w:rPr>
        <w:t>de redoubler d</w:t>
      </w:r>
      <w:r w:rsidR="00300867">
        <w:rPr>
          <w:b/>
          <w:bCs/>
          <w:lang w:val="fr-FR"/>
        </w:rPr>
        <w:t>’</w:t>
      </w:r>
      <w:r w:rsidRPr="00E32F88">
        <w:rPr>
          <w:b/>
          <w:bCs/>
          <w:lang w:val="fr-FR"/>
        </w:rPr>
        <w:t>efforts pour améliorer la collecte de données, ventilées par sexe, âge, pays d</w:t>
      </w:r>
      <w:r w:rsidR="00300867">
        <w:rPr>
          <w:b/>
          <w:bCs/>
          <w:lang w:val="fr-FR"/>
        </w:rPr>
        <w:t>’</w:t>
      </w:r>
      <w:r w:rsidRPr="00E32F88">
        <w:rPr>
          <w:b/>
          <w:bCs/>
          <w:lang w:val="fr-FR"/>
        </w:rPr>
        <w:t>origine, nationalité et forme d</w:t>
      </w:r>
      <w:r w:rsidR="00300867">
        <w:rPr>
          <w:b/>
          <w:bCs/>
          <w:lang w:val="fr-FR"/>
        </w:rPr>
        <w:t>’</w:t>
      </w:r>
      <w:r w:rsidRPr="00E32F88">
        <w:rPr>
          <w:b/>
          <w:bCs/>
          <w:lang w:val="fr-FR"/>
        </w:rPr>
        <w:t>exploitation, sur les victimes de la traite</w:t>
      </w:r>
      <w:r w:rsidR="00300867">
        <w:rPr>
          <w:b/>
          <w:bCs/>
          <w:lang w:val="fr-FR"/>
        </w:rPr>
        <w:t> ;</w:t>
      </w:r>
    </w:p>
    <w:p w14:paraId="21C2693B" w14:textId="120E41FE" w:rsidR="00E32F88" w:rsidRPr="00E32F88" w:rsidRDefault="00E32F88" w:rsidP="00E32F88">
      <w:pPr>
        <w:pStyle w:val="SingleTxt"/>
        <w:rPr>
          <w:b/>
          <w:bCs/>
          <w:lang w:val="fr-FR"/>
        </w:rPr>
      </w:pPr>
      <w:r w:rsidRPr="00E32F88">
        <w:rPr>
          <w:lang w:val="fr-FR"/>
        </w:rPr>
        <w:tab/>
        <w:t>f)</w:t>
      </w:r>
      <w:r w:rsidRPr="00E32F88">
        <w:rPr>
          <w:lang w:val="fr-FR"/>
        </w:rPr>
        <w:tab/>
      </w:r>
      <w:r w:rsidRPr="00E32F88">
        <w:rPr>
          <w:b/>
          <w:bCs/>
          <w:lang w:val="fr-FR"/>
        </w:rPr>
        <w:t>d</w:t>
      </w:r>
      <w:r w:rsidR="00300867">
        <w:rPr>
          <w:b/>
          <w:bCs/>
          <w:lang w:val="fr-FR"/>
        </w:rPr>
        <w:t>’</w:t>
      </w:r>
      <w:r w:rsidRPr="00E32F88">
        <w:rPr>
          <w:b/>
          <w:bCs/>
          <w:lang w:val="fr-FR"/>
        </w:rPr>
        <w:t>augmenter le nombre et l</w:t>
      </w:r>
      <w:r w:rsidR="00300867">
        <w:rPr>
          <w:b/>
          <w:bCs/>
          <w:lang w:val="fr-FR"/>
        </w:rPr>
        <w:t>’</w:t>
      </w:r>
      <w:r w:rsidRPr="00E32F88">
        <w:rPr>
          <w:b/>
          <w:bCs/>
          <w:lang w:val="fr-FR"/>
        </w:rPr>
        <w:t>accessibilité des refuges publics, tant dans les zones urbaines que rurales, et d</w:t>
      </w:r>
      <w:r w:rsidR="00300867">
        <w:rPr>
          <w:b/>
          <w:bCs/>
          <w:lang w:val="fr-FR"/>
        </w:rPr>
        <w:t>’</w:t>
      </w:r>
      <w:r w:rsidRPr="00E32F88">
        <w:rPr>
          <w:b/>
          <w:bCs/>
          <w:lang w:val="fr-FR"/>
        </w:rPr>
        <w:t>allouer des ressources adéquates aux programmes de protection et de réadaptation des femmes et des filles victimes de la traite</w:t>
      </w:r>
      <w:r w:rsidR="00300867">
        <w:rPr>
          <w:b/>
          <w:bCs/>
          <w:lang w:val="fr-FR"/>
        </w:rPr>
        <w:t> ;</w:t>
      </w:r>
    </w:p>
    <w:p w14:paraId="3A4BAFE9" w14:textId="09FD4AA6" w:rsidR="00E32F88" w:rsidRPr="00E32F88" w:rsidRDefault="00E32F88" w:rsidP="00E32F88">
      <w:pPr>
        <w:pStyle w:val="SingleTxt"/>
        <w:rPr>
          <w:b/>
          <w:bCs/>
          <w:lang w:val="fr-FR"/>
        </w:rPr>
      </w:pPr>
      <w:r w:rsidRPr="00E32F88">
        <w:rPr>
          <w:lang w:val="fr-FR"/>
        </w:rPr>
        <w:tab/>
        <w:t>g)</w:t>
      </w:r>
      <w:r w:rsidRPr="00E32F88">
        <w:rPr>
          <w:lang w:val="fr-FR"/>
        </w:rPr>
        <w:tab/>
      </w:r>
      <w:r w:rsidRPr="00E32F88">
        <w:rPr>
          <w:b/>
          <w:bCs/>
          <w:lang w:val="fr-FR"/>
        </w:rPr>
        <w:t>d</w:t>
      </w:r>
      <w:r w:rsidR="00300867">
        <w:rPr>
          <w:b/>
          <w:bCs/>
          <w:lang w:val="fr-FR"/>
        </w:rPr>
        <w:t>’</w:t>
      </w:r>
      <w:r w:rsidRPr="00E32F88">
        <w:rPr>
          <w:b/>
          <w:bCs/>
          <w:lang w:val="fr-FR"/>
        </w:rPr>
        <w:t>aider les femmes qui souhaitent quitter la prostitution à accéder à des programmes de sortie et à d</w:t>
      </w:r>
      <w:r w:rsidR="00300867">
        <w:rPr>
          <w:b/>
          <w:bCs/>
          <w:lang w:val="fr-FR"/>
        </w:rPr>
        <w:t>’</w:t>
      </w:r>
      <w:r w:rsidRPr="00E32F88">
        <w:rPr>
          <w:b/>
          <w:bCs/>
          <w:lang w:val="fr-FR"/>
        </w:rPr>
        <w:t>autres sources de revenus.</w:t>
      </w:r>
    </w:p>
    <w:p w14:paraId="04A84F52" w14:textId="16E74DAB" w:rsidR="00E32F88" w:rsidRPr="004516D8" w:rsidRDefault="00E32F88" w:rsidP="004516D8">
      <w:pPr>
        <w:pStyle w:val="SingleTxt"/>
        <w:spacing w:after="0" w:line="120" w:lineRule="exact"/>
        <w:rPr>
          <w:sz w:val="10"/>
          <w:lang w:val="fr-FR"/>
        </w:rPr>
      </w:pPr>
    </w:p>
    <w:p w14:paraId="47F7AFD1" w14:textId="77777777" w:rsidR="00E32F88" w:rsidRPr="00E32F88" w:rsidRDefault="00E32F88" w:rsidP="00451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Participation à la vie politique et à la vie publique</w:t>
      </w:r>
    </w:p>
    <w:p w14:paraId="0420B328" w14:textId="5F00CB46" w:rsidR="00E32F88" w:rsidRPr="004516D8" w:rsidRDefault="00E32F88" w:rsidP="004516D8">
      <w:pPr>
        <w:pStyle w:val="SingleTxt"/>
        <w:spacing w:after="0" w:line="120" w:lineRule="exact"/>
        <w:rPr>
          <w:sz w:val="10"/>
          <w:lang w:val="fr-FR"/>
        </w:rPr>
      </w:pPr>
    </w:p>
    <w:p w14:paraId="7585AAEB" w14:textId="19E853E8" w:rsidR="00E32F88" w:rsidRPr="00E32F88" w:rsidRDefault="00E32F88" w:rsidP="000F40FC">
      <w:pPr>
        <w:pStyle w:val="SingleTxt"/>
        <w:numPr>
          <w:ilvl w:val="0"/>
          <w:numId w:val="13"/>
        </w:numPr>
        <w:spacing w:line="240" w:lineRule="exact"/>
        <w:rPr>
          <w:lang w:val="fr-FR"/>
        </w:rPr>
      </w:pPr>
      <w:r w:rsidRPr="00E32F88">
        <w:rPr>
          <w:lang w:val="fr-FR"/>
        </w:rPr>
        <w:t>Le Comité félicite l</w:t>
      </w:r>
      <w:r w:rsidR="00300867">
        <w:rPr>
          <w:lang w:val="fr-FR"/>
        </w:rPr>
        <w:t>’</w:t>
      </w:r>
      <w:r w:rsidRPr="00E32F88">
        <w:rPr>
          <w:lang w:val="fr-FR"/>
        </w:rPr>
        <w:t>État partie d</w:t>
      </w:r>
      <w:r w:rsidR="00300867">
        <w:rPr>
          <w:lang w:val="fr-FR"/>
        </w:rPr>
        <w:t>’</w:t>
      </w:r>
      <w:r w:rsidRPr="00E32F88">
        <w:rPr>
          <w:lang w:val="fr-FR"/>
        </w:rPr>
        <w:t>avoir adopté un cadre juridique visant à lutter contre le harcèlement et la violence politiques à l</w:t>
      </w:r>
      <w:r w:rsidR="00300867">
        <w:rPr>
          <w:lang w:val="fr-FR"/>
        </w:rPr>
        <w:t>’</w:t>
      </w:r>
      <w:r w:rsidRPr="00E32F88">
        <w:rPr>
          <w:lang w:val="fr-FR"/>
        </w:rPr>
        <w:t>égard des femmes et d</w:t>
      </w:r>
      <w:r w:rsidR="00300867">
        <w:rPr>
          <w:lang w:val="fr-FR"/>
        </w:rPr>
        <w:t>’</w:t>
      </w:r>
      <w:r w:rsidRPr="00E32F88">
        <w:rPr>
          <w:lang w:val="fr-FR"/>
        </w:rPr>
        <w:t>avoir pris des mesures pour assurer la parité et l</w:t>
      </w:r>
      <w:r w:rsidR="00300867">
        <w:rPr>
          <w:lang w:val="fr-FR"/>
        </w:rPr>
        <w:t>’</w:t>
      </w:r>
      <w:r w:rsidRPr="00E32F88">
        <w:rPr>
          <w:lang w:val="fr-FR"/>
        </w:rPr>
        <w:t>alternance, notamment en créant le Service chargé des questions de genre et l</w:t>
      </w:r>
      <w:r w:rsidR="00300867">
        <w:rPr>
          <w:lang w:val="fr-FR"/>
        </w:rPr>
        <w:t>’</w:t>
      </w:r>
      <w:r w:rsidRPr="00E32F88">
        <w:rPr>
          <w:lang w:val="fr-FR"/>
        </w:rPr>
        <w:t>Observatoire de la parité démocratique relevant du Tribunal électoral suprême. Il note également que, malgré une légère diminution de la proportion de femmes siégeant à la Chambre des députés, leur représentation atteint toujours l</w:t>
      </w:r>
      <w:r w:rsidR="00300867">
        <w:rPr>
          <w:lang w:val="fr-FR"/>
        </w:rPr>
        <w:t>’</w:t>
      </w:r>
      <w:r w:rsidRPr="00E32F88">
        <w:rPr>
          <w:lang w:val="fr-FR"/>
        </w:rPr>
        <w:t>objectif de parité. Le Comité est néanmoins préoccupé par ce qui suit</w:t>
      </w:r>
      <w:r w:rsidR="00300867">
        <w:rPr>
          <w:lang w:val="fr-FR"/>
        </w:rPr>
        <w:t> :</w:t>
      </w:r>
    </w:p>
    <w:p w14:paraId="23FAEBB7" w14:textId="360B4AD2" w:rsidR="00E32F88" w:rsidRPr="00E32F88" w:rsidRDefault="00E32F88" w:rsidP="00E32F88">
      <w:pPr>
        <w:pStyle w:val="SingleTxt"/>
        <w:rPr>
          <w:lang w:val="fr-FR"/>
        </w:rPr>
      </w:pPr>
      <w:r w:rsidRPr="00E32F88">
        <w:rPr>
          <w:lang w:val="fr-FR"/>
        </w:rPr>
        <w:lastRenderedPageBreak/>
        <w:tab/>
        <w:t>a)</w:t>
      </w:r>
      <w:r w:rsidRPr="00E32F88">
        <w:rPr>
          <w:lang w:val="fr-FR"/>
        </w:rPr>
        <w:tab/>
        <w:t>la sous-représentation des femmes aux postes de décision au sein du gouvernement et du pouvoir judiciaire, et le manque d</w:t>
      </w:r>
      <w:r w:rsidR="00300867">
        <w:rPr>
          <w:lang w:val="fr-FR"/>
        </w:rPr>
        <w:t>’</w:t>
      </w:r>
      <w:r w:rsidRPr="00E32F88">
        <w:rPr>
          <w:lang w:val="fr-FR"/>
        </w:rPr>
        <w:t>informations sur les mesures prises pour accroître leur représentation aux postes de décision dans le secteur privé</w:t>
      </w:r>
      <w:r w:rsidR="00300867">
        <w:rPr>
          <w:lang w:val="fr-FR"/>
        </w:rPr>
        <w:t> ;</w:t>
      </w:r>
    </w:p>
    <w:p w14:paraId="6C318626" w14:textId="096C20F0" w:rsidR="00E32F88" w:rsidRPr="00E32F88" w:rsidRDefault="00E32F88" w:rsidP="00E32F88">
      <w:pPr>
        <w:pStyle w:val="SingleTxt"/>
        <w:rPr>
          <w:lang w:val="fr-FR"/>
        </w:rPr>
      </w:pPr>
      <w:r w:rsidRPr="00E32F88">
        <w:rPr>
          <w:lang w:val="fr-FR"/>
        </w:rPr>
        <w:tab/>
        <w:t>b)</w:t>
      </w:r>
      <w:r w:rsidRPr="00E32F88">
        <w:rPr>
          <w:lang w:val="fr-FR"/>
        </w:rPr>
        <w:tab/>
        <w:t>les peines clémentes prévues par la loi n</w:t>
      </w:r>
      <w:r w:rsidRPr="00E32F88">
        <w:rPr>
          <w:vertAlign w:val="superscript"/>
          <w:lang w:val="fr-FR"/>
        </w:rPr>
        <w:t>o</w:t>
      </w:r>
      <w:r w:rsidRPr="00E32F88">
        <w:rPr>
          <w:lang w:val="fr-FR"/>
        </w:rPr>
        <w:t> 243 sur le harcèlement et la violence politiques à l</w:t>
      </w:r>
      <w:r w:rsidR="00300867">
        <w:rPr>
          <w:lang w:val="fr-FR"/>
        </w:rPr>
        <w:t>’</w:t>
      </w:r>
      <w:r w:rsidRPr="00E32F88">
        <w:rPr>
          <w:lang w:val="fr-FR"/>
        </w:rPr>
        <w:t>égard des femmes, et le faible niveau d</w:t>
      </w:r>
      <w:r w:rsidR="00300867">
        <w:rPr>
          <w:lang w:val="fr-FR"/>
        </w:rPr>
        <w:t>’</w:t>
      </w:r>
      <w:r w:rsidRPr="00E32F88">
        <w:rPr>
          <w:lang w:val="fr-FR"/>
        </w:rPr>
        <w:t>adaptation des règlements au niveau municipal pour se conformer à ladite loi</w:t>
      </w:r>
      <w:r w:rsidR="00300867">
        <w:rPr>
          <w:lang w:val="fr-FR"/>
        </w:rPr>
        <w:t> ;</w:t>
      </w:r>
    </w:p>
    <w:p w14:paraId="42F44243" w14:textId="50E552CA" w:rsidR="00E32F88" w:rsidRPr="00E32F88" w:rsidRDefault="00E32F88" w:rsidP="00E32F88">
      <w:pPr>
        <w:pStyle w:val="SingleTxt"/>
        <w:rPr>
          <w:lang w:val="fr-FR"/>
        </w:rPr>
      </w:pPr>
      <w:r w:rsidRPr="00E32F88">
        <w:rPr>
          <w:lang w:val="fr-FR"/>
        </w:rPr>
        <w:tab/>
        <w:t>c)</w:t>
      </w:r>
      <w:r w:rsidRPr="00E32F88">
        <w:rPr>
          <w:lang w:val="fr-FR"/>
        </w:rPr>
        <w:tab/>
        <w:t>l</w:t>
      </w:r>
      <w:r w:rsidR="00300867">
        <w:rPr>
          <w:lang w:val="fr-FR"/>
        </w:rPr>
        <w:t>’</w:t>
      </w:r>
      <w:r w:rsidRPr="00E32F88">
        <w:rPr>
          <w:lang w:val="fr-FR"/>
        </w:rPr>
        <w:t>absence de réglementation concernant le concept de « gestion partagée », dont l</w:t>
      </w:r>
      <w:r w:rsidR="00300867">
        <w:rPr>
          <w:lang w:val="fr-FR"/>
        </w:rPr>
        <w:t>’</w:t>
      </w:r>
      <w:r w:rsidRPr="00E32F88">
        <w:rPr>
          <w:lang w:val="fr-FR"/>
        </w:rPr>
        <w:t>objectif est d</w:t>
      </w:r>
      <w:r w:rsidR="00300867">
        <w:rPr>
          <w:lang w:val="fr-FR"/>
        </w:rPr>
        <w:t>’</w:t>
      </w:r>
      <w:r w:rsidRPr="00E32F88">
        <w:rPr>
          <w:lang w:val="fr-FR"/>
        </w:rPr>
        <w:t>assurer l</w:t>
      </w:r>
      <w:r w:rsidR="00300867">
        <w:rPr>
          <w:lang w:val="fr-FR"/>
        </w:rPr>
        <w:t>’</w:t>
      </w:r>
      <w:r w:rsidRPr="00E32F88">
        <w:rPr>
          <w:lang w:val="fr-FR"/>
        </w:rPr>
        <w:t>alternance entre l</w:t>
      </w:r>
      <w:r w:rsidR="00300867">
        <w:rPr>
          <w:lang w:val="fr-FR"/>
        </w:rPr>
        <w:t>’</w:t>
      </w:r>
      <w:r w:rsidRPr="00E32F88">
        <w:rPr>
          <w:lang w:val="fr-FR"/>
        </w:rPr>
        <w:t>autorité titulaire et l</w:t>
      </w:r>
      <w:r w:rsidR="00300867">
        <w:rPr>
          <w:lang w:val="fr-FR"/>
        </w:rPr>
        <w:t>’</w:t>
      </w:r>
      <w:r w:rsidRPr="00E32F88">
        <w:rPr>
          <w:lang w:val="fr-FR"/>
        </w:rPr>
        <w:t>autorité suppléante, ce qui a entraîné une série de démissions parmi les femmes exerçant des fonctions politiques</w:t>
      </w:r>
      <w:r w:rsidR="00300867">
        <w:rPr>
          <w:lang w:val="fr-FR"/>
        </w:rPr>
        <w:t> ;</w:t>
      </w:r>
    </w:p>
    <w:p w14:paraId="2F9ED1E4" w14:textId="2CA899FF" w:rsidR="00E32F88" w:rsidRPr="00E32F88" w:rsidRDefault="00E32F88" w:rsidP="00E32F88">
      <w:pPr>
        <w:pStyle w:val="SingleTxt"/>
        <w:rPr>
          <w:lang w:val="fr-FR"/>
        </w:rPr>
      </w:pPr>
      <w:r w:rsidRPr="00E32F88">
        <w:rPr>
          <w:lang w:val="fr-FR"/>
        </w:rPr>
        <w:tab/>
        <w:t>d)</w:t>
      </w:r>
      <w:r w:rsidRPr="00E32F88">
        <w:rPr>
          <w:lang w:val="fr-FR"/>
        </w:rPr>
        <w:tab/>
        <w:t>le suivi insuffisant des affaires et des démissions liées au harcèlement et à la violence politiques à l</w:t>
      </w:r>
      <w:r w:rsidR="00300867">
        <w:rPr>
          <w:lang w:val="fr-FR"/>
        </w:rPr>
        <w:t>’</w:t>
      </w:r>
      <w:r w:rsidRPr="00E32F88">
        <w:rPr>
          <w:lang w:val="fr-FR"/>
        </w:rPr>
        <w:t>égard des femmes, et le haut niveau d</w:t>
      </w:r>
      <w:r w:rsidR="00300867">
        <w:rPr>
          <w:lang w:val="fr-FR"/>
        </w:rPr>
        <w:t>’</w:t>
      </w:r>
      <w:r w:rsidRPr="00E32F88">
        <w:rPr>
          <w:lang w:val="fr-FR"/>
        </w:rPr>
        <w:t>impunité en résultant.</w:t>
      </w:r>
    </w:p>
    <w:p w14:paraId="7AE6F197" w14:textId="532C4E58" w:rsidR="00E32F88" w:rsidRPr="004516D8" w:rsidRDefault="00E32F88" w:rsidP="000F40FC">
      <w:pPr>
        <w:pStyle w:val="SingleTxt"/>
        <w:numPr>
          <w:ilvl w:val="0"/>
          <w:numId w:val="13"/>
        </w:numPr>
        <w:spacing w:line="240" w:lineRule="exact"/>
        <w:rPr>
          <w:b/>
          <w:bCs/>
          <w:lang w:val="fr-FR"/>
        </w:rPr>
      </w:pPr>
      <w:r w:rsidRPr="004516D8">
        <w:rPr>
          <w:b/>
          <w:bCs/>
          <w:lang w:val="fr-FR"/>
        </w:rPr>
        <w:t>Rappelant sa recommandation générale n</w:t>
      </w:r>
      <w:r w:rsidRPr="004516D8">
        <w:rPr>
          <w:b/>
          <w:bCs/>
          <w:vertAlign w:val="superscript"/>
          <w:lang w:val="fr-FR"/>
        </w:rPr>
        <w:t>o</w:t>
      </w:r>
      <w:r w:rsidRPr="004516D8">
        <w:rPr>
          <w:b/>
          <w:bCs/>
          <w:lang w:val="fr-FR"/>
        </w:rPr>
        <w:t> 23 (1997) sur la participation des femmes à la vie politique et publique, le Comité recommande à l</w:t>
      </w:r>
      <w:r w:rsidR="00300867">
        <w:rPr>
          <w:b/>
          <w:bCs/>
          <w:lang w:val="fr-FR"/>
        </w:rPr>
        <w:t>’</w:t>
      </w:r>
      <w:r w:rsidRPr="004516D8">
        <w:rPr>
          <w:b/>
          <w:bCs/>
          <w:lang w:val="fr-FR"/>
        </w:rPr>
        <w:t>État partie</w:t>
      </w:r>
      <w:r w:rsidR="00300867">
        <w:rPr>
          <w:b/>
          <w:bCs/>
          <w:lang w:val="fr-FR"/>
        </w:rPr>
        <w:t> :</w:t>
      </w:r>
    </w:p>
    <w:p w14:paraId="08CF1EED" w14:textId="5F220AB0"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w:t>
      </w:r>
      <w:r w:rsidR="00300867">
        <w:rPr>
          <w:b/>
          <w:bCs/>
          <w:lang w:val="fr-FR"/>
        </w:rPr>
        <w:t>’</w:t>
      </w:r>
      <w:r w:rsidRPr="00E32F88">
        <w:rPr>
          <w:b/>
          <w:bCs/>
          <w:lang w:val="fr-FR"/>
        </w:rPr>
        <w:t>adopter des mesures visant à accroître la représentation des femmes, notamment des femmes autochtones et des femmes d</w:t>
      </w:r>
      <w:r w:rsidR="00300867">
        <w:rPr>
          <w:b/>
          <w:bCs/>
          <w:lang w:val="fr-FR"/>
        </w:rPr>
        <w:t>’</w:t>
      </w:r>
      <w:r w:rsidRPr="00E32F88">
        <w:rPr>
          <w:b/>
          <w:bCs/>
          <w:lang w:val="fr-FR"/>
        </w:rPr>
        <w:t>ascendance africaine, aux postes de décision dans le gouvernement, le système judiciaire et le secteur privé</w:t>
      </w:r>
      <w:r w:rsidR="00300867">
        <w:rPr>
          <w:b/>
          <w:bCs/>
          <w:lang w:val="fr-FR"/>
        </w:rPr>
        <w:t> ;</w:t>
      </w:r>
    </w:p>
    <w:p w14:paraId="0CE22153" w14:textId="1823C31E"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w:t>
      </w:r>
      <w:r w:rsidR="00300867">
        <w:rPr>
          <w:b/>
          <w:bCs/>
          <w:lang w:val="fr-FR"/>
        </w:rPr>
        <w:t>’</w:t>
      </w:r>
      <w:r w:rsidRPr="00E32F88">
        <w:rPr>
          <w:b/>
          <w:bCs/>
          <w:lang w:val="fr-FR"/>
        </w:rPr>
        <w:t>entreprendre une évaluation, avec une large participation des organisations de femmes, de la loi n</w:t>
      </w:r>
      <w:r w:rsidRPr="00E32F88">
        <w:rPr>
          <w:b/>
          <w:bCs/>
          <w:vertAlign w:val="superscript"/>
          <w:lang w:val="fr-FR"/>
        </w:rPr>
        <w:t>o</w:t>
      </w:r>
      <w:r w:rsidRPr="00E32F88">
        <w:rPr>
          <w:b/>
          <w:bCs/>
          <w:lang w:val="fr-FR"/>
        </w:rPr>
        <w:t> 243, y compris des sanctions prévues et de la réglementation de la « gestion partagée », et de renforcer le suivi de son application au niveau municipal</w:t>
      </w:r>
      <w:r w:rsidR="00300867">
        <w:rPr>
          <w:b/>
          <w:bCs/>
          <w:lang w:val="fr-FR"/>
        </w:rPr>
        <w:t> ;</w:t>
      </w:r>
    </w:p>
    <w:p w14:paraId="5A251B9B" w14:textId="5735E982"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de renforcer le Mécanisme de prévention et d</w:t>
      </w:r>
      <w:r w:rsidR="00300867">
        <w:rPr>
          <w:b/>
          <w:bCs/>
          <w:lang w:val="fr-FR"/>
        </w:rPr>
        <w:t>’</w:t>
      </w:r>
      <w:r w:rsidRPr="00E32F88">
        <w:rPr>
          <w:b/>
          <w:bCs/>
          <w:lang w:val="fr-FR"/>
        </w:rPr>
        <w:t>intervention rapide pour la défense des droits des femmes victimes de harcèlement et de violence politiques, en le dotant des ressources nécessaires pour remplir son rôle</w:t>
      </w:r>
      <w:r w:rsidR="00300867">
        <w:rPr>
          <w:b/>
          <w:bCs/>
          <w:lang w:val="fr-FR"/>
        </w:rPr>
        <w:t> ;</w:t>
      </w:r>
    </w:p>
    <w:p w14:paraId="5CA0FAD3" w14:textId="74FC8B47"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faire en sorte que les plaintes déposées par les femmes pour violence et harcèlement politiques fassent l</w:t>
      </w:r>
      <w:r w:rsidR="00300867">
        <w:rPr>
          <w:b/>
          <w:bCs/>
          <w:lang w:val="fr-FR"/>
        </w:rPr>
        <w:t>’</w:t>
      </w:r>
      <w:r w:rsidRPr="00E32F88">
        <w:rPr>
          <w:b/>
          <w:bCs/>
          <w:lang w:val="fr-FR"/>
        </w:rPr>
        <w:t>objet d</w:t>
      </w:r>
      <w:r w:rsidR="00300867">
        <w:rPr>
          <w:b/>
          <w:bCs/>
          <w:lang w:val="fr-FR"/>
        </w:rPr>
        <w:t>’</w:t>
      </w:r>
      <w:r w:rsidRPr="00E32F88">
        <w:rPr>
          <w:b/>
          <w:bCs/>
          <w:lang w:val="fr-FR"/>
        </w:rPr>
        <w:t>une enquête rapide, approfondie et impartiale</w:t>
      </w:r>
      <w:r w:rsidR="00300867">
        <w:rPr>
          <w:b/>
          <w:bCs/>
          <w:lang w:val="fr-FR"/>
        </w:rPr>
        <w:t> ;</w:t>
      </w:r>
      <w:r w:rsidRPr="00E32F88">
        <w:rPr>
          <w:lang w:val="fr-FR"/>
        </w:rPr>
        <w:t xml:space="preserve"> </w:t>
      </w:r>
      <w:r w:rsidRPr="00E32F88">
        <w:rPr>
          <w:b/>
          <w:bCs/>
          <w:lang w:val="fr-FR"/>
        </w:rPr>
        <w:t>que les responsables soient poursuivis et dûment sanctionnés</w:t>
      </w:r>
      <w:r w:rsidR="00300867">
        <w:rPr>
          <w:b/>
          <w:bCs/>
          <w:lang w:val="fr-FR"/>
        </w:rPr>
        <w:t> ;</w:t>
      </w:r>
      <w:r w:rsidRPr="00E32F88">
        <w:rPr>
          <w:lang w:val="fr-FR"/>
        </w:rPr>
        <w:t xml:space="preserve"> </w:t>
      </w:r>
      <w:r w:rsidRPr="00E32F88">
        <w:rPr>
          <w:b/>
          <w:bCs/>
          <w:lang w:val="fr-FR"/>
        </w:rPr>
        <w:t>et que les victimes reçoivent des réparations adéquates, notamment la réintégration, des excuses publiques et des garanties de non-répétition.</w:t>
      </w:r>
    </w:p>
    <w:p w14:paraId="26C3519D" w14:textId="7279F461" w:rsidR="00E32F88" w:rsidRPr="004516D8" w:rsidRDefault="00E32F88" w:rsidP="004516D8">
      <w:pPr>
        <w:pStyle w:val="SingleTxt"/>
        <w:spacing w:after="0" w:line="120" w:lineRule="exact"/>
        <w:rPr>
          <w:sz w:val="10"/>
          <w:lang w:val="fr-FR"/>
        </w:rPr>
      </w:pPr>
    </w:p>
    <w:p w14:paraId="2E1EA929" w14:textId="77777777" w:rsidR="00E32F88" w:rsidRPr="00E32F88" w:rsidRDefault="00E32F88" w:rsidP="00451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Éducation</w:t>
      </w:r>
    </w:p>
    <w:p w14:paraId="694C5B6A" w14:textId="7D038BB7" w:rsidR="00E32F88" w:rsidRPr="004516D8" w:rsidRDefault="00E32F88" w:rsidP="004516D8">
      <w:pPr>
        <w:pStyle w:val="SingleTxt"/>
        <w:spacing w:after="0" w:line="120" w:lineRule="exact"/>
        <w:rPr>
          <w:sz w:val="10"/>
          <w:lang w:val="fr-FR"/>
        </w:rPr>
      </w:pPr>
    </w:p>
    <w:p w14:paraId="315BE353" w14:textId="05B84C74" w:rsidR="00E32F88" w:rsidRPr="00E32F88" w:rsidRDefault="00E32F88" w:rsidP="000F40FC">
      <w:pPr>
        <w:pStyle w:val="SingleTxt"/>
        <w:numPr>
          <w:ilvl w:val="0"/>
          <w:numId w:val="14"/>
        </w:numPr>
        <w:spacing w:line="240" w:lineRule="exact"/>
        <w:rPr>
          <w:lang w:val="fr-FR"/>
        </w:rPr>
      </w:pPr>
      <w:r w:rsidRPr="00E32F88">
        <w:rPr>
          <w:lang w:val="fr-FR"/>
        </w:rPr>
        <w:t>Le Comité se félicite des résultats obtenus par l</w:t>
      </w:r>
      <w:r w:rsidR="00300867">
        <w:rPr>
          <w:lang w:val="fr-FR"/>
        </w:rPr>
        <w:t>’</w:t>
      </w:r>
      <w:r w:rsidRPr="00E32F88">
        <w:rPr>
          <w:lang w:val="fr-FR"/>
        </w:rPr>
        <w:t>État partie en matière de réduction des taux d</w:t>
      </w:r>
      <w:r w:rsidR="00300867">
        <w:rPr>
          <w:lang w:val="fr-FR"/>
        </w:rPr>
        <w:t>’</w:t>
      </w:r>
      <w:r w:rsidRPr="00E32F88">
        <w:rPr>
          <w:lang w:val="fr-FR"/>
        </w:rPr>
        <w:t>abandon scolaire et d</w:t>
      </w:r>
      <w:r w:rsidR="00300867">
        <w:rPr>
          <w:lang w:val="fr-FR"/>
        </w:rPr>
        <w:t>’</w:t>
      </w:r>
      <w:r w:rsidRPr="00E32F88">
        <w:rPr>
          <w:lang w:val="fr-FR"/>
        </w:rPr>
        <w:t>analphabétisme, ainsi que de la mise en place de 26 programmes d</w:t>
      </w:r>
      <w:r w:rsidR="00300867">
        <w:rPr>
          <w:lang w:val="fr-FR"/>
        </w:rPr>
        <w:t>’</w:t>
      </w:r>
      <w:r w:rsidRPr="00E32F88">
        <w:rPr>
          <w:lang w:val="fr-FR"/>
        </w:rPr>
        <w:t>enseignement interculturels régionaux. Il prend note du protocole de prévention et d</w:t>
      </w:r>
      <w:r w:rsidR="00300867">
        <w:rPr>
          <w:lang w:val="fr-FR"/>
        </w:rPr>
        <w:t>’</w:t>
      </w:r>
      <w:r w:rsidRPr="00E32F88">
        <w:rPr>
          <w:lang w:val="fr-FR"/>
        </w:rPr>
        <w:t>intervention relatif aux plaintes concernant le traitement des cas de violence physique, psychologique et sexuelle dans les écoles et les centres d</w:t>
      </w:r>
      <w:r w:rsidR="00300867">
        <w:rPr>
          <w:lang w:val="fr-FR"/>
        </w:rPr>
        <w:t>’</w:t>
      </w:r>
      <w:r w:rsidRPr="00E32F88">
        <w:rPr>
          <w:lang w:val="fr-FR"/>
        </w:rPr>
        <w:t>éducation spéciale. Le Comité est néanmoins préoccupé par</w:t>
      </w:r>
      <w:r w:rsidR="00300867">
        <w:rPr>
          <w:lang w:val="fr-FR"/>
        </w:rPr>
        <w:t> :</w:t>
      </w:r>
    </w:p>
    <w:p w14:paraId="2D2CBD9F" w14:textId="7288148F" w:rsidR="00E32F88" w:rsidRPr="00E32F88" w:rsidRDefault="00E32F88" w:rsidP="00E32F88">
      <w:pPr>
        <w:pStyle w:val="SingleTxt"/>
        <w:rPr>
          <w:lang w:val="fr-FR"/>
        </w:rPr>
      </w:pPr>
      <w:r w:rsidRPr="00E32F88">
        <w:rPr>
          <w:lang w:val="fr-FR"/>
        </w:rPr>
        <w:tab/>
        <w:t>a)</w:t>
      </w:r>
      <w:r w:rsidRPr="00E32F88">
        <w:rPr>
          <w:lang w:val="fr-FR"/>
        </w:rPr>
        <w:tab/>
        <w:t>l</w:t>
      </w:r>
      <w:r w:rsidR="00300867">
        <w:rPr>
          <w:lang w:val="fr-FR"/>
        </w:rPr>
        <w:t>’</w:t>
      </w:r>
      <w:r w:rsidRPr="00E32F88">
        <w:rPr>
          <w:lang w:val="fr-FR"/>
        </w:rPr>
        <w:t>accès limité des filles vivant en milieu rural à l</w:t>
      </w:r>
      <w:r w:rsidR="00300867">
        <w:rPr>
          <w:lang w:val="fr-FR"/>
        </w:rPr>
        <w:t>’</w:t>
      </w:r>
      <w:r w:rsidRPr="00E32F88">
        <w:rPr>
          <w:lang w:val="fr-FR"/>
        </w:rPr>
        <w:t>enseignement secondaire, leur taux de rétention scolaire plus faible en raison d</w:t>
      </w:r>
      <w:r w:rsidR="00300867">
        <w:rPr>
          <w:lang w:val="fr-FR"/>
        </w:rPr>
        <w:t>’</w:t>
      </w:r>
      <w:r w:rsidRPr="00E32F88">
        <w:rPr>
          <w:lang w:val="fr-FR"/>
        </w:rPr>
        <w:t>un travail domestique excessif, notamment pendant la pandémie de COVID-19, les grossesses précoces, le manque de compétences numériques et l</w:t>
      </w:r>
      <w:r w:rsidR="00300867">
        <w:rPr>
          <w:lang w:val="fr-FR"/>
        </w:rPr>
        <w:t>’</w:t>
      </w:r>
      <w:r w:rsidRPr="00E32F88">
        <w:rPr>
          <w:lang w:val="fr-FR"/>
        </w:rPr>
        <w:t>accès limité aux technologies, ainsi que les longues distances à parcourir pour accéder aux établissements d</w:t>
      </w:r>
      <w:r w:rsidR="00300867">
        <w:rPr>
          <w:lang w:val="fr-FR"/>
        </w:rPr>
        <w:t>’</w:t>
      </w:r>
      <w:r w:rsidRPr="00E32F88">
        <w:rPr>
          <w:lang w:val="fr-FR"/>
        </w:rPr>
        <w:t>enseignement technique et professionnel et aux universités dans les zones rurales</w:t>
      </w:r>
      <w:r w:rsidR="00300867">
        <w:rPr>
          <w:lang w:val="fr-FR"/>
        </w:rPr>
        <w:t> ;</w:t>
      </w:r>
    </w:p>
    <w:p w14:paraId="287347C4" w14:textId="61A6FDF2" w:rsidR="00E32F88" w:rsidRPr="00E32F88" w:rsidRDefault="00E32F88" w:rsidP="00E32F88">
      <w:pPr>
        <w:pStyle w:val="SingleTxt"/>
        <w:rPr>
          <w:lang w:val="fr-FR"/>
        </w:rPr>
      </w:pPr>
      <w:r w:rsidRPr="00E32F88">
        <w:rPr>
          <w:lang w:val="fr-FR"/>
        </w:rPr>
        <w:tab/>
        <w:t>b)</w:t>
      </w:r>
      <w:r w:rsidRPr="00E32F88">
        <w:rPr>
          <w:lang w:val="fr-FR"/>
        </w:rPr>
        <w:tab/>
        <w:t>la violence à l</w:t>
      </w:r>
      <w:r w:rsidR="00300867">
        <w:rPr>
          <w:lang w:val="fr-FR"/>
        </w:rPr>
        <w:t>’</w:t>
      </w:r>
      <w:r w:rsidRPr="00E32F88">
        <w:rPr>
          <w:lang w:val="fr-FR"/>
        </w:rPr>
        <w:t>égard des femmes et des filles fondée sur le genre, y compris la violence sexuelle, dans les milieux éducatifs</w:t>
      </w:r>
      <w:r w:rsidR="00300867">
        <w:rPr>
          <w:lang w:val="fr-FR"/>
        </w:rPr>
        <w:t> ;</w:t>
      </w:r>
    </w:p>
    <w:p w14:paraId="6994FD39" w14:textId="01C9E289" w:rsidR="00E32F88" w:rsidRPr="00E32F88" w:rsidRDefault="00E32F88" w:rsidP="00E32F88">
      <w:pPr>
        <w:pStyle w:val="SingleTxt"/>
        <w:rPr>
          <w:lang w:val="fr-FR"/>
        </w:rPr>
      </w:pPr>
      <w:r w:rsidRPr="00E32F88">
        <w:rPr>
          <w:lang w:val="fr-FR"/>
        </w:rPr>
        <w:tab/>
        <w:t>c)</w:t>
      </w:r>
      <w:r w:rsidRPr="00E32F88">
        <w:rPr>
          <w:lang w:val="fr-FR"/>
        </w:rPr>
        <w:tab/>
        <w:t>la sous-représentation des femmes et des filles dans les filières d</w:t>
      </w:r>
      <w:r w:rsidR="00300867">
        <w:rPr>
          <w:lang w:val="fr-FR"/>
        </w:rPr>
        <w:t>’</w:t>
      </w:r>
      <w:r w:rsidRPr="00E32F88">
        <w:rPr>
          <w:lang w:val="fr-FR"/>
        </w:rPr>
        <w:t>études et les carrières non traditionnelles, notamment dans les domaines des sciences, de la technologie, de l</w:t>
      </w:r>
      <w:r w:rsidR="00300867">
        <w:rPr>
          <w:lang w:val="fr-FR"/>
        </w:rPr>
        <w:t>’</w:t>
      </w:r>
      <w:r w:rsidRPr="00E32F88">
        <w:rPr>
          <w:lang w:val="fr-FR"/>
        </w:rPr>
        <w:t>ingénierie et des mathématiques</w:t>
      </w:r>
      <w:r w:rsidR="00300867">
        <w:rPr>
          <w:lang w:val="fr-FR"/>
        </w:rPr>
        <w:t> ;</w:t>
      </w:r>
    </w:p>
    <w:p w14:paraId="13C35771" w14:textId="74AC160D" w:rsidR="00E32F88" w:rsidRPr="00E32F88" w:rsidRDefault="00E32F88" w:rsidP="00E32F88">
      <w:pPr>
        <w:pStyle w:val="SingleTxt"/>
        <w:rPr>
          <w:lang w:val="fr-FR"/>
        </w:rPr>
      </w:pPr>
      <w:r w:rsidRPr="00E32F88">
        <w:rPr>
          <w:lang w:val="fr-FR"/>
        </w:rPr>
        <w:lastRenderedPageBreak/>
        <w:tab/>
        <w:t>d)</w:t>
      </w:r>
      <w:r w:rsidRPr="00E32F88">
        <w:rPr>
          <w:lang w:val="fr-FR"/>
        </w:rPr>
        <w:tab/>
        <w:t>l</w:t>
      </w:r>
      <w:r w:rsidR="00300867">
        <w:rPr>
          <w:lang w:val="fr-FR"/>
        </w:rPr>
        <w:t>’</w:t>
      </w:r>
      <w:r w:rsidRPr="00E32F88">
        <w:rPr>
          <w:lang w:val="fr-FR"/>
        </w:rPr>
        <w:t>absence d</w:t>
      </w:r>
      <w:r w:rsidR="00300867">
        <w:rPr>
          <w:lang w:val="fr-FR"/>
        </w:rPr>
        <w:t>’</w:t>
      </w:r>
      <w:r w:rsidRPr="00E32F88">
        <w:rPr>
          <w:lang w:val="fr-FR"/>
        </w:rPr>
        <w:t>éducation sexuelle complète et adaptée à l</w:t>
      </w:r>
      <w:r w:rsidR="00300867">
        <w:rPr>
          <w:lang w:val="fr-FR"/>
        </w:rPr>
        <w:t>’</w:t>
      </w:r>
      <w:r w:rsidRPr="00E32F88">
        <w:rPr>
          <w:lang w:val="fr-FR"/>
        </w:rPr>
        <w:t>âge à tous les niveaux d</w:t>
      </w:r>
      <w:r w:rsidR="00300867">
        <w:rPr>
          <w:lang w:val="fr-FR"/>
        </w:rPr>
        <w:t>’</w:t>
      </w:r>
      <w:r w:rsidRPr="00E32F88">
        <w:rPr>
          <w:lang w:val="fr-FR"/>
        </w:rPr>
        <w:t>enseignement</w:t>
      </w:r>
      <w:r w:rsidR="00300867">
        <w:rPr>
          <w:lang w:val="fr-FR"/>
        </w:rPr>
        <w:t> ;</w:t>
      </w:r>
    </w:p>
    <w:p w14:paraId="47FE3476" w14:textId="389AC935" w:rsidR="00E32F88" w:rsidRPr="00E32F88" w:rsidRDefault="00E32F88" w:rsidP="00E32F88">
      <w:pPr>
        <w:pStyle w:val="SingleTxt"/>
        <w:rPr>
          <w:lang w:val="fr-FR"/>
        </w:rPr>
      </w:pPr>
      <w:r w:rsidRPr="00E32F88">
        <w:rPr>
          <w:lang w:val="fr-FR"/>
        </w:rPr>
        <w:tab/>
        <w:t>e)</w:t>
      </w:r>
      <w:r w:rsidRPr="00E32F88">
        <w:rPr>
          <w:lang w:val="fr-FR"/>
        </w:rPr>
        <w:tab/>
        <w:t>la mise en œuvre insuffisante des programmes d</w:t>
      </w:r>
      <w:r w:rsidR="00300867">
        <w:rPr>
          <w:lang w:val="fr-FR"/>
        </w:rPr>
        <w:t>’</w:t>
      </w:r>
      <w:r w:rsidRPr="00E32F88">
        <w:rPr>
          <w:lang w:val="fr-FR"/>
        </w:rPr>
        <w:t>enseignement interculturels régionaux et du quota de 20 % d</w:t>
      </w:r>
      <w:r w:rsidR="00300867">
        <w:rPr>
          <w:lang w:val="fr-FR"/>
        </w:rPr>
        <w:t>’</w:t>
      </w:r>
      <w:r w:rsidRPr="00E32F88">
        <w:rPr>
          <w:lang w:val="fr-FR"/>
        </w:rPr>
        <w:t>admission directe de femmes autochtones et afro-boliviennes dans les écoles normales des instituteurs</w:t>
      </w:r>
      <w:r w:rsidR="00300867">
        <w:rPr>
          <w:lang w:val="fr-FR"/>
        </w:rPr>
        <w:t> ;</w:t>
      </w:r>
    </w:p>
    <w:p w14:paraId="7E2F655C" w14:textId="00BC1A3B" w:rsidR="00E32F88" w:rsidRPr="00E32F88" w:rsidRDefault="00E32F88" w:rsidP="00E32F88">
      <w:pPr>
        <w:pStyle w:val="SingleTxt"/>
        <w:rPr>
          <w:lang w:val="fr-FR"/>
        </w:rPr>
      </w:pPr>
      <w:r w:rsidRPr="00E32F88">
        <w:rPr>
          <w:lang w:val="fr-FR"/>
        </w:rPr>
        <w:tab/>
        <w:t>f)</w:t>
      </w:r>
      <w:r w:rsidRPr="00E32F88">
        <w:rPr>
          <w:lang w:val="fr-FR"/>
        </w:rPr>
        <w:tab/>
        <w:t>l</w:t>
      </w:r>
      <w:r w:rsidR="00300867">
        <w:rPr>
          <w:lang w:val="fr-FR"/>
        </w:rPr>
        <w:t>’</w:t>
      </w:r>
      <w:r w:rsidRPr="00E32F88">
        <w:rPr>
          <w:lang w:val="fr-FR"/>
        </w:rPr>
        <w:t>absence d</w:t>
      </w:r>
      <w:r w:rsidR="00300867">
        <w:rPr>
          <w:lang w:val="fr-FR"/>
        </w:rPr>
        <w:t>’</w:t>
      </w:r>
      <w:r w:rsidRPr="00E32F88">
        <w:rPr>
          <w:lang w:val="fr-FR"/>
        </w:rPr>
        <w:t>une politique d</w:t>
      </w:r>
      <w:r w:rsidR="00300867">
        <w:rPr>
          <w:lang w:val="fr-FR"/>
        </w:rPr>
        <w:t>’</w:t>
      </w:r>
      <w:r w:rsidRPr="00E32F88">
        <w:rPr>
          <w:lang w:val="fr-FR"/>
        </w:rPr>
        <w:t>éducation inclusive, le faible nombre de filles et de femmes handicapées inscrites dans l</w:t>
      </w:r>
      <w:r w:rsidR="00300867">
        <w:rPr>
          <w:lang w:val="fr-FR"/>
        </w:rPr>
        <w:t>’</w:t>
      </w:r>
      <w:r w:rsidRPr="00E32F88">
        <w:rPr>
          <w:lang w:val="fr-FR"/>
        </w:rPr>
        <w:t>enseignement général et leur taux d</w:t>
      </w:r>
      <w:r w:rsidR="00300867">
        <w:rPr>
          <w:lang w:val="fr-FR"/>
        </w:rPr>
        <w:t>’</w:t>
      </w:r>
      <w:r w:rsidRPr="00E32F88">
        <w:rPr>
          <w:lang w:val="fr-FR"/>
        </w:rPr>
        <w:t>abandon élevé.</w:t>
      </w:r>
    </w:p>
    <w:p w14:paraId="7B507A19" w14:textId="2C33E0C4" w:rsidR="00E32F88" w:rsidRPr="004516D8" w:rsidRDefault="00E32F88" w:rsidP="000F40FC">
      <w:pPr>
        <w:pStyle w:val="SingleTxt"/>
        <w:numPr>
          <w:ilvl w:val="0"/>
          <w:numId w:val="14"/>
        </w:numPr>
        <w:spacing w:line="240" w:lineRule="exact"/>
        <w:rPr>
          <w:b/>
          <w:bCs/>
          <w:lang w:val="fr-FR"/>
        </w:rPr>
      </w:pPr>
      <w:r w:rsidRPr="004516D8">
        <w:rPr>
          <w:b/>
          <w:bCs/>
          <w:lang w:val="fr-FR"/>
        </w:rPr>
        <w:t>Rappelant sa recommandation générale n</w:t>
      </w:r>
      <w:r w:rsidRPr="004516D8">
        <w:rPr>
          <w:b/>
          <w:bCs/>
          <w:vertAlign w:val="superscript"/>
          <w:lang w:val="fr-FR"/>
        </w:rPr>
        <w:t>o</w:t>
      </w:r>
      <w:r w:rsidRPr="004516D8">
        <w:rPr>
          <w:b/>
          <w:bCs/>
          <w:lang w:val="fr-FR"/>
        </w:rPr>
        <w:t> 36 (2017) sur le droit des filles et des femmes à l</w:t>
      </w:r>
      <w:r w:rsidR="00300867">
        <w:rPr>
          <w:b/>
          <w:bCs/>
          <w:lang w:val="fr-FR"/>
        </w:rPr>
        <w:t>’</w:t>
      </w:r>
      <w:r w:rsidRPr="004516D8">
        <w:rPr>
          <w:b/>
          <w:bCs/>
          <w:lang w:val="fr-FR"/>
        </w:rPr>
        <w:t>éducation, le Comité recommande à l</w:t>
      </w:r>
      <w:r w:rsidR="00300867">
        <w:rPr>
          <w:b/>
          <w:bCs/>
          <w:lang w:val="fr-FR"/>
        </w:rPr>
        <w:t>’</w:t>
      </w:r>
      <w:r w:rsidRPr="004516D8">
        <w:rPr>
          <w:b/>
          <w:bCs/>
          <w:lang w:val="fr-FR"/>
        </w:rPr>
        <w:t>État partie de sensibiliser l</w:t>
      </w:r>
      <w:r w:rsidR="00300867">
        <w:rPr>
          <w:b/>
          <w:bCs/>
          <w:lang w:val="fr-FR"/>
        </w:rPr>
        <w:t>’</w:t>
      </w:r>
      <w:r w:rsidRPr="004516D8">
        <w:rPr>
          <w:b/>
          <w:bCs/>
          <w:lang w:val="fr-FR"/>
        </w:rPr>
        <w:t>opinion à l</w:t>
      </w:r>
      <w:r w:rsidR="00300867">
        <w:rPr>
          <w:b/>
          <w:bCs/>
          <w:lang w:val="fr-FR"/>
        </w:rPr>
        <w:t>’</w:t>
      </w:r>
      <w:r w:rsidRPr="004516D8">
        <w:rPr>
          <w:b/>
          <w:bCs/>
          <w:lang w:val="fr-FR"/>
        </w:rPr>
        <w:t>importance de l</w:t>
      </w:r>
      <w:r w:rsidR="00300867">
        <w:rPr>
          <w:b/>
          <w:bCs/>
          <w:lang w:val="fr-FR"/>
        </w:rPr>
        <w:t>’</w:t>
      </w:r>
      <w:r w:rsidRPr="004516D8">
        <w:rPr>
          <w:b/>
          <w:bCs/>
          <w:lang w:val="fr-FR"/>
        </w:rPr>
        <w:t>éducation des filles à tous les niveaux aux fins de leur autonomisation, et</w:t>
      </w:r>
      <w:r w:rsidR="00300867">
        <w:rPr>
          <w:b/>
          <w:bCs/>
          <w:lang w:val="fr-FR"/>
        </w:rPr>
        <w:t> :</w:t>
      </w:r>
    </w:p>
    <w:p w14:paraId="5968FEB3" w14:textId="5A39033E"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veiller à assurer l</w:t>
      </w:r>
      <w:r w:rsidR="00300867">
        <w:rPr>
          <w:b/>
          <w:bCs/>
          <w:lang w:val="fr-FR"/>
        </w:rPr>
        <w:t>’</w:t>
      </w:r>
      <w:r w:rsidRPr="00E32F88">
        <w:rPr>
          <w:b/>
          <w:bCs/>
          <w:lang w:val="fr-FR"/>
        </w:rPr>
        <w:t>accès adéquat des filles issues de groupes défavorisés et marginalisés, à savoir les filles autochtones, afro-boliviennes, handicapées, réfugiées, migrantes et vivant en milieu rural, à une éducation de qualité et leur rétention scolaire, en particulier dans l</w:t>
      </w:r>
      <w:r w:rsidR="00300867">
        <w:rPr>
          <w:b/>
          <w:bCs/>
          <w:lang w:val="fr-FR"/>
        </w:rPr>
        <w:t>’</w:t>
      </w:r>
      <w:r w:rsidRPr="00E32F88">
        <w:rPr>
          <w:b/>
          <w:bCs/>
          <w:lang w:val="fr-FR"/>
        </w:rPr>
        <w:t>enseignement secondaire et supérieur et dans les zones rurales, notamment en</w:t>
      </w:r>
      <w:r w:rsidR="00300867">
        <w:rPr>
          <w:b/>
          <w:bCs/>
          <w:lang w:val="fr-FR"/>
        </w:rPr>
        <w:t> :</w:t>
      </w:r>
    </w:p>
    <w:p w14:paraId="2C000F57" w14:textId="36765CD9" w:rsidR="00E32F88" w:rsidRPr="00E32F88" w:rsidRDefault="00E32F88" w:rsidP="004516D8">
      <w:pPr>
        <w:pStyle w:val="SingleTxt"/>
        <w:ind w:left="1742" w:hanging="475"/>
        <w:rPr>
          <w:b/>
          <w:bCs/>
          <w:lang w:val="fr-FR"/>
        </w:rPr>
      </w:pPr>
      <w:r w:rsidRPr="00E32F88">
        <w:rPr>
          <w:lang w:val="fr-FR"/>
        </w:rPr>
        <w:tab/>
        <w:t>i)</w:t>
      </w:r>
      <w:r w:rsidRPr="00E32F88">
        <w:rPr>
          <w:lang w:val="fr-FR"/>
        </w:rPr>
        <w:tab/>
      </w:r>
      <w:r w:rsidRPr="00E32F88">
        <w:rPr>
          <w:b/>
          <w:bCs/>
          <w:lang w:val="fr-FR"/>
        </w:rPr>
        <w:t>facilitant l</w:t>
      </w:r>
      <w:r w:rsidR="00300867">
        <w:rPr>
          <w:b/>
          <w:bCs/>
          <w:lang w:val="fr-FR"/>
        </w:rPr>
        <w:t>’</w:t>
      </w:r>
      <w:r w:rsidRPr="00E32F88">
        <w:rPr>
          <w:b/>
          <w:bCs/>
          <w:lang w:val="fr-FR"/>
        </w:rPr>
        <w:t>inscription des filles issues de groupes marginalisés dans les établissements d</w:t>
      </w:r>
      <w:r w:rsidR="00300867">
        <w:rPr>
          <w:b/>
          <w:bCs/>
          <w:lang w:val="fr-FR"/>
        </w:rPr>
        <w:t>’</w:t>
      </w:r>
      <w:r w:rsidRPr="00E32F88">
        <w:rPr>
          <w:b/>
          <w:bCs/>
          <w:lang w:val="fr-FR"/>
        </w:rPr>
        <w:t>enseignement à tous les niveaux</w:t>
      </w:r>
      <w:r w:rsidR="00300867">
        <w:rPr>
          <w:b/>
          <w:bCs/>
          <w:lang w:val="fr-FR"/>
        </w:rPr>
        <w:t> ;</w:t>
      </w:r>
      <w:r w:rsidRPr="00E32F88">
        <w:rPr>
          <w:lang w:val="fr-FR"/>
        </w:rPr>
        <w:t xml:space="preserve"> </w:t>
      </w:r>
    </w:p>
    <w:p w14:paraId="19594F2E" w14:textId="7F9B1836" w:rsidR="00E32F88" w:rsidRPr="00E32F88" w:rsidRDefault="00E32F88" w:rsidP="004516D8">
      <w:pPr>
        <w:pStyle w:val="SingleTxt"/>
        <w:ind w:left="1742" w:hanging="475"/>
        <w:rPr>
          <w:b/>
          <w:bCs/>
          <w:lang w:val="fr-FR"/>
        </w:rPr>
      </w:pPr>
      <w:r w:rsidRPr="00E32F88">
        <w:rPr>
          <w:lang w:val="fr-FR"/>
        </w:rPr>
        <w:tab/>
        <w:t>ii)</w:t>
      </w:r>
      <w:r w:rsidRPr="00E32F88">
        <w:rPr>
          <w:lang w:val="fr-FR"/>
        </w:rPr>
        <w:tab/>
      </w:r>
      <w:r w:rsidRPr="00E32F88">
        <w:rPr>
          <w:b/>
          <w:bCs/>
          <w:lang w:val="fr-FR"/>
        </w:rPr>
        <w:t>garantissant la mise en œuvre de programmes d</w:t>
      </w:r>
      <w:r w:rsidR="00300867">
        <w:rPr>
          <w:b/>
          <w:bCs/>
          <w:lang w:val="fr-FR"/>
        </w:rPr>
        <w:t>’</w:t>
      </w:r>
      <w:r w:rsidRPr="00E32F88">
        <w:rPr>
          <w:b/>
          <w:bCs/>
          <w:lang w:val="fr-FR"/>
        </w:rPr>
        <w:t>enseignement interculturels régionaux et en adoptant une politique globale d</w:t>
      </w:r>
      <w:r w:rsidR="00300867">
        <w:rPr>
          <w:b/>
          <w:bCs/>
          <w:lang w:val="fr-FR"/>
        </w:rPr>
        <w:t>’</w:t>
      </w:r>
      <w:r w:rsidRPr="00E32F88">
        <w:rPr>
          <w:b/>
          <w:bCs/>
          <w:lang w:val="fr-FR"/>
        </w:rPr>
        <w:t>éducation inclusive</w:t>
      </w:r>
      <w:r w:rsidR="00300867">
        <w:rPr>
          <w:b/>
          <w:bCs/>
          <w:lang w:val="fr-FR"/>
        </w:rPr>
        <w:t> ;</w:t>
      </w:r>
    </w:p>
    <w:p w14:paraId="123F51A2" w14:textId="2EEB23F3" w:rsidR="00E32F88" w:rsidRPr="00E32F88" w:rsidRDefault="00E32F88" w:rsidP="004516D8">
      <w:pPr>
        <w:pStyle w:val="SingleTxt"/>
        <w:ind w:left="1742" w:hanging="475"/>
        <w:rPr>
          <w:b/>
          <w:bCs/>
          <w:lang w:val="fr-FR"/>
        </w:rPr>
      </w:pPr>
      <w:r w:rsidRPr="00E32F88">
        <w:rPr>
          <w:lang w:val="fr-FR"/>
        </w:rPr>
        <w:tab/>
        <w:t>iii)</w:t>
      </w:r>
      <w:r w:rsidRPr="00E32F88">
        <w:rPr>
          <w:lang w:val="fr-FR"/>
        </w:rPr>
        <w:tab/>
      </w:r>
      <w:r w:rsidRPr="00E32F88">
        <w:rPr>
          <w:b/>
          <w:bCs/>
          <w:lang w:val="fr-FR"/>
        </w:rPr>
        <w:t>lançant des campagnes d</w:t>
      </w:r>
      <w:r w:rsidR="00300867">
        <w:rPr>
          <w:b/>
          <w:bCs/>
          <w:lang w:val="fr-FR"/>
        </w:rPr>
        <w:t>’</w:t>
      </w:r>
      <w:r w:rsidRPr="00E32F88">
        <w:rPr>
          <w:b/>
          <w:bCs/>
          <w:lang w:val="fr-FR"/>
        </w:rPr>
        <w:t>alphabétisation visant à atteindre les femmes adultes et âgées</w:t>
      </w:r>
      <w:r w:rsidR="00300867">
        <w:rPr>
          <w:b/>
          <w:bCs/>
          <w:lang w:val="fr-FR"/>
        </w:rPr>
        <w:t> ;</w:t>
      </w:r>
    </w:p>
    <w:p w14:paraId="222B76FD" w14:textId="54AD6BCC"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mettre en œuvre une politique de tolérance zéro à l</w:t>
      </w:r>
      <w:r w:rsidR="00300867">
        <w:rPr>
          <w:b/>
          <w:bCs/>
          <w:lang w:val="fr-FR"/>
        </w:rPr>
        <w:t>’</w:t>
      </w:r>
      <w:r w:rsidRPr="00E32F88">
        <w:rPr>
          <w:b/>
          <w:bCs/>
          <w:lang w:val="fr-FR"/>
        </w:rPr>
        <w:t>égard de la violence fondée sur le genre, y compris la violence sexuelle, en milieu scolaire, de veiller à ce que les auteurs de ces actes soient dûment punis, et de recueillir des données statistiques ventilées sur ces incidents</w:t>
      </w:r>
      <w:r w:rsidR="00300867">
        <w:rPr>
          <w:b/>
          <w:bCs/>
          <w:lang w:val="fr-FR"/>
        </w:rPr>
        <w:t> ;</w:t>
      </w:r>
    </w:p>
    <w:p w14:paraId="78809828" w14:textId="492E6DD7"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w:t>
      </w:r>
      <w:r w:rsidR="00300867">
        <w:rPr>
          <w:b/>
          <w:bCs/>
          <w:lang w:val="fr-FR"/>
        </w:rPr>
        <w:t>’</w:t>
      </w:r>
      <w:r w:rsidRPr="00E32F88">
        <w:rPr>
          <w:b/>
          <w:bCs/>
          <w:lang w:val="fr-FR"/>
        </w:rPr>
        <w:t>encourager les femmes et les filles à choisir des domaines d</w:t>
      </w:r>
      <w:r w:rsidR="00300867">
        <w:rPr>
          <w:b/>
          <w:bCs/>
          <w:lang w:val="fr-FR"/>
        </w:rPr>
        <w:t>’</w:t>
      </w:r>
      <w:r w:rsidRPr="00E32F88">
        <w:rPr>
          <w:b/>
          <w:bCs/>
          <w:lang w:val="fr-FR"/>
        </w:rPr>
        <w:t>études et des parcours professionnels non traditionnels, en particulier dans les sciences, la technologie, l</w:t>
      </w:r>
      <w:r w:rsidR="00300867">
        <w:rPr>
          <w:b/>
          <w:bCs/>
          <w:lang w:val="fr-FR"/>
        </w:rPr>
        <w:t>’</w:t>
      </w:r>
      <w:r w:rsidRPr="00E32F88">
        <w:rPr>
          <w:b/>
          <w:bCs/>
          <w:lang w:val="fr-FR"/>
        </w:rPr>
        <w:t>ingénierie, les mathématiques, l</w:t>
      </w:r>
      <w:r w:rsidR="00300867">
        <w:rPr>
          <w:b/>
          <w:bCs/>
          <w:lang w:val="fr-FR"/>
        </w:rPr>
        <w:t>’</w:t>
      </w:r>
      <w:r w:rsidRPr="00E32F88">
        <w:rPr>
          <w:b/>
          <w:bCs/>
          <w:lang w:val="fr-FR"/>
        </w:rPr>
        <w:t>informatique et les communications</w:t>
      </w:r>
      <w:r w:rsidR="00300867">
        <w:rPr>
          <w:b/>
          <w:bCs/>
          <w:lang w:val="fr-FR"/>
        </w:rPr>
        <w:t> ;</w:t>
      </w:r>
    </w:p>
    <w:p w14:paraId="785A24F9" w14:textId="3A2B15C7"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veiller à ce que les filles enceintes et les jeunes mères puissent poursuivre leur éducation pendant et après la grossesse et de garantir le respect du règlement approuvé à cet effet</w:t>
      </w:r>
      <w:r w:rsidR="00300867">
        <w:rPr>
          <w:b/>
          <w:bCs/>
          <w:lang w:val="fr-FR"/>
        </w:rPr>
        <w:t> ;</w:t>
      </w:r>
    </w:p>
    <w:p w14:paraId="35495AC5" w14:textId="28DEF725" w:rsidR="00E32F88" w:rsidRPr="00E32F88" w:rsidRDefault="00E32F88" w:rsidP="00E32F88">
      <w:pPr>
        <w:pStyle w:val="SingleTxt"/>
        <w:rPr>
          <w:b/>
          <w:bCs/>
          <w:lang w:val="fr-FR"/>
        </w:rPr>
      </w:pPr>
      <w:r w:rsidRPr="00E32F88">
        <w:rPr>
          <w:lang w:val="fr-FR"/>
        </w:rPr>
        <w:tab/>
        <w:t>e)</w:t>
      </w:r>
      <w:r w:rsidRPr="00E32F88">
        <w:rPr>
          <w:lang w:val="fr-FR"/>
        </w:rPr>
        <w:tab/>
      </w:r>
      <w:r w:rsidRPr="00E32F88">
        <w:rPr>
          <w:b/>
          <w:bCs/>
          <w:lang w:val="fr-FR"/>
        </w:rPr>
        <w:t>de garantir l</w:t>
      </w:r>
      <w:r w:rsidR="00300867">
        <w:rPr>
          <w:b/>
          <w:bCs/>
          <w:lang w:val="fr-FR"/>
        </w:rPr>
        <w:t>’</w:t>
      </w:r>
      <w:r w:rsidRPr="00E32F88">
        <w:rPr>
          <w:b/>
          <w:bCs/>
          <w:lang w:val="fr-FR"/>
        </w:rPr>
        <w:t>inclusion dans les programmes scolaires, à tous les niveaux d</w:t>
      </w:r>
      <w:r w:rsidR="00300867">
        <w:rPr>
          <w:b/>
          <w:bCs/>
          <w:lang w:val="fr-FR"/>
        </w:rPr>
        <w:t>’</w:t>
      </w:r>
      <w:r w:rsidRPr="00E32F88">
        <w:rPr>
          <w:b/>
          <w:bCs/>
          <w:lang w:val="fr-FR"/>
        </w:rPr>
        <w:t>enseignement, d</w:t>
      </w:r>
      <w:r w:rsidR="00300867">
        <w:rPr>
          <w:b/>
          <w:bCs/>
          <w:lang w:val="fr-FR"/>
        </w:rPr>
        <w:t>’</w:t>
      </w:r>
      <w:r w:rsidRPr="00E32F88">
        <w:rPr>
          <w:b/>
          <w:bCs/>
          <w:lang w:val="fr-FR"/>
        </w:rPr>
        <w:t>une éducation à la santé sexuelle et procréative et aux droits connexes, y compris un comportement sexuel responsable et l</w:t>
      </w:r>
      <w:r w:rsidR="00300867">
        <w:rPr>
          <w:b/>
          <w:bCs/>
          <w:lang w:val="fr-FR"/>
        </w:rPr>
        <w:t>’</w:t>
      </w:r>
      <w:r w:rsidRPr="00E32F88">
        <w:rPr>
          <w:b/>
          <w:bCs/>
          <w:lang w:val="fr-FR"/>
        </w:rPr>
        <w:t>utilisation de contraceptifs, qui tienne compte des questions de genre et soit adaptée à l</w:t>
      </w:r>
      <w:r w:rsidR="00300867">
        <w:rPr>
          <w:b/>
          <w:bCs/>
          <w:lang w:val="fr-FR"/>
        </w:rPr>
        <w:t>’</w:t>
      </w:r>
      <w:r w:rsidRPr="00E32F88">
        <w:rPr>
          <w:b/>
          <w:bCs/>
          <w:lang w:val="fr-FR"/>
        </w:rPr>
        <w:t>âge des élèves, afin de prévenir les grossesses précoces et les infections sexuellement transmissibles, et de dispenser systématiquement une formation aux enseignantes et enseignants sur la santé sexuelle et procréative et les droits connexes.</w:t>
      </w:r>
    </w:p>
    <w:p w14:paraId="5A2C0A36" w14:textId="1089D9CB" w:rsidR="00E32F88" w:rsidRPr="004516D8" w:rsidRDefault="00E32F88" w:rsidP="004516D8">
      <w:pPr>
        <w:pStyle w:val="SingleTxt"/>
        <w:spacing w:after="0" w:line="120" w:lineRule="exact"/>
        <w:rPr>
          <w:sz w:val="10"/>
          <w:lang w:val="fr-FR"/>
        </w:rPr>
      </w:pPr>
    </w:p>
    <w:p w14:paraId="6690A0DE" w14:textId="77777777" w:rsidR="00E32F88" w:rsidRPr="00E32F88" w:rsidRDefault="00E32F88" w:rsidP="00451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Emploi</w:t>
      </w:r>
    </w:p>
    <w:p w14:paraId="55784A07" w14:textId="096DD903" w:rsidR="00E32F88" w:rsidRPr="004516D8" w:rsidRDefault="00E32F88" w:rsidP="004516D8">
      <w:pPr>
        <w:pStyle w:val="SingleTxt"/>
        <w:spacing w:after="0" w:line="120" w:lineRule="exact"/>
        <w:rPr>
          <w:sz w:val="10"/>
          <w:lang w:val="fr-FR"/>
        </w:rPr>
      </w:pPr>
    </w:p>
    <w:p w14:paraId="02BCBF2B" w14:textId="684F9B3F" w:rsidR="00E32F88" w:rsidRPr="00E32F88" w:rsidRDefault="00E32F88" w:rsidP="000F40FC">
      <w:pPr>
        <w:pStyle w:val="SingleTxt"/>
        <w:numPr>
          <w:ilvl w:val="0"/>
          <w:numId w:val="15"/>
        </w:numPr>
        <w:spacing w:line="240" w:lineRule="exact"/>
        <w:rPr>
          <w:lang w:val="fr-FR"/>
        </w:rPr>
      </w:pPr>
      <w:r w:rsidRPr="00E32F88">
        <w:rPr>
          <w:lang w:val="fr-FR"/>
        </w:rPr>
        <w:t>Le Comité prend note des efforts déployés par l</w:t>
      </w:r>
      <w:r w:rsidR="00300867">
        <w:rPr>
          <w:lang w:val="fr-FR"/>
        </w:rPr>
        <w:t>’</w:t>
      </w:r>
      <w:r w:rsidRPr="00E32F88">
        <w:rPr>
          <w:lang w:val="fr-FR"/>
        </w:rPr>
        <w:t>État partie pour favoriser l</w:t>
      </w:r>
      <w:r w:rsidR="00300867">
        <w:rPr>
          <w:lang w:val="fr-FR"/>
        </w:rPr>
        <w:t>’</w:t>
      </w:r>
      <w:r w:rsidRPr="00E32F88">
        <w:rPr>
          <w:lang w:val="fr-FR"/>
        </w:rPr>
        <w:t>égalité d</w:t>
      </w:r>
      <w:r w:rsidR="00300867">
        <w:rPr>
          <w:lang w:val="fr-FR"/>
        </w:rPr>
        <w:t>’</w:t>
      </w:r>
      <w:r w:rsidRPr="00E32F88">
        <w:rPr>
          <w:lang w:val="fr-FR"/>
        </w:rPr>
        <w:t>accès des femmes et des hommes à l</w:t>
      </w:r>
      <w:r w:rsidR="00300867">
        <w:rPr>
          <w:lang w:val="fr-FR"/>
        </w:rPr>
        <w:t>’</w:t>
      </w:r>
      <w:r w:rsidRPr="00E32F88">
        <w:rPr>
          <w:lang w:val="fr-FR"/>
        </w:rPr>
        <w:t xml:space="preserve">emploi et à la rémunération, </w:t>
      </w:r>
      <w:r w:rsidRPr="00E32F88">
        <w:rPr>
          <w:lang w:val="fr-FR"/>
        </w:rPr>
        <w:lastRenderedPageBreak/>
        <w:t>notamment le programme « Mon premier emploi décent » et le programme d</w:t>
      </w:r>
      <w:r w:rsidR="00300867">
        <w:rPr>
          <w:lang w:val="fr-FR"/>
        </w:rPr>
        <w:t>’</w:t>
      </w:r>
      <w:r w:rsidRPr="00E32F88">
        <w:rPr>
          <w:lang w:val="fr-FR"/>
        </w:rPr>
        <w:t>aide à l</w:t>
      </w:r>
      <w:r w:rsidR="00300867">
        <w:rPr>
          <w:lang w:val="fr-FR"/>
        </w:rPr>
        <w:t>’</w:t>
      </w:r>
      <w:r w:rsidRPr="00E32F88">
        <w:rPr>
          <w:lang w:val="fr-FR"/>
        </w:rPr>
        <w:t>emploi. Il reste toutefois préoccupé par</w:t>
      </w:r>
      <w:r w:rsidR="00300867">
        <w:rPr>
          <w:lang w:val="fr-FR"/>
        </w:rPr>
        <w:t> :</w:t>
      </w:r>
    </w:p>
    <w:p w14:paraId="1DFE992F" w14:textId="7178052A" w:rsidR="00E32F88" w:rsidRPr="00E32F88" w:rsidRDefault="00E32F88" w:rsidP="00E32F88">
      <w:pPr>
        <w:pStyle w:val="SingleTxt"/>
        <w:rPr>
          <w:lang w:val="fr-FR"/>
        </w:rPr>
      </w:pPr>
      <w:r w:rsidRPr="00E32F88">
        <w:rPr>
          <w:lang w:val="fr-FR"/>
        </w:rPr>
        <w:tab/>
        <w:t>a)</w:t>
      </w:r>
      <w:r w:rsidRPr="00E32F88">
        <w:rPr>
          <w:lang w:val="fr-FR"/>
        </w:rPr>
        <w:tab/>
        <w:t>la concentration des femmes dans l</w:t>
      </w:r>
      <w:r w:rsidR="00300867">
        <w:rPr>
          <w:lang w:val="fr-FR"/>
        </w:rPr>
        <w:t>’</w:t>
      </w:r>
      <w:r w:rsidRPr="00E32F88">
        <w:rPr>
          <w:lang w:val="fr-FR"/>
        </w:rPr>
        <w:t>économie informelle, dans des emplois précaires et temporaires, sans accès à la protection sociale, en particulier depuis le début de la pandémie de COVID-19</w:t>
      </w:r>
      <w:r w:rsidR="00300867">
        <w:rPr>
          <w:lang w:val="fr-FR"/>
        </w:rPr>
        <w:t> ;</w:t>
      </w:r>
    </w:p>
    <w:p w14:paraId="4B475B45" w14:textId="386F97CF" w:rsidR="00E32F88" w:rsidRPr="00E32F88" w:rsidRDefault="00E32F88" w:rsidP="00E32F88">
      <w:pPr>
        <w:pStyle w:val="SingleTxt"/>
        <w:rPr>
          <w:lang w:val="fr-FR"/>
        </w:rPr>
      </w:pPr>
      <w:r w:rsidRPr="00E32F88">
        <w:rPr>
          <w:lang w:val="fr-FR"/>
        </w:rPr>
        <w:tab/>
        <w:t>b)</w:t>
      </w:r>
      <w:r w:rsidRPr="00E32F88">
        <w:rPr>
          <w:lang w:val="fr-FR"/>
        </w:rPr>
        <w:tab/>
        <w:t>l</w:t>
      </w:r>
      <w:r w:rsidR="00300867">
        <w:rPr>
          <w:lang w:val="fr-FR"/>
        </w:rPr>
        <w:t>’</w:t>
      </w:r>
      <w:r w:rsidRPr="00E32F88">
        <w:rPr>
          <w:lang w:val="fr-FR"/>
        </w:rPr>
        <w:t>écart de rémunération persistant entre les femmes et les hommes</w:t>
      </w:r>
      <w:r w:rsidR="00300867">
        <w:rPr>
          <w:lang w:val="fr-FR"/>
        </w:rPr>
        <w:t> ;</w:t>
      </w:r>
    </w:p>
    <w:p w14:paraId="0B854395" w14:textId="5878C012" w:rsidR="00E32F88" w:rsidRPr="00E32F88" w:rsidRDefault="00E32F88" w:rsidP="00E32F88">
      <w:pPr>
        <w:pStyle w:val="SingleTxt"/>
        <w:rPr>
          <w:lang w:val="fr-FR"/>
        </w:rPr>
      </w:pPr>
      <w:r w:rsidRPr="00E32F88">
        <w:rPr>
          <w:lang w:val="fr-FR"/>
        </w:rPr>
        <w:tab/>
        <w:t>c)</w:t>
      </w:r>
      <w:r w:rsidRPr="00E32F88">
        <w:rPr>
          <w:lang w:val="fr-FR"/>
        </w:rPr>
        <w:tab/>
        <w:t>l</w:t>
      </w:r>
      <w:r w:rsidR="00300867">
        <w:rPr>
          <w:lang w:val="fr-FR"/>
        </w:rPr>
        <w:t>’</w:t>
      </w:r>
      <w:r w:rsidRPr="00E32F88">
        <w:rPr>
          <w:lang w:val="fr-FR"/>
        </w:rPr>
        <w:t>insuffisance des mesures de protection des femmes contre le harcèlement sexuel sur le lieu de travail</w:t>
      </w:r>
      <w:r w:rsidR="00300867">
        <w:rPr>
          <w:lang w:val="fr-FR"/>
        </w:rPr>
        <w:t> ;</w:t>
      </w:r>
    </w:p>
    <w:p w14:paraId="127E529F" w14:textId="1CD582DE" w:rsidR="00E32F88" w:rsidRPr="00E32F88" w:rsidRDefault="00E32F88" w:rsidP="00E32F88">
      <w:pPr>
        <w:pStyle w:val="SingleTxt"/>
        <w:rPr>
          <w:lang w:val="fr-FR"/>
        </w:rPr>
      </w:pPr>
      <w:r w:rsidRPr="00E32F88">
        <w:rPr>
          <w:lang w:val="fr-FR"/>
        </w:rPr>
        <w:tab/>
        <w:t>d)</w:t>
      </w:r>
      <w:r w:rsidRPr="00E32F88">
        <w:rPr>
          <w:lang w:val="fr-FR"/>
        </w:rPr>
        <w:tab/>
        <w:t>le contrôle insuffisant dont font l</w:t>
      </w:r>
      <w:r w:rsidR="00300867">
        <w:rPr>
          <w:lang w:val="fr-FR"/>
        </w:rPr>
        <w:t>’</w:t>
      </w:r>
      <w:r w:rsidRPr="00E32F88">
        <w:rPr>
          <w:lang w:val="fr-FR"/>
        </w:rPr>
        <w:t>objet la protection sociale et les droits du travail des employées de maison</w:t>
      </w:r>
      <w:r w:rsidR="00300867">
        <w:rPr>
          <w:lang w:val="fr-FR"/>
        </w:rPr>
        <w:t> ;</w:t>
      </w:r>
    </w:p>
    <w:p w14:paraId="133446AD" w14:textId="122310ED" w:rsidR="00E32F88" w:rsidRPr="00E32F88" w:rsidRDefault="00E32F88" w:rsidP="00E32F88">
      <w:pPr>
        <w:pStyle w:val="SingleTxt"/>
        <w:rPr>
          <w:lang w:val="fr-FR"/>
        </w:rPr>
      </w:pPr>
      <w:r w:rsidRPr="00E32F88">
        <w:rPr>
          <w:lang w:val="fr-FR"/>
        </w:rPr>
        <w:tab/>
        <w:t>e)</w:t>
      </w:r>
      <w:r w:rsidRPr="00E32F88">
        <w:rPr>
          <w:lang w:val="fr-FR"/>
        </w:rPr>
        <w:tab/>
        <w:t>le manque de reconnaissance du travail domestique et des soins fournis par les femmes</w:t>
      </w:r>
      <w:r w:rsidR="00300867">
        <w:rPr>
          <w:lang w:val="fr-FR"/>
        </w:rPr>
        <w:t> ;</w:t>
      </w:r>
    </w:p>
    <w:p w14:paraId="57881511" w14:textId="6563E93E" w:rsidR="00E32F88" w:rsidRPr="00E32F88" w:rsidRDefault="00E32F88" w:rsidP="00E32F88">
      <w:pPr>
        <w:pStyle w:val="SingleTxt"/>
        <w:rPr>
          <w:lang w:val="fr-FR"/>
        </w:rPr>
      </w:pPr>
      <w:r w:rsidRPr="00E32F88">
        <w:rPr>
          <w:lang w:val="fr-FR"/>
        </w:rPr>
        <w:tab/>
        <w:t>f)</w:t>
      </w:r>
      <w:r w:rsidRPr="00E32F88">
        <w:rPr>
          <w:lang w:val="fr-FR"/>
        </w:rPr>
        <w:tab/>
        <w:t>le taux de chômage élevé des femmes handicapées et l</w:t>
      </w:r>
      <w:r w:rsidR="00300867">
        <w:rPr>
          <w:lang w:val="fr-FR"/>
        </w:rPr>
        <w:t>’</w:t>
      </w:r>
      <w:r w:rsidRPr="00E32F88">
        <w:rPr>
          <w:lang w:val="fr-FR"/>
        </w:rPr>
        <w:t>application insuffisante de quotas d</w:t>
      </w:r>
      <w:r w:rsidR="00300867">
        <w:rPr>
          <w:lang w:val="fr-FR"/>
        </w:rPr>
        <w:t>’</w:t>
      </w:r>
      <w:r w:rsidRPr="00E32F88">
        <w:rPr>
          <w:lang w:val="fr-FR"/>
        </w:rPr>
        <w:t>emploi les concernant dans les secteurs public et privé.</w:t>
      </w:r>
    </w:p>
    <w:p w14:paraId="1A9D0C30" w14:textId="144F6DAC" w:rsidR="00E32F88" w:rsidRPr="004516D8" w:rsidRDefault="00E32F88" w:rsidP="000F40FC">
      <w:pPr>
        <w:pStyle w:val="SingleTxt"/>
        <w:numPr>
          <w:ilvl w:val="0"/>
          <w:numId w:val="15"/>
        </w:numPr>
        <w:spacing w:line="240" w:lineRule="exact"/>
        <w:rPr>
          <w:b/>
          <w:bCs/>
          <w:lang w:val="fr-FR"/>
        </w:rPr>
      </w:pPr>
      <w:r w:rsidRPr="004516D8">
        <w:rPr>
          <w:b/>
          <w:bCs/>
          <w:lang w:val="fr-FR"/>
        </w:rPr>
        <w:t>Le Comité recommande à l</w:t>
      </w:r>
      <w:r w:rsidR="00300867">
        <w:rPr>
          <w:b/>
          <w:bCs/>
          <w:lang w:val="fr-FR"/>
        </w:rPr>
        <w:t>’</w:t>
      </w:r>
      <w:r w:rsidRPr="004516D8">
        <w:rPr>
          <w:b/>
          <w:bCs/>
          <w:lang w:val="fr-FR"/>
        </w:rPr>
        <w:t>État partie</w:t>
      </w:r>
      <w:r w:rsidR="00300867">
        <w:rPr>
          <w:b/>
          <w:bCs/>
          <w:lang w:val="fr-FR"/>
        </w:rPr>
        <w:t> :</w:t>
      </w:r>
    </w:p>
    <w:p w14:paraId="15E94D34" w14:textId="367B694E"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w:t>
      </w:r>
      <w:r w:rsidR="00300867">
        <w:rPr>
          <w:b/>
          <w:bCs/>
          <w:lang w:val="fr-FR"/>
        </w:rPr>
        <w:t>’</w:t>
      </w:r>
      <w:r w:rsidRPr="00E32F88">
        <w:rPr>
          <w:b/>
          <w:bCs/>
          <w:lang w:val="fr-FR"/>
        </w:rPr>
        <w:t>adopter des mesures ciblées pour promouvoir l</w:t>
      </w:r>
      <w:r w:rsidR="00300867">
        <w:rPr>
          <w:b/>
          <w:bCs/>
          <w:lang w:val="fr-FR"/>
        </w:rPr>
        <w:t>’</w:t>
      </w:r>
      <w:r w:rsidRPr="00E32F88">
        <w:rPr>
          <w:b/>
          <w:bCs/>
          <w:lang w:val="fr-FR"/>
        </w:rPr>
        <w:t>accès des femmes à l</w:t>
      </w:r>
      <w:r w:rsidR="00300867">
        <w:rPr>
          <w:b/>
          <w:bCs/>
          <w:lang w:val="fr-FR"/>
        </w:rPr>
        <w:t>’</w:t>
      </w:r>
      <w:r w:rsidRPr="00E32F88">
        <w:rPr>
          <w:b/>
          <w:bCs/>
          <w:lang w:val="fr-FR"/>
        </w:rPr>
        <w:t>emploi formel, notamment aux postes de direction et aux emplois mieux rémunérés dans des professions traditionnellement dominées par les hommes, et pour atténuer les effets de la pandémie de COVID-19 sur les femmes sur le marché du travail</w:t>
      </w:r>
      <w:r w:rsidR="00300867">
        <w:rPr>
          <w:b/>
          <w:bCs/>
          <w:lang w:val="fr-FR"/>
        </w:rPr>
        <w:t> ;</w:t>
      </w:r>
    </w:p>
    <w:p w14:paraId="32438D79" w14:textId="50771371"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w:t>
      </w:r>
      <w:r w:rsidR="00300867">
        <w:rPr>
          <w:b/>
          <w:bCs/>
          <w:lang w:val="fr-FR"/>
        </w:rPr>
        <w:t>’</w:t>
      </w:r>
      <w:r w:rsidRPr="00E32F88">
        <w:rPr>
          <w:b/>
          <w:bCs/>
          <w:lang w:val="fr-FR"/>
        </w:rPr>
        <w:t>appliquer le principe « à travail égal, salaire égal » et d</w:t>
      </w:r>
      <w:r w:rsidR="00300867">
        <w:rPr>
          <w:b/>
          <w:bCs/>
          <w:lang w:val="fr-FR"/>
        </w:rPr>
        <w:t>’</w:t>
      </w:r>
      <w:r w:rsidRPr="00E32F88">
        <w:rPr>
          <w:b/>
          <w:bCs/>
          <w:lang w:val="fr-FR"/>
        </w:rPr>
        <w:t>éliminer la ségrégation des emplois, tant horizontale que verticale</w:t>
      </w:r>
      <w:r w:rsidR="00300867">
        <w:rPr>
          <w:b/>
          <w:bCs/>
          <w:lang w:val="fr-FR"/>
        </w:rPr>
        <w:t> ;</w:t>
      </w:r>
    </w:p>
    <w:p w14:paraId="64971CAB" w14:textId="27D605BB"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de renforcer les mécanismes de résolution des plaintes liées au travail pour lutter contre la discrimination fondée sur le sexe, y compris le harcèlement sexuel sur le lieu de travail, d</w:t>
      </w:r>
      <w:r w:rsidR="00300867">
        <w:rPr>
          <w:b/>
          <w:bCs/>
          <w:lang w:val="fr-FR"/>
        </w:rPr>
        <w:t>’</w:t>
      </w:r>
      <w:r w:rsidRPr="00E32F88">
        <w:rPr>
          <w:b/>
          <w:bCs/>
          <w:lang w:val="fr-FR"/>
        </w:rPr>
        <w:t>imposer des sanctions appropriées aux auteurs de ces actes, et d</w:t>
      </w:r>
      <w:r w:rsidR="00300867">
        <w:rPr>
          <w:b/>
          <w:bCs/>
          <w:lang w:val="fr-FR"/>
        </w:rPr>
        <w:t>’</w:t>
      </w:r>
      <w:r w:rsidRPr="00E32F88">
        <w:rPr>
          <w:b/>
          <w:bCs/>
          <w:lang w:val="fr-FR"/>
        </w:rPr>
        <w:t>envisager de ratifier la Convention de 2019 sur la violence et le harcèlement (n</w:t>
      </w:r>
      <w:r w:rsidRPr="00E32F88">
        <w:rPr>
          <w:b/>
          <w:bCs/>
          <w:vertAlign w:val="superscript"/>
          <w:lang w:val="fr-FR"/>
        </w:rPr>
        <w:t>o</w:t>
      </w:r>
      <w:r w:rsidRPr="00E32F88">
        <w:rPr>
          <w:b/>
          <w:bCs/>
          <w:lang w:val="fr-FR"/>
        </w:rPr>
        <w:t> 190) de l</w:t>
      </w:r>
      <w:r w:rsidR="00300867">
        <w:rPr>
          <w:b/>
          <w:bCs/>
          <w:lang w:val="fr-FR"/>
        </w:rPr>
        <w:t>’</w:t>
      </w:r>
      <w:r w:rsidRPr="00E32F88">
        <w:rPr>
          <w:b/>
          <w:bCs/>
          <w:lang w:val="fr-FR"/>
        </w:rPr>
        <w:t>Organisation internationale du Travail</w:t>
      </w:r>
      <w:r w:rsidR="00300867">
        <w:rPr>
          <w:b/>
          <w:bCs/>
          <w:lang w:val="fr-FR"/>
        </w:rPr>
        <w:t> ;</w:t>
      </w:r>
    </w:p>
    <w:p w14:paraId="1433B16D" w14:textId="09C5138E"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promouvoir le partage équitable des responsabilités familiales et domestiques entre les femmes et les hommes, d</w:t>
      </w:r>
      <w:r w:rsidR="00300867">
        <w:rPr>
          <w:b/>
          <w:bCs/>
          <w:lang w:val="fr-FR"/>
        </w:rPr>
        <w:t>’</w:t>
      </w:r>
      <w:r w:rsidRPr="00E32F88">
        <w:rPr>
          <w:b/>
          <w:bCs/>
          <w:lang w:val="fr-FR"/>
        </w:rPr>
        <w:t>accroître la disponibilité de structures de garde d</w:t>
      </w:r>
      <w:r w:rsidR="00300867">
        <w:rPr>
          <w:b/>
          <w:bCs/>
          <w:lang w:val="fr-FR"/>
        </w:rPr>
        <w:t>’</w:t>
      </w:r>
      <w:r w:rsidRPr="00E32F88">
        <w:rPr>
          <w:b/>
          <w:bCs/>
          <w:lang w:val="fr-FR"/>
        </w:rPr>
        <w:t>enfant abordables, d</w:t>
      </w:r>
      <w:r w:rsidR="00300867">
        <w:rPr>
          <w:b/>
          <w:bCs/>
          <w:lang w:val="fr-FR"/>
        </w:rPr>
        <w:t>’</w:t>
      </w:r>
      <w:r w:rsidRPr="00E32F88">
        <w:rPr>
          <w:b/>
          <w:bCs/>
          <w:lang w:val="fr-FR"/>
        </w:rPr>
        <w:t>aménager les modalités de travail des femmes et des hommes, et de concevoir une politique nationale globale en matière de soins</w:t>
      </w:r>
      <w:r w:rsidR="00300867">
        <w:rPr>
          <w:b/>
          <w:bCs/>
          <w:lang w:val="fr-FR"/>
        </w:rPr>
        <w:t> ;</w:t>
      </w:r>
    </w:p>
    <w:p w14:paraId="1E2A6C41" w14:textId="57F6A24C" w:rsidR="00E32F88" w:rsidRPr="00E32F88" w:rsidRDefault="00E32F88" w:rsidP="00E32F88">
      <w:pPr>
        <w:pStyle w:val="SingleTxt"/>
        <w:rPr>
          <w:b/>
          <w:bCs/>
          <w:lang w:val="fr-FR"/>
        </w:rPr>
      </w:pPr>
      <w:r w:rsidRPr="00E32F88">
        <w:rPr>
          <w:lang w:val="fr-FR"/>
        </w:rPr>
        <w:tab/>
        <w:t>e)</w:t>
      </w:r>
      <w:r w:rsidRPr="00E32F88">
        <w:rPr>
          <w:lang w:val="fr-FR"/>
        </w:rPr>
        <w:tab/>
      </w:r>
      <w:r w:rsidRPr="00E32F88">
        <w:rPr>
          <w:b/>
          <w:bCs/>
          <w:lang w:val="fr-FR"/>
        </w:rPr>
        <w:t>de reconnaître la valeur du travail domestique et des soins non rémunérés, en tenant compte de la contribution de ces tâches à l</w:t>
      </w:r>
      <w:r w:rsidR="00300867">
        <w:rPr>
          <w:b/>
          <w:bCs/>
          <w:lang w:val="fr-FR"/>
        </w:rPr>
        <w:t>’</w:t>
      </w:r>
      <w:r w:rsidRPr="00E32F88">
        <w:rPr>
          <w:b/>
          <w:bCs/>
          <w:lang w:val="fr-FR"/>
        </w:rPr>
        <w:t>économie et en les incluant dans la comptabilité nationale</w:t>
      </w:r>
      <w:r w:rsidR="00300867">
        <w:rPr>
          <w:b/>
          <w:bCs/>
          <w:lang w:val="fr-FR"/>
        </w:rPr>
        <w:t> ;</w:t>
      </w:r>
    </w:p>
    <w:p w14:paraId="5C87C24B" w14:textId="0FF46B8E" w:rsidR="00E32F88" w:rsidRPr="00E32F88" w:rsidRDefault="00E32F88" w:rsidP="00E32F88">
      <w:pPr>
        <w:pStyle w:val="SingleTxt"/>
        <w:rPr>
          <w:b/>
          <w:bCs/>
          <w:lang w:val="fr-FR"/>
        </w:rPr>
      </w:pPr>
      <w:r w:rsidRPr="00E32F88">
        <w:rPr>
          <w:lang w:val="fr-FR"/>
        </w:rPr>
        <w:tab/>
        <w:t>f)</w:t>
      </w:r>
      <w:r w:rsidRPr="00E32F88">
        <w:rPr>
          <w:lang w:val="fr-FR"/>
        </w:rPr>
        <w:tab/>
      </w:r>
      <w:r w:rsidRPr="00E32F88">
        <w:rPr>
          <w:b/>
          <w:bCs/>
          <w:lang w:val="fr-FR"/>
        </w:rPr>
        <w:t>de contrôler les conditions d</w:t>
      </w:r>
      <w:r w:rsidR="00300867">
        <w:rPr>
          <w:b/>
          <w:bCs/>
          <w:lang w:val="fr-FR"/>
        </w:rPr>
        <w:t>’</w:t>
      </w:r>
      <w:r w:rsidRPr="00E32F88">
        <w:rPr>
          <w:b/>
          <w:bCs/>
          <w:lang w:val="fr-FR"/>
        </w:rPr>
        <w:t>emploi des employées de maison et de veiller à ce qu</w:t>
      </w:r>
      <w:r w:rsidR="00300867">
        <w:rPr>
          <w:b/>
          <w:bCs/>
          <w:lang w:val="fr-FR"/>
        </w:rPr>
        <w:t>’</w:t>
      </w:r>
      <w:r w:rsidRPr="00E32F88">
        <w:rPr>
          <w:b/>
          <w:bCs/>
          <w:lang w:val="fr-FR"/>
        </w:rPr>
        <w:t>elles aient accès à la protection sociale, y compris à l</w:t>
      </w:r>
      <w:r w:rsidR="00300867">
        <w:rPr>
          <w:b/>
          <w:bCs/>
          <w:lang w:val="fr-FR"/>
        </w:rPr>
        <w:t>’</w:t>
      </w:r>
      <w:r w:rsidRPr="00E32F88">
        <w:rPr>
          <w:b/>
          <w:bCs/>
          <w:lang w:val="fr-FR"/>
        </w:rPr>
        <w:t>assurance maladie, et à des voies de recours efficaces et confidentielles pour déposer des plaintes concernant l</w:t>
      </w:r>
      <w:r w:rsidR="00300867">
        <w:rPr>
          <w:b/>
          <w:bCs/>
          <w:lang w:val="fr-FR"/>
        </w:rPr>
        <w:t>’</w:t>
      </w:r>
      <w:r w:rsidRPr="00E32F88">
        <w:rPr>
          <w:b/>
          <w:bCs/>
          <w:lang w:val="fr-FR"/>
        </w:rPr>
        <w:t>exploitation et les conditions de travail abusives</w:t>
      </w:r>
      <w:r w:rsidR="00300867">
        <w:rPr>
          <w:b/>
          <w:bCs/>
          <w:lang w:val="fr-FR"/>
        </w:rPr>
        <w:t> ;</w:t>
      </w:r>
    </w:p>
    <w:p w14:paraId="5F35986D" w14:textId="0451ED50" w:rsidR="00E32F88" w:rsidRPr="00E32F88" w:rsidRDefault="00E32F88" w:rsidP="00E32F88">
      <w:pPr>
        <w:pStyle w:val="SingleTxt"/>
        <w:rPr>
          <w:b/>
          <w:bCs/>
          <w:lang w:val="fr-FR"/>
        </w:rPr>
      </w:pPr>
      <w:r w:rsidRPr="00E32F88">
        <w:rPr>
          <w:lang w:val="fr-FR"/>
        </w:rPr>
        <w:tab/>
        <w:t>g)</w:t>
      </w:r>
      <w:r w:rsidRPr="00E32F88">
        <w:rPr>
          <w:lang w:val="fr-FR"/>
        </w:rPr>
        <w:tab/>
      </w:r>
      <w:r w:rsidRPr="00E32F88">
        <w:rPr>
          <w:b/>
          <w:bCs/>
          <w:lang w:val="fr-FR"/>
        </w:rPr>
        <w:t>de promouvoir l</w:t>
      </w:r>
      <w:r w:rsidR="00300867">
        <w:rPr>
          <w:b/>
          <w:bCs/>
          <w:lang w:val="fr-FR"/>
        </w:rPr>
        <w:t>’</w:t>
      </w:r>
      <w:r w:rsidRPr="00E32F88">
        <w:rPr>
          <w:b/>
          <w:bCs/>
          <w:lang w:val="fr-FR"/>
        </w:rPr>
        <w:t>emploi des femmes handicapées dans les secteurs public et privé, et de leur fournir des aménagements raisonnables sur le marché du travail général.</w:t>
      </w:r>
    </w:p>
    <w:p w14:paraId="26257DFE" w14:textId="788F86B9" w:rsidR="00E32F88" w:rsidRPr="004516D8" w:rsidRDefault="00E32F88" w:rsidP="004516D8">
      <w:pPr>
        <w:pStyle w:val="SingleTxt"/>
        <w:spacing w:after="0" w:line="120" w:lineRule="exact"/>
        <w:rPr>
          <w:sz w:val="10"/>
          <w:lang w:val="fr-FR"/>
        </w:rPr>
      </w:pPr>
    </w:p>
    <w:p w14:paraId="075F3E70" w14:textId="77777777" w:rsidR="00E32F88" w:rsidRPr="00E32F88" w:rsidRDefault="00E32F88" w:rsidP="00451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Santé</w:t>
      </w:r>
    </w:p>
    <w:p w14:paraId="6BEAF4E6" w14:textId="1BBFC71F" w:rsidR="00E32F88" w:rsidRPr="004516D8" w:rsidRDefault="00E32F88" w:rsidP="004516D8">
      <w:pPr>
        <w:pStyle w:val="SingleTxt"/>
        <w:spacing w:after="0" w:line="120" w:lineRule="exact"/>
        <w:rPr>
          <w:sz w:val="10"/>
          <w:lang w:val="fr-FR"/>
        </w:rPr>
      </w:pPr>
    </w:p>
    <w:p w14:paraId="2FC20DD2" w14:textId="1A4A12C3" w:rsidR="00E32F88" w:rsidRPr="00E32F88" w:rsidRDefault="00E32F88" w:rsidP="000F40FC">
      <w:pPr>
        <w:pStyle w:val="SingleTxt"/>
        <w:numPr>
          <w:ilvl w:val="0"/>
          <w:numId w:val="16"/>
        </w:numPr>
        <w:spacing w:line="240" w:lineRule="exact"/>
        <w:rPr>
          <w:lang w:val="fr-FR"/>
        </w:rPr>
      </w:pPr>
      <w:r w:rsidRPr="00E32F88">
        <w:rPr>
          <w:lang w:val="fr-FR"/>
        </w:rPr>
        <w:t>Le Comité prend note des mesures prises par l</w:t>
      </w:r>
      <w:r w:rsidR="00300867">
        <w:rPr>
          <w:lang w:val="fr-FR"/>
        </w:rPr>
        <w:t>’</w:t>
      </w:r>
      <w:r w:rsidRPr="00E32F88">
        <w:rPr>
          <w:lang w:val="fr-FR"/>
        </w:rPr>
        <w:t>État partie pour étendre les services gratuits de santé sexuelle et procréative à toutes les femmes, quel que soit leur âge, par l</w:t>
      </w:r>
      <w:r w:rsidR="00300867">
        <w:rPr>
          <w:lang w:val="fr-FR"/>
        </w:rPr>
        <w:t>’</w:t>
      </w:r>
      <w:r w:rsidRPr="00E32F88">
        <w:rPr>
          <w:lang w:val="fr-FR"/>
        </w:rPr>
        <w:t xml:space="preserve">intermédiaire du Système unique de santé. Il se félicite des campagnes </w:t>
      </w:r>
      <w:r w:rsidRPr="00E32F88">
        <w:rPr>
          <w:lang w:val="fr-FR"/>
        </w:rPr>
        <w:lastRenderedPageBreak/>
        <w:t>visant à promouvoir l</w:t>
      </w:r>
      <w:r w:rsidR="00300867">
        <w:rPr>
          <w:lang w:val="fr-FR"/>
        </w:rPr>
        <w:t>’</w:t>
      </w:r>
      <w:r w:rsidRPr="00E32F88">
        <w:rPr>
          <w:lang w:val="fr-FR"/>
        </w:rPr>
        <w:t>utilisation de méthodes contraceptives modernes, conformément à l</w:t>
      </w:r>
      <w:r w:rsidR="00300867">
        <w:rPr>
          <w:lang w:val="fr-FR"/>
        </w:rPr>
        <w:t>’</w:t>
      </w:r>
      <w:r w:rsidRPr="00E32F88">
        <w:rPr>
          <w:lang w:val="fr-FR"/>
        </w:rPr>
        <w:t>arrêt de la Cour interaméricaine des droits de l</w:t>
      </w:r>
      <w:r w:rsidR="00300867">
        <w:rPr>
          <w:lang w:val="fr-FR"/>
        </w:rPr>
        <w:t>’</w:t>
      </w:r>
      <w:r w:rsidRPr="00E32F88">
        <w:rPr>
          <w:lang w:val="fr-FR"/>
        </w:rPr>
        <w:t>homme dans l</w:t>
      </w:r>
      <w:r w:rsidR="00300867">
        <w:rPr>
          <w:lang w:val="fr-FR"/>
        </w:rPr>
        <w:t>’</w:t>
      </w:r>
      <w:r w:rsidRPr="00E32F88">
        <w:rPr>
          <w:lang w:val="fr-FR"/>
        </w:rPr>
        <w:t xml:space="preserve">affaire </w:t>
      </w:r>
      <w:r w:rsidRPr="00E32F88">
        <w:rPr>
          <w:i/>
          <w:iCs/>
          <w:lang w:val="fr-FR"/>
        </w:rPr>
        <w:t>IV* </w:t>
      </w:r>
      <w:r w:rsidRPr="000F40FC">
        <w:rPr>
          <w:lang w:val="fr-FR"/>
        </w:rPr>
        <w:t>c</w:t>
      </w:r>
      <w:r w:rsidRPr="00E32F88">
        <w:rPr>
          <w:i/>
          <w:iCs/>
          <w:lang w:val="fr-FR"/>
        </w:rPr>
        <w:t>. Bolivie</w:t>
      </w:r>
      <w:r w:rsidRPr="00E32F88">
        <w:rPr>
          <w:lang w:val="fr-FR"/>
        </w:rPr>
        <w:t>. Le Comité est néanmoins préoccupé par ce qui suit</w:t>
      </w:r>
      <w:r w:rsidR="00300867">
        <w:rPr>
          <w:lang w:val="fr-FR"/>
        </w:rPr>
        <w:t> :</w:t>
      </w:r>
    </w:p>
    <w:p w14:paraId="42990B47" w14:textId="53D203FB" w:rsidR="00E32F88" w:rsidRPr="00E32F88" w:rsidRDefault="00E32F88" w:rsidP="00E32F88">
      <w:pPr>
        <w:pStyle w:val="SingleTxt"/>
        <w:rPr>
          <w:lang w:val="fr-FR"/>
        </w:rPr>
      </w:pPr>
      <w:r w:rsidRPr="00E32F88">
        <w:rPr>
          <w:lang w:val="fr-FR"/>
        </w:rPr>
        <w:tab/>
        <w:t>a)</w:t>
      </w:r>
      <w:r w:rsidRPr="00E32F88">
        <w:rPr>
          <w:lang w:val="fr-FR"/>
        </w:rPr>
        <w:tab/>
        <w:t>l</w:t>
      </w:r>
      <w:r w:rsidR="00300867">
        <w:rPr>
          <w:lang w:val="fr-FR"/>
        </w:rPr>
        <w:t>’</w:t>
      </w:r>
      <w:r w:rsidRPr="00E32F88">
        <w:rPr>
          <w:lang w:val="fr-FR"/>
        </w:rPr>
        <w:t>absence d</w:t>
      </w:r>
      <w:r w:rsidR="00300867">
        <w:rPr>
          <w:lang w:val="fr-FR"/>
        </w:rPr>
        <w:t>’</w:t>
      </w:r>
      <w:r w:rsidRPr="00E32F88">
        <w:rPr>
          <w:lang w:val="fr-FR"/>
        </w:rPr>
        <w:t>une loi et d</w:t>
      </w:r>
      <w:r w:rsidR="00300867">
        <w:rPr>
          <w:lang w:val="fr-FR"/>
        </w:rPr>
        <w:t>’</w:t>
      </w:r>
      <w:r w:rsidRPr="00E32F88">
        <w:rPr>
          <w:lang w:val="fr-FR"/>
        </w:rPr>
        <w:t>un plan stratégique concernant les droits liés à la sexualité et les droits en matière de procréation</w:t>
      </w:r>
      <w:r w:rsidR="00300867">
        <w:rPr>
          <w:lang w:val="fr-FR"/>
        </w:rPr>
        <w:t> ;</w:t>
      </w:r>
    </w:p>
    <w:p w14:paraId="04528268" w14:textId="1236D8B8" w:rsidR="00E32F88" w:rsidRPr="00E32F88" w:rsidRDefault="00E32F88" w:rsidP="00E32F88">
      <w:pPr>
        <w:pStyle w:val="SingleTxt"/>
        <w:rPr>
          <w:lang w:val="fr-FR"/>
        </w:rPr>
      </w:pPr>
      <w:r w:rsidRPr="00E32F88">
        <w:rPr>
          <w:lang w:val="fr-FR"/>
        </w:rPr>
        <w:tab/>
        <w:t>b)</w:t>
      </w:r>
      <w:r w:rsidRPr="00E32F88">
        <w:rPr>
          <w:lang w:val="fr-FR"/>
        </w:rPr>
        <w:tab/>
        <w:t>les taux élevés de mortalité maternelle et infantile dans l</w:t>
      </w:r>
      <w:r w:rsidR="00300867">
        <w:rPr>
          <w:lang w:val="fr-FR"/>
        </w:rPr>
        <w:t>’</w:t>
      </w:r>
      <w:r w:rsidRPr="00E32F88">
        <w:rPr>
          <w:lang w:val="fr-FR"/>
        </w:rPr>
        <w:t>État partie, en dépit d</w:t>
      </w:r>
      <w:r w:rsidR="00300867">
        <w:rPr>
          <w:lang w:val="fr-FR"/>
        </w:rPr>
        <w:t>’</w:t>
      </w:r>
      <w:r w:rsidRPr="00E32F88">
        <w:rPr>
          <w:lang w:val="fr-FR"/>
        </w:rPr>
        <w:t>une légère baisse, et les interruptions de l</w:t>
      </w:r>
      <w:r w:rsidR="00300867">
        <w:rPr>
          <w:lang w:val="fr-FR"/>
        </w:rPr>
        <w:t>’</w:t>
      </w:r>
      <w:r w:rsidRPr="00E32F88">
        <w:rPr>
          <w:lang w:val="fr-FR"/>
        </w:rPr>
        <w:t>accès aux accouchements assistés par du personnel qualifié et aux soins prénatals et postnatals pendant la pandémie</w:t>
      </w:r>
      <w:r w:rsidR="00300867">
        <w:rPr>
          <w:lang w:val="fr-FR"/>
        </w:rPr>
        <w:t> ;</w:t>
      </w:r>
    </w:p>
    <w:p w14:paraId="6C617A90" w14:textId="65B760AF" w:rsidR="00E32F88" w:rsidRPr="00E32F88" w:rsidRDefault="00E32F88" w:rsidP="00E32F88">
      <w:pPr>
        <w:pStyle w:val="SingleTxt"/>
        <w:rPr>
          <w:lang w:val="fr-FR"/>
        </w:rPr>
      </w:pPr>
      <w:r w:rsidRPr="00E32F88">
        <w:rPr>
          <w:lang w:val="fr-FR"/>
        </w:rPr>
        <w:tab/>
        <w:t>c)</w:t>
      </w:r>
      <w:r w:rsidRPr="00E32F88">
        <w:rPr>
          <w:lang w:val="fr-FR"/>
        </w:rPr>
        <w:tab/>
        <w:t>la criminalisation de l</w:t>
      </w:r>
      <w:r w:rsidR="00300867">
        <w:rPr>
          <w:lang w:val="fr-FR"/>
        </w:rPr>
        <w:t>’</w:t>
      </w:r>
      <w:r w:rsidRPr="00E32F88">
        <w:rPr>
          <w:lang w:val="fr-FR"/>
        </w:rPr>
        <w:t>avortement et les difficultés à mettre en œuvre l</w:t>
      </w:r>
      <w:r w:rsidR="00300867">
        <w:rPr>
          <w:lang w:val="fr-FR"/>
        </w:rPr>
        <w:t>’</w:t>
      </w:r>
      <w:r w:rsidRPr="00E32F88">
        <w:rPr>
          <w:lang w:val="fr-FR"/>
        </w:rPr>
        <w:t>arrêt n</w:t>
      </w:r>
      <w:r w:rsidRPr="00E32F88">
        <w:rPr>
          <w:vertAlign w:val="superscript"/>
          <w:lang w:val="fr-FR"/>
        </w:rPr>
        <w:t>o</w:t>
      </w:r>
      <w:r w:rsidRPr="00E32F88">
        <w:rPr>
          <w:lang w:val="fr-FR"/>
        </w:rPr>
        <w:t> 206/2014 de la Cour constitutionnelle plurinationale, qui supprime l</w:t>
      </w:r>
      <w:r w:rsidR="00300867">
        <w:rPr>
          <w:lang w:val="fr-FR"/>
        </w:rPr>
        <w:t>’</w:t>
      </w:r>
      <w:r w:rsidRPr="00E32F88">
        <w:rPr>
          <w:lang w:val="fr-FR"/>
        </w:rPr>
        <w:t>exigence d</w:t>
      </w:r>
      <w:r w:rsidR="00300867">
        <w:rPr>
          <w:lang w:val="fr-FR"/>
        </w:rPr>
        <w:t>’</w:t>
      </w:r>
      <w:r w:rsidRPr="00E32F88">
        <w:rPr>
          <w:lang w:val="fr-FR"/>
        </w:rPr>
        <w:t>une autorisation judiciaire pour accéder à l</w:t>
      </w:r>
      <w:r w:rsidR="00300867">
        <w:rPr>
          <w:lang w:val="fr-FR"/>
        </w:rPr>
        <w:t>’</w:t>
      </w:r>
      <w:r w:rsidRPr="00E32F88">
        <w:rPr>
          <w:lang w:val="fr-FR"/>
        </w:rPr>
        <w:t>avortement légal, ainsi que la méconnaissance de l</w:t>
      </w:r>
      <w:r w:rsidR="00300867">
        <w:rPr>
          <w:lang w:val="fr-FR"/>
        </w:rPr>
        <w:t>’</w:t>
      </w:r>
      <w:r w:rsidRPr="00E32F88">
        <w:rPr>
          <w:lang w:val="fr-FR"/>
        </w:rPr>
        <w:t>arrêt, le manque d</w:t>
      </w:r>
      <w:r w:rsidR="00300867">
        <w:rPr>
          <w:lang w:val="fr-FR"/>
        </w:rPr>
        <w:t>’</w:t>
      </w:r>
      <w:r w:rsidRPr="00E32F88">
        <w:rPr>
          <w:lang w:val="fr-FR"/>
        </w:rPr>
        <w:t>équipement, le taux élevé d</w:t>
      </w:r>
      <w:r w:rsidR="00300867">
        <w:rPr>
          <w:lang w:val="fr-FR"/>
        </w:rPr>
        <w:t>’</w:t>
      </w:r>
      <w:r w:rsidRPr="00E32F88">
        <w:rPr>
          <w:lang w:val="fr-FR"/>
        </w:rPr>
        <w:t>objection de conscience des médecins et la demande d</w:t>
      </w:r>
      <w:r w:rsidR="00300867">
        <w:rPr>
          <w:lang w:val="fr-FR"/>
        </w:rPr>
        <w:t>’</w:t>
      </w:r>
      <w:r w:rsidRPr="00E32F88">
        <w:rPr>
          <w:lang w:val="fr-FR"/>
        </w:rPr>
        <w:t>exigences supplémentaires</w:t>
      </w:r>
      <w:r w:rsidR="00300867">
        <w:rPr>
          <w:lang w:val="fr-FR"/>
        </w:rPr>
        <w:t> ;</w:t>
      </w:r>
    </w:p>
    <w:p w14:paraId="72A7DBA6" w14:textId="25F4E46C" w:rsidR="00E32F88" w:rsidRPr="00E32F88" w:rsidRDefault="00E32F88" w:rsidP="00E32F88">
      <w:pPr>
        <w:pStyle w:val="SingleTxt"/>
        <w:rPr>
          <w:lang w:val="fr-FR"/>
        </w:rPr>
      </w:pPr>
      <w:r w:rsidRPr="00E32F88">
        <w:rPr>
          <w:lang w:val="fr-FR"/>
        </w:rPr>
        <w:tab/>
        <w:t>d)</w:t>
      </w:r>
      <w:r w:rsidRPr="00E32F88">
        <w:rPr>
          <w:lang w:val="fr-FR"/>
        </w:rPr>
        <w:tab/>
        <w:t>l</w:t>
      </w:r>
      <w:r w:rsidR="00300867">
        <w:rPr>
          <w:lang w:val="fr-FR"/>
        </w:rPr>
        <w:t>’</w:t>
      </w:r>
      <w:r w:rsidRPr="00E32F88">
        <w:rPr>
          <w:lang w:val="fr-FR"/>
        </w:rPr>
        <w:t>accès limité des femmes et des filles à des méthodes de contraception modernes et abordables, en particulier dans les zones rurales, et les difficultés auxquelles les adolescentes font face lorsqu</w:t>
      </w:r>
      <w:r w:rsidR="00300867">
        <w:rPr>
          <w:lang w:val="fr-FR"/>
        </w:rPr>
        <w:t>’</w:t>
      </w:r>
      <w:r w:rsidRPr="00E32F88">
        <w:rPr>
          <w:lang w:val="fr-FR"/>
        </w:rPr>
        <w:t>elles souhaitent avoir des informations sur la santé sexuelle et procréative et les droits connexes</w:t>
      </w:r>
      <w:r w:rsidR="00300867">
        <w:rPr>
          <w:lang w:val="fr-FR"/>
        </w:rPr>
        <w:t> ;</w:t>
      </w:r>
    </w:p>
    <w:p w14:paraId="2CA25A87" w14:textId="7445F05B" w:rsidR="00E32F88" w:rsidRPr="00E32F88" w:rsidRDefault="00E32F88" w:rsidP="00E32F88">
      <w:pPr>
        <w:pStyle w:val="SingleTxt"/>
        <w:rPr>
          <w:lang w:val="fr-FR"/>
        </w:rPr>
      </w:pPr>
      <w:r w:rsidRPr="00E32F88">
        <w:rPr>
          <w:lang w:val="fr-FR"/>
        </w:rPr>
        <w:tab/>
        <w:t>e)</w:t>
      </w:r>
      <w:r w:rsidRPr="00E32F88">
        <w:rPr>
          <w:lang w:val="fr-FR"/>
        </w:rPr>
        <w:tab/>
        <w:t>le nombre élevé de grossesses précoces et l</w:t>
      </w:r>
      <w:r w:rsidR="00300867">
        <w:rPr>
          <w:lang w:val="fr-FR"/>
        </w:rPr>
        <w:t>’</w:t>
      </w:r>
      <w:r w:rsidRPr="00E32F88">
        <w:rPr>
          <w:lang w:val="fr-FR"/>
        </w:rPr>
        <w:t>absence dans les programmes scolaires d</w:t>
      </w:r>
      <w:r w:rsidR="00300867">
        <w:rPr>
          <w:lang w:val="fr-FR"/>
        </w:rPr>
        <w:t>’</w:t>
      </w:r>
      <w:r w:rsidRPr="00E32F88">
        <w:rPr>
          <w:lang w:val="fr-FR"/>
        </w:rPr>
        <w:t>un enseignement obligatoire sur la santé sexuelle et procréative et les droits connexes</w:t>
      </w:r>
      <w:r w:rsidR="00300867">
        <w:rPr>
          <w:lang w:val="fr-FR"/>
        </w:rPr>
        <w:t> ;</w:t>
      </w:r>
    </w:p>
    <w:p w14:paraId="6B77C42F" w14:textId="620D25BF" w:rsidR="00E32F88" w:rsidRPr="00E32F88" w:rsidRDefault="00E32F88" w:rsidP="00E32F88">
      <w:pPr>
        <w:pStyle w:val="SingleTxt"/>
        <w:rPr>
          <w:lang w:val="fr-FR"/>
        </w:rPr>
      </w:pPr>
      <w:r w:rsidRPr="00E32F88">
        <w:rPr>
          <w:lang w:val="fr-FR"/>
        </w:rPr>
        <w:tab/>
        <w:t>f)</w:t>
      </w:r>
      <w:r w:rsidRPr="00E32F88">
        <w:rPr>
          <w:lang w:val="fr-FR"/>
        </w:rPr>
        <w:tab/>
        <w:t>la couverture insuffisante de la politique de santé familiale communautaire interculturelle, les obstacles que doivent surmonter les femmes autochtones pour accéder à des services de santé abordables dans les zones rurales, notamment les longues distances, le manque d</w:t>
      </w:r>
      <w:r w:rsidR="00300867">
        <w:rPr>
          <w:lang w:val="fr-FR"/>
        </w:rPr>
        <w:t>’</w:t>
      </w:r>
      <w:r w:rsidRPr="00E32F88">
        <w:rPr>
          <w:lang w:val="fr-FR"/>
        </w:rPr>
        <w:t>accès à l</w:t>
      </w:r>
      <w:r w:rsidR="00300867">
        <w:rPr>
          <w:lang w:val="fr-FR"/>
        </w:rPr>
        <w:t>’</w:t>
      </w:r>
      <w:r w:rsidRPr="00E32F88">
        <w:rPr>
          <w:lang w:val="fr-FR"/>
        </w:rPr>
        <w:t>information et à des services culturellement adaptés, et les formes de discrimination croisée</w:t>
      </w:r>
      <w:r w:rsidR="00300867">
        <w:rPr>
          <w:lang w:val="fr-FR"/>
        </w:rPr>
        <w:t> ;</w:t>
      </w:r>
    </w:p>
    <w:p w14:paraId="6CAE226D" w14:textId="0110196A" w:rsidR="00E32F88" w:rsidRPr="00E32F88" w:rsidRDefault="00E32F88" w:rsidP="00E32F88">
      <w:pPr>
        <w:pStyle w:val="SingleTxt"/>
        <w:rPr>
          <w:lang w:val="fr-FR"/>
        </w:rPr>
      </w:pPr>
      <w:r w:rsidRPr="00E32F88">
        <w:rPr>
          <w:lang w:val="fr-FR"/>
        </w:rPr>
        <w:tab/>
        <w:t>g)</w:t>
      </w:r>
      <w:r w:rsidRPr="00E32F88">
        <w:rPr>
          <w:lang w:val="fr-FR"/>
        </w:rPr>
        <w:tab/>
        <w:t>l</w:t>
      </w:r>
      <w:r w:rsidR="00300867">
        <w:rPr>
          <w:lang w:val="fr-FR"/>
        </w:rPr>
        <w:t>’</w:t>
      </w:r>
      <w:r w:rsidRPr="00E32F88">
        <w:rPr>
          <w:lang w:val="fr-FR"/>
        </w:rPr>
        <w:t>accessibilité limitée des services de santé pour les femmes handicapées, le manque de personnel de santé ayant la formation voulue et les formes de discrimination croisée à l</w:t>
      </w:r>
      <w:r w:rsidR="00300867">
        <w:rPr>
          <w:lang w:val="fr-FR"/>
        </w:rPr>
        <w:t>’</w:t>
      </w:r>
      <w:r w:rsidRPr="00E32F88">
        <w:rPr>
          <w:lang w:val="fr-FR"/>
        </w:rPr>
        <w:t>égard des femmes handicapées dans le système de santé.</w:t>
      </w:r>
    </w:p>
    <w:p w14:paraId="6F6BAA67" w14:textId="74E7866C" w:rsidR="00E32F88" w:rsidRPr="000F40FC" w:rsidRDefault="00E32F88" w:rsidP="000F40FC">
      <w:pPr>
        <w:pStyle w:val="SingleTxt"/>
        <w:numPr>
          <w:ilvl w:val="0"/>
          <w:numId w:val="16"/>
        </w:numPr>
        <w:spacing w:line="240" w:lineRule="exact"/>
        <w:rPr>
          <w:b/>
          <w:bCs/>
          <w:lang w:val="fr-FR"/>
        </w:rPr>
      </w:pPr>
      <w:r w:rsidRPr="000F40FC">
        <w:rPr>
          <w:b/>
          <w:bCs/>
          <w:lang w:val="fr-FR"/>
        </w:rPr>
        <w:t>Le Comité recommande à l</w:t>
      </w:r>
      <w:r w:rsidR="00300867">
        <w:rPr>
          <w:b/>
          <w:bCs/>
          <w:lang w:val="fr-FR"/>
        </w:rPr>
        <w:t>’</w:t>
      </w:r>
      <w:r w:rsidRPr="000F40FC">
        <w:rPr>
          <w:b/>
          <w:bCs/>
          <w:lang w:val="fr-FR"/>
        </w:rPr>
        <w:t>État partie</w:t>
      </w:r>
      <w:r w:rsidR="00300867">
        <w:rPr>
          <w:b/>
          <w:bCs/>
          <w:lang w:val="fr-FR"/>
        </w:rPr>
        <w:t> :</w:t>
      </w:r>
    </w:p>
    <w:p w14:paraId="10752689" w14:textId="6C832775"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w:t>
      </w:r>
      <w:r w:rsidR="00300867">
        <w:rPr>
          <w:b/>
          <w:bCs/>
          <w:lang w:val="fr-FR"/>
        </w:rPr>
        <w:t>’</w:t>
      </w:r>
      <w:r w:rsidRPr="00E32F88">
        <w:rPr>
          <w:b/>
          <w:bCs/>
          <w:lang w:val="fr-FR"/>
        </w:rPr>
        <w:t>adopter une loi générale sur la santé sexuelle et procréative et un plan stratégique détaillé, assorti d</w:t>
      </w:r>
      <w:r w:rsidR="00300867">
        <w:rPr>
          <w:b/>
          <w:bCs/>
          <w:lang w:val="fr-FR"/>
        </w:rPr>
        <w:t>’</w:t>
      </w:r>
      <w:r w:rsidRPr="00E32F88">
        <w:rPr>
          <w:b/>
          <w:bCs/>
          <w:lang w:val="fr-FR"/>
        </w:rPr>
        <w:t>objectifs clairs, d</w:t>
      </w:r>
      <w:r w:rsidR="00300867">
        <w:rPr>
          <w:b/>
          <w:bCs/>
          <w:lang w:val="fr-FR"/>
        </w:rPr>
        <w:t>’</w:t>
      </w:r>
      <w:r w:rsidRPr="00E32F88">
        <w:rPr>
          <w:b/>
          <w:bCs/>
          <w:lang w:val="fr-FR"/>
        </w:rPr>
        <w:t>indicateurs et d</w:t>
      </w:r>
      <w:r w:rsidR="00300867">
        <w:rPr>
          <w:b/>
          <w:bCs/>
          <w:lang w:val="fr-FR"/>
        </w:rPr>
        <w:t>’</w:t>
      </w:r>
      <w:r w:rsidRPr="00E32F88">
        <w:rPr>
          <w:b/>
          <w:bCs/>
          <w:lang w:val="fr-FR"/>
        </w:rPr>
        <w:t>un système de suivi et bénéficiant d</w:t>
      </w:r>
      <w:r w:rsidR="00300867">
        <w:rPr>
          <w:b/>
          <w:bCs/>
          <w:lang w:val="fr-FR"/>
        </w:rPr>
        <w:t>’</w:t>
      </w:r>
      <w:r w:rsidRPr="00E32F88">
        <w:rPr>
          <w:b/>
          <w:bCs/>
          <w:lang w:val="fr-FR"/>
        </w:rPr>
        <w:t>une allocation budgétaire suffisante</w:t>
      </w:r>
      <w:r w:rsidR="00300867">
        <w:rPr>
          <w:b/>
          <w:bCs/>
          <w:lang w:val="fr-FR"/>
        </w:rPr>
        <w:t> ;</w:t>
      </w:r>
    </w:p>
    <w:p w14:paraId="795405A5" w14:textId="18DB8A7A"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redoubler d</w:t>
      </w:r>
      <w:r w:rsidR="00300867">
        <w:rPr>
          <w:b/>
          <w:bCs/>
          <w:lang w:val="fr-FR"/>
        </w:rPr>
        <w:t>’</w:t>
      </w:r>
      <w:r w:rsidRPr="00E32F88">
        <w:rPr>
          <w:b/>
          <w:bCs/>
          <w:lang w:val="fr-FR"/>
        </w:rPr>
        <w:t>efforts pour réduire le rapport de mortalité maternelle, notamment en améliorant, sur l</w:t>
      </w:r>
      <w:r w:rsidR="00300867">
        <w:rPr>
          <w:b/>
          <w:bCs/>
          <w:lang w:val="fr-FR"/>
        </w:rPr>
        <w:t>’</w:t>
      </w:r>
      <w:r w:rsidRPr="00E32F88">
        <w:rPr>
          <w:b/>
          <w:bCs/>
          <w:lang w:val="fr-FR"/>
        </w:rPr>
        <w:t>ensemble de son territoire, l</w:t>
      </w:r>
      <w:r w:rsidR="00300867">
        <w:rPr>
          <w:b/>
          <w:bCs/>
          <w:lang w:val="fr-FR"/>
        </w:rPr>
        <w:t>’</w:t>
      </w:r>
      <w:r w:rsidRPr="00E32F88">
        <w:rPr>
          <w:b/>
          <w:bCs/>
          <w:lang w:val="fr-FR"/>
        </w:rPr>
        <w:t>accès aux soins prénatals et postnatals et aux services obstétriques d</w:t>
      </w:r>
      <w:r w:rsidR="00300867">
        <w:rPr>
          <w:b/>
          <w:bCs/>
          <w:lang w:val="fr-FR"/>
        </w:rPr>
        <w:t>’</w:t>
      </w:r>
      <w:r w:rsidRPr="00E32F88">
        <w:rPr>
          <w:b/>
          <w:bCs/>
          <w:lang w:val="fr-FR"/>
        </w:rPr>
        <w:t>urgence fournis par du personnel d</w:t>
      </w:r>
      <w:r w:rsidR="00300867">
        <w:rPr>
          <w:b/>
          <w:bCs/>
          <w:lang w:val="fr-FR"/>
        </w:rPr>
        <w:t>’</w:t>
      </w:r>
      <w:r w:rsidRPr="00E32F88">
        <w:rPr>
          <w:b/>
          <w:bCs/>
          <w:lang w:val="fr-FR"/>
        </w:rPr>
        <w:t>accouchement qualifié</w:t>
      </w:r>
      <w:r w:rsidR="00300867">
        <w:rPr>
          <w:b/>
          <w:bCs/>
          <w:lang w:val="fr-FR"/>
        </w:rPr>
        <w:t> ;</w:t>
      </w:r>
    </w:p>
    <w:p w14:paraId="27698DC5" w14:textId="1D389FEC"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de veiller au respect de la décision de la Cour constitutionnelle d</w:t>
      </w:r>
      <w:r w:rsidR="00300867">
        <w:rPr>
          <w:b/>
          <w:bCs/>
          <w:lang w:val="fr-FR"/>
        </w:rPr>
        <w:t>’</w:t>
      </w:r>
      <w:r w:rsidRPr="00E32F88">
        <w:rPr>
          <w:b/>
          <w:bCs/>
          <w:lang w:val="fr-FR"/>
        </w:rPr>
        <w:t>abolir l</w:t>
      </w:r>
      <w:r w:rsidR="00300867">
        <w:rPr>
          <w:b/>
          <w:bCs/>
          <w:lang w:val="fr-FR"/>
        </w:rPr>
        <w:t>’</w:t>
      </w:r>
      <w:r w:rsidRPr="00E32F88">
        <w:rPr>
          <w:b/>
          <w:bCs/>
          <w:lang w:val="fr-FR"/>
        </w:rPr>
        <w:t>exigence d</w:t>
      </w:r>
      <w:r w:rsidR="00300867">
        <w:rPr>
          <w:b/>
          <w:bCs/>
          <w:lang w:val="fr-FR"/>
        </w:rPr>
        <w:t>’</w:t>
      </w:r>
      <w:r w:rsidRPr="00E32F88">
        <w:rPr>
          <w:b/>
          <w:bCs/>
          <w:lang w:val="fr-FR"/>
        </w:rPr>
        <w:t>une autorisation judiciaire pour l</w:t>
      </w:r>
      <w:r w:rsidR="00300867">
        <w:rPr>
          <w:b/>
          <w:bCs/>
          <w:lang w:val="fr-FR"/>
        </w:rPr>
        <w:t>’</w:t>
      </w:r>
      <w:r w:rsidRPr="00E32F88">
        <w:rPr>
          <w:b/>
          <w:bCs/>
          <w:lang w:val="fr-FR"/>
        </w:rPr>
        <w:t>avortement, et de garantir un accès effectif à l</w:t>
      </w:r>
      <w:r w:rsidR="00300867">
        <w:rPr>
          <w:b/>
          <w:bCs/>
          <w:lang w:val="fr-FR"/>
        </w:rPr>
        <w:t>’</w:t>
      </w:r>
      <w:r w:rsidRPr="00E32F88">
        <w:rPr>
          <w:b/>
          <w:bCs/>
          <w:lang w:val="fr-FR"/>
        </w:rPr>
        <w:t>avortement en cas de viol, d</w:t>
      </w:r>
      <w:r w:rsidR="00300867">
        <w:rPr>
          <w:b/>
          <w:bCs/>
          <w:lang w:val="fr-FR"/>
        </w:rPr>
        <w:t>’</w:t>
      </w:r>
      <w:r w:rsidRPr="00E32F88">
        <w:rPr>
          <w:b/>
          <w:bCs/>
          <w:lang w:val="fr-FR"/>
        </w:rPr>
        <w:t>inceste et de menaces pour la vie ou la santé de la femme enceinte</w:t>
      </w:r>
      <w:r w:rsidR="00300867">
        <w:rPr>
          <w:b/>
          <w:bCs/>
          <w:lang w:val="fr-FR"/>
        </w:rPr>
        <w:t> ;</w:t>
      </w:r>
      <w:r w:rsidRPr="00E32F88">
        <w:rPr>
          <w:lang w:val="fr-FR"/>
        </w:rPr>
        <w:t xml:space="preserve"> </w:t>
      </w:r>
      <w:r w:rsidRPr="00E32F88">
        <w:rPr>
          <w:b/>
          <w:bCs/>
          <w:lang w:val="fr-FR"/>
        </w:rPr>
        <w:t>de décriminaliser l</w:t>
      </w:r>
      <w:r w:rsidR="00300867">
        <w:rPr>
          <w:b/>
          <w:bCs/>
          <w:lang w:val="fr-FR"/>
        </w:rPr>
        <w:t>’</w:t>
      </w:r>
      <w:r w:rsidRPr="00E32F88">
        <w:rPr>
          <w:b/>
          <w:bCs/>
          <w:lang w:val="fr-FR"/>
        </w:rPr>
        <w:t>avortement dans tous les autres cas</w:t>
      </w:r>
      <w:r w:rsidR="00300867">
        <w:rPr>
          <w:b/>
          <w:bCs/>
          <w:lang w:val="fr-FR"/>
        </w:rPr>
        <w:t> ;</w:t>
      </w:r>
      <w:r w:rsidRPr="00E32F88">
        <w:rPr>
          <w:lang w:val="fr-FR"/>
        </w:rPr>
        <w:t xml:space="preserve"> </w:t>
      </w:r>
      <w:r w:rsidRPr="00E32F88">
        <w:rPr>
          <w:b/>
          <w:bCs/>
          <w:lang w:val="fr-FR"/>
        </w:rPr>
        <w:t>de veiller à ce que l</w:t>
      </w:r>
      <w:r w:rsidR="00300867">
        <w:rPr>
          <w:b/>
          <w:bCs/>
          <w:lang w:val="fr-FR"/>
        </w:rPr>
        <w:t>’</w:t>
      </w:r>
      <w:r w:rsidRPr="00E32F88">
        <w:rPr>
          <w:b/>
          <w:bCs/>
          <w:lang w:val="fr-FR"/>
        </w:rPr>
        <w:t>exercice de l</w:t>
      </w:r>
      <w:r w:rsidR="00300867">
        <w:rPr>
          <w:b/>
          <w:bCs/>
          <w:lang w:val="fr-FR"/>
        </w:rPr>
        <w:t>’</w:t>
      </w:r>
      <w:r w:rsidRPr="00E32F88">
        <w:rPr>
          <w:b/>
          <w:bCs/>
          <w:lang w:val="fr-FR"/>
        </w:rPr>
        <w:t>objection de conscience n</w:t>
      </w:r>
      <w:r w:rsidR="00300867">
        <w:rPr>
          <w:b/>
          <w:bCs/>
          <w:lang w:val="fr-FR"/>
        </w:rPr>
        <w:t>’</w:t>
      </w:r>
      <w:r w:rsidRPr="00E32F88">
        <w:rPr>
          <w:b/>
          <w:bCs/>
          <w:lang w:val="fr-FR"/>
        </w:rPr>
        <w:t>entrave pas l</w:t>
      </w:r>
      <w:r w:rsidR="00300867">
        <w:rPr>
          <w:b/>
          <w:bCs/>
          <w:lang w:val="fr-FR"/>
        </w:rPr>
        <w:t>’</w:t>
      </w:r>
      <w:r w:rsidRPr="00E32F88">
        <w:rPr>
          <w:b/>
          <w:bCs/>
          <w:lang w:val="fr-FR"/>
        </w:rPr>
        <w:t>accès réel des femmes aux services de santé sexuelle et procréative</w:t>
      </w:r>
      <w:r w:rsidR="00300867">
        <w:rPr>
          <w:b/>
          <w:bCs/>
          <w:lang w:val="fr-FR"/>
        </w:rPr>
        <w:t> ;</w:t>
      </w:r>
    </w:p>
    <w:p w14:paraId="177077BD" w14:textId="7F531CFE"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faire en sorte que toutes les femmes et les filles, en particulier dans les zones rurales, aient accès à des méthodes de contraception modernes et gratuites, y compris la contraception d</w:t>
      </w:r>
      <w:r w:rsidR="00300867">
        <w:rPr>
          <w:b/>
          <w:bCs/>
          <w:lang w:val="fr-FR"/>
        </w:rPr>
        <w:t>’</w:t>
      </w:r>
      <w:r w:rsidRPr="00E32F88">
        <w:rPr>
          <w:b/>
          <w:bCs/>
          <w:lang w:val="fr-FR"/>
        </w:rPr>
        <w:t>urgence, ainsi qu</w:t>
      </w:r>
      <w:r w:rsidR="00300867">
        <w:rPr>
          <w:b/>
          <w:bCs/>
          <w:lang w:val="fr-FR"/>
        </w:rPr>
        <w:t>’</w:t>
      </w:r>
      <w:r w:rsidRPr="00E32F88">
        <w:rPr>
          <w:b/>
          <w:bCs/>
          <w:lang w:val="fr-FR"/>
        </w:rPr>
        <w:t>à des informations et à des conseils sur la planification familiale</w:t>
      </w:r>
      <w:r w:rsidR="00300867">
        <w:rPr>
          <w:b/>
          <w:bCs/>
          <w:lang w:val="fr-FR"/>
        </w:rPr>
        <w:t> ;</w:t>
      </w:r>
    </w:p>
    <w:p w14:paraId="50AE57D7" w14:textId="45D40A47" w:rsidR="00E32F88" w:rsidRPr="00E32F88" w:rsidRDefault="00E32F88" w:rsidP="00E32F88">
      <w:pPr>
        <w:pStyle w:val="SingleTxt"/>
        <w:rPr>
          <w:b/>
          <w:bCs/>
          <w:lang w:val="fr-FR"/>
        </w:rPr>
      </w:pPr>
      <w:r w:rsidRPr="00E32F88">
        <w:rPr>
          <w:lang w:val="fr-FR"/>
        </w:rPr>
        <w:lastRenderedPageBreak/>
        <w:tab/>
        <w:t>e)</w:t>
      </w:r>
      <w:r w:rsidRPr="00E32F88">
        <w:rPr>
          <w:lang w:val="fr-FR"/>
        </w:rPr>
        <w:tab/>
      </w:r>
      <w:r w:rsidRPr="00E32F88">
        <w:rPr>
          <w:b/>
          <w:bCs/>
          <w:lang w:val="fr-FR"/>
        </w:rPr>
        <w:t>de renforcer la mise en œuvre de stratégies visant à prévenir les grossesses précoces, notamment par l</w:t>
      </w:r>
      <w:r w:rsidR="00300867">
        <w:rPr>
          <w:b/>
          <w:bCs/>
          <w:lang w:val="fr-FR"/>
        </w:rPr>
        <w:t>’</w:t>
      </w:r>
      <w:r w:rsidRPr="00E32F88">
        <w:rPr>
          <w:b/>
          <w:bCs/>
          <w:lang w:val="fr-FR"/>
        </w:rPr>
        <w:t>approbation d</w:t>
      </w:r>
      <w:r w:rsidR="00300867">
        <w:rPr>
          <w:b/>
          <w:bCs/>
          <w:lang w:val="fr-FR"/>
        </w:rPr>
        <w:t>’</w:t>
      </w:r>
      <w:r w:rsidRPr="00E32F88">
        <w:rPr>
          <w:b/>
          <w:bCs/>
          <w:lang w:val="fr-FR"/>
        </w:rPr>
        <w:t>un nouveau plan à cet effet et par une éducation complète sur la santé sexuelle et procréative et les droits connexes</w:t>
      </w:r>
      <w:r w:rsidR="00300867">
        <w:rPr>
          <w:b/>
          <w:bCs/>
          <w:lang w:val="fr-FR"/>
        </w:rPr>
        <w:t> ;</w:t>
      </w:r>
    </w:p>
    <w:p w14:paraId="4B6CA633" w14:textId="45866B19" w:rsidR="00E32F88" w:rsidRPr="00E32F88" w:rsidRDefault="00E32F88" w:rsidP="00E32F88">
      <w:pPr>
        <w:pStyle w:val="SingleTxt"/>
        <w:rPr>
          <w:b/>
          <w:bCs/>
          <w:lang w:val="fr-FR"/>
        </w:rPr>
      </w:pPr>
      <w:r w:rsidRPr="00E32F88">
        <w:rPr>
          <w:lang w:val="fr-FR"/>
        </w:rPr>
        <w:tab/>
        <w:t>f)</w:t>
      </w:r>
      <w:r w:rsidRPr="00E32F88">
        <w:rPr>
          <w:lang w:val="fr-FR"/>
        </w:rPr>
        <w:tab/>
      </w:r>
      <w:r w:rsidRPr="00E32F88">
        <w:rPr>
          <w:b/>
          <w:bCs/>
          <w:lang w:val="fr-FR"/>
        </w:rPr>
        <w:t>d</w:t>
      </w:r>
      <w:r w:rsidR="00300867">
        <w:rPr>
          <w:b/>
          <w:bCs/>
          <w:lang w:val="fr-FR"/>
        </w:rPr>
        <w:t>’</w:t>
      </w:r>
      <w:r w:rsidRPr="00E32F88">
        <w:rPr>
          <w:b/>
          <w:bCs/>
          <w:lang w:val="fr-FR"/>
        </w:rPr>
        <w:t>étendre le champ d</w:t>
      </w:r>
      <w:r w:rsidR="00300867">
        <w:rPr>
          <w:b/>
          <w:bCs/>
          <w:lang w:val="fr-FR"/>
        </w:rPr>
        <w:t>’</w:t>
      </w:r>
      <w:r w:rsidRPr="00E32F88">
        <w:rPr>
          <w:b/>
          <w:bCs/>
          <w:lang w:val="fr-FR"/>
        </w:rPr>
        <w:t>application de la politique de santé familiale communautaire interculturelle et d</w:t>
      </w:r>
      <w:r w:rsidR="00300867">
        <w:rPr>
          <w:b/>
          <w:bCs/>
          <w:lang w:val="fr-FR"/>
        </w:rPr>
        <w:t>’</w:t>
      </w:r>
      <w:r w:rsidRPr="00E32F88">
        <w:rPr>
          <w:b/>
          <w:bCs/>
          <w:lang w:val="fr-FR"/>
        </w:rPr>
        <w:t>allouer les ressources nécessaires pour garantir l</w:t>
      </w:r>
      <w:r w:rsidR="00300867">
        <w:rPr>
          <w:b/>
          <w:bCs/>
          <w:lang w:val="fr-FR"/>
        </w:rPr>
        <w:t>’</w:t>
      </w:r>
      <w:r w:rsidRPr="00E32F88">
        <w:rPr>
          <w:b/>
          <w:bCs/>
          <w:lang w:val="fr-FR"/>
        </w:rPr>
        <w:t>accès à des services de santé abordables et culturellement adaptés aux femmes et aux filles des zones rurales, ainsi qu</w:t>
      </w:r>
      <w:r w:rsidR="00300867">
        <w:rPr>
          <w:b/>
          <w:bCs/>
          <w:lang w:val="fr-FR"/>
        </w:rPr>
        <w:t>’</w:t>
      </w:r>
      <w:r w:rsidRPr="00E32F88">
        <w:rPr>
          <w:b/>
          <w:bCs/>
          <w:lang w:val="fr-FR"/>
        </w:rPr>
        <w:t>aux femmes autochtones et afro-boliviennes</w:t>
      </w:r>
      <w:r w:rsidR="00300867">
        <w:rPr>
          <w:b/>
          <w:bCs/>
          <w:lang w:val="fr-FR"/>
        </w:rPr>
        <w:t> ;</w:t>
      </w:r>
    </w:p>
    <w:p w14:paraId="2230DD3A" w14:textId="5AAD4A02" w:rsidR="00E32F88" w:rsidRPr="00E32F88" w:rsidRDefault="00E32F88" w:rsidP="00E32F88">
      <w:pPr>
        <w:pStyle w:val="SingleTxt"/>
        <w:rPr>
          <w:b/>
          <w:bCs/>
          <w:lang w:val="fr-FR"/>
        </w:rPr>
      </w:pPr>
      <w:r w:rsidRPr="00E32F88">
        <w:rPr>
          <w:lang w:val="fr-FR"/>
        </w:rPr>
        <w:tab/>
        <w:t>g)</w:t>
      </w:r>
      <w:r w:rsidRPr="00E32F88">
        <w:rPr>
          <w:lang w:val="fr-FR"/>
        </w:rPr>
        <w:tab/>
      </w:r>
      <w:r w:rsidRPr="00E32F88">
        <w:rPr>
          <w:b/>
          <w:bCs/>
          <w:lang w:val="fr-FR"/>
        </w:rPr>
        <w:t>de garantir l</w:t>
      </w:r>
      <w:r w:rsidR="00300867">
        <w:rPr>
          <w:b/>
          <w:bCs/>
          <w:lang w:val="fr-FR"/>
        </w:rPr>
        <w:t>’</w:t>
      </w:r>
      <w:r w:rsidRPr="00E32F88">
        <w:rPr>
          <w:b/>
          <w:bCs/>
          <w:lang w:val="fr-FR"/>
        </w:rPr>
        <w:t>accessibilité des services et des établissements de soins de santé aux femmes et aux filles handicapées, de former les professionnels de la santé à leurs besoins spécifiques à cet égard, y compris leurs droits en matière de santé sexuelle et procréative, et de sensibiliser aux formes de discrimination croisée auxquelles elles se heurtent dans le système de santé.</w:t>
      </w:r>
    </w:p>
    <w:p w14:paraId="47A3C6B9" w14:textId="4584B02D" w:rsidR="00E32F88" w:rsidRPr="000F40FC" w:rsidRDefault="00E32F88" w:rsidP="000F40FC">
      <w:pPr>
        <w:pStyle w:val="SingleTxt"/>
        <w:spacing w:after="0" w:line="120" w:lineRule="exact"/>
        <w:rPr>
          <w:sz w:val="10"/>
          <w:lang w:val="fr-FR"/>
        </w:rPr>
      </w:pPr>
    </w:p>
    <w:p w14:paraId="710B7A13" w14:textId="77777777" w:rsidR="00E32F88" w:rsidRPr="00E32F88" w:rsidRDefault="00E32F88" w:rsidP="000F40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Autonomisation économique</w:t>
      </w:r>
    </w:p>
    <w:p w14:paraId="6057270F" w14:textId="3256C857" w:rsidR="00E32F88" w:rsidRPr="000F40FC" w:rsidRDefault="00E32F88" w:rsidP="000F40FC">
      <w:pPr>
        <w:pStyle w:val="SingleTxt"/>
        <w:spacing w:after="0" w:line="120" w:lineRule="exact"/>
        <w:rPr>
          <w:sz w:val="10"/>
          <w:lang w:val="fr-FR"/>
        </w:rPr>
      </w:pPr>
    </w:p>
    <w:p w14:paraId="0A82438B" w14:textId="25DD0516" w:rsidR="00E32F88" w:rsidRPr="00E32F88" w:rsidRDefault="00E32F88" w:rsidP="002366E8">
      <w:pPr>
        <w:pStyle w:val="SingleTxt"/>
        <w:numPr>
          <w:ilvl w:val="0"/>
          <w:numId w:val="18"/>
        </w:numPr>
        <w:spacing w:line="240" w:lineRule="exact"/>
        <w:rPr>
          <w:lang w:val="fr-FR"/>
        </w:rPr>
      </w:pPr>
      <w:r w:rsidRPr="00E32F88">
        <w:rPr>
          <w:lang w:val="fr-FR"/>
        </w:rPr>
        <w:t>Le Comité se félicite des initiatives lancées en faveur des femmes, entre autres, par la Banque pour le développement productif, telles que le Fonds de capitaux de démarrage et les crédits accordés dans le cadre du projet « Jefa de hogar » (femme chef de famille). Il prend note de la stratégie en faveur de l</w:t>
      </w:r>
      <w:r w:rsidR="00300867">
        <w:rPr>
          <w:lang w:val="fr-FR"/>
        </w:rPr>
        <w:t>’</w:t>
      </w:r>
      <w:r w:rsidRPr="00E32F88">
        <w:rPr>
          <w:lang w:val="fr-FR"/>
        </w:rPr>
        <w:t>égalité des genres visant à autonomiser les femmes dans les secteurs productif, industriel et commercial et du projet de renforcement de l</w:t>
      </w:r>
      <w:r w:rsidR="00300867">
        <w:rPr>
          <w:lang w:val="fr-FR"/>
        </w:rPr>
        <w:t>’</w:t>
      </w:r>
      <w:r w:rsidRPr="00E32F88">
        <w:rPr>
          <w:lang w:val="fr-FR"/>
        </w:rPr>
        <w:t>autonomisation des femmes dans le nord de la région amazonienne. Toutefois, le Comité est préoccupé par la faible proportion de femmes dans la population économiquement active ayant accès à une forme de crédit, et par l</w:t>
      </w:r>
      <w:r w:rsidR="00300867">
        <w:rPr>
          <w:lang w:val="fr-FR"/>
        </w:rPr>
        <w:t>’</w:t>
      </w:r>
      <w:r w:rsidRPr="00E32F88">
        <w:rPr>
          <w:lang w:val="fr-FR"/>
        </w:rPr>
        <w:t>insuffisance des mesures visant à garantir que les femmes autochtones et rurales bénéficient de la mise en œuvre de projets de développement sur leur territoire. Il note en outre le manque de prise en compte des questions de genre dans des programmes tels que le Fonds de développement autochtone.</w:t>
      </w:r>
    </w:p>
    <w:p w14:paraId="4265DDD9" w14:textId="784E8720" w:rsidR="00E32F88" w:rsidRPr="002366E8" w:rsidRDefault="00E32F88" w:rsidP="002366E8">
      <w:pPr>
        <w:pStyle w:val="SingleTxt"/>
        <w:numPr>
          <w:ilvl w:val="0"/>
          <w:numId w:val="18"/>
        </w:numPr>
        <w:spacing w:line="240" w:lineRule="exact"/>
        <w:rPr>
          <w:b/>
          <w:bCs/>
          <w:lang w:val="fr-FR"/>
        </w:rPr>
      </w:pPr>
      <w:r w:rsidRPr="002366E8">
        <w:rPr>
          <w:b/>
          <w:bCs/>
          <w:lang w:val="fr-FR"/>
        </w:rPr>
        <w:t>Le Comité recommande à l</w:t>
      </w:r>
      <w:r w:rsidR="00300867">
        <w:rPr>
          <w:b/>
          <w:bCs/>
          <w:lang w:val="fr-FR"/>
        </w:rPr>
        <w:t>’</w:t>
      </w:r>
      <w:r w:rsidRPr="002366E8">
        <w:rPr>
          <w:b/>
          <w:bCs/>
          <w:lang w:val="fr-FR"/>
        </w:rPr>
        <w:t>État partie</w:t>
      </w:r>
      <w:r w:rsidR="00300867">
        <w:rPr>
          <w:b/>
          <w:bCs/>
          <w:lang w:val="fr-FR"/>
        </w:rPr>
        <w:t> :</w:t>
      </w:r>
    </w:p>
    <w:p w14:paraId="58FCAA11" w14:textId="11501364"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w:t>
      </w:r>
      <w:r w:rsidR="00300867">
        <w:rPr>
          <w:b/>
          <w:bCs/>
          <w:lang w:val="fr-FR"/>
        </w:rPr>
        <w:t>’</w:t>
      </w:r>
      <w:r w:rsidRPr="00E32F88">
        <w:rPr>
          <w:b/>
          <w:bCs/>
          <w:lang w:val="fr-FR"/>
        </w:rPr>
        <w:t>accroître la participation des femmes, y compris celles employées dans l</w:t>
      </w:r>
      <w:r w:rsidR="00300867">
        <w:rPr>
          <w:b/>
          <w:bCs/>
          <w:lang w:val="fr-FR"/>
        </w:rPr>
        <w:t>’</w:t>
      </w:r>
      <w:r w:rsidRPr="00E32F88">
        <w:rPr>
          <w:b/>
          <w:bCs/>
          <w:lang w:val="fr-FR"/>
        </w:rPr>
        <w:t>économie informelle, à l</w:t>
      </w:r>
      <w:r w:rsidR="00300867">
        <w:rPr>
          <w:b/>
          <w:bCs/>
          <w:lang w:val="fr-FR"/>
        </w:rPr>
        <w:t>’</w:t>
      </w:r>
      <w:r w:rsidRPr="00E32F88">
        <w:rPr>
          <w:b/>
          <w:bCs/>
          <w:lang w:val="fr-FR"/>
        </w:rPr>
        <w:t>élaboration de stratégies visant à faciliter leur accès au crédit financier, comme les prêts à faible taux d</w:t>
      </w:r>
      <w:r w:rsidR="00300867">
        <w:rPr>
          <w:b/>
          <w:bCs/>
          <w:lang w:val="fr-FR"/>
        </w:rPr>
        <w:t>’</w:t>
      </w:r>
      <w:r w:rsidRPr="00E32F88">
        <w:rPr>
          <w:b/>
          <w:bCs/>
          <w:lang w:val="fr-FR"/>
        </w:rPr>
        <w:t>intérêt, ainsi qu</w:t>
      </w:r>
      <w:r w:rsidR="00300867">
        <w:rPr>
          <w:b/>
          <w:bCs/>
          <w:lang w:val="fr-FR"/>
        </w:rPr>
        <w:t>’</w:t>
      </w:r>
      <w:r w:rsidRPr="00E32F88">
        <w:rPr>
          <w:b/>
          <w:bCs/>
          <w:lang w:val="fr-FR"/>
        </w:rPr>
        <w:t>aux possibilités d</w:t>
      </w:r>
      <w:r w:rsidR="00300867">
        <w:rPr>
          <w:b/>
          <w:bCs/>
          <w:lang w:val="fr-FR"/>
        </w:rPr>
        <w:t>’</w:t>
      </w:r>
      <w:r w:rsidRPr="00E32F88">
        <w:rPr>
          <w:b/>
          <w:bCs/>
          <w:lang w:val="fr-FR"/>
        </w:rPr>
        <w:t>entrepreneuriat et de création d</w:t>
      </w:r>
      <w:r w:rsidR="00300867">
        <w:rPr>
          <w:b/>
          <w:bCs/>
          <w:lang w:val="fr-FR"/>
        </w:rPr>
        <w:t>’</w:t>
      </w:r>
      <w:r w:rsidRPr="00E32F88">
        <w:rPr>
          <w:b/>
          <w:bCs/>
          <w:lang w:val="fr-FR"/>
        </w:rPr>
        <w:t>entreprises indépendantes</w:t>
      </w:r>
      <w:r w:rsidR="00300867">
        <w:rPr>
          <w:b/>
          <w:bCs/>
          <w:lang w:val="fr-FR"/>
        </w:rPr>
        <w:t> ;</w:t>
      </w:r>
    </w:p>
    <w:p w14:paraId="70153F04" w14:textId="44E95828"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renforcer le Fonds de développement autochtone en y intégrant des politiques d</w:t>
      </w:r>
      <w:r w:rsidR="00300867">
        <w:rPr>
          <w:b/>
          <w:bCs/>
          <w:lang w:val="fr-FR"/>
        </w:rPr>
        <w:t>’</w:t>
      </w:r>
      <w:r w:rsidRPr="00E32F88">
        <w:rPr>
          <w:b/>
          <w:bCs/>
          <w:lang w:val="fr-FR"/>
        </w:rPr>
        <w:t>équité de genre et de faciliter l</w:t>
      </w:r>
      <w:r w:rsidR="00300867">
        <w:rPr>
          <w:b/>
          <w:bCs/>
          <w:lang w:val="fr-FR"/>
        </w:rPr>
        <w:t>’</w:t>
      </w:r>
      <w:r w:rsidRPr="00E32F88">
        <w:rPr>
          <w:b/>
          <w:bCs/>
          <w:lang w:val="fr-FR"/>
        </w:rPr>
        <w:t>accès des femmes autochtones aux ressources financières et aux projets productifs durables en vue de leur autonomisation économique.</w:t>
      </w:r>
    </w:p>
    <w:p w14:paraId="7A1F6B6B" w14:textId="58707D0D" w:rsidR="00E32F88" w:rsidRPr="002366E8" w:rsidRDefault="00E32F88" w:rsidP="002366E8">
      <w:pPr>
        <w:pStyle w:val="SingleTxt"/>
        <w:spacing w:after="0" w:line="120" w:lineRule="exact"/>
        <w:rPr>
          <w:sz w:val="10"/>
          <w:lang w:val="fr-FR"/>
        </w:rPr>
      </w:pPr>
    </w:p>
    <w:p w14:paraId="2268E886" w14:textId="77777777"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Femmes des zones rurales et changements climatiques</w:t>
      </w:r>
    </w:p>
    <w:p w14:paraId="2DAD31E0" w14:textId="623A5D6A" w:rsidR="00E32F88" w:rsidRPr="002366E8" w:rsidRDefault="00E32F88" w:rsidP="002366E8">
      <w:pPr>
        <w:pStyle w:val="SingleTxt"/>
        <w:spacing w:after="0" w:line="120" w:lineRule="exact"/>
        <w:rPr>
          <w:sz w:val="10"/>
          <w:lang w:val="fr-FR"/>
        </w:rPr>
      </w:pPr>
    </w:p>
    <w:p w14:paraId="685F2601" w14:textId="3C0FE0A9" w:rsidR="00E32F88" w:rsidRPr="00E32F88" w:rsidRDefault="00E32F88" w:rsidP="002366E8">
      <w:pPr>
        <w:pStyle w:val="SingleTxt"/>
        <w:numPr>
          <w:ilvl w:val="0"/>
          <w:numId w:val="20"/>
        </w:numPr>
        <w:spacing w:line="240" w:lineRule="exact"/>
        <w:rPr>
          <w:lang w:val="fr-FR"/>
        </w:rPr>
      </w:pPr>
      <w:bookmarkStart w:id="4" w:name="_Hlk112686461"/>
      <w:r w:rsidRPr="00E32F88">
        <w:rPr>
          <w:lang w:val="fr-FR"/>
        </w:rPr>
        <w:t>Le Comité se félicite des progrès accomplis par l</w:t>
      </w:r>
      <w:r w:rsidR="00300867">
        <w:rPr>
          <w:lang w:val="fr-FR"/>
        </w:rPr>
        <w:t>’</w:t>
      </w:r>
      <w:r w:rsidRPr="00E32F88">
        <w:rPr>
          <w:lang w:val="fr-FR"/>
        </w:rPr>
        <w:t>État partie dans l</w:t>
      </w:r>
      <w:r w:rsidR="00300867">
        <w:rPr>
          <w:lang w:val="fr-FR"/>
        </w:rPr>
        <w:t>’</w:t>
      </w:r>
      <w:r w:rsidRPr="00E32F88">
        <w:rPr>
          <w:lang w:val="fr-FR"/>
        </w:rPr>
        <w:t>octroi de titres fonciers aux femmes des zones rurales, ainsi que des programmes d</w:t>
      </w:r>
      <w:r w:rsidR="00300867">
        <w:rPr>
          <w:lang w:val="fr-FR"/>
        </w:rPr>
        <w:t>’</w:t>
      </w:r>
      <w:r w:rsidRPr="00E32F88">
        <w:rPr>
          <w:lang w:val="fr-FR"/>
        </w:rPr>
        <w:t>accès à l</w:t>
      </w:r>
      <w:r w:rsidR="00300867">
        <w:rPr>
          <w:lang w:val="fr-FR"/>
        </w:rPr>
        <w:t>’</w:t>
      </w:r>
      <w:r w:rsidRPr="00E32F88">
        <w:rPr>
          <w:lang w:val="fr-FR"/>
        </w:rPr>
        <w:t>eau, d</w:t>
      </w:r>
      <w:r w:rsidR="00300867">
        <w:rPr>
          <w:lang w:val="fr-FR"/>
        </w:rPr>
        <w:t>’</w:t>
      </w:r>
      <w:r w:rsidRPr="00E32F88">
        <w:rPr>
          <w:lang w:val="fr-FR"/>
        </w:rPr>
        <w:t>atténuation des risques et de lutte contre les changements climatiques qui leur bénéficient directement, notamment le programme MIAGUA et le programme Plus d</w:t>
      </w:r>
      <w:r w:rsidR="00300867">
        <w:rPr>
          <w:lang w:val="fr-FR"/>
        </w:rPr>
        <w:t>’</w:t>
      </w:r>
      <w:r w:rsidRPr="00E32F88">
        <w:rPr>
          <w:lang w:val="fr-FR"/>
        </w:rPr>
        <w:t>investissements pour l</w:t>
      </w:r>
      <w:r w:rsidR="00300867">
        <w:rPr>
          <w:lang w:val="fr-FR"/>
        </w:rPr>
        <w:t>’</w:t>
      </w:r>
      <w:r w:rsidRPr="00E32F88">
        <w:rPr>
          <w:lang w:val="fr-FR"/>
        </w:rPr>
        <w:t>irrigation (MIRIEGO). Il reste toutefois préoccupé par</w:t>
      </w:r>
      <w:r w:rsidR="00300867">
        <w:rPr>
          <w:lang w:val="fr-FR"/>
        </w:rPr>
        <w:t> :</w:t>
      </w:r>
      <w:bookmarkEnd w:id="4"/>
    </w:p>
    <w:p w14:paraId="2541E715" w14:textId="7256B74D" w:rsidR="00E32F88" w:rsidRPr="00E32F88" w:rsidRDefault="00E32F88" w:rsidP="00E32F88">
      <w:pPr>
        <w:pStyle w:val="SingleTxt"/>
        <w:rPr>
          <w:lang w:val="fr-FR"/>
        </w:rPr>
      </w:pPr>
      <w:r w:rsidRPr="00E32F88">
        <w:rPr>
          <w:lang w:val="fr-FR"/>
        </w:rPr>
        <w:tab/>
        <w:t>a)</w:t>
      </w:r>
      <w:r w:rsidRPr="00E32F88">
        <w:rPr>
          <w:lang w:val="fr-FR"/>
        </w:rPr>
        <w:tab/>
        <w:t>la féminisation de la pauvreté et l</w:t>
      </w:r>
      <w:r w:rsidR="00300867">
        <w:rPr>
          <w:lang w:val="fr-FR"/>
        </w:rPr>
        <w:t>’</w:t>
      </w:r>
      <w:r w:rsidRPr="00E32F88">
        <w:rPr>
          <w:lang w:val="fr-FR"/>
        </w:rPr>
        <w:t>accès limité des femmes rurales aux ressources agricoles, notamment la terre, l</w:t>
      </w:r>
      <w:r w:rsidR="00300867">
        <w:rPr>
          <w:lang w:val="fr-FR"/>
        </w:rPr>
        <w:t>’</w:t>
      </w:r>
      <w:r w:rsidRPr="00E32F88">
        <w:rPr>
          <w:lang w:val="fr-FR"/>
        </w:rPr>
        <w:t>eau, le crédit, les services financiers et les apports agricoles, ainsi que leur contrôle restreint sur ces ressources</w:t>
      </w:r>
      <w:r w:rsidR="00300867">
        <w:rPr>
          <w:lang w:val="fr-FR"/>
        </w:rPr>
        <w:t> ;</w:t>
      </w:r>
    </w:p>
    <w:p w14:paraId="6C4AC7A0" w14:textId="6799CFE9" w:rsidR="00E32F88" w:rsidRPr="00E32F88" w:rsidRDefault="00E32F88" w:rsidP="00E32F88">
      <w:pPr>
        <w:pStyle w:val="SingleTxt"/>
        <w:rPr>
          <w:lang w:val="fr-FR"/>
        </w:rPr>
      </w:pPr>
      <w:r w:rsidRPr="00E32F88">
        <w:rPr>
          <w:lang w:val="fr-FR"/>
        </w:rPr>
        <w:tab/>
        <w:t>b)</w:t>
      </w:r>
      <w:r w:rsidRPr="00E32F88">
        <w:rPr>
          <w:lang w:val="fr-FR"/>
        </w:rPr>
        <w:tab/>
        <w:t>l</w:t>
      </w:r>
      <w:r w:rsidR="00300867">
        <w:rPr>
          <w:lang w:val="fr-FR"/>
        </w:rPr>
        <w:t>’</w:t>
      </w:r>
      <w:r w:rsidRPr="00E32F88">
        <w:rPr>
          <w:lang w:val="fr-FR"/>
        </w:rPr>
        <w:t>accès limité des femmes et des filles des zones rurales à la justice, aux services de soutien aux victimes de la violence à l</w:t>
      </w:r>
      <w:r w:rsidR="00300867">
        <w:rPr>
          <w:lang w:val="fr-FR"/>
        </w:rPr>
        <w:t>’</w:t>
      </w:r>
      <w:r w:rsidRPr="00E32F88">
        <w:rPr>
          <w:lang w:val="fr-FR"/>
        </w:rPr>
        <w:t>égard des femmes fondée sur le genre, à l</w:t>
      </w:r>
      <w:r w:rsidR="00300867">
        <w:rPr>
          <w:lang w:val="fr-FR"/>
        </w:rPr>
        <w:t>’</w:t>
      </w:r>
      <w:r w:rsidRPr="00E32F88">
        <w:rPr>
          <w:lang w:val="fr-FR"/>
        </w:rPr>
        <w:t>éducation, à l</w:t>
      </w:r>
      <w:r w:rsidR="00300867">
        <w:rPr>
          <w:lang w:val="fr-FR"/>
        </w:rPr>
        <w:t>’</w:t>
      </w:r>
      <w:r w:rsidRPr="00E32F88">
        <w:rPr>
          <w:lang w:val="fr-FR"/>
        </w:rPr>
        <w:t>informatique et aux communications et aux soins de santé</w:t>
      </w:r>
      <w:r w:rsidR="00300867">
        <w:rPr>
          <w:lang w:val="fr-FR"/>
        </w:rPr>
        <w:t> ;</w:t>
      </w:r>
    </w:p>
    <w:p w14:paraId="0BD92B68" w14:textId="77777777" w:rsidR="00E32F88" w:rsidRPr="00E32F88" w:rsidRDefault="00E32F88" w:rsidP="00E32F88">
      <w:pPr>
        <w:pStyle w:val="SingleTxt"/>
        <w:rPr>
          <w:lang w:val="fr-FR"/>
        </w:rPr>
      </w:pPr>
      <w:r w:rsidRPr="00E32F88">
        <w:rPr>
          <w:lang w:val="fr-FR"/>
        </w:rPr>
        <w:lastRenderedPageBreak/>
        <w:tab/>
        <w:t>c)</w:t>
      </w:r>
      <w:r w:rsidRPr="00E32F88">
        <w:rPr>
          <w:lang w:val="fr-FR"/>
        </w:rPr>
        <w:tab/>
        <w:t>la sous-représentation des femmes des zones rurales dans la prise de décision sur les politiques agricoles et dans les postes de direction, y compris au niveau local.</w:t>
      </w:r>
    </w:p>
    <w:p w14:paraId="2562E603" w14:textId="127016EF" w:rsidR="00E32F88" w:rsidRPr="002366E8" w:rsidRDefault="00E32F88" w:rsidP="002366E8">
      <w:pPr>
        <w:pStyle w:val="SingleTxt"/>
        <w:numPr>
          <w:ilvl w:val="0"/>
          <w:numId w:val="20"/>
        </w:numPr>
        <w:spacing w:line="240" w:lineRule="exact"/>
        <w:rPr>
          <w:b/>
          <w:bCs/>
          <w:lang w:val="fr-FR"/>
        </w:rPr>
      </w:pPr>
      <w:r w:rsidRPr="002366E8">
        <w:rPr>
          <w:b/>
          <w:bCs/>
          <w:lang w:val="fr-FR"/>
        </w:rPr>
        <w:t>Conformément à ses recommandations générales n</w:t>
      </w:r>
      <w:r w:rsidRPr="002366E8">
        <w:rPr>
          <w:b/>
          <w:bCs/>
          <w:vertAlign w:val="superscript"/>
          <w:lang w:val="fr-FR"/>
        </w:rPr>
        <w:t>o</w:t>
      </w:r>
      <w:r w:rsidRPr="002366E8">
        <w:rPr>
          <w:b/>
          <w:bCs/>
          <w:lang w:val="fr-FR"/>
        </w:rPr>
        <w:t> 34 (2016) sur les droits des femmes rurales et n</w:t>
      </w:r>
      <w:r w:rsidRPr="002366E8">
        <w:rPr>
          <w:b/>
          <w:bCs/>
          <w:vertAlign w:val="superscript"/>
          <w:lang w:val="fr-FR"/>
        </w:rPr>
        <w:t>o</w:t>
      </w:r>
      <w:r w:rsidRPr="002366E8">
        <w:rPr>
          <w:b/>
          <w:bCs/>
          <w:lang w:val="fr-FR"/>
        </w:rPr>
        <w:t> 37 (2018) relative aux aspects liés au genre de la réduction des risques de catastrophe dans le contexte des changements climatiques, le Comité recommande à l</w:t>
      </w:r>
      <w:r w:rsidR="00300867">
        <w:rPr>
          <w:b/>
          <w:bCs/>
          <w:lang w:val="fr-FR"/>
        </w:rPr>
        <w:t>’</w:t>
      </w:r>
      <w:r w:rsidRPr="002366E8">
        <w:rPr>
          <w:b/>
          <w:bCs/>
          <w:lang w:val="fr-FR"/>
        </w:rPr>
        <w:t>État partie</w:t>
      </w:r>
      <w:r w:rsidR="00300867">
        <w:rPr>
          <w:b/>
          <w:bCs/>
          <w:lang w:val="fr-FR"/>
        </w:rPr>
        <w:t> :</w:t>
      </w:r>
    </w:p>
    <w:p w14:paraId="5E1EC187" w14:textId="697B7DF7"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lutter contre la pauvreté qui touche les femmes des zones rurales en leur garantissant l</w:t>
      </w:r>
      <w:r w:rsidR="00300867">
        <w:rPr>
          <w:b/>
          <w:bCs/>
          <w:lang w:val="fr-FR"/>
        </w:rPr>
        <w:t>’</w:t>
      </w:r>
      <w:r w:rsidRPr="00E32F88">
        <w:rPr>
          <w:b/>
          <w:bCs/>
          <w:lang w:val="fr-FR"/>
        </w:rPr>
        <w:t>accès à des services adéquats d</w:t>
      </w:r>
      <w:r w:rsidR="00300867">
        <w:rPr>
          <w:b/>
          <w:bCs/>
          <w:lang w:val="fr-FR"/>
        </w:rPr>
        <w:t>’</w:t>
      </w:r>
      <w:r w:rsidRPr="00E32F88">
        <w:rPr>
          <w:b/>
          <w:bCs/>
          <w:lang w:val="fr-FR"/>
        </w:rPr>
        <w:t>approvisionnement en eau et d</w:t>
      </w:r>
      <w:r w:rsidR="00300867">
        <w:rPr>
          <w:b/>
          <w:bCs/>
          <w:lang w:val="fr-FR"/>
        </w:rPr>
        <w:t>’</w:t>
      </w:r>
      <w:r w:rsidRPr="00E32F88">
        <w:rPr>
          <w:b/>
          <w:bCs/>
          <w:lang w:val="fr-FR"/>
        </w:rPr>
        <w:t>assainissement, à la propriété et à l</w:t>
      </w:r>
      <w:r w:rsidR="00300867">
        <w:rPr>
          <w:b/>
          <w:bCs/>
          <w:lang w:val="fr-FR"/>
        </w:rPr>
        <w:t>’</w:t>
      </w:r>
      <w:r w:rsidRPr="00E32F88">
        <w:rPr>
          <w:b/>
          <w:bCs/>
          <w:lang w:val="fr-FR"/>
        </w:rPr>
        <w:t>utilisation des terres, au crédit, aux services financiers et aux apports agricoles, ainsi qu</w:t>
      </w:r>
      <w:r w:rsidR="00300867">
        <w:rPr>
          <w:b/>
          <w:bCs/>
          <w:lang w:val="fr-FR"/>
        </w:rPr>
        <w:t>’</w:t>
      </w:r>
      <w:r w:rsidRPr="00E32F88">
        <w:rPr>
          <w:b/>
          <w:bCs/>
          <w:lang w:val="fr-FR"/>
        </w:rPr>
        <w:t>à la justice, aux services de soutien aux victimes, à l</w:t>
      </w:r>
      <w:r w:rsidR="00300867">
        <w:rPr>
          <w:b/>
          <w:bCs/>
          <w:lang w:val="fr-FR"/>
        </w:rPr>
        <w:t>’</w:t>
      </w:r>
      <w:r w:rsidRPr="00E32F88">
        <w:rPr>
          <w:b/>
          <w:bCs/>
          <w:lang w:val="fr-FR"/>
        </w:rPr>
        <w:t>éducation, à l</w:t>
      </w:r>
      <w:r w:rsidR="00300867">
        <w:rPr>
          <w:b/>
          <w:bCs/>
          <w:lang w:val="fr-FR"/>
        </w:rPr>
        <w:t>’</w:t>
      </w:r>
      <w:r w:rsidRPr="00E32F88">
        <w:rPr>
          <w:b/>
          <w:bCs/>
          <w:lang w:val="fr-FR"/>
        </w:rPr>
        <w:t>informatique et aux communications, à l</w:t>
      </w:r>
      <w:r w:rsidR="00300867">
        <w:rPr>
          <w:b/>
          <w:bCs/>
          <w:lang w:val="fr-FR"/>
        </w:rPr>
        <w:t>’</w:t>
      </w:r>
      <w:r w:rsidRPr="00E32F88">
        <w:rPr>
          <w:b/>
          <w:bCs/>
          <w:lang w:val="fr-FR"/>
        </w:rPr>
        <w:t>emploi formel et aux soins de santé</w:t>
      </w:r>
      <w:r w:rsidR="00300867">
        <w:rPr>
          <w:b/>
          <w:bCs/>
          <w:lang w:val="fr-FR"/>
        </w:rPr>
        <w:t> ;</w:t>
      </w:r>
    </w:p>
    <w:p w14:paraId="5CF339F9" w14:textId="73DEB4D3"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w:t>
      </w:r>
      <w:r w:rsidR="00300867">
        <w:rPr>
          <w:b/>
          <w:bCs/>
          <w:lang w:val="fr-FR"/>
        </w:rPr>
        <w:t>’</w:t>
      </w:r>
      <w:r w:rsidRPr="00E32F88">
        <w:rPr>
          <w:b/>
          <w:bCs/>
          <w:lang w:val="fr-FR"/>
        </w:rPr>
        <w:t>intégrer la prise en compte des questions de genre dans ses politiques agricoles et d</w:t>
      </w:r>
      <w:r w:rsidR="00300867">
        <w:rPr>
          <w:b/>
          <w:bCs/>
          <w:lang w:val="fr-FR"/>
        </w:rPr>
        <w:t>’</w:t>
      </w:r>
      <w:r w:rsidRPr="00E32F88">
        <w:rPr>
          <w:b/>
          <w:bCs/>
          <w:lang w:val="fr-FR"/>
        </w:rPr>
        <w:t>assurer la participation effective des femmes des zones rurales à la prise de décision sur les politiques agricoles et aux postes de direction, en particulier au niveau local.</w:t>
      </w:r>
    </w:p>
    <w:p w14:paraId="7A03EECE" w14:textId="1946E57D" w:rsidR="00E32F88" w:rsidRPr="002366E8" w:rsidRDefault="00E32F88" w:rsidP="002366E8">
      <w:pPr>
        <w:pStyle w:val="SingleTxt"/>
        <w:spacing w:after="0" w:line="120" w:lineRule="exact"/>
        <w:rPr>
          <w:sz w:val="10"/>
          <w:lang w:val="fr-FR"/>
        </w:rPr>
      </w:pPr>
    </w:p>
    <w:p w14:paraId="03ED3D84" w14:textId="77777777"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Femmes autochtones et afro-boliviennes</w:t>
      </w:r>
    </w:p>
    <w:p w14:paraId="3F5D9AFD" w14:textId="2D3DBB65" w:rsidR="00E32F88" w:rsidRPr="002366E8" w:rsidRDefault="00E32F88" w:rsidP="002366E8">
      <w:pPr>
        <w:pStyle w:val="SingleTxt"/>
        <w:spacing w:after="0" w:line="120" w:lineRule="exact"/>
        <w:rPr>
          <w:sz w:val="10"/>
          <w:lang w:val="fr-FR"/>
        </w:rPr>
      </w:pPr>
    </w:p>
    <w:p w14:paraId="050FB1EF" w14:textId="56BA312C" w:rsidR="00E32F88" w:rsidRPr="00E32F88" w:rsidRDefault="00E32F88" w:rsidP="002366E8">
      <w:pPr>
        <w:pStyle w:val="SingleTxt"/>
        <w:numPr>
          <w:ilvl w:val="0"/>
          <w:numId w:val="22"/>
        </w:numPr>
        <w:spacing w:line="240" w:lineRule="exact"/>
        <w:rPr>
          <w:lang w:val="fr-FR"/>
        </w:rPr>
      </w:pPr>
      <w:r w:rsidRPr="00E32F88">
        <w:rPr>
          <w:lang w:val="fr-FR"/>
        </w:rPr>
        <w:t>Le Comité est préoccupé par ce qui suit</w:t>
      </w:r>
      <w:r w:rsidR="00300867">
        <w:rPr>
          <w:lang w:val="fr-FR"/>
        </w:rPr>
        <w:t> :</w:t>
      </w:r>
    </w:p>
    <w:p w14:paraId="4629BF04" w14:textId="285106E7" w:rsidR="00E32F88" w:rsidRPr="00E32F88" w:rsidRDefault="00E32F88" w:rsidP="00E32F88">
      <w:pPr>
        <w:pStyle w:val="SingleTxt"/>
        <w:rPr>
          <w:lang w:val="fr-FR"/>
        </w:rPr>
      </w:pPr>
      <w:r w:rsidRPr="00E32F88">
        <w:rPr>
          <w:lang w:val="fr-FR"/>
        </w:rPr>
        <w:tab/>
        <w:t>a)</w:t>
      </w:r>
      <w:r w:rsidRPr="00E32F88">
        <w:rPr>
          <w:lang w:val="fr-FR"/>
        </w:rPr>
        <w:tab/>
        <w:t>les informations limitées sur les résultats du plan d</w:t>
      </w:r>
      <w:r w:rsidR="00300867">
        <w:rPr>
          <w:lang w:val="fr-FR"/>
        </w:rPr>
        <w:t>’</w:t>
      </w:r>
      <w:r w:rsidRPr="00E32F88">
        <w:rPr>
          <w:lang w:val="fr-FR"/>
        </w:rPr>
        <w:t>action pour la décennie du peuple afro-bolivien</w:t>
      </w:r>
      <w:r w:rsidR="00300867">
        <w:rPr>
          <w:lang w:val="fr-FR"/>
        </w:rPr>
        <w:t> ;</w:t>
      </w:r>
    </w:p>
    <w:p w14:paraId="4A91E833" w14:textId="79F2B716" w:rsidR="00E32F88" w:rsidRPr="00E32F88" w:rsidRDefault="00E32F88" w:rsidP="00E32F88">
      <w:pPr>
        <w:pStyle w:val="SingleTxt"/>
        <w:rPr>
          <w:lang w:val="fr-FR"/>
        </w:rPr>
      </w:pPr>
      <w:r w:rsidRPr="00E32F88">
        <w:rPr>
          <w:lang w:val="fr-FR"/>
        </w:rPr>
        <w:tab/>
        <w:t>b)</w:t>
      </w:r>
      <w:r w:rsidRPr="00E32F88">
        <w:rPr>
          <w:lang w:val="fr-FR"/>
        </w:rPr>
        <w:tab/>
        <w:t>les formes de discrimination croisée fondées sur la race, l</w:t>
      </w:r>
      <w:r w:rsidR="00300867">
        <w:rPr>
          <w:lang w:val="fr-FR"/>
        </w:rPr>
        <w:t>’</w:t>
      </w:r>
      <w:r w:rsidRPr="00E32F88">
        <w:rPr>
          <w:lang w:val="fr-FR"/>
        </w:rPr>
        <w:t>appartenance ethnique et le genre que subissent les femmes autochtones et afro-boliviennes, leur taux élevé de chômage et les obstacles entravant leur participation à la vie politique et publique ainsi que leur accès à l</w:t>
      </w:r>
      <w:r w:rsidR="00300867">
        <w:rPr>
          <w:lang w:val="fr-FR"/>
        </w:rPr>
        <w:t>’</w:t>
      </w:r>
      <w:r w:rsidRPr="00E32F88">
        <w:rPr>
          <w:lang w:val="fr-FR"/>
        </w:rPr>
        <w:t>emploi, aux possibilités économiques et à des services de soins de santé adéquats</w:t>
      </w:r>
      <w:r w:rsidR="00300867">
        <w:rPr>
          <w:lang w:val="fr-FR"/>
        </w:rPr>
        <w:t> ;</w:t>
      </w:r>
    </w:p>
    <w:p w14:paraId="5A85CE02" w14:textId="52A7557F" w:rsidR="00E32F88" w:rsidRPr="00E32F88" w:rsidRDefault="00E32F88" w:rsidP="00E32F88">
      <w:pPr>
        <w:pStyle w:val="SingleTxt"/>
        <w:rPr>
          <w:lang w:val="fr-FR"/>
        </w:rPr>
      </w:pPr>
      <w:r w:rsidRPr="00E32F88">
        <w:rPr>
          <w:lang w:val="fr-FR"/>
        </w:rPr>
        <w:tab/>
        <w:t>c)</w:t>
      </w:r>
      <w:r w:rsidRPr="00E32F88">
        <w:rPr>
          <w:lang w:val="fr-FR"/>
        </w:rPr>
        <w:tab/>
        <w:t>l</w:t>
      </w:r>
      <w:r w:rsidR="00300867">
        <w:rPr>
          <w:lang w:val="fr-FR"/>
        </w:rPr>
        <w:t>’</w:t>
      </w:r>
      <w:r w:rsidRPr="00E32F88">
        <w:rPr>
          <w:lang w:val="fr-FR"/>
        </w:rPr>
        <w:t>absence de cadre juridique et de mécanismes efficaces pour garantir le partage des avantages et le consentement préalable, libre et éclairé des femmes autochtones et afro-boliviennes s</w:t>
      </w:r>
      <w:r w:rsidR="00300867">
        <w:rPr>
          <w:lang w:val="fr-FR"/>
        </w:rPr>
        <w:t>’</w:t>
      </w:r>
      <w:r w:rsidRPr="00E32F88">
        <w:rPr>
          <w:lang w:val="fr-FR"/>
        </w:rPr>
        <w:t>agissant des activités minières et de l</w:t>
      </w:r>
      <w:r w:rsidR="00300867">
        <w:rPr>
          <w:lang w:val="fr-FR"/>
        </w:rPr>
        <w:t>’</w:t>
      </w:r>
      <w:r w:rsidRPr="00E32F88">
        <w:rPr>
          <w:lang w:val="fr-FR"/>
        </w:rPr>
        <w:t>extraction d</w:t>
      </w:r>
      <w:r w:rsidR="00300867">
        <w:rPr>
          <w:lang w:val="fr-FR"/>
        </w:rPr>
        <w:t>’</w:t>
      </w:r>
      <w:r w:rsidRPr="00E32F88">
        <w:rPr>
          <w:lang w:val="fr-FR"/>
        </w:rPr>
        <w:t>hydrocarbures sur leurs territoires</w:t>
      </w:r>
      <w:r w:rsidR="00300867">
        <w:rPr>
          <w:lang w:val="fr-FR"/>
        </w:rPr>
        <w:t> ;</w:t>
      </w:r>
    </w:p>
    <w:p w14:paraId="5A3D08A1" w14:textId="636A3706" w:rsidR="00E32F88" w:rsidRPr="00E32F88" w:rsidRDefault="00E32F88" w:rsidP="00E32F88">
      <w:pPr>
        <w:pStyle w:val="SingleTxt"/>
        <w:rPr>
          <w:lang w:val="fr-FR"/>
        </w:rPr>
      </w:pPr>
      <w:r w:rsidRPr="00E32F88">
        <w:rPr>
          <w:lang w:val="fr-FR"/>
        </w:rPr>
        <w:tab/>
        <w:t>d)</w:t>
      </w:r>
      <w:r w:rsidRPr="00E32F88">
        <w:rPr>
          <w:lang w:val="fr-FR"/>
        </w:rPr>
        <w:tab/>
        <w:t>les rapports faisant état de niveaux élevés de violence fondée sur le genre, ainsi que d</w:t>
      </w:r>
      <w:r w:rsidR="00300867">
        <w:rPr>
          <w:lang w:val="fr-FR"/>
        </w:rPr>
        <w:t>’</w:t>
      </w:r>
      <w:r w:rsidRPr="00E32F88">
        <w:rPr>
          <w:lang w:val="fr-FR"/>
        </w:rPr>
        <w:t>intimidations et de représailles, à l</w:t>
      </w:r>
      <w:r w:rsidR="00300867">
        <w:rPr>
          <w:lang w:val="fr-FR"/>
        </w:rPr>
        <w:t>’</w:t>
      </w:r>
      <w:r w:rsidRPr="00E32F88">
        <w:rPr>
          <w:lang w:val="fr-FR"/>
        </w:rPr>
        <w:t>égard des défenseurs des droits humains des femmes autochtones et afro-boliviennes, notamment pendant la crise politique de 2019 et de 2020.</w:t>
      </w:r>
    </w:p>
    <w:p w14:paraId="7280E386" w14:textId="755F4848" w:rsidR="00E32F88" w:rsidRPr="002366E8" w:rsidRDefault="00E32F88" w:rsidP="002366E8">
      <w:pPr>
        <w:pStyle w:val="SingleTxt"/>
        <w:numPr>
          <w:ilvl w:val="0"/>
          <w:numId w:val="22"/>
        </w:numPr>
        <w:spacing w:line="240" w:lineRule="exact"/>
        <w:rPr>
          <w:b/>
          <w:bCs/>
          <w:lang w:val="fr-FR"/>
        </w:rPr>
      </w:pPr>
      <w:r w:rsidRPr="002366E8">
        <w:rPr>
          <w:b/>
          <w:bCs/>
          <w:lang w:val="fr-FR"/>
        </w:rPr>
        <w:t>Le Comité recommande à l</w:t>
      </w:r>
      <w:r w:rsidR="00300867">
        <w:rPr>
          <w:b/>
          <w:bCs/>
          <w:lang w:val="fr-FR"/>
        </w:rPr>
        <w:t>’</w:t>
      </w:r>
      <w:r w:rsidRPr="002366E8">
        <w:rPr>
          <w:b/>
          <w:bCs/>
          <w:lang w:val="fr-FR"/>
        </w:rPr>
        <w:t>État partie</w:t>
      </w:r>
      <w:r w:rsidR="00300867">
        <w:rPr>
          <w:b/>
          <w:bCs/>
          <w:lang w:val="fr-FR"/>
        </w:rPr>
        <w:t> :</w:t>
      </w:r>
    </w:p>
    <w:p w14:paraId="55A5801E" w14:textId="0D77A9AA"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faire en sorte que ses politiques ciblant les femmes autochtones et afro-boliviennes, y compris le plan d</w:t>
      </w:r>
      <w:r w:rsidR="00300867">
        <w:rPr>
          <w:b/>
          <w:bCs/>
          <w:lang w:val="fr-FR"/>
        </w:rPr>
        <w:t>’</w:t>
      </w:r>
      <w:r w:rsidRPr="00E32F88">
        <w:rPr>
          <w:b/>
          <w:bCs/>
          <w:lang w:val="fr-FR"/>
        </w:rPr>
        <w:t>action pour la décennie du peuple afro-bolivien, tiennent compte des questions de genre et des dimensions interculturelles</w:t>
      </w:r>
      <w:r w:rsidR="00300867">
        <w:rPr>
          <w:b/>
          <w:bCs/>
          <w:lang w:val="fr-FR"/>
        </w:rPr>
        <w:t> ;</w:t>
      </w:r>
    </w:p>
    <w:p w14:paraId="4930E33A" w14:textId="26774128"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renforcer son cadre juridique et de mettre en place des mécanismes efficaces pour que les activités de l</w:t>
      </w:r>
      <w:r w:rsidR="00300867">
        <w:rPr>
          <w:b/>
          <w:bCs/>
          <w:lang w:val="fr-FR"/>
        </w:rPr>
        <w:t>’</w:t>
      </w:r>
      <w:r w:rsidRPr="00E32F88">
        <w:rPr>
          <w:b/>
          <w:bCs/>
          <w:lang w:val="fr-FR"/>
        </w:rPr>
        <w:t>industrie minière et extractive soient soumises au consentement préalable, libre et éclairé des femmes autochtones, afro-boliviennes et rurales concernées et que leurs bénéfices soient partagés de manière adéquate</w:t>
      </w:r>
      <w:r w:rsidR="00300867">
        <w:rPr>
          <w:b/>
          <w:bCs/>
          <w:lang w:val="fr-FR"/>
        </w:rPr>
        <w:t> ;</w:t>
      </w:r>
    </w:p>
    <w:p w14:paraId="738A0A39" w14:textId="1A4928F0"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w:t>
      </w:r>
      <w:r w:rsidR="00300867">
        <w:rPr>
          <w:b/>
          <w:bCs/>
          <w:lang w:val="fr-FR"/>
        </w:rPr>
        <w:t>’</w:t>
      </w:r>
      <w:r w:rsidRPr="00E32F88">
        <w:rPr>
          <w:b/>
          <w:bCs/>
          <w:lang w:val="fr-FR"/>
        </w:rPr>
        <w:t>enquêter sur tous les actes de violence fondée sur le genre, d</w:t>
      </w:r>
      <w:r w:rsidR="00300867">
        <w:rPr>
          <w:b/>
          <w:bCs/>
          <w:lang w:val="fr-FR"/>
        </w:rPr>
        <w:t>’</w:t>
      </w:r>
      <w:r w:rsidRPr="00E32F88">
        <w:rPr>
          <w:b/>
          <w:bCs/>
          <w:lang w:val="fr-FR"/>
        </w:rPr>
        <w:t>intimidation et de représailles à l</w:t>
      </w:r>
      <w:r w:rsidR="00300867">
        <w:rPr>
          <w:b/>
          <w:bCs/>
          <w:lang w:val="fr-FR"/>
        </w:rPr>
        <w:t>’</w:t>
      </w:r>
      <w:r w:rsidRPr="00E32F88">
        <w:rPr>
          <w:b/>
          <w:bCs/>
          <w:lang w:val="fr-FR"/>
        </w:rPr>
        <w:t xml:space="preserve">égard des défenseurs des droits humains des </w:t>
      </w:r>
      <w:r w:rsidRPr="00E32F88">
        <w:rPr>
          <w:b/>
          <w:bCs/>
          <w:lang w:val="fr-FR"/>
        </w:rPr>
        <w:lastRenderedPageBreak/>
        <w:t>femmes autochtones et afro-boliviennes, et d</w:t>
      </w:r>
      <w:r w:rsidR="00300867">
        <w:rPr>
          <w:b/>
          <w:bCs/>
          <w:lang w:val="fr-FR"/>
        </w:rPr>
        <w:t>’</w:t>
      </w:r>
      <w:r w:rsidRPr="00E32F88">
        <w:rPr>
          <w:b/>
          <w:bCs/>
          <w:lang w:val="fr-FR"/>
        </w:rPr>
        <w:t>assurer des voies de recours et des réparations effectives aux victimes de ces actes.</w:t>
      </w:r>
    </w:p>
    <w:p w14:paraId="11B72AF7" w14:textId="2282C3B6" w:rsidR="00E32F88" w:rsidRPr="002366E8" w:rsidRDefault="00E32F88" w:rsidP="002366E8">
      <w:pPr>
        <w:pStyle w:val="SingleTxt"/>
        <w:spacing w:after="0" w:line="120" w:lineRule="exact"/>
        <w:rPr>
          <w:sz w:val="10"/>
          <w:lang w:val="fr-FR"/>
        </w:rPr>
      </w:pPr>
    </w:p>
    <w:p w14:paraId="3AF7FBC1" w14:textId="77777777"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Femmes handicapées</w:t>
      </w:r>
    </w:p>
    <w:p w14:paraId="5681F387" w14:textId="0B88579F" w:rsidR="00E32F88" w:rsidRPr="002366E8" w:rsidRDefault="00E32F88" w:rsidP="002366E8">
      <w:pPr>
        <w:pStyle w:val="SingleTxt"/>
        <w:spacing w:after="0" w:line="120" w:lineRule="exact"/>
        <w:rPr>
          <w:sz w:val="10"/>
          <w:lang w:val="fr-FR"/>
        </w:rPr>
      </w:pPr>
    </w:p>
    <w:p w14:paraId="526868C5" w14:textId="313CD5FB" w:rsidR="00E32F88" w:rsidRPr="00E32F88" w:rsidRDefault="00E32F88" w:rsidP="002366E8">
      <w:pPr>
        <w:pStyle w:val="SingleTxt"/>
        <w:numPr>
          <w:ilvl w:val="0"/>
          <w:numId w:val="24"/>
        </w:numPr>
        <w:spacing w:line="240" w:lineRule="exact"/>
        <w:rPr>
          <w:lang w:val="fr-FR"/>
        </w:rPr>
      </w:pPr>
      <w:r w:rsidRPr="00E32F88">
        <w:rPr>
          <w:lang w:val="fr-FR"/>
        </w:rPr>
        <w:t>Le Comité est préoccupé par</w:t>
      </w:r>
      <w:r w:rsidR="00300867">
        <w:rPr>
          <w:lang w:val="fr-FR"/>
        </w:rPr>
        <w:t> :</w:t>
      </w:r>
    </w:p>
    <w:p w14:paraId="0A882888" w14:textId="7971DCE4" w:rsidR="00E32F88" w:rsidRPr="00E32F88" w:rsidRDefault="00E32F88" w:rsidP="00E32F88">
      <w:pPr>
        <w:pStyle w:val="SingleTxt"/>
        <w:rPr>
          <w:lang w:val="fr-FR"/>
        </w:rPr>
      </w:pPr>
      <w:r w:rsidRPr="00E32F88">
        <w:rPr>
          <w:lang w:val="fr-FR"/>
        </w:rPr>
        <w:tab/>
        <w:t>a)</w:t>
      </w:r>
      <w:r w:rsidRPr="00E32F88">
        <w:rPr>
          <w:lang w:val="fr-FR"/>
        </w:rPr>
        <w:tab/>
        <w:t>les restrictions concernant la capacité juridique, l</w:t>
      </w:r>
      <w:r w:rsidR="00300867">
        <w:rPr>
          <w:lang w:val="fr-FR"/>
        </w:rPr>
        <w:t>’</w:t>
      </w:r>
      <w:r w:rsidRPr="00E32F88">
        <w:rPr>
          <w:lang w:val="fr-FR"/>
        </w:rPr>
        <w:t>accès à la justice et le droit des femmes handicapées de contracter un mariage et d</w:t>
      </w:r>
      <w:r w:rsidR="00300867">
        <w:rPr>
          <w:lang w:val="fr-FR"/>
        </w:rPr>
        <w:t>’</w:t>
      </w:r>
      <w:r w:rsidRPr="00E32F88">
        <w:rPr>
          <w:lang w:val="fr-FR"/>
        </w:rPr>
        <w:t>exercer des fonctions parentales</w:t>
      </w:r>
      <w:r w:rsidR="00300867">
        <w:rPr>
          <w:lang w:val="fr-FR"/>
        </w:rPr>
        <w:t> ;</w:t>
      </w:r>
    </w:p>
    <w:p w14:paraId="2487B084" w14:textId="05CC890B" w:rsidR="00E32F88" w:rsidRPr="00E32F88" w:rsidRDefault="00E32F88" w:rsidP="00E32F88">
      <w:pPr>
        <w:pStyle w:val="SingleTxt"/>
        <w:rPr>
          <w:lang w:val="fr-FR"/>
        </w:rPr>
      </w:pPr>
      <w:r w:rsidRPr="00E32F88">
        <w:rPr>
          <w:lang w:val="fr-FR"/>
        </w:rPr>
        <w:tab/>
        <w:t>b)</w:t>
      </w:r>
      <w:r w:rsidRPr="00E32F88">
        <w:rPr>
          <w:lang w:val="fr-FR"/>
        </w:rPr>
        <w:tab/>
        <w:t>l</w:t>
      </w:r>
      <w:r w:rsidR="00300867">
        <w:rPr>
          <w:lang w:val="fr-FR"/>
        </w:rPr>
        <w:t>’</w:t>
      </w:r>
      <w:r w:rsidRPr="00E32F88">
        <w:rPr>
          <w:lang w:val="fr-FR"/>
        </w:rPr>
        <w:t>accessibilité limitée, pour les femmes handicapées, des établissements et services de soins de santé, en particulier des services de santé sexuelle et procréative, dans l</w:t>
      </w:r>
      <w:r w:rsidR="00300867">
        <w:rPr>
          <w:lang w:val="fr-FR"/>
        </w:rPr>
        <w:t>’</w:t>
      </w:r>
      <w:r w:rsidRPr="00E32F88">
        <w:rPr>
          <w:lang w:val="fr-FR"/>
        </w:rPr>
        <w:t>État partie</w:t>
      </w:r>
      <w:r w:rsidR="00300867">
        <w:rPr>
          <w:lang w:val="fr-FR"/>
        </w:rPr>
        <w:t> ;</w:t>
      </w:r>
    </w:p>
    <w:p w14:paraId="048B79E5" w14:textId="53AA17C3" w:rsidR="00E32F88" w:rsidRPr="00E32F88" w:rsidRDefault="00E32F88" w:rsidP="00E32F88">
      <w:pPr>
        <w:pStyle w:val="SingleTxt"/>
        <w:rPr>
          <w:lang w:val="fr-FR"/>
        </w:rPr>
      </w:pPr>
      <w:r w:rsidRPr="00E32F88">
        <w:rPr>
          <w:lang w:val="fr-FR"/>
        </w:rPr>
        <w:tab/>
        <w:t>c)</w:t>
      </w:r>
      <w:r w:rsidRPr="00E32F88">
        <w:rPr>
          <w:lang w:val="fr-FR"/>
        </w:rPr>
        <w:tab/>
        <w:t>la ségrégation des femmes et des filles handicapées dans les établissements d</w:t>
      </w:r>
      <w:r w:rsidR="00300867">
        <w:rPr>
          <w:lang w:val="fr-FR"/>
        </w:rPr>
        <w:t>’</w:t>
      </w:r>
      <w:r w:rsidRPr="00E32F88">
        <w:rPr>
          <w:lang w:val="fr-FR"/>
        </w:rPr>
        <w:t>éducation spéciale en raison d</w:t>
      </w:r>
      <w:r w:rsidR="00300867">
        <w:rPr>
          <w:lang w:val="fr-FR"/>
        </w:rPr>
        <w:t>’</w:t>
      </w:r>
      <w:r w:rsidRPr="00E32F88">
        <w:rPr>
          <w:lang w:val="fr-FR"/>
        </w:rPr>
        <w:t>une approche purement médicale du handicap, et le faible taux de scolarisation des filles handicapées</w:t>
      </w:r>
      <w:r w:rsidR="00300867">
        <w:rPr>
          <w:lang w:val="fr-FR"/>
        </w:rPr>
        <w:t> ;</w:t>
      </w:r>
    </w:p>
    <w:p w14:paraId="75CFF3AC" w14:textId="082B15A0" w:rsidR="00E32F88" w:rsidRPr="00E32F88" w:rsidRDefault="00E32F88" w:rsidP="00E32F88">
      <w:pPr>
        <w:pStyle w:val="SingleTxt"/>
        <w:rPr>
          <w:lang w:val="fr-FR"/>
        </w:rPr>
      </w:pPr>
      <w:r w:rsidRPr="00E32F88">
        <w:rPr>
          <w:lang w:val="fr-FR"/>
        </w:rPr>
        <w:tab/>
        <w:t>d)</w:t>
      </w:r>
      <w:r w:rsidRPr="00E32F88">
        <w:rPr>
          <w:lang w:val="fr-FR"/>
        </w:rPr>
        <w:tab/>
        <w:t>l</w:t>
      </w:r>
      <w:r w:rsidR="00300867">
        <w:rPr>
          <w:lang w:val="fr-FR"/>
        </w:rPr>
        <w:t>’</w:t>
      </w:r>
      <w:r w:rsidRPr="00E32F88">
        <w:rPr>
          <w:lang w:val="fr-FR"/>
        </w:rPr>
        <w:t>accès limité des femmes handicapées aux possibilités d</w:t>
      </w:r>
      <w:r w:rsidR="00300867">
        <w:rPr>
          <w:lang w:val="fr-FR"/>
        </w:rPr>
        <w:t>’</w:t>
      </w:r>
      <w:r w:rsidRPr="00E32F88">
        <w:rPr>
          <w:lang w:val="fr-FR"/>
        </w:rPr>
        <w:t>emploi et l</w:t>
      </w:r>
      <w:r w:rsidR="00300867">
        <w:rPr>
          <w:lang w:val="fr-FR"/>
        </w:rPr>
        <w:t>’</w:t>
      </w:r>
      <w:r w:rsidRPr="00E32F88">
        <w:rPr>
          <w:lang w:val="fr-FR"/>
        </w:rPr>
        <w:t>absence d</w:t>
      </w:r>
      <w:r w:rsidR="00300867">
        <w:rPr>
          <w:lang w:val="fr-FR"/>
        </w:rPr>
        <w:t>’</w:t>
      </w:r>
      <w:r w:rsidRPr="00E32F88">
        <w:rPr>
          <w:lang w:val="fr-FR"/>
        </w:rPr>
        <w:t>aménagements raisonnables sur le lieu de travail.</w:t>
      </w:r>
    </w:p>
    <w:p w14:paraId="45C3F124" w14:textId="77D786ED" w:rsidR="00E32F88" w:rsidRPr="002366E8" w:rsidRDefault="00E32F88" w:rsidP="002366E8">
      <w:pPr>
        <w:pStyle w:val="SingleTxt"/>
        <w:numPr>
          <w:ilvl w:val="0"/>
          <w:numId w:val="24"/>
        </w:numPr>
        <w:spacing w:line="240" w:lineRule="exact"/>
        <w:rPr>
          <w:b/>
          <w:bCs/>
          <w:lang w:val="fr-FR"/>
        </w:rPr>
      </w:pPr>
      <w:r w:rsidRPr="002366E8">
        <w:rPr>
          <w:b/>
          <w:bCs/>
          <w:lang w:val="fr-FR"/>
        </w:rPr>
        <w:t>Le Comité recommande à l</w:t>
      </w:r>
      <w:r w:rsidR="00300867">
        <w:rPr>
          <w:b/>
          <w:bCs/>
          <w:lang w:val="fr-FR"/>
        </w:rPr>
        <w:t>’</w:t>
      </w:r>
      <w:r w:rsidRPr="002366E8">
        <w:rPr>
          <w:b/>
          <w:bCs/>
          <w:lang w:val="fr-FR"/>
        </w:rPr>
        <w:t>État partie</w:t>
      </w:r>
      <w:r w:rsidR="00300867">
        <w:rPr>
          <w:b/>
          <w:bCs/>
          <w:lang w:val="fr-FR"/>
        </w:rPr>
        <w:t> :</w:t>
      </w:r>
    </w:p>
    <w:p w14:paraId="0906BC09" w14:textId="24BC5CB9"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supprimer les restrictions à la capacité juridique des femmes handicapées et de garantir leur égal accès à la justice, au mariage et aux droits parentaux</w:t>
      </w:r>
      <w:r w:rsidR="00300867">
        <w:rPr>
          <w:b/>
          <w:bCs/>
          <w:lang w:val="fr-FR"/>
        </w:rPr>
        <w:t> ;</w:t>
      </w:r>
    </w:p>
    <w:p w14:paraId="62686375" w14:textId="04CE21D4"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garantir l</w:t>
      </w:r>
      <w:r w:rsidR="00300867">
        <w:rPr>
          <w:b/>
          <w:bCs/>
          <w:lang w:val="fr-FR"/>
        </w:rPr>
        <w:t>’</w:t>
      </w:r>
      <w:r w:rsidRPr="00E32F88">
        <w:rPr>
          <w:b/>
          <w:bCs/>
          <w:lang w:val="fr-FR"/>
        </w:rPr>
        <w:t>accessibilité des établissements et des services de soins de santé aux femmes et aux filles handicapées</w:t>
      </w:r>
      <w:r w:rsidRPr="00E32F88">
        <w:rPr>
          <w:lang w:val="fr-FR"/>
        </w:rPr>
        <w:t xml:space="preserve"> </w:t>
      </w:r>
      <w:r w:rsidRPr="00E32F88">
        <w:rPr>
          <w:b/>
          <w:bCs/>
          <w:lang w:val="fr-FR"/>
        </w:rPr>
        <w:t>et de veiller au respect de leurs choix en matière de sexualité et de procréation</w:t>
      </w:r>
      <w:r w:rsidR="00300867">
        <w:rPr>
          <w:b/>
          <w:bCs/>
          <w:lang w:val="fr-FR"/>
        </w:rPr>
        <w:t> ;</w:t>
      </w:r>
    </w:p>
    <w:p w14:paraId="59BC7690" w14:textId="262FA140"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w:t>
      </w:r>
      <w:r w:rsidR="00300867">
        <w:rPr>
          <w:b/>
          <w:bCs/>
          <w:lang w:val="fr-FR"/>
        </w:rPr>
        <w:t>’</w:t>
      </w:r>
      <w:r w:rsidRPr="00E32F88">
        <w:rPr>
          <w:b/>
          <w:bCs/>
          <w:lang w:val="fr-FR"/>
        </w:rPr>
        <w:t>adopter et de mettre en œuvre une politique d</w:t>
      </w:r>
      <w:r w:rsidR="00300867">
        <w:rPr>
          <w:b/>
          <w:bCs/>
          <w:lang w:val="fr-FR"/>
        </w:rPr>
        <w:t>’</w:t>
      </w:r>
      <w:r w:rsidRPr="00E32F88">
        <w:rPr>
          <w:b/>
          <w:bCs/>
          <w:lang w:val="fr-FR"/>
        </w:rPr>
        <w:t>éducation inclusive, en favorisant la scolarisation des filles et des femmes handicapées et la formation des enseignantes et enseignants à l</w:t>
      </w:r>
      <w:r w:rsidR="00300867">
        <w:rPr>
          <w:b/>
          <w:bCs/>
          <w:lang w:val="fr-FR"/>
        </w:rPr>
        <w:t>’</w:t>
      </w:r>
      <w:r w:rsidRPr="00E32F88">
        <w:rPr>
          <w:b/>
          <w:bCs/>
          <w:lang w:val="fr-FR"/>
        </w:rPr>
        <w:t>éducation inclusive</w:t>
      </w:r>
      <w:r w:rsidR="00300867">
        <w:rPr>
          <w:b/>
          <w:bCs/>
          <w:lang w:val="fr-FR"/>
        </w:rPr>
        <w:t> ;</w:t>
      </w:r>
    </w:p>
    <w:p w14:paraId="2E1D6434" w14:textId="0917D2DD"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garantir l</w:t>
      </w:r>
      <w:r w:rsidR="00300867">
        <w:rPr>
          <w:b/>
          <w:bCs/>
          <w:lang w:val="fr-FR"/>
        </w:rPr>
        <w:t>’</w:t>
      </w:r>
      <w:r w:rsidRPr="00E32F88">
        <w:rPr>
          <w:b/>
          <w:bCs/>
          <w:lang w:val="fr-FR"/>
        </w:rPr>
        <w:t>accessibilité des lieux de travail et de faire respecter le quota de participation des femmes handicapées</w:t>
      </w:r>
      <w:r w:rsidRPr="00E32F88">
        <w:rPr>
          <w:lang w:val="fr-FR"/>
        </w:rPr>
        <w:t xml:space="preserve"> </w:t>
      </w:r>
      <w:r w:rsidRPr="00E32F88">
        <w:rPr>
          <w:b/>
          <w:bCs/>
          <w:lang w:val="fr-FR"/>
        </w:rPr>
        <w:t>au marché du travail</w:t>
      </w:r>
      <w:r w:rsidR="00300867">
        <w:rPr>
          <w:b/>
          <w:bCs/>
          <w:lang w:val="fr-FR"/>
        </w:rPr>
        <w:t> ;</w:t>
      </w:r>
    </w:p>
    <w:p w14:paraId="3899FC54" w14:textId="71C372DC" w:rsidR="00E32F88" w:rsidRPr="00E32F88" w:rsidRDefault="00E32F88" w:rsidP="00E32F88">
      <w:pPr>
        <w:pStyle w:val="SingleTxt"/>
        <w:rPr>
          <w:b/>
          <w:bCs/>
          <w:lang w:val="fr-FR"/>
        </w:rPr>
      </w:pPr>
      <w:r w:rsidRPr="00E32F88">
        <w:rPr>
          <w:lang w:val="fr-FR"/>
        </w:rPr>
        <w:tab/>
        <w:t>e)</w:t>
      </w:r>
      <w:r w:rsidRPr="00E32F88">
        <w:rPr>
          <w:lang w:val="fr-FR"/>
        </w:rPr>
        <w:tab/>
      </w:r>
      <w:r w:rsidRPr="00E32F88">
        <w:rPr>
          <w:b/>
          <w:bCs/>
          <w:lang w:val="fr-FR"/>
        </w:rPr>
        <w:t>de recueillir des données ventilées par âge et par origine ethnique sur la participation des femmes handicapées</w:t>
      </w:r>
      <w:r w:rsidRPr="00E32F88">
        <w:rPr>
          <w:lang w:val="fr-FR"/>
        </w:rPr>
        <w:t xml:space="preserve"> </w:t>
      </w:r>
      <w:r w:rsidRPr="00E32F88">
        <w:rPr>
          <w:b/>
          <w:bCs/>
          <w:lang w:val="fr-FR"/>
        </w:rPr>
        <w:t>dans tous les domaines relevant de la Convention, afin d</w:t>
      </w:r>
      <w:r w:rsidR="00300867">
        <w:rPr>
          <w:b/>
          <w:bCs/>
          <w:lang w:val="fr-FR"/>
        </w:rPr>
        <w:t>’</w:t>
      </w:r>
      <w:r w:rsidRPr="00E32F88">
        <w:rPr>
          <w:b/>
          <w:bCs/>
          <w:lang w:val="fr-FR"/>
        </w:rPr>
        <w:t>éclairer la formulation des lois et des politiques et de surmonter les obstacles qui empêchent les femmes handicapées d</w:t>
      </w:r>
      <w:r w:rsidR="00300867">
        <w:rPr>
          <w:b/>
          <w:bCs/>
          <w:lang w:val="fr-FR"/>
        </w:rPr>
        <w:t>’</w:t>
      </w:r>
      <w:r w:rsidRPr="00E32F88">
        <w:rPr>
          <w:b/>
          <w:bCs/>
          <w:lang w:val="fr-FR"/>
        </w:rPr>
        <w:t>exercer leurs droits.</w:t>
      </w:r>
    </w:p>
    <w:p w14:paraId="6F1DAA1C" w14:textId="6013F113" w:rsidR="002366E8" w:rsidRPr="002366E8" w:rsidRDefault="002366E8" w:rsidP="002366E8">
      <w:pPr>
        <w:pStyle w:val="SingleTxt"/>
        <w:spacing w:after="0" w:line="120" w:lineRule="exact"/>
        <w:rPr>
          <w:b/>
          <w:sz w:val="10"/>
          <w:lang w:val="fr-FR"/>
        </w:rPr>
      </w:pPr>
    </w:p>
    <w:p w14:paraId="0671E967" w14:textId="78F11A45"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Femmes victimes d</w:t>
      </w:r>
      <w:r w:rsidR="00300867">
        <w:rPr>
          <w:lang w:val="fr-FR"/>
        </w:rPr>
        <w:t>’</w:t>
      </w:r>
      <w:r w:rsidRPr="00E32F88">
        <w:rPr>
          <w:lang w:val="fr-FR"/>
        </w:rPr>
        <w:t>autres formes de discrimination croisée</w:t>
      </w:r>
    </w:p>
    <w:p w14:paraId="5B13C173" w14:textId="4072F8EE" w:rsidR="00E32F88" w:rsidRPr="002366E8" w:rsidRDefault="00E32F88" w:rsidP="002366E8">
      <w:pPr>
        <w:pStyle w:val="SingleTxt"/>
        <w:spacing w:after="0" w:line="120" w:lineRule="exact"/>
        <w:rPr>
          <w:sz w:val="10"/>
          <w:lang w:val="fr-FR"/>
        </w:rPr>
      </w:pPr>
    </w:p>
    <w:p w14:paraId="1FF138FD" w14:textId="5D06C1DB" w:rsidR="00E32F88" w:rsidRPr="00E32F88" w:rsidRDefault="00E32F88" w:rsidP="002366E8">
      <w:pPr>
        <w:pStyle w:val="SingleTxt"/>
        <w:numPr>
          <w:ilvl w:val="0"/>
          <w:numId w:val="26"/>
        </w:numPr>
        <w:spacing w:line="240" w:lineRule="exact"/>
        <w:rPr>
          <w:lang w:val="fr-FR"/>
        </w:rPr>
      </w:pPr>
      <w:r w:rsidRPr="00E32F88">
        <w:rPr>
          <w:lang w:val="fr-FR"/>
        </w:rPr>
        <w:t>Le Comité est préoccupé par ce qui suit</w:t>
      </w:r>
      <w:r w:rsidR="00300867">
        <w:rPr>
          <w:lang w:val="fr-FR"/>
        </w:rPr>
        <w:t> :</w:t>
      </w:r>
    </w:p>
    <w:p w14:paraId="0423FE15" w14:textId="2D59B31F" w:rsidR="00E32F88" w:rsidRPr="00E32F88" w:rsidRDefault="00E32F88" w:rsidP="00E32F88">
      <w:pPr>
        <w:pStyle w:val="SingleTxt"/>
        <w:rPr>
          <w:lang w:val="fr-FR"/>
        </w:rPr>
      </w:pPr>
      <w:r w:rsidRPr="00E32F88">
        <w:rPr>
          <w:lang w:val="fr-FR"/>
        </w:rPr>
        <w:tab/>
        <w:t>a)</w:t>
      </w:r>
      <w:r w:rsidRPr="00E32F88">
        <w:rPr>
          <w:lang w:val="fr-FR"/>
        </w:rPr>
        <w:tab/>
        <w:t>l</w:t>
      </w:r>
      <w:r w:rsidR="00300867">
        <w:rPr>
          <w:lang w:val="fr-FR"/>
        </w:rPr>
        <w:t>’</w:t>
      </w:r>
      <w:r w:rsidRPr="00E32F88">
        <w:rPr>
          <w:lang w:val="fr-FR"/>
        </w:rPr>
        <w:t>accès limité des femmes placées en détention à l</w:t>
      </w:r>
      <w:r w:rsidR="00300867">
        <w:rPr>
          <w:lang w:val="fr-FR"/>
        </w:rPr>
        <w:t>’</w:t>
      </w:r>
      <w:r w:rsidRPr="00E32F88">
        <w:rPr>
          <w:lang w:val="fr-FR"/>
        </w:rPr>
        <w:t>éducation, à la formation professionnelle et aux soins de santé ainsi que les informations insuffisantes sur le recours à des mesures de substitution à la détention</w:t>
      </w:r>
      <w:r w:rsidR="00300867">
        <w:rPr>
          <w:lang w:val="fr-FR"/>
        </w:rPr>
        <w:t> ;</w:t>
      </w:r>
    </w:p>
    <w:p w14:paraId="73D719A2" w14:textId="1B00AB14" w:rsidR="00E32F88" w:rsidRPr="00E32F88" w:rsidRDefault="00E32F88" w:rsidP="00E32F88">
      <w:pPr>
        <w:pStyle w:val="SingleTxt"/>
        <w:rPr>
          <w:lang w:val="fr-FR"/>
        </w:rPr>
      </w:pPr>
      <w:r w:rsidRPr="00E32F88">
        <w:rPr>
          <w:lang w:val="fr-FR"/>
        </w:rPr>
        <w:tab/>
        <w:t>b)</w:t>
      </w:r>
      <w:r w:rsidRPr="00E32F88">
        <w:rPr>
          <w:lang w:val="fr-FR"/>
        </w:rPr>
        <w:tab/>
        <w:t>le caractère répandu des discours de haine et de la violence en ligne contre les femmes lesbiennes, bisexuelles, transgenres et intersexes, ainsi que les informations signalant des faits de violence fondée sur le genre, de détention arbitraire et de violation du droit à la vie privée, commis en particulier par le personnel chargé de l</w:t>
      </w:r>
      <w:r w:rsidR="00300867">
        <w:rPr>
          <w:lang w:val="fr-FR"/>
        </w:rPr>
        <w:t>’</w:t>
      </w:r>
      <w:r w:rsidRPr="00E32F88">
        <w:rPr>
          <w:lang w:val="fr-FR"/>
        </w:rPr>
        <w:t>application des lois.</w:t>
      </w:r>
    </w:p>
    <w:p w14:paraId="1DFF49EC" w14:textId="77777777" w:rsidR="00E32F88" w:rsidRPr="00E32F88" w:rsidRDefault="00E32F88" w:rsidP="00E32F88">
      <w:pPr>
        <w:pStyle w:val="SingleTxt"/>
        <w:rPr>
          <w:lang w:val="fr-FR"/>
        </w:rPr>
      </w:pPr>
      <w:r w:rsidRPr="00E32F88">
        <w:rPr>
          <w:lang w:val="fr-FR"/>
        </w:rPr>
        <w:br w:type="page"/>
      </w:r>
    </w:p>
    <w:p w14:paraId="65C3B621" w14:textId="4BAE36E2" w:rsidR="00E32F88" w:rsidRPr="002366E8" w:rsidRDefault="00E32F88" w:rsidP="002366E8">
      <w:pPr>
        <w:pStyle w:val="SingleTxt"/>
        <w:numPr>
          <w:ilvl w:val="0"/>
          <w:numId w:val="26"/>
        </w:numPr>
        <w:spacing w:line="240" w:lineRule="exact"/>
        <w:rPr>
          <w:b/>
          <w:bCs/>
          <w:lang w:val="fr-FR"/>
        </w:rPr>
      </w:pPr>
      <w:r w:rsidRPr="002366E8">
        <w:rPr>
          <w:b/>
          <w:bCs/>
          <w:lang w:val="fr-FR"/>
        </w:rPr>
        <w:lastRenderedPageBreak/>
        <w:t>Le Comité recommande à l</w:t>
      </w:r>
      <w:r w:rsidR="00300867">
        <w:rPr>
          <w:b/>
          <w:bCs/>
          <w:lang w:val="fr-FR"/>
        </w:rPr>
        <w:t>’</w:t>
      </w:r>
      <w:r w:rsidRPr="002366E8">
        <w:rPr>
          <w:b/>
          <w:bCs/>
          <w:lang w:val="fr-FR"/>
        </w:rPr>
        <w:t>État partie</w:t>
      </w:r>
      <w:r w:rsidR="00300867">
        <w:rPr>
          <w:b/>
          <w:bCs/>
          <w:lang w:val="fr-FR"/>
        </w:rPr>
        <w:t> :</w:t>
      </w:r>
    </w:p>
    <w:p w14:paraId="202EF033" w14:textId="66961642"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veiller à ce que les femmes placées en détention aient accès à l</w:t>
      </w:r>
      <w:r w:rsidR="00300867">
        <w:rPr>
          <w:b/>
          <w:bCs/>
          <w:lang w:val="fr-FR"/>
        </w:rPr>
        <w:t>’</w:t>
      </w:r>
      <w:r w:rsidRPr="00E32F88">
        <w:rPr>
          <w:b/>
          <w:bCs/>
          <w:lang w:val="fr-FR"/>
        </w:rPr>
        <w:t>éducation, à la formation professionnelle et aux soins de santé et de promouvoir le recours à des mesures alternatives à la détention, en particulier pour les femmes enceintes et les femmes ayant des enfants</w:t>
      </w:r>
      <w:r w:rsidR="00300867">
        <w:rPr>
          <w:b/>
          <w:bCs/>
          <w:lang w:val="fr-FR"/>
        </w:rPr>
        <w:t> ;</w:t>
      </w:r>
    </w:p>
    <w:p w14:paraId="43C190B2" w14:textId="3869C84D"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w:t>
      </w:r>
      <w:r w:rsidR="00300867">
        <w:rPr>
          <w:b/>
          <w:bCs/>
          <w:lang w:val="fr-FR"/>
        </w:rPr>
        <w:t>’</w:t>
      </w:r>
      <w:r w:rsidRPr="00E32F88">
        <w:rPr>
          <w:b/>
          <w:bCs/>
          <w:lang w:val="fr-FR"/>
        </w:rPr>
        <w:t>enquêter sur les discours de haine et les violences en ligne ciblant les femmes lesbiennes, bisexuelles, transgenres et intersexes, de poursuivre et de sanctionner dûment leurs auteurs, ainsi que les autres formes de violence fondée sur le genre visant ces femmes, les détentions arbitraires et les violations de leur droit à la vie privée, y compris lorsque ces actes sont le fait des responsables de l</w:t>
      </w:r>
      <w:r w:rsidR="00300867">
        <w:rPr>
          <w:b/>
          <w:bCs/>
          <w:lang w:val="fr-FR"/>
        </w:rPr>
        <w:t>’</w:t>
      </w:r>
      <w:r w:rsidRPr="00E32F88">
        <w:rPr>
          <w:b/>
          <w:bCs/>
          <w:lang w:val="fr-FR"/>
        </w:rPr>
        <w:t>application des lois.</w:t>
      </w:r>
    </w:p>
    <w:p w14:paraId="73D8D108" w14:textId="5B2B4A0F" w:rsidR="00E32F88" w:rsidRPr="002366E8" w:rsidRDefault="00E32F88" w:rsidP="002366E8">
      <w:pPr>
        <w:pStyle w:val="SingleTxt"/>
        <w:spacing w:after="0" w:line="120" w:lineRule="exact"/>
        <w:rPr>
          <w:sz w:val="10"/>
          <w:lang w:val="fr-FR"/>
        </w:rPr>
      </w:pPr>
    </w:p>
    <w:p w14:paraId="5FD80DF9" w14:textId="77777777"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Mariage et rapports familiaux</w:t>
      </w:r>
    </w:p>
    <w:p w14:paraId="7E9D0336" w14:textId="6E2B3494" w:rsidR="00E32F88" w:rsidRPr="002366E8" w:rsidRDefault="00E32F88" w:rsidP="002366E8">
      <w:pPr>
        <w:pStyle w:val="SingleTxt"/>
        <w:spacing w:after="0" w:line="120" w:lineRule="exact"/>
        <w:rPr>
          <w:sz w:val="10"/>
          <w:lang w:val="fr-FR"/>
        </w:rPr>
      </w:pPr>
    </w:p>
    <w:p w14:paraId="68913530" w14:textId="41440A55" w:rsidR="00E32F88" w:rsidRPr="00E32F88" w:rsidRDefault="00E32F88" w:rsidP="002366E8">
      <w:pPr>
        <w:pStyle w:val="SingleTxt"/>
        <w:numPr>
          <w:ilvl w:val="0"/>
          <w:numId w:val="28"/>
        </w:numPr>
        <w:spacing w:line="240" w:lineRule="exact"/>
        <w:rPr>
          <w:lang w:val="fr-FR"/>
        </w:rPr>
      </w:pPr>
      <w:r w:rsidRPr="00E32F88">
        <w:rPr>
          <w:lang w:val="fr-FR"/>
        </w:rPr>
        <w:t>Le Comité prend note de l</w:t>
      </w:r>
      <w:r w:rsidR="00300867">
        <w:rPr>
          <w:lang w:val="fr-FR"/>
        </w:rPr>
        <w:t>’</w:t>
      </w:r>
      <w:r w:rsidRPr="00E32F88">
        <w:rPr>
          <w:lang w:val="fr-FR"/>
        </w:rPr>
        <w:t>adoption de la loi n</w:t>
      </w:r>
      <w:r w:rsidRPr="00E32F88">
        <w:rPr>
          <w:vertAlign w:val="superscript"/>
          <w:lang w:val="fr-FR"/>
        </w:rPr>
        <w:t>o</w:t>
      </w:r>
      <w:r w:rsidRPr="00E32F88">
        <w:rPr>
          <w:lang w:val="fr-FR"/>
        </w:rPr>
        <w:t> 807 (2016), sur l</w:t>
      </w:r>
      <w:r w:rsidR="00300867">
        <w:rPr>
          <w:lang w:val="fr-FR"/>
        </w:rPr>
        <w:t>’</w:t>
      </w:r>
      <w:r w:rsidRPr="00E32F88">
        <w:rPr>
          <w:lang w:val="fr-FR"/>
        </w:rPr>
        <w:t>identité de genre, qui a établi une procédure administrative permettant de changer le nom, le sexe et la photographie des personnes transsexuelles et transgenres. Il se félicite des efforts déployés pour remédier aux disparités en matière d</w:t>
      </w:r>
      <w:r w:rsidR="00300867">
        <w:rPr>
          <w:lang w:val="fr-FR"/>
        </w:rPr>
        <w:t>’</w:t>
      </w:r>
      <w:r w:rsidRPr="00E32F88">
        <w:rPr>
          <w:lang w:val="fr-FR"/>
        </w:rPr>
        <w:t>héritage foncier. Le Comité est néanmoins préoccupé par ce qui suit</w:t>
      </w:r>
      <w:r w:rsidR="00300867">
        <w:rPr>
          <w:lang w:val="fr-FR"/>
        </w:rPr>
        <w:t> :</w:t>
      </w:r>
    </w:p>
    <w:p w14:paraId="25B254F8" w14:textId="1B381D0F" w:rsidR="00E32F88" w:rsidRPr="00E32F88" w:rsidRDefault="00E32F88" w:rsidP="00E32F88">
      <w:pPr>
        <w:pStyle w:val="SingleTxt"/>
        <w:rPr>
          <w:lang w:val="fr-FR"/>
        </w:rPr>
      </w:pPr>
      <w:r w:rsidRPr="00E32F88">
        <w:rPr>
          <w:lang w:val="fr-FR"/>
        </w:rPr>
        <w:tab/>
        <w:t>a)</w:t>
      </w:r>
      <w:r w:rsidRPr="00E32F88">
        <w:rPr>
          <w:lang w:val="fr-FR"/>
        </w:rPr>
        <w:tab/>
        <w:t>l</w:t>
      </w:r>
      <w:r w:rsidR="00300867">
        <w:rPr>
          <w:lang w:val="fr-FR"/>
        </w:rPr>
        <w:t>’</w:t>
      </w:r>
      <w:r w:rsidRPr="00E32F88">
        <w:rPr>
          <w:lang w:val="fr-FR"/>
        </w:rPr>
        <w:t>article 11 (II) de la loi n</w:t>
      </w:r>
      <w:r w:rsidRPr="00E32F88">
        <w:rPr>
          <w:vertAlign w:val="superscript"/>
          <w:lang w:val="fr-FR"/>
        </w:rPr>
        <w:t>o</w:t>
      </w:r>
      <w:r w:rsidRPr="00E32F88">
        <w:rPr>
          <w:lang w:val="fr-FR"/>
        </w:rPr>
        <w:t> 807 sur l</w:t>
      </w:r>
      <w:r w:rsidR="00300867">
        <w:rPr>
          <w:lang w:val="fr-FR"/>
        </w:rPr>
        <w:t>’</w:t>
      </w:r>
      <w:r w:rsidRPr="00E32F88">
        <w:rPr>
          <w:lang w:val="fr-FR"/>
        </w:rPr>
        <w:t>identité de genre prive de fait les femmes transsexuelles et transgenres d</w:t>
      </w:r>
      <w:r w:rsidR="00300867">
        <w:rPr>
          <w:lang w:val="fr-FR"/>
        </w:rPr>
        <w:t>’</w:t>
      </w:r>
      <w:r w:rsidRPr="00E32F88">
        <w:rPr>
          <w:lang w:val="fr-FR"/>
        </w:rPr>
        <w:t>un certain nombre de droits et a été déclaré inconstitutionnel par l</w:t>
      </w:r>
      <w:r w:rsidR="00300867">
        <w:rPr>
          <w:lang w:val="fr-FR"/>
        </w:rPr>
        <w:t>’</w:t>
      </w:r>
      <w:r w:rsidRPr="00E32F88">
        <w:rPr>
          <w:lang w:val="fr-FR"/>
        </w:rPr>
        <w:t>arrêt de la Cour constitutionnelle plurinationale n</w:t>
      </w:r>
      <w:r w:rsidRPr="00E32F88">
        <w:rPr>
          <w:vertAlign w:val="superscript"/>
          <w:lang w:val="fr-FR"/>
        </w:rPr>
        <w:t>o</w:t>
      </w:r>
      <w:r w:rsidRPr="00E32F88">
        <w:rPr>
          <w:lang w:val="fr-FR"/>
        </w:rPr>
        <w:t> 0076/2017 du 9</w:t>
      </w:r>
      <w:r w:rsidR="002366E8">
        <w:rPr>
          <w:lang w:val="fr-FR"/>
        </w:rPr>
        <w:t xml:space="preserve"> </w:t>
      </w:r>
      <w:r w:rsidRPr="00E32F88">
        <w:rPr>
          <w:lang w:val="fr-FR"/>
        </w:rPr>
        <w:t>septembre 2017 et l</w:t>
      </w:r>
      <w:r w:rsidR="00300867">
        <w:rPr>
          <w:lang w:val="fr-FR"/>
        </w:rPr>
        <w:t>’</w:t>
      </w:r>
      <w:r w:rsidRPr="00E32F88">
        <w:rPr>
          <w:lang w:val="fr-FR"/>
        </w:rPr>
        <w:t>acte constitutionnel plurinational n</w:t>
      </w:r>
      <w:r w:rsidRPr="00E32F88">
        <w:rPr>
          <w:vertAlign w:val="superscript"/>
          <w:lang w:val="fr-FR"/>
        </w:rPr>
        <w:t>o</w:t>
      </w:r>
      <w:r w:rsidRPr="00E32F88">
        <w:rPr>
          <w:lang w:val="fr-FR"/>
        </w:rPr>
        <w:t> 0028/17 du 22 novembre 2017</w:t>
      </w:r>
      <w:r w:rsidR="00300867">
        <w:rPr>
          <w:lang w:val="fr-FR"/>
        </w:rPr>
        <w:t> ;</w:t>
      </w:r>
    </w:p>
    <w:p w14:paraId="45728277" w14:textId="19F8E2A1" w:rsidR="00E32F88" w:rsidRPr="00E32F88" w:rsidRDefault="00E32F88" w:rsidP="00E32F88">
      <w:pPr>
        <w:pStyle w:val="SingleTxt"/>
        <w:rPr>
          <w:lang w:val="fr-FR"/>
        </w:rPr>
      </w:pPr>
      <w:r w:rsidRPr="00E32F88">
        <w:rPr>
          <w:lang w:val="fr-FR"/>
        </w:rPr>
        <w:tab/>
        <w:t>b)</w:t>
      </w:r>
      <w:r w:rsidRPr="00E32F88">
        <w:rPr>
          <w:lang w:val="fr-FR"/>
        </w:rPr>
        <w:tab/>
        <w:t>le refus d</w:t>
      </w:r>
      <w:r w:rsidR="00300867">
        <w:rPr>
          <w:lang w:val="fr-FR"/>
        </w:rPr>
        <w:t>’</w:t>
      </w:r>
      <w:r w:rsidRPr="00E32F88">
        <w:rPr>
          <w:lang w:val="fr-FR"/>
        </w:rPr>
        <w:t>enregistrer les unions libres ou de fait de couples de même sexe, sur la base d</w:t>
      </w:r>
      <w:r w:rsidR="00300867">
        <w:rPr>
          <w:lang w:val="fr-FR"/>
        </w:rPr>
        <w:t>’</w:t>
      </w:r>
      <w:r w:rsidRPr="00E32F88">
        <w:rPr>
          <w:lang w:val="fr-FR"/>
        </w:rPr>
        <w:t>une décision qui a fait l</w:t>
      </w:r>
      <w:r w:rsidR="00300867">
        <w:rPr>
          <w:lang w:val="fr-FR"/>
        </w:rPr>
        <w:t>’</w:t>
      </w:r>
      <w:r w:rsidRPr="00E32F88">
        <w:rPr>
          <w:lang w:val="fr-FR"/>
        </w:rPr>
        <w:t>objet d</w:t>
      </w:r>
      <w:r w:rsidR="00300867">
        <w:rPr>
          <w:lang w:val="fr-FR"/>
        </w:rPr>
        <w:t>’</w:t>
      </w:r>
      <w:r w:rsidRPr="00E32F88">
        <w:rPr>
          <w:lang w:val="fr-FR"/>
        </w:rPr>
        <w:t>un recours devant la Cour constitutionnelle</w:t>
      </w:r>
      <w:r w:rsidR="00300867">
        <w:rPr>
          <w:lang w:val="fr-FR"/>
        </w:rPr>
        <w:t> ;</w:t>
      </w:r>
    </w:p>
    <w:p w14:paraId="5503D6F0" w14:textId="33C584C3" w:rsidR="00E32F88" w:rsidRPr="00E32F88" w:rsidRDefault="00E32F88" w:rsidP="00E32F88">
      <w:pPr>
        <w:pStyle w:val="SingleTxt"/>
        <w:rPr>
          <w:lang w:val="fr-FR"/>
        </w:rPr>
      </w:pPr>
      <w:r w:rsidRPr="00E32F88">
        <w:rPr>
          <w:lang w:val="fr-FR"/>
        </w:rPr>
        <w:tab/>
        <w:t>c)</w:t>
      </w:r>
      <w:r w:rsidRPr="00E32F88">
        <w:rPr>
          <w:lang w:val="fr-FR"/>
        </w:rPr>
        <w:tab/>
        <w:t>la forte prévalence des mariages d</w:t>
      </w:r>
      <w:r w:rsidR="00300867">
        <w:rPr>
          <w:lang w:val="fr-FR"/>
        </w:rPr>
        <w:t>’</w:t>
      </w:r>
      <w:r w:rsidRPr="00E32F88">
        <w:rPr>
          <w:lang w:val="fr-FR"/>
        </w:rPr>
        <w:t>enfants et des unions forcées chez les filles de moins de 15 ans, notamment dans les zones rurales, qui résultent souvent de violences sexuelles, de grossesses forcées, de contextes familiaux violents et de la pauvreté</w:t>
      </w:r>
      <w:r w:rsidR="00300867">
        <w:rPr>
          <w:lang w:val="fr-FR"/>
        </w:rPr>
        <w:t> ;</w:t>
      </w:r>
    </w:p>
    <w:p w14:paraId="0F598883" w14:textId="292EBAB8" w:rsidR="00E32F88" w:rsidRPr="00E32F88" w:rsidRDefault="00E32F88" w:rsidP="00E32F88">
      <w:pPr>
        <w:pStyle w:val="SingleTxt"/>
        <w:rPr>
          <w:lang w:val="fr-FR"/>
        </w:rPr>
      </w:pPr>
      <w:r w:rsidRPr="00E32F88">
        <w:rPr>
          <w:lang w:val="fr-FR"/>
        </w:rPr>
        <w:tab/>
        <w:t>d)</w:t>
      </w:r>
      <w:r w:rsidRPr="00E32F88">
        <w:rPr>
          <w:lang w:val="fr-FR"/>
        </w:rPr>
        <w:tab/>
        <w:t>les effets des mariages d</w:t>
      </w:r>
      <w:r w:rsidR="00300867">
        <w:rPr>
          <w:lang w:val="fr-FR"/>
        </w:rPr>
        <w:t>’</w:t>
      </w:r>
      <w:r w:rsidRPr="00E32F88">
        <w:rPr>
          <w:lang w:val="fr-FR"/>
        </w:rPr>
        <w:t>enfants et des unions forcées sur les chances de réussite dans la vie des jeunes femmes et des filles et la nécessité de fournir des dispositifs de soutien économique, éducatif et psychologique directs et ciblés</w:t>
      </w:r>
      <w:r w:rsidR="00300867">
        <w:rPr>
          <w:lang w:val="fr-FR"/>
        </w:rPr>
        <w:t> ;</w:t>
      </w:r>
    </w:p>
    <w:p w14:paraId="78D6BC77" w14:textId="476C47FE" w:rsidR="00E32F88" w:rsidRPr="00E32F88" w:rsidRDefault="00E32F88" w:rsidP="00E32F88">
      <w:pPr>
        <w:pStyle w:val="SingleTxt"/>
        <w:rPr>
          <w:lang w:val="fr-FR"/>
        </w:rPr>
      </w:pPr>
      <w:r w:rsidRPr="00E32F88">
        <w:rPr>
          <w:lang w:val="fr-FR"/>
        </w:rPr>
        <w:tab/>
        <w:t>e)</w:t>
      </w:r>
      <w:r w:rsidRPr="00E32F88">
        <w:rPr>
          <w:lang w:val="fr-FR"/>
        </w:rPr>
        <w:tab/>
        <w:t>l</w:t>
      </w:r>
      <w:r w:rsidR="00300867">
        <w:rPr>
          <w:lang w:val="fr-FR"/>
        </w:rPr>
        <w:t>’</w:t>
      </w:r>
      <w:r w:rsidRPr="00E32F88">
        <w:rPr>
          <w:lang w:val="fr-FR"/>
        </w:rPr>
        <w:t>écart entre la loi sur les droits de succession égaux et la réalité dans certains territoires autonomes.</w:t>
      </w:r>
    </w:p>
    <w:p w14:paraId="610907E1" w14:textId="2CBCDC97" w:rsidR="00E32F88" w:rsidRPr="002366E8" w:rsidRDefault="00E32F88" w:rsidP="002366E8">
      <w:pPr>
        <w:pStyle w:val="SingleTxt"/>
        <w:numPr>
          <w:ilvl w:val="0"/>
          <w:numId w:val="28"/>
        </w:numPr>
        <w:spacing w:line="240" w:lineRule="exact"/>
        <w:rPr>
          <w:b/>
          <w:bCs/>
          <w:lang w:val="fr-FR"/>
        </w:rPr>
      </w:pPr>
      <w:r w:rsidRPr="002366E8">
        <w:rPr>
          <w:b/>
          <w:bCs/>
          <w:lang w:val="fr-FR"/>
        </w:rPr>
        <w:t>Le Comité recommande à l</w:t>
      </w:r>
      <w:r w:rsidR="00300867">
        <w:rPr>
          <w:b/>
          <w:bCs/>
          <w:lang w:val="fr-FR"/>
        </w:rPr>
        <w:t>’</w:t>
      </w:r>
      <w:r w:rsidRPr="002366E8">
        <w:rPr>
          <w:b/>
          <w:bCs/>
          <w:lang w:val="fr-FR"/>
        </w:rPr>
        <w:t>État partie</w:t>
      </w:r>
      <w:r w:rsidR="00300867">
        <w:rPr>
          <w:b/>
          <w:bCs/>
          <w:lang w:val="fr-FR"/>
        </w:rPr>
        <w:t> :</w:t>
      </w:r>
    </w:p>
    <w:p w14:paraId="32803D3F" w14:textId="0E8DCE8D" w:rsidR="00E32F88" w:rsidRPr="00E32F88" w:rsidRDefault="00E32F88" w:rsidP="00E32F88">
      <w:pPr>
        <w:pStyle w:val="SingleTxt"/>
        <w:rPr>
          <w:b/>
          <w:bCs/>
          <w:lang w:val="fr-FR"/>
        </w:rPr>
      </w:pPr>
      <w:r w:rsidRPr="00E32F88">
        <w:rPr>
          <w:lang w:val="fr-FR"/>
        </w:rPr>
        <w:tab/>
        <w:t>a)</w:t>
      </w:r>
      <w:r w:rsidRPr="00E32F88">
        <w:rPr>
          <w:lang w:val="fr-FR"/>
        </w:rPr>
        <w:tab/>
      </w:r>
      <w:r w:rsidRPr="00E32F88">
        <w:rPr>
          <w:b/>
          <w:bCs/>
          <w:lang w:val="fr-FR"/>
        </w:rPr>
        <w:t>de réviser les lois existantes afin de garantir que les femmes lesbiennes, bisexuelles, transgenres et intersexes accèdent sur un pied d</w:t>
      </w:r>
      <w:r w:rsidR="00300867">
        <w:rPr>
          <w:b/>
          <w:bCs/>
          <w:lang w:val="fr-FR"/>
        </w:rPr>
        <w:t>’</w:t>
      </w:r>
      <w:r w:rsidRPr="00E32F88">
        <w:rPr>
          <w:b/>
          <w:bCs/>
          <w:lang w:val="fr-FR"/>
        </w:rPr>
        <w:t>égalité aux droits inscrits dans la Convention, y compris l</w:t>
      </w:r>
      <w:r w:rsidR="00300867">
        <w:rPr>
          <w:b/>
          <w:bCs/>
          <w:lang w:val="fr-FR"/>
        </w:rPr>
        <w:t>’</w:t>
      </w:r>
      <w:r w:rsidRPr="00E32F88">
        <w:rPr>
          <w:b/>
          <w:bCs/>
          <w:lang w:val="fr-FR"/>
        </w:rPr>
        <w:t>égalité des droits dans le mariage ou les relations familiales</w:t>
      </w:r>
      <w:r w:rsidR="00300867">
        <w:rPr>
          <w:b/>
          <w:bCs/>
          <w:lang w:val="fr-FR"/>
        </w:rPr>
        <w:t> ;</w:t>
      </w:r>
    </w:p>
    <w:p w14:paraId="7CBA730C" w14:textId="4BCC7868" w:rsidR="00E32F88" w:rsidRPr="00E32F88" w:rsidRDefault="00E32F88" w:rsidP="00E32F88">
      <w:pPr>
        <w:pStyle w:val="SingleTxt"/>
        <w:rPr>
          <w:b/>
          <w:bCs/>
          <w:lang w:val="fr-FR"/>
        </w:rPr>
      </w:pPr>
      <w:r w:rsidRPr="00E32F88">
        <w:rPr>
          <w:lang w:val="fr-FR"/>
        </w:rPr>
        <w:tab/>
        <w:t>b)</w:t>
      </w:r>
      <w:r w:rsidRPr="00E32F88">
        <w:rPr>
          <w:lang w:val="fr-FR"/>
        </w:rPr>
        <w:tab/>
      </w:r>
      <w:r w:rsidRPr="00E32F88">
        <w:rPr>
          <w:b/>
          <w:bCs/>
          <w:lang w:val="fr-FR"/>
        </w:rPr>
        <w:t>de modifier le code de la famille et de procédure familiale afin de fixer l</w:t>
      </w:r>
      <w:r w:rsidR="00300867">
        <w:rPr>
          <w:b/>
          <w:bCs/>
          <w:lang w:val="fr-FR"/>
        </w:rPr>
        <w:t>’</w:t>
      </w:r>
      <w:r w:rsidRPr="00E32F88">
        <w:rPr>
          <w:b/>
          <w:bCs/>
          <w:lang w:val="fr-FR"/>
        </w:rPr>
        <w:t>âge minimum du mariage et des unions de fait à 18 ans pour les femmes et les hommes, sans exception, et de mener des campagnes de sensibilisation auprès des parents, des enseignantes et enseignants et des chefs religieux sur les effets néfastes des mariages d</w:t>
      </w:r>
      <w:r w:rsidR="00300867">
        <w:rPr>
          <w:b/>
          <w:bCs/>
          <w:lang w:val="fr-FR"/>
        </w:rPr>
        <w:t>’</w:t>
      </w:r>
      <w:r w:rsidRPr="00E32F88">
        <w:rPr>
          <w:b/>
          <w:bCs/>
          <w:lang w:val="fr-FR"/>
        </w:rPr>
        <w:t>enfants sur les filles</w:t>
      </w:r>
      <w:r w:rsidR="00300867">
        <w:rPr>
          <w:b/>
          <w:bCs/>
          <w:lang w:val="fr-FR"/>
        </w:rPr>
        <w:t> ;</w:t>
      </w:r>
    </w:p>
    <w:p w14:paraId="17DC9969" w14:textId="301D4D84" w:rsidR="00E32F88" w:rsidRPr="00E32F88" w:rsidRDefault="00E32F88" w:rsidP="00E32F88">
      <w:pPr>
        <w:pStyle w:val="SingleTxt"/>
        <w:rPr>
          <w:b/>
          <w:bCs/>
          <w:lang w:val="fr-FR"/>
        </w:rPr>
      </w:pPr>
      <w:r w:rsidRPr="00E32F88">
        <w:rPr>
          <w:lang w:val="fr-FR"/>
        </w:rPr>
        <w:tab/>
        <w:t>c)</w:t>
      </w:r>
      <w:r w:rsidRPr="00E32F88">
        <w:rPr>
          <w:lang w:val="fr-FR"/>
        </w:rPr>
        <w:tab/>
      </w:r>
      <w:r w:rsidRPr="00E32F88">
        <w:rPr>
          <w:b/>
          <w:bCs/>
          <w:lang w:val="fr-FR"/>
        </w:rPr>
        <w:t>de mettre en place ou de renforcer des mesures ciblées visant à accompagner les jeunes femmes et les filles mariées ou vivant en union de fait à l</w:t>
      </w:r>
      <w:r w:rsidR="00300867">
        <w:rPr>
          <w:b/>
          <w:bCs/>
          <w:lang w:val="fr-FR"/>
        </w:rPr>
        <w:t>’</w:t>
      </w:r>
      <w:r w:rsidRPr="00E32F88">
        <w:rPr>
          <w:b/>
          <w:bCs/>
          <w:lang w:val="fr-FR"/>
        </w:rPr>
        <w:t>aide de systèmes de garde d</w:t>
      </w:r>
      <w:r w:rsidR="00300867">
        <w:rPr>
          <w:b/>
          <w:bCs/>
          <w:lang w:val="fr-FR"/>
        </w:rPr>
        <w:t>’</w:t>
      </w:r>
      <w:r w:rsidRPr="00E32F88">
        <w:rPr>
          <w:b/>
          <w:bCs/>
          <w:lang w:val="fr-FR"/>
        </w:rPr>
        <w:t xml:space="preserve">enfants dans les communautés rurales et urbaines, </w:t>
      </w:r>
      <w:r w:rsidRPr="00E32F88">
        <w:rPr>
          <w:b/>
          <w:bCs/>
          <w:lang w:val="fr-FR"/>
        </w:rPr>
        <w:lastRenderedPageBreak/>
        <w:t>afin de faciliter leur accès à des programmes spéciaux et à des possibilités d</w:t>
      </w:r>
      <w:r w:rsidR="00300867">
        <w:rPr>
          <w:b/>
          <w:bCs/>
          <w:lang w:val="fr-FR"/>
        </w:rPr>
        <w:t>’</w:t>
      </w:r>
      <w:r w:rsidRPr="00E32F88">
        <w:rPr>
          <w:b/>
          <w:bCs/>
          <w:lang w:val="fr-FR"/>
        </w:rPr>
        <w:t>emploi</w:t>
      </w:r>
      <w:r w:rsidR="00300867">
        <w:rPr>
          <w:b/>
          <w:bCs/>
          <w:lang w:val="fr-FR"/>
        </w:rPr>
        <w:t> ;</w:t>
      </w:r>
    </w:p>
    <w:p w14:paraId="04F602FA" w14:textId="0C08B22F" w:rsidR="00E32F88" w:rsidRPr="00E32F88" w:rsidRDefault="00E32F88" w:rsidP="00E32F88">
      <w:pPr>
        <w:pStyle w:val="SingleTxt"/>
        <w:rPr>
          <w:b/>
          <w:bCs/>
          <w:lang w:val="fr-FR"/>
        </w:rPr>
      </w:pPr>
      <w:r w:rsidRPr="00E32F88">
        <w:rPr>
          <w:lang w:val="fr-FR"/>
        </w:rPr>
        <w:tab/>
        <w:t>d)</w:t>
      </w:r>
      <w:r w:rsidRPr="00E32F88">
        <w:rPr>
          <w:lang w:val="fr-FR"/>
        </w:rPr>
        <w:tab/>
      </w:r>
      <w:r w:rsidRPr="00E32F88">
        <w:rPr>
          <w:b/>
          <w:bCs/>
          <w:lang w:val="fr-FR"/>
        </w:rPr>
        <w:t>de veiller à ce que les femmes qui ont pu être dépossédées de leur héritage puissent recouvrer leurs droits au moyen d</w:t>
      </w:r>
      <w:r w:rsidR="00300867">
        <w:rPr>
          <w:b/>
          <w:bCs/>
          <w:lang w:val="fr-FR"/>
        </w:rPr>
        <w:t>’</w:t>
      </w:r>
      <w:r w:rsidRPr="00E32F88">
        <w:rPr>
          <w:b/>
          <w:bCs/>
          <w:lang w:val="fr-FR"/>
        </w:rPr>
        <w:t>une action civile et de la mise à jour du cadastre effectuée par l</w:t>
      </w:r>
      <w:r w:rsidR="00300867">
        <w:rPr>
          <w:b/>
          <w:bCs/>
          <w:lang w:val="fr-FR"/>
        </w:rPr>
        <w:t>’</w:t>
      </w:r>
      <w:r w:rsidRPr="00E32F88">
        <w:rPr>
          <w:b/>
          <w:bCs/>
          <w:lang w:val="fr-FR"/>
        </w:rPr>
        <w:t>entité foncière.</w:t>
      </w:r>
    </w:p>
    <w:p w14:paraId="6CDCDC47" w14:textId="1DF08EDE" w:rsidR="00E32F88" w:rsidRPr="002366E8" w:rsidRDefault="00E32F88" w:rsidP="002366E8">
      <w:pPr>
        <w:pStyle w:val="SingleTxt"/>
        <w:spacing w:after="0" w:line="120" w:lineRule="exact"/>
        <w:rPr>
          <w:sz w:val="10"/>
          <w:lang w:val="fr-FR"/>
        </w:rPr>
      </w:pPr>
    </w:p>
    <w:p w14:paraId="6FFB771E" w14:textId="0D9A058F"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Modification apportée au paragraphe 1 de l</w:t>
      </w:r>
      <w:r w:rsidR="00300867">
        <w:rPr>
          <w:lang w:val="fr-FR"/>
        </w:rPr>
        <w:t>’</w:t>
      </w:r>
      <w:r w:rsidRPr="00E32F88">
        <w:rPr>
          <w:lang w:val="fr-FR"/>
        </w:rPr>
        <w:t xml:space="preserve">article 20 de la Convention </w:t>
      </w:r>
    </w:p>
    <w:p w14:paraId="1D15A652" w14:textId="5A24D4FA" w:rsidR="00E32F88" w:rsidRPr="002366E8" w:rsidRDefault="00E32F88" w:rsidP="002366E8">
      <w:pPr>
        <w:pStyle w:val="SingleTxt"/>
        <w:spacing w:after="0" w:line="120" w:lineRule="exact"/>
        <w:rPr>
          <w:sz w:val="10"/>
          <w:lang w:val="fr-FR"/>
        </w:rPr>
      </w:pPr>
    </w:p>
    <w:p w14:paraId="629A6B55" w14:textId="309EB849" w:rsidR="00E32F88" w:rsidRPr="002366E8" w:rsidRDefault="00E32F88" w:rsidP="002366E8">
      <w:pPr>
        <w:pStyle w:val="SingleTxt"/>
        <w:numPr>
          <w:ilvl w:val="0"/>
          <w:numId w:val="30"/>
        </w:numPr>
        <w:spacing w:line="240" w:lineRule="exact"/>
        <w:rPr>
          <w:b/>
          <w:bCs/>
          <w:lang w:val="fr-FR"/>
        </w:rPr>
      </w:pPr>
      <w:r w:rsidRPr="002366E8">
        <w:rPr>
          <w:b/>
          <w:bCs/>
          <w:lang w:val="fr-FR"/>
        </w:rPr>
        <w:t>Le Comité invite l</w:t>
      </w:r>
      <w:r w:rsidR="00300867">
        <w:rPr>
          <w:b/>
          <w:bCs/>
          <w:lang w:val="fr-FR"/>
        </w:rPr>
        <w:t>’</w:t>
      </w:r>
      <w:r w:rsidRPr="002366E8">
        <w:rPr>
          <w:b/>
          <w:bCs/>
          <w:lang w:val="fr-FR"/>
        </w:rPr>
        <w:t>État partie à accepter dans les meilleurs délais l</w:t>
      </w:r>
      <w:r w:rsidR="00300867">
        <w:rPr>
          <w:b/>
          <w:bCs/>
          <w:lang w:val="fr-FR"/>
        </w:rPr>
        <w:t>’</w:t>
      </w:r>
      <w:r w:rsidRPr="002366E8">
        <w:rPr>
          <w:b/>
          <w:bCs/>
          <w:lang w:val="fr-FR"/>
        </w:rPr>
        <w:t>amendement au paragraphe 1 de l</w:t>
      </w:r>
      <w:r w:rsidR="00300867">
        <w:rPr>
          <w:b/>
          <w:bCs/>
          <w:lang w:val="fr-FR"/>
        </w:rPr>
        <w:t>’</w:t>
      </w:r>
      <w:r w:rsidRPr="002366E8">
        <w:rPr>
          <w:b/>
          <w:bCs/>
          <w:lang w:val="fr-FR"/>
        </w:rPr>
        <w:t>article 20 de la Convention relatif à la durée des sessions du Comité.</w:t>
      </w:r>
    </w:p>
    <w:p w14:paraId="0B13055C" w14:textId="77777777" w:rsidR="002366E8" w:rsidRPr="002366E8" w:rsidRDefault="002366E8" w:rsidP="002366E8">
      <w:pPr>
        <w:pStyle w:val="SingleTxt"/>
        <w:spacing w:after="0" w:line="120" w:lineRule="exact"/>
        <w:rPr>
          <w:sz w:val="10"/>
          <w:lang w:val="fr-FR"/>
        </w:rPr>
      </w:pPr>
    </w:p>
    <w:p w14:paraId="03FFE279" w14:textId="1BE6E3F8"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Déclaration et Programme d</w:t>
      </w:r>
      <w:r w:rsidR="00300867">
        <w:rPr>
          <w:lang w:val="fr-FR"/>
        </w:rPr>
        <w:t>’</w:t>
      </w:r>
      <w:r w:rsidRPr="00E32F88">
        <w:rPr>
          <w:lang w:val="fr-FR"/>
        </w:rPr>
        <w:t xml:space="preserve">action de Beijing </w:t>
      </w:r>
    </w:p>
    <w:p w14:paraId="0A9FEAB7" w14:textId="59CDA29D" w:rsidR="00E32F88" w:rsidRPr="002366E8" w:rsidRDefault="00E32F88" w:rsidP="002366E8">
      <w:pPr>
        <w:pStyle w:val="SingleTxt"/>
        <w:spacing w:after="0" w:line="120" w:lineRule="exact"/>
        <w:rPr>
          <w:sz w:val="10"/>
          <w:lang w:val="fr-FR"/>
        </w:rPr>
      </w:pPr>
    </w:p>
    <w:p w14:paraId="33FC2F25" w14:textId="501F692D" w:rsidR="00E32F88" w:rsidRPr="002366E8" w:rsidRDefault="00E32F88" w:rsidP="002366E8">
      <w:pPr>
        <w:pStyle w:val="SingleTxt"/>
        <w:numPr>
          <w:ilvl w:val="0"/>
          <w:numId w:val="34"/>
        </w:numPr>
        <w:spacing w:line="240" w:lineRule="exact"/>
        <w:rPr>
          <w:b/>
          <w:bCs/>
          <w:lang w:val="fr-FR"/>
        </w:rPr>
      </w:pPr>
      <w:r w:rsidRPr="002366E8">
        <w:rPr>
          <w:b/>
          <w:bCs/>
          <w:lang w:val="fr-FR"/>
        </w:rPr>
        <w:t>Le Comité invite l</w:t>
      </w:r>
      <w:r w:rsidR="00300867">
        <w:rPr>
          <w:b/>
          <w:bCs/>
          <w:lang w:val="fr-FR"/>
        </w:rPr>
        <w:t>’</w:t>
      </w:r>
      <w:r w:rsidRPr="002366E8">
        <w:rPr>
          <w:b/>
          <w:bCs/>
          <w:lang w:val="fr-FR"/>
        </w:rPr>
        <w:t>État partie à s</w:t>
      </w:r>
      <w:r w:rsidR="00300867">
        <w:rPr>
          <w:b/>
          <w:bCs/>
          <w:lang w:val="fr-FR"/>
        </w:rPr>
        <w:t>’</w:t>
      </w:r>
      <w:r w:rsidRPr="002366E8">
        <w:rPr>
          <w:b/>
          <w:bCs/>
          <w:lang w:val="fr-FR"/>
        </w:rPr>
        <w:t>appuyer sur la Déclaration et le Programme d</w:t>
      </w:r>
      <w:r w:rsidR="00300867">
        <w:rPr>
          <w:b/>
          <w:bCs/>
          <w:lang w:val="fr-FR"/>
        </w:rPr>
        <w:t>’</w:t>
      </w:r>
      <w:r w:rsidRPr="002366E8">
        <w:rPr>
          <w:b/>
          <w:bCs/>
          <w:lang w:val="fr-FR"/>
        </w:rPr>
        <w:t>action de Beijing et à continuer d</w:t>
      </w:r>
      <w:r w:rsidR="00300867">
        <w:rPr>
          <w:b/>
          <w:bCs/>
          <w:lang w:val="fr-FR"/>
        </w:rPr>
        <w:t>’</w:t>
      </w:r>
      <w:r w:rsidRPr="002366E8">
        <w:rPr>
          <w:b/>
          <w:bCs/>
          <w:lang w:val="fr-FR"/>
        </w:rPr>
        <w:t>évaluer la réalisation des droits consacrés par la Convention dans le contexte de l</w:t>
      </w:r>
      <w:r w:rsidR="00300867">
        <w:rPr>
          <w:b/>
          <w:bCs/>
          <w:lang w:val="fr-FR"/>
        </w:rPr>
        <w:t>’</w:t>
      </w:r>
      <w:r w:rsidRPr="002366E8">
        <w:rPr>
          <w:b/>
          <w:bCs/>
          <w:lang w:val="fr-FR"/>
        </w:rPr>
        <w:t>examen, après 25 ans, de la mise en œuvre de la Déclaration et du Programme d</w:t>
      </w:r>
      <w:r w:rsidR="00300867">
        <w:rPr>
          <w:b/>
          <w:bCs/>
          <w:lang w:val="fr-FR"/>
        </w:rPr>
        <w:t>’</w:t>
      </w:r>
      <w:r w:rsidRPr="002366E8">
        <w:rPr>
          <w:b/>
          <w:bCs/>
          <w:lang w:val="fr-FR"/>
        </w:rPr>
        <w:t>action de Beijing afin de parvenir à une égalité réelle entre les femmes et les hommes.</w:t>
      </w:r>
    </w:p>
    <w:p w14:paraId="6CA96EE9" w14:textId="49A5F628" w:rsidR="00E32F88" w:rsidRPr="002366E8" w:rsidRDefault="00E32F88" w:rsidP="002366E8">
      <w:pPr>
        <w:pStyle w:val="SingleTxt"/>
        <w:spacing w:after="0" w:line="120" w:lineRule="exact"/>
        <w:rPr>
          <w:sz w:val="10"/>
          <w:lang w:val="fr-FR"/>
        </w:rPr>
      </w:pPr>
    </w:p>
    <w:p w14:paraId="3B10E3FF" w14:textId="77777777"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 xml:space="preserve">Diffusion </w:t>
      </w:r>
    </w:p>
    <w:p w14:paraId="12077126" w14:textId="23932DCB" w:rsidR="00E32F88" w:rsidRPr="002366E8" w:rsidRDefault="00E32F88" w:rsidP="002366E8">
      <w:pPr>
        <w:pStyle w:val="SingleTxt"/>
        <w:spacing w:after="0" w:line="120" w:lineRule="exact"/>
        <w:rPr>
          <w:sz w:val="10"/>
          <w:lang w:val="fr-FR"/>
        </w:rPr>
      </w:pPr>
    </w:p>
    <w:p w14:paraId="428C8B88" w14:textId="76951FD8" w:rsidR="00E32F88" w:rsidRPr="002366E8" w:rsidRDefault="00E32F88" w:rsidP="002366E8">
      <w:pPr>
        <w:pStyle w:val="SingleTxt"/>
        <w:numPr>
          <w:ilvl w:val="0"/>
          <w:numId w:val="36"/>
        </w:numPr>
        <w:spacing w:line="240" w:lineRule="exact"/>
        <w:rPr>
          <w:b/>
          <w:bCs/>
          <w:lang w:val="fr-FR"/>
        </w:rPr>
      </w:pPr>
      <w:r w:rsidRPr="002366E8">
        <w:rPr>
          <w:b/>
          <w:bCs/>
          <w:lang w:val="fr-FR"/>
        </w:rPr>
        <w:t>Le Comité prie l</w:t>
      </w:r>
      <w:r w:rsidR="00300867">
        <w:rPr>
          <w:b/>
          <w:bCs/>
          <w:lang w:val="fr-FR"/>
        </w:rPr>
        <w:t>’</w:t>
      </w:r>
      <w:r w:rsidRPr="002366E8">
        <w:rPr>
          <w:b/>
          <w:bCs/>
          <w:lang w:val="fr-FR"/>
        </w:rPr>
        <w:t>État partie de veiller à diffuser rapidement les présentes observations finales, dans les langues officielles du pays, auprès des institutions publiques concernées à tous les niveaux (national, régional et local), en particulier auprès du Gouvernement, de l</w:t>
      </w:r>
      <w:r w:rsidR="00300867">
        <w:rPr>
          <w:b/>
          <w:bCs/>
          <w:lang w:val="fr-FR"/>
        </w:rPr>
        <w:t>’</w:t>
      </w:r>
      <w:r w:rsidRPr="002366E8">
        <w:rPr>
          <w:b/>
          <w:bCs/>
          <w:lang w:val="fr-FR"/>
        </w:rPr>
        <w:t>Assemblée législative plurinationale et de la magistrature, afin d</w:t>
      </w:r>
      <w:r w:rsidR="00300867">
        <w:rPr>
          <w:b/>
          <w:bCs/>
          <w:lang w:val="fr-FR"/>
        </w:rPr>
        <w:t>’</w:t>
      </w:r>
      <w:r w:rsidRPr="002366E8">
        <w:rPr>
          <w:b/>
          <w:bCs/>
          <w:lang w:val="fr-FR"/>
        </w:rPr>
        <w:t>en permettre la pleine application.</w:t>
      </w:r>
    </w:p>
    <w:p w14:paraId="103362E8" w14:textId="77777777" w:rsidR="002366E8" w:rsidRPr="002366E8" w:rsidRDefault="002366E8" w:rsidP="002366E8">
      <w:pPr>
        <w:pStyle w:val="SingleTxt"/>
        <w:spacing w:after="0" w:line="120" w:lineRule="exact"/>
        <w:rPr>
          <w:sz w:val="10"/>
          <w:lang w:val="fr-FR"/>
        </w:rPr>
      </w:pPr>
    </w:p>
    <w:p w14:paraId="1CE2D490" w14:textId="4CC6F105"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 xml:space="preserve">Assistance technique </w:t>
      </w:r>
    </w:p>
    <w:p w14:paraId="45014B57" w14:textId="07192217" w:rsidR="00E32F88" w:rsidRPr="002366E8" w:rsidRDefault="00E32F88" w:rsidP="002366E8">
      <w:pPr>
        <w:pStyle w:val="SingleTxt"/>
        <w:spacing w:after="0" w:line="120" w:lineRule="exact"/>
        <w:rPr>
          <w:sz w:val="10"/>
          <w:lang w:val="fr-FR"/>
        </w:rPr>
      </w:pPr>
    </w:p>
    <w:p w14:paraId="5DB416D4" w14:textId="4E65F80F" w:rsidR="00E32F88" w:rsidRPr="002366E8" w:rsidRDefault="00E32F88" w:rsidP="002366E8">
      <w:pPr>
        <w:pStyle w:val="SingleTxt"/>
        <w:numPr>
          <w:ilvl w:val="0"/>
          <w:numId w:val="38"/>
        </w:numPr>
        <w:spacing w:line="240" w:lineRule="exact"/>
        <w:rPr>
          <w:b/>
          <w:bCs/>
          <w:lang w:val="fr-FR"/>
        </w:rPr>
      </w:pPr>
      <w:r w:rsidRPr="002366E8">
        <w:rPr>
          <w:b/>
          <w:bCs/>
          <w:lang w:val="fr-FR"/>
        </w:rPr>
        <w:t>Le Comité recommande à l</w:t>
      </w:r>
      <w:r w:rsidR="00300867">
        <w:rPr>
          <w:b/>
          <w:bCs/>
          <w:lang w:val="fr-FR"/>
        </w:rPr>
        <w:t>’</w:t>
      </w:r>
      <w:r w:rsidRPr="002366E8">
        <w:rPr>
          <w:b/>
          <w:bCs/>
          <w:lang w:val="fr-FR"/>
        </w:rPr>
        <w:t>État partie d</w:t>
      </w:r>
      <w:r w:rsidR="00300867">
        <w:rPr>
          <w:b/>
          <w:bCs/>
          <w:lang w:val="fr-FR"/>
        </w:rPr>
        <w:t>’</w:t>
      </w:r>
      <w:r w:rsidRPr="002366E8">
        <w:rPr>
          <w:b/>
          <w:bCs/>
          <w:lang w:val="fr-FR"/>
        </w:rPr>
        <w:t>établir un lien entre l</w:t>
      </w:r>
      <w:r w:rsidR="00300867">
        <w:rPr>
          <w:b/>
          <w:bCs/>
          <w:lang w:val="fr-FR"/>
        </w:rPr>
        <w:t>’</w:t>
      </w:r>
      <w:r w:rsidRPr="002366E8">
        <w:rPr>
          <w:b/>
          <w:bCs/>
          <w:lang w:val="fr-FR"/>
        </w:rPr>
        <w:t>application de la Convention et l</w:t>
      </w:r>
      <w:r w:rsidR="00300867">
        <w:rPr>
          <w:b/>
          <w:bCs/>
          <w:lang w:val="fr-FR"/>
        </w:rPr>
        <w:t>’</w:t>
      </w:r>
      <w:r w:rsidRPr="002366E8">
        <w:rPr>
          <w:b/>
          <w:bCs/>
          <w:lang w:val="fr-FR"/>
        </w:rPr>
        <w:t>action qu</w:t>
      </w:r>
      <w:r w:rsidR="00300867">
        <w:rPr>
          <w:b/>
          <w:bCs/>
          <w:lang w:val="fr-FR"/>
        </w:rPr>
        <w:t>’</w:t>
      </w:r>
      <w:r w:rsidRPr="002366E8">
        <w:rPr>
          <w:b/>
          <w:bCs/>
          <w:lang w:val="fr-FR"/>
        </w:rPr>
        <w:t>il mène en faveur du développement, et de faire appel à cette fin à l</w:t>
      </w:r>
      <w:r w:rsidR="00300867">
        <w:rPr>
          <w:b/>
          <w:bCs/>
          <w:lang w:val="fr-FR"/>
        </w:rPr>
        <w:t>’</w:t>
      </w:r>
      <w:r w:rsidRPr="002366E8">
        <w:rPr>
          <w:b/>
          <w:bCs/>
          <w:lang w:val="fr-FR"/>
        </w:rPr>
        <w:t>assistance technique régionale ou internationale.</w:t>
      </w:r>
    </w:p>
    <w:p w14:paraId="60DCB521" w14:textId="5FB40DAB" w:rsidR="00E32F88" w:rsidRPr="002366E8" w:rsidRDefault="00E32F88" w:rsidP="002366E8">
      <w:pPr>
        <w:pStyle w:val="SingleTxt"/>
        <w:spacing w:after="0" w:line="120" w:lineRule="exact"/>
        <w:rPr>
          <w:sz w:val="10"/>
          <w:lang w:val="fr-FR"/>
        </w:rPr>
      </w:pPr>
    </w:p>
    <w:p w14:paraId="0E1DA555" w14:textId="77777777" w:rsidR="00E32F88" w:rsidRPr="00E32F88" w:rsidRDefault="00E32F88" w:rsidP="002366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Suite donnée aux observations finales</w:t>
      </w:r>
    </w:p>
    <w:p w14:paraId="225C6866" w14:textId="73E7CFBA" w:rsidR="00E32F88" w:rsidRPr="002366E8" w:rsidRDefault="00E32F88" w:rsidP="002366E8">
      <w:pPr>
        <w:pStyle w:val="SingleTxt"/>
        <w:spacing w:after="0" w:line="120" w:lineRule="exact"/>
        <w:rPr>
          <w:sz w:val="10"/>
          <w:lang w:val="fr-FR"/>
        </w:rPr>
      </w:pPr>
    </w:p>
    <w:p w14:paraId="4E1DE593" w14:textId="4DE6A748" w:rsidR="00E32F88" w:rsidRPr="002366E8" w:rsidRDefault="00E32F88" w:rsidP="002366E8">
      <w:pPr>
        <w:pStyle w:val="SingleTxt"/>
        <w:numPr>
          <w:ilvl w:val="0"/>
          <w:numId w:val="40"/>
        </w:numPr>
        <w:spacing w:line="240" w:lineRule="exact"/>
        <w:rPr>
          <w:b/>
          <w:bCs/>
          <w:lang w:val="fr-FR"/>
        </w:rPr>
      </w:pPr>
      <w:r w:rsidRPr="002366E8">
        <w:rPr>
          <w:b/>
          <w:bCs/>
          <w:lang w:val="fr-FR"/>
        </w:rPr>
        <w:t>Le Comité prie l</w:t>
      </w:r>
      <w:r w:rsidR="00300867">
        <w:rPr>
          <w:b/>
          <w:bCs/>
          <w:lang w:val="fr-FR"/>
        </w:rPr>
        <w:t>’</w:t>
      </w:r>
      <w:r w:rsidRPr="002366E8">
        <w:rPr>
          <w:b/>
          <w:bCs/>
          <w:lang w:val="fr-FR"/>
        </w:rPr>
        <w:t>État partie de lui communiquer par écrit, dans un délai de deux ans, des informations sur les mesures qu</w:t>
      </w:r>
      <w:r w:rsidR="00300867">
        <w:rPr>
          <w:b/>
          <w:bCs/>
          <w:lang w:val="fr-FR"/>
        </w:rPr>
        <w:t>’</w:t>
      </w:r>
      <w:r w:rsidRPr="002366E8">
        <w:rPr>
          <w:b/>
          <w:bCs/>
          <w:lang w:val="fr-FR"/>
        </w:rPr>
        <w:t xml:space="preserve">il aura prises pour appliquer les recommandations énoncées aux paragraphes 18 b) et d), 24 e) et 28 d) ci-dessus. </w:t>
      </w:r>
    </w:p>
    <w:p w14:paraId="6BFD0E0B" w14:textId="63012CF7" w:rsidR="00E32F88" w:rsidRPr="00D70BDE" w:rsidRDefault="00E32F88" w:rsidP="00D70BDE">
      <w:pPr>
        <w:pStyle w:val="SingleTxt"/>
        <w:spacing w:after="0" w:line="120" w:lineRule="exact"/>
        <w:rPr>
          <w:sz w:val="10"/>
          <w:lang w:val="fr-FR"/>
        </w:rPr>
      </w:pPr>
    </w:p>
    <w:p w14:paraId="6610AD6F" w14:textId="77777777" w:rsidR="00E32F88" w:rsidRPr="00E32F88" w:rsidRDefault="00E32F88" w:rsidP="00D70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32F88">
        <w:rPr>
          <w:lang w:val="fr-FR"/>
        </w:rPr>
        <w:tab/>
      </w:r>
      <w:r w:rsidRPr="00E32F88">
        <w:rPr>
          <w:lang w:val="fr-FR"/>
        </w:rPr>
        <w:tab/>
        <w:t xml:space="preserve">Établissement du prochain rapport </w:t>
      </w:r>
    </w:p>
    <w:p w14:paraId="28DA7BD4" w14:textId="51EB36E6" w:rsidR="00E32F88" w:rsidRPr="00D70BDE" w:rsidRDefault="00E32F88" w:rsidP="00D70BDE">
      <w:pPr>
        <w:pStyle w:val="SingleTxt"/>
        <w:spacing w:after="0" w:line="120" w:lineRule="exact"/>
        <w:rPr>
          <w:sz w:val="10"/>
          <w:lang w:val="fr-FR"/>
        </w:rPr>
      </w:pPr>
    </w:p>
    <w:p w14:paraId="60CD3B32" w14:textId="1546E4B4" w:rsidR="00E32F88" w:rsidRPr="00D70BDE" w:rsidRDefault="00E32F88" w:rsidP="00D70BDE">
      <w:pPr>
        <w:pStyle w:val="SingleTxt"/>
        <w:numPr>
          <w:ilvl w:val="0"/>
          <w:numId w:val="42"/>
        </w:numPr>
        <w:spacing w:line="240" w:lineRule="exact"/>
        <w:rPr>
          <w:b/>
          <w:bCs/>
          <w:lang w:val="fr-FR"/>
        </w:rPr>
      </w:pPr>
      <w:r w:rsidRPr="00D70BDE">
        <w:rPr>
          <w:b/>
          <w:bCs/>
          <w:lang w:val="fr-FR"/>
        </w:rPr>
        <w:t>Le Comité invite l</w:t>
      </w:r>
      <w:r w:rsidR="00300867">
        <w:rPr>
          <w:b/>
          <w:bCs/>
          <w:lang w:val="fr-FR"/>
        </w:rPr>
        <w:t>’</w:t>
      </w:r>
      <w:r w:rsidRPr="00D70BDE">
        <w:rPr>
          <w:b/>
          <w:bCs/>
          <w:lang w:val="fr-FR"/>
        </w:rPr>
        <w:t>État partie à soumettre son huitième rapport périodique en juillet 2026. Le rappo</w:t>
      </w:r>
      <w:bookmarkStart w:id="5" w:name="TmpSave"/>
      <w:bookmarkEnd w:id="5"/>
      <w:r w:rsidRPr="00D70BDE">
        <w:rPr>
          <w:b/>
          <w:bCs/>
          <w:lang w:val="fr-FR"/>
        </w:rPr>
        <w:t>rt devra être présenté dans les délais et couvrir toute la période écoulée, jusqu</w:t>
      </w:r>
      <w:r w:rsidR="00300867">
        <w:rPr>
          <w:b/>
          <w:bCs/>
          <w:lang w:val="fr-FR"/>
        </w:rPr>
        <w:t>’</w:t>
      </w:r>
      <w:r w:rsidRPr="00D70BDE">
        <w:rPr>
          <w:b/>
          <w:bCs/>
          <w:lang w:val="fr-FR"/>
        </w:rPr>
        <w:t>à la date à laquelle il sera soumis.</w:t>
      </w:r>
    </w:p>
    <w:p w14:paraId="7F87DAB1" w14:textId="22A6832D" w:rsidR="00C27069" w:rsidRPr="00300867" w:rsidRDefault="00E32F88" w:rsidP="00D70BDE">
      <w:pPr>
        <w:pStyle w:val="SingleTxt"/>
        <w:numPr>
          <w:ilvl w:val="0"/>
          <w:numId w:val="44"/>
        </w:numPr>
        <w:spacing w:line="240" w:lineRule="exact"/>
        <w:rPr>
          <w:b/>
          <w:bCs/>
        </w:rPr>
      </w:pPr>
      <w:r w:rsidRPr="00D70BDE">
        <w:rPr>
          <w:b/>
          <w:bCs/>
          <w:lang w:val="fr-FR"/>
        </w:rPr>
        <w:t>Le Comité invite l</w:t>
      </w:r>
      <w:r w:rsidR="00300867">
        <w:rPr>
          <w:b/>
          <w:bCs/>
          <w:lang w:val="fr-FR"/>
        </w:rPr>
        <w:t>’</w:t>
      </w:r>
      <w:r w:rsidRPr="00D70BDE">
        <w:rPr>
          <w:b/>
          <w:bCs/>
          <w:lang w:val="fr-FR"/>
        </w:rPr>
        <w:t>État partie à se conformer aux directives harmonisées pour l</w:t>
      </w:r>
      <w:r w:rsidR="00300867">
        <w:rPr>
          <w:b/>
          <w:bCs/>
          <w:lang w:val="fr-FR"/>
        </w:rPr>
        <w:t>’</w:t>
      </w:r>
      <w:r w:rsidRPr="00D70BDE">
        <w:rPr>
          <w:b/>
          <w:bCs/>
          <w:lang w:val="fr-FR"/>
        </w:rPr>
        <w:t>établissement de rapports au titre des instruments internationaux relatifs aux droits humains, englobant le document de base commun et les rapports pour chaque instrument (</w:t>
      </w:r>
      <w:hyperlink r:id="rId23" w:history="1">
        <w:r w:rsidRPr="00D70BDE">
          <w:rPr>
            <w:rStyle w:val="Hyperlink"/>
            <w:b/>
            <w:bCs/>
            <w:lang w:val="fr-FR"/>
          </w:rPr>
          <w:t>HRI/GEN/2/Rev.6</w:t>
        </w:r>
      </w:hyperlink>
      <w:r w:rsidRPr="00D70BDE">
        <w:rPr>
          <w:b/>
          <w:bCs/>
          <w:lang w:val="fr-FR"/>
        </w:rPr>
        <w:t>, chap. I).</w:t>
      </w:r>
    </w:p>
    <w:p w14:paraId="6868C047" w14:textId="02A9D9F4" w:rsidR="00300867" w:rsidRPr="00300867" w:rsidRDefault="00300867" w:rsidP="00300867">
      <w:pPr>
        <w:pStyle w:val="SingleTxt"/>
        <w:tabs>
          <w:tab w:val="clear" w:pos="1742"/>
        </w:tabs>
        <w:spacing w:after="0" w:line="240" w:lineRule="auto"/>
        <w:rPr>
          <w:b/>
          <w:bCs/>
        </w:rPr>
      </w:pPr>
      <w:r>
        <w:rPr>
          <w:b/>
          <w:bCs/>
          <w:noProof/>
          <w:w w:val="100"/>
        </w:rPr>
        <mc:AlternateContent>
          <mc:Choice Requires="wps">
            <w:drawing>
              <wp:anchor distT="0" distB="0" distL="114300" distR="114300" simplePos="0" relativeHeight="251662336" behindDoc="0" locked="0" layoutInCell="1" allowOverlap="1" wp14:anchorId="491B1D9D" wp14:editId="725D2B9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F0F36" id="Straight Connector 4"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300867" w:rsidRPr="00300867" w:rsidSect="00E32F8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4:17:00Z" w:initials="Start">
    <w:p w14:paraId="05C3A4DA" w14:textId="77777777" w:rsidR="00C27069" w:rsidRPr="00E32F88" w:rsidRDefault="00C27069">
      <w:pPr>
        <w:pStyle w:val="CommentText"/>
        <w:rPr>
          <w:lang w:val="en-US"/>
        </w:rPr>
      </w:pPr>
      <w:r>
        <w:rPr>
          <w:rStyle w:val="CommentReference"/>
        </w:rPr>
        <w:annotationRef/>
      </w:r>
      <w:r w:rsidRPr="00E32F88">
        <w:rPr>
          <w:lang w:val="en-US"/>
        </w:rPr>
        <w:t>&lt;&lt;ODS JOB NO&gt;&gt;N2242112F&lt;&lt;ODS JOB NO&gt;&gt;</w:t>
      </w:r>
    </w:p>
    <w:p w14:paraId="079095D1" w14:textId="77777777" w:rsidR="00C27069" w:rsidRPr="00E32F88" w:rsidRDefault="00C27069">
      <w:pPr>
        <w:pStyle w:val="CommentText"/>
        <w:rPr>
          <w:lang w:val="en-US"/>
        </w:rPr>
      </w:pPr>
      <w:r w:rsidRPr="00E32F88">
        <w:rPr>
          <w:lang w:val="en-US"/>
        </w:rPr>
        <w:t>&lt;&lt;ODS DOC SYMBOL1&gt;&gt;CEDAW/C/BOL/CO/7&lt;&lt;ODS DOC SYMBOL1&gt;&gt;</w:t>
      </w:r>
    </w:p>
    <w:p w14:paraId="27CCE77B" w14:textId="50D0328A" w:rsidR="00C27069" w:rsidRDefault="00C2706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CE7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0FB3" w16cex:dateUtc="2022-09-13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CE77B" w16cid:durableId="26CB0F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631F" w14:textId="77777777" w:rsidR="00432226" w:rsidRDefault="00432226" w:rsidP="00101B18">
      <w:pPr>
        <w:spacing w:line="240" w:lineRule="auto"/>
      </w:pPr>
      <w:r>
        <w:separator/>
      </w:r>
    </w:p>
  </w:endnote>
  <w:endnote w:type="continuationSeparator" w:id="0">
    <w:p w14:paraId="4D594871" w14:textId="77777777" w:rsidR="00432226" w:rsidRDefault="0043222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7069" w14:paraId="5AC7EE9C" w14:textId="77777777" w:rsidTr="00C27069">
      <w:tc>
        <w:tcPr>
          <w:tcW w:w="4920" w:type="dxa"/>
          <w:shd w:val="clear" w:color="auto" w:fill="auto"/>
        </w:tcPr>
        <w:p w14:paraId="445560A5" w14:textId="50438739" w:rsidR="00C27069" w:rsidRPr="00C27069" w:rsidRDefault="00C27069" w:rsidP="00C270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3CDF">
            <w:rPr>
              <w:b w:val="0"/>
              <w:w w:val="103"/>
              <w:sz w:val="14"/>
            </w:rPr>
            <w:t>22-10926</w:t>
          </w:r>
          <w:r>
            <w:rPr>
              <w:b w:val="0"/>
              <w:w w:val="103"/>
              <w:sz w:val="14"/>
            </w:rPr>
            <w:fldChar w:fldCharType="end"/>
          </w:r>
        </w:p>
      </w:tc>
      <w:tc>
        <w:tcPr>
          <w:tcW w:w="4920" w:type="dxa"/>
          <w:shd w:val="clear" w:color="auto" w:fill="auto"/>
        </w:tcPr>
        <w:p w14:paraId="1A69755B" w14:textId="7F7EA9DC" w:rsidR="00C27069" w:rsidRPr="00C27069" w:rsidRDefault="00C27069" w:rsidP="00C2706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5751F06" w14:textId="77777777" w:rsidR="00C27069" w:rsidRPr="00C27069" w:rsidRDefault="00C27069" w:rsidP="00C2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7069" w14:paraId="59CF923C" w14:textId="77777777" w:rsidTr="00C27069">
      <w:tc>
        <w:tcPr>
          <w:tcW w:w="4920" w:type="dxa"/>
          <w:shd w:val="clear" w:color="auto" w:fill="auto"/>
        </w:tcPr>
        <w:p w14:paraId="177C5796" w14:textId="62576DE7" w:rsidR="00C27069" w:rsidRPr="00C27069" w:rsidRDefault="00C27069" w:rsidP="00C2706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838E5AB" w14:textId="3A1E209F" w:rsidR="00C27069" w:rsidRPr="00C27069" w:rsidRDefault="00C27069" w:rsidP="00C270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3CDF">
            <w:rPr>
              <w:b w:val="0"/>
              <w:w w:val="103"/>
              <w:sz w:val="14"/>
            </w:rPr>
            <w:t>22-10926</w:t>
          </w:r>
          <w:r>
            <w:rPr>
              <w:b w:val="0"/>
              <w:w w:val="103"/>
              <w:sz w:val="14"/>
            </w:rPr>
            <w:fldChar w:fldCharType="end"/>
          </w:r>
        </w:p>
      </w:tc>
    </w:tr>
  </w:tbl>
  <w:p w14:paraId="1B1EA098" w14:textId="77777777" w:rsidR="00C27069" w:rsidRPr="00C27069" w:rsidRDefault="00C27069" w:rsidP="00C27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65A" w14:textId="2DFD7C58" w:rsidR="00C27069" w:rsidRDefault="00C27069">
    <w:pPr>
      <w:pStyle w:val="Footer"/>
    </w:pPr>
    <w:r>
      <w:rPr>
        <w:noProof/>
      </w:rPr>
      <w:drawing>
        <wp:anchor distT="0" distB="0" distL="114300" distR="114300" simplePos="0" relativeHeight="251658240" behindDoc="0" locked="0" layoutInCell="1" allowOverlap="1" wp14:anchorId="10A0D788" wp14:editId="612846F8">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27069" w14:paraId="63D803D3" w14:textId="77777777" w:rsidTr="00C27069">
      <w:tc>
        <w:tcPr>
          <w:tcW w:w="3758" w:type="dxa"/>
        </w:tcPr>
        <w:p w14:paraId="05786442" w14:textId="2A3AA9CC" w:rsidR="00C27069" w:rsidRDefault="00C27069" w:rsidP="00C2706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E3CDF">
            <w:rPr>
              <w:b w:val="0"/>
              <w:sz w:val="20"/>
            </w:rPr>
            <w:t>22-10926 (F)</w:t>
          </w:r>
          <w:r>
            <w:rPr>
              <w:b w:val="0"/>
              <w:sz w:val="20"/>
            </w:rPr>
            <w:fldChar w:fldCharType="end"/>
          </w:r>
          <w:r>
            <w:rPr>
              <w:b w:val="0"/>
              <w:sz w:val="20"/>
            </w:rPr>
            <w:t xml:space="preserve">    1</w:t>
          </w:r>
          <w:r w:rsidR="00300867">
            <w:rPr>
              <w:b w:val="0"/>
              <w:sz w:val="20"/>
            </w:rPr>
            <w:t>2</w:t>
          </w:r>
          <w:r>
            <w:rPr>
              <w:b w:val="0"/>
              <w:sz w:val="20"/>
            </w:rPr>
            <w:t>0922    130922</w:t>
          </w:r>
        </w:p>
        <w:p w14:paraId="0577DFDA" w14:textId="77E98040" w:rsidR="00C27069" w:rsidRPr="00C27069" w:rsidRDefault="00C27069" w:rsidP="00C2706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E3CDF">
            <w:rPr>
              <w:rFonts w:ascii="Barcode 3 of 9 by request" w:hAnsi="Barcode 3 of 9 by request"/>
              <w:spacing w:val="0"/>
              <w:w w:val="100"/>
              <w:sz w:val="24"/>
            </w:rPr>
            <w:t>*2210926*</w:t>
          </w:r>
          <w:r>
            <w:rPr>
              <w:rFonts w:ascii="Barcode 3 of 9 by request" w:hAnsi="Barcode 3 of 9 by request"/>
              <w:spacing w:val="0"/>
              <w:w w:val="100"/>
              <w:sz w:val="24"/>
            </w:rPr>
            <w:fldChar w:fldCharType="end"/>
          </w:r>
        </w:p>
      </w:tc>
      <w:tc>
        <w:tcPr>
          <w:tcW w:w="4920" w:type="dxa"/>
        </w:tcPr>
        <w:p w14:paraId="62D36BB6" w14:textId="2B0ED60F" w:rsidR="00C27069" w:rsidRDefault="00C27069" w:rsidP="00C27069">
          <w:pPr>
            <w:pStyle w:val="Footer"/>
            <w:spacing w:line="240" w:lineRule="atLeast"/>
            <w:jc w:val="right"/>
            <w:rPr>
              <w:b w:val="0"/>
              <w:sz w:val="20"/>
            </w:rPr>
          </w:pPr>
          <w:r>
            <w:rPr>
              <w:b w:val="0"/>
              <w:noProof/>
              <w:sz w:val="20"/>
            </w:rPr>
            <w:drawing>
              <wp:inline distT="0" distB="0" distL="0" distR="0" wp14:anchorId="7336C2E8" wp14:editId="303AB5D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20A1F38" w14:textId="77777777" w:rsidR="00C27069" w:rsidRPr="00C27069" w:rsidRDefault="00C27069" w:rsidP="00C2706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4F20" w14:textId="77777777" w:rsidR="00432226" w:rsidRDefault="00432226" w:rsidP="00101B18">
      <w:pPr>
        <w:spacing w:line="240" w:lineRule="auto"/>
      </w:pPr>
      <w:r>
        <w:separator/>
      </w:r>
    </w:p>
  </w:footnote>
  <w:footnote w:type="continuationSeparator" w:id="0">
    <w:p w14:paraId="4B8825A0" w14:textId="77777777" w:rsidR="00432226" w:rsidRDefault="0043222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7069" w14:paraId="0E4815C9" w14:textId="77777777" w:rsidTr="00C27069">
      <w:trPr>
        <w:trHeight w:hRule="exact" w:val="864"/>
      </w:trPr>
      <w:tc>
        <w:tcPr>
          <w:tcW w:w="4920" w:type="dxa"/>
          <w:shd w:val="clear" w:color="auto" w:fill="auto"/>
          <w:vAlign w:val="bottom"/>
        </w:tcPr>
        <w:p w14:paraId="526F9B99" w14:textId="02B25219" w:rsidR="00C27069" w:rsidRPr="00C27069" w:rsidRDefault="00C27069" w:rsidP="00C2706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3CDF">
            <w:rPr>
              <w:b/>
              <w:color w:val="000000"/>
            </w:rPr>
            <w:t>CEDAW/C/BOL/CO/7</w:t>
          </w:r>
          <w:r>
            <w:rPr>
              <w:b/>
              <w:color w:val="000000"/>
            </w:rPr>
            <w:fldChar w:fldCharType="end"/>
          </w:r>
        </w:p>
      </w:tc>
      <w:tc>
        <w:tcPr>
          <w:tcW w:w="4920" w:type="dxa"/>
          <w:shd w:val="clear" w:color="auto" w:fill="auto"/>
          <w:vAlign w:val="bottom"/>
        </w:tcPr>
        <w:p w14:paraId="1EB12E40" w14:textId="77777777" w:rsidR="00C27069" w:rsidRDefault="00C27069" w:rsidP="00C27069">
          <w:pPr>
            <w:pStyle w:val="Header"/>
          </w:pPr>
        </w:p>
      </w:tc>
    </w:tr>
  </w:tbl>
  <w:p w14:paraId="2D40EB01" w14:textId="77777777" w:rsidR="00C27069" w:rsidRPr="00C27069" w:rsidRDefault="00C27069" w:rsidP="00C2706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7069" w14:paraId="7091F291" w14:textId="77777777" w:rsidTr="00C27069">
      <w:trPr>
        <w:trHeight w:hRule="exact" w:val="864"/>
      </w:trPr>
      <w:tc>
        <w:tcPr>
          <w:tcW w:w="4920" w:type="dxa"/>
          <w:shd w:val="clear" w:color="auto" w:fill="auto"/>
          <w:vAlign w:val="bottom"/>
        </w:tcPr>
        <w:p w14:paraId="4EE81E97" w14:textId="77777777" w:rsidR="00C27069" w:rsidRDefault="00C27069" w:rsidP="00C27069">
          <w:pPr>
            <w:pStyle w:val="Header"/>
          </w:pPr>
        </w:p>
      </w:tc>
      <w:tc>
        <w:tcPr>
          <w:tcW w:w="4920" w:type="dxa"/>
          <w:shd w:val="clear" w:color="auto" w:fill="auto"/>
          <w:vAlign w:val="bottom"/>
        </w:tcPr>
        <w:p w14:paraId="39EA6783" w14:textId="5280180A" w:rsidR="00C27069" w:rsidRPr="00C27069" w:rsidRDefault="00C27069" w:rsidP="00C2706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3CDF">
            <w:rPr>
              <w:b/>
              <w:color w:val="000000"/>
            </w:rPr>
            <w:t>CEDAW/C/BOL/CO/7</w:t>
          </w:r>
          <w:r>
            <w:rPr>
              <w:b/>
              <w:color w:val="000000"/>
            </w:rPr>
            <w:fldChar w:fldCharType="end"/>
          </w:r>
        </w:p>
      </w:tc>
    </w:tr>
  </w:tbl>
  <w:p w14:paraId="751EF867" w14:textId="77777777" w:rsidR="00C27069" w:rsidRPr="00C27069" w:rsidRDefault="00C27069" w:rsidP="00C2706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27069" w14:paraId="3C44CC49" w14:textId="77777777" w:rsidTr="00C27069">
      <w:trPr>
        <w:trHeight w:hRule="exact" w:val="864"/>
      </w:trPr>
      <w:tc>
        <w:tcPr>
          <w:tcW w:w="1267" w:type="dxa"/>
          <w:tcBorders>
            <w:bottom w:val="single" w:sz="4" w:space="0" w:color="auto"/>
          </w:tcBorders>
          <w:shd w:val="clear" w:color="auto" w:fill="auto"/>
          <w:vAlign w:val="bottom"/>
        </w:tcPr>
        <w:p w14:paraId="0E4B0AF0" w14:textId="77777777" w:rsidR="00C27069" w:rsidRDefault="00C27069" w:rsidP="00C27069">
          <w:pPr>
            <w:pStyle w:val="Header"/>
            <w:spacing w:after="120"/>
          </w:pPr>
        </w:p>
      </w:tc>
      <w:tc>
        <w:tcPr>
          <w:tcW w:w="2059" w:type="dxa"/>
          <w:tcBorders>
            <w:bottom w:val="single" w:sz="4" w:space="0" w:color="auto"/>
          </w:tcBorders>
          <w:shd w:val="clear" w:color="auto" w:fill="auto"/>
          <w:vAlign w:val="bottom"/>
        </w:tcPr>
        <w:p w14:paraId="6FEF4D43" w14:textId="45477155" w:rsidR="00C27069" w:rsidRPr="00C27069" w:rsidRDefault="00C27069" w:rsidP="00C2706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A73E665" w14:textId="77777777" w:rsidR="00C27069" w:rsidRDefault="00C27069" w:rsidP="00C27069">
          <w:pPr>
            <w:pStyle w:val="Header"/>
            <w:spacing w:after="120"/>
          </w:pPr>
        </w:p>
      </w:tc>
      <w:tc>
        <w:tcPr>
          <w:tcW w:w="6466" w:type="dxa"/>
          <w:gridSpan w:val="3"/>
          <w:tcBorders>
            <w:bottom w:val="single" w:sz="4" w:space="0" w:color="auto"/>
          </w:tcBorders>
          <w:shd w:val="clear" w:color="auto" w:fill="auto"/>
          <w:vAlign w:val="bottom"/>
        </w:tcPr>
        <w:p w14:paraId="5B5A8FA0" w14:textId="33CF0969" w:rsidR="00C27069" w:rsidRPr="00C27069" w:rsidRDefault="00C27069" w:rsidP="00C27069">
          <w:pPr>
            <w:spacing w:after="80" w:line="240" w:lineRule="auto"/>
            <w:jc w:val="right"/>
            <w:rPr>
              <w:position w:val="-4"/>
            </w:rPr>
          </w:pPr>
          <w:r>
            <w:rPr>
              <w:position w:val="-4"/>
              <w:sz w:val="40"/>
            </w:rPr>
            <w:t>CEDAW</w:t>
          </w:r>
          <w:r>
            <w:rPr>
              <w:position w:val="-4"/>
            </w:rPr>
            <w:t>/C/BOL/CO/7</w:t>
          </w:r>
        </w:p>
      </w:tc>
    </w:tr>
    <w:tr w:rsidR="00C27069" w:rsidRPr="00C27069" w14:paraId="32641A08" w14:textId="77777777" w:rsidTr="00C27069">
      <w:trPr>
        <w:trHeight w:hRule="exact" w:val="2880"/>
      </w:trPr>
      <w:tc>
        <w:tcPr>
          <w:tcW w:w="1267" w:type="dxa"/>
          <w:tcBorders>
            <w:top w:val="single" w:sz="4" w:space="0" w:color="auto"/>
            <w:bottom w:val="single" w:sz="12" w:space="0" w:color="auto"/>
          </w:tcBorders>
          <w:shd w:val="clear" w:color="auto" w:fill="auto"/>
        </w:tcPr>
        <w:p w14:paraId="365DDA39" w14:textId="04823D54" w:rsidR="00C27069" w:rsidRPr="00C27069" w:rsidRDefault="00C27069" w:rsidP="00C27069">
          <w:pPr>
            <w:pStyle w:val="Header"/>
            <w:spacing w:before="120" w:line="240" w:lineRule="auto"/>
            <w:ind w:left="-72"/>
            <w:jc w:val="center"/>
          </w:pPr>
          <w:r>
            <w:t xml:space="preserve">  </w:t>
          </w:r>
          <w:r>
            <w:rPr>
              <w:noProof/>
            </w:rPr>
            <w:drawing>
              <wp:inline distT="0" distB="0" distL="0" distR="0" wp14:anchorId="13777AB6" wp14:editId="159072F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897E0B" w14:textId="6CD00984" w:rsidR="00C27069" w:rsidRPr="00C27069" w:rsidRDefault="00C27069" w:rsidP="00C27069">
          <w:pPr>
            <w:pStyle w:val="XLarge"/>
            <w:spacing w:before="120" w:line="360" w:lineRule="exact"/>
            <w:rPr>
              <w:sz w:val="36"/>
            </w:rPr>
          </w:pPr>
          <w:r>
            <w:rPr>
              <w:sz w:val="36"/>
            </w:rPr>
            <w:t>Convention sur l</w:t>
          </w:r>
          <w:r w:rsidR="00300867">
            <w:rPr>
              <w:sz w:val="36"/>
            </w:rPr>
            <w:t>’</w:t>
          </w:r>
          <w:r>
            <w:rPr>
              <w:sz w:val="36"/>
            </w:rPr>
            <w:t>élimination</w:t>
          </w:r>
          <w:r>
            <w:rPr>
              <w:sz w:val="36"/>
            </w:rPr>
            <w:br/>
            <w:t>de toutes les formes</w:t>
          </w:r>
          <w:r>
            <w:rPr>
              <w:sz w:val="36"/>
            </w:rPr>
            <w:br/>
            <w:t>de discrimination à l</w:t>
          </w:r>
          <w:r w:rsidR="0030086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AB554D2" w14:textId="77777777" w:rsidR="00C27069" w:rsidRPr="00E32F88" w:rsidRDefault="00C27069" w:rsidP="00C27069">
          <w:pPr>
            <w:pStyle w:val="Header"/>
            <w:spacing w:before="109"/>
            <w:rPr>
              <w:lang w:val="fr-FR"/>
            </w:rPr>
          </w:pPr>
        </w:p>
      </w:tc>
      <w:tc>
        <w:tcPr>
          <w:tcW w:w="3110" w:type="dxa"/>
          <w:tcBorders>
            <w:top w:val="single" w:sz="4" w:space="0" w:color="auto"/>
            <w:bottom w:val="single" w:sz="12" w:space="0" w:color="auto"/>
          </w:tcBorders>
          <w:shd w:val="clear" w:color="auto" w:fill="auto"/>
        </w:tcPr>
        <w:p w14:paraId="6141B2A8" w14:textId="77777777" w:rsidR="00C27069" w:rsidRPr="00E32F88" w:rsidRDefault="00C27069" w:rsidP="00C27069">
          <w:pPr>
            <w:pStyle w:val="Distribution"/>
            <w:rPr>
              <w:color w:val="000000"/>
              <w:lang w:val="fr-FR"/>
            </w:rPr>
          </w:pPr>
          <w:r w:rsidRPr="00E32F88">
            <w:rPr>
              <w:color w:val="000000"/>
              <w:lang w:val="fr-FR"/>
            </w:rPr>
            <w:t>Distr. générale</w:t>
          </w:r>
        </w:p>
        <w:p w14:paraId="76EADCE3" w14:textId="77777777" w:rsidR="00C27069" w:rsidRPr="00E32F88" w:rsidRDefault="00C27069" w:rsidP="00C27069">
          <w:pPr>
            <w:pStyle w:val="Publication"/>
            <w:rPr>
              <w:color w:val="000000"/>
              <w:lang w:val="fr-FR"/>
            </w:rPr>
          </w:pPr>
          <w:r w:rsidRPr="00E32F88">
            <w:rPr>
              <w:color w:val="000000"/>
              <w:lang w:val="fr-FR"/>
            </w:rPr>
            <w:t>12 juillet 2022</w:t>
          </w:r>
        </w:p>
        <w:p w14:paraId="23F3C293" w14:textId="77777777" w:rsidR="00C27069" w:rsidRPr="00E32F88" w:rsidRDefault="00C27069" w:rsidP="00C27069">
          <w:pPr>
            <w:rPr>
              <w:lang w:val="fr-FR"/>
            </w:rPr>
          </w:pPr>
          <w:r w:rsidRPr="00E32F88">
            <w:rPr>
              <w:lang w:val="fr-FR"/>
            </w:rPr>
            <w:t>Français</w:t>
          </w:r>
        </w:p>
        <w:p w14:paraId="5983DA8C" w14:textId="6BB964E8" w:rsidR="00C27069" w:rsidRPr="00E32F88" w:rsidRDefault="00C27069" w:rsidP="00C27069">
          <w:pPr>
            <w:pStyle w:val="Original"/>
            <w:rPr>
              <w:color w:val="000000"/>
              <w:lang w:val="fr-FR"/>
            </w:rPr>
          </w:pPr>
          <w:r w:rsidRPr="00E32F88">
            <w:rPr>
              <w:color w:val="000000"/>
              <w:lang w:val="fr-FR"/>
            </w:rPr>
            <w:t>Original</w:t>
          </w:r>
          <w:r w:rsidR="00300867">
            <w:rPr>
              <w:color w:val="000000"/>
              <w:lang w:val="fr-FR"/>
            </w:rPr>
            <w:t> :</w:t>
          </w:r>
          <w:r w:rsidRPr="00E32F88">
            <w:rPr>
              <w:color w:val="000000"/>
              <w:lang w:val="fr-FR"/>
            </w:rPr>
            <w:t xml:space="preserve"> anglais</w:t>
          </w:r>
        </w:p>
      </w:tc>
    </w:tr>
  </w:tbl>
  <w:p w14:paraId="038CD233" w14:textId="77777777" w:rsidR="00C27069" w:rsidRPr="00E32F88" w:rsidRDefault="00C27069" w:rsidP="00C2706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206"/>
    <w:multiLevelType w:val="singleLevel"/>
    <w:tmpl w:val="ECAAD076"/>
    <w:lvl w:ilvl="0">
      <w:start w:val="33"/>
      <w:numFmt w:val="decimal"/>
      <w:lvlRestart w:val="0"/>
      <w:lvlText w:val="%1."/>
      <w:lvlJc w:val="left"/>
      <w:pPr>
        <w:tabs>
          <w:tab w:val="num" w:pos="1742"/>
        </w:tabs>
        <w:ind w:left="1267" w:firstLine="0"/>
      </w:pPr>
      <w:rPr>
        <w:w w:val="100"/>
      </w:rPr>
    </w:lvl>
  </w:abstractNum>
  <w:abstractNum w:abstractNumId="1" w15:restartNumberingAfterBreak="0">
    <w:nsid w:val="04015290"/>
    <w:multiLevelType w:val="hybridMultilevel"/>
    <w:tmpl w:val="0B74B89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A3A0339"/>
    <w:multiLevelType w:val="singleLevel"/>
    <w:tmpl w:val="3BF6A750"/>
    <w:lvl w:ilvl="0">
      <w:start w:val="46"/>
      <w:numFmt w:val="decimal"/>
      <w:lvlRestart w:val="0"/>
      <w:lvlText w:val="%1."/>
      <w:lvlJc w:val="left"/>
      <w:pPr>
        <w:tabs>
          <w:tab w:val="num" w:pos="1742"/>
        </w:tabs>
        <w:ind w:left="1267" w:firstLine="0"/>
      </w:pPr>
      <w:rPr>
        <w:w w:val="100"/>
      </w:rPr>
    </w:lvl>
  </w:abstractNum>
  <w:abstractNum w:abstractNumId="3" w15:restartNumberingAfterBreak="0">
    <w:nsid w:val="0A5221D1"/>
    <w:multiLevelType w:val="singleLevel"/>
    <w:tmpl w:val="69B833A2"/>
    <w:lvl w:ilvl="0">
      <w:start w:val="17"/>
      <w:numFmt w:val="decimal"/>
      <w:lvlRestart w:val="0"/>
      <w:lvlText w:val="%1."/>
      <w:lvlJc w:val="left"/>
      <w:pPr>
        <w:tabs>
          <w:tab w:val="num" w:pos="1742"/>
        </w:tabs>
        <w:ind w:left="1267" w:firstLine="0"/>
      </w:pPr>
      <w:rPr>
        <w:b w:val="0"/>
        <w:bCs w:val="0"/>
        <w:w w:val="100"/>
      </w:rPr>
    </w:lvl>
  </w:abstractNum>
  <w:abstractNum w:abstractNumId="4" w15:restartNumberingAfterBreak="0">
    <w:nsid w:val="0E6A3A5D"/>
    <w:multiLevelType w:val="singleLevel"/>
    <w:tmpl w:val="40C8B9D0"/>
    <w:lvl w:ilvl="0">
      <w:start w:val="42"/>
      <w:numFmt w:val="decimal"/>
      <w:lvlRestart w:val="0"/>
      <w:lvlText w:val="%1."/>
      <w:lvlJc w:val="left"/>
      <w:pPr>
        <w:tabs>
          <w:tab w:val="num" w:pos="1742"/>
        </w:tabs>
        <w:ind w:left="1267" w:firstLine="0"/>
      </w:pPr>
      <w:rPr>
        <w:w w:val="100"/>
      </w:rPr>
    </w:lvl>
  </w:abstractNum>
  <w:abstractNum w:abstractNumId="5" w15:restartNumberingAfterBreak="0">
    <w:nsid w:val="107F01A0"/>
    <w:multiLevelType w:val="singleLevel"/>
    <w:tmpl w:val="61847FB4"/>
    <w:lvl w:ilvl="0">
      <w:start w:val="41"/>
      <w:numFmt w:val="decimal"/>
      <w:lvlRestart w:val="0"/>
      <w:lvlText w:val="%1."/>
      <w:lvlJc w:val="left"/>
      <w:pPr>
        <w:tabs>
          <w:tab w:val="num" w:pos="1742"/>
        </w:tabs>
        <w:ind w:left="1267" w:firstLine="0"/>
      </w:pPr>
      <w:rPr>
        <w:w w:val="100"/>
      </w:rPr>
    </w:lvl>
  </w:abstractNum>
  <w:abstractNum w:abstractNumId="6"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5941152"/>
    <w:multiLevelType w:val="singleLevel"/>
    <w:tmpl w:val="37C4DA70"/>
    <w:lvl w:ilvl="0">
      <w:start w:val="27"/>
      <w:numFmt w:val="decimal"/>
      <w:lvlRestart w:val="0"/>
      <w:lvlText w:val="%1."/>
      <w:lvlJc w:val="left"/>
      <w:pPr>
        <w:tabs>
          <w:tab w:val="num" w:pos="1742"/>
        </w:tabs>
        <w:ind w:left="1267" w:firstLine="0"/>
      </w:pPr>
      <w:rPr>
        <w:w w:val="100"/>
      </w:rPr>
    </w:lvl>
  </w:abstractNum>
  <w:abstractNum w:abstractNumId="8" w15:restartNumberingAfterBreak="0">
    <w:nsid w:val="15ED4FE5"/>
    <w:multiLevelType w:val="singleLevel"/>
    <w:tmpl w:val="C700F15A"/>
    <w:lvl w:ilvl="0">
      <w:start w:val="45"/>
      <w:numFmt w:val="decimal"/>
      <w:lvlRestart w:val="0"/>
      <w:lvlText w:val="%1."/>
      <w:lvlJc w:val="left"/>
      <w:pPr>
        <w:tabs>
          <w:tab w:val="num" w:pos="1742"/>
        </w:tabs>
        <w:ind w:left="1267" w:firstLine="0"/>
      </w:pPr>
      <w:rPr>
        <w:b w:val="0"/>
        <w:bCs w:val="0"/>
        <w:w w:val="100"/>
      </w:rPr>
    </w:lvl>
  </w:abstractNum>
  <w:abstractNum w:abstractNumId="9"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4486F"/>
    <w:multiLevelType w:val="singleLevel"/>
    <w:tmpl w:val="0CF8D6D2"/>
    <w:lvl w:ilvl="0">
      <w:start w:val="44"/>
      <w:numFmt w:val="decimal"/>
      <w:lvlRestart w:val="0"/>
      <w:lvlText w:val="%1."/>
      <w:lvlJc w:val="left"/>
      <w:pPr>
        <w:tabs>
          <w:tab w:val="num" w:pos="1742"/>
        </w:tabs>
        <w:ind w:left="1267" w:firstLine="0"/>
      </w:pPr>
      <w:rPr>
        <w:b w:val="0"/>
        <w:bCs w:val="0"/>
        <w:w w:val="100"/>
      </w:rPr>
    </w:lvl>
  </w:abstractNum>
  <w:abstractNum w:abstractNumId="11" w15:restartNumberingAfterBreak="0">
    <w:nsid w:val="18DB30AC"/>
    <w:multiLevelType w:val="singleLevel"/>
    <w:tmpl w:val="B5DC7208"/>
    <w:lvl w:ilvl="0">
      <w:start w:val="46"/>
      <w:numFmt w:val="decimal"/>
      <w:lvlRestart w:val="0"/>
      <w:lvlText w:val="%1."/>
      <w:lvlJc w:val="left"/>
      <w:pPr>
        <w:tabs>
          <w:tab w:val="num" w:pos="1742"/>
        </w:tabs>
        <w:ind w:left="1267" w:firstLine="0"/>
      </w:pPr>
      <w:rPr>
        <w:b w:val="0"/>
        <w:bCs w:val="0"/>
        <w:w w:val="100"/>
      </w:rPr>
    </w:lvl>
  </w:abstractNum>
  <w:abstractNum w:abstractNumId="12" w15:restartNumberingAfterBreak="0">
    <w:nsid w:val="19E813C6"/>
    <w:multiLevelType w:val="singleLevel"/>
    <w:tmpl w:val="946ECBBE"/>
    <w:lvl w:ilvl="0">
      <w:start w:val="11"/>
      <w:numFmt w:val="decimal"/>
      <w:lvlRestart w:val="0"/>
      <w:lvlText w:val="%1."/>
      <w:lvlJc w:val="left"/>
      <w:pPr>
        <w:tabs>
          <w:tab w:val="num" w:pos="1742"/>
        </w:tabs>
        <w:ind w:left="1267" w:firstLine="0"/>
      </w:pPr>
      <w:rPr>
        <w:b w:val="0"/>
        <w:bCs w:val="0"/>
        <w:w w:val="100"/>
      </w:rPr>
    </w:lvl>
  </w:abstractNum>
  <w:abstractNum w:abstractNumId="13" w15:restartNumberingAfterBreak="0">
    <w:nsid w:val="19F17180"/>
    <w:multiLevelType w:val="singleLevel"/>
    <w:tmpl w:val="0E0A16C0"/>
    <w:lvl w:ilvl="0">
      <w:start w:val="39"/>
      <w:numFmt w:val="decimal"/>
      <w:lvlRestart w:val="0"/>
      <w:lvlText w:val="%1."/>
      <w:lvlJc w:val="left"/>
      <w:pPr>
        <w:tabs>
          <w:tab w:val="num" w:pos="1742"/>
        </w:tabs>
        <w:ind w:left="1267" w:firstLine="0"/>
      </w:pPr>
      <w:rPr>
        <w:w w:val="100"/>
      </w:rPr>
    </w:lvl>
  </w:abstractNum>
  <w:abstractNum w:abstractNumId="14" w15:restartNumberingAfterBreak="0">
    <w:nsid w:val="1BA7160B"/>
    <w:multiLevelType w:val="singleLevel"/>
    <w:tmpl w:val="16622F7C"/>
    <w:lvl w:ilvl="0">
      <w:start w:val="44"/>
      <w:numFmt w:val="decimal"/>
      <w:lvlRestart w:val="0"/>
      <w:lvlText w:val="%1."/>
      <w:lvlJc w:val="left"/>
      <w:pPr>
        <w:tabs>
          <w:tab w:val="num" w:pos="1742"/>
        </w:tabs>
        <w:ind w:left="1267" w:firstLine="0"/>
      </w:pPr>
      <w:rPr>
        <w:w w:val="100"/>
      </w:rPr>
    </w:lvl>
  </w:abstractNum>
  <w:abstractNum w:abstractNumId="15" w15:restartNumberingAfterBreak="0">
    <w:nsid w:val="1BF36AC4"/>
    <w:multiLevelType w:val="singleLevel"/>
    <w:tmpl w:val="99F82664"/>
    <w:lvl w:ilvl="0">
      <w:start w:val="39"/>
      <w:numFmt w:val="decimal"/>
      <w:lvlRestart w:val="0"/>
      <w:lvlText w:val="%1."/>
      <w:lvlJc w:val="left"/>
      <w:pPr>
        <w:tabs>
          <w:tab w:val="num" w:pos="1742"/>
        </w:tabs>
        <w:ind w:left="1267" w:firstLine="0"/>
      </w:pPr>
      <w:rPr>
        <w:b w:val="0"/>
        <w:bCs w:val="0"/>
        <w:w w:val="100"/>
      </w:rPr>
    </w:lvl>
  </w:abstractNum>
  <w:abstractNum w:abstractNumId="16" w15:restartNumberingAfterBreak="0">
    <w:nsid w:val="25350A34"/>
    <w:multiLevelType w:val="singleLevel"/>
    <w:tmpl w:val="0CB4A1BC"/>
    <w:lvl w:ilvl="0">
      <w:start w:val="35"/>
      <w:numFmt w:val="decimal"/>
      <w:lvlRestart w:val="0"/>
      <w:lvlText w:val="%1."/>
      <w:lvlJc w:val="left"/>
      <w:pPr>
        <w:tabs>
          <w:tab w:val="num" w:pos="1742"/>
        </w:tabs>
        <w:ind w:left="1267" w:firstLine="0"/>
      </w:pPr>
      <w:rPr>
        <w:b w:val="0"/>
        <w:bCs w:val="0"/>
        <w:w w:val="100"/>
      </w:rPr>
    </w:lvl>
  </w:abstractNum>
  <w:abstractNum w:abstractNumId="17" w15:restartNumberingAfterBreak="0">
    <w:nsid w:val="2AD45463"/>
    <w:multiLevelType w:val="singleLevel"/>
    <w:tmpl w:val="62C81DB2"/>
    <w:lvl w:ilvl="0">
      <w:start w:val="37"/>
      <w:numFmt w:val="decimal"/>
      <w:lvlRestart w:val="0"/>
      <w:lvlText w:val="%1."/>
      <w:lvlJc w:val="left"/>
      <w:pPr>
        <w:tabs>
          <w:tab w:val="num" w:pos="1742"/>
        </w:tabs>
        <w:ind w:left="1267" w:firstLine="0"/>
      </w:pPr>
      <w:rPr>
        <w:b w:val="0"/>
        <w:bCs w:val="0"/>
        <w:w w:val="100"/>
      </w:rPr>
    </w:lvl>
  </w:abstractNum>
  <w:abstractNum w:abstractNumId="18" w15:restartNumberingAfterBreak="0">
    <w:nsid w:val="2F92429A"/>
    <w:multiLevelType w:val="singleLevel"/>
    <w:tmpl w:val="29F0683A"/>
    <w:lvl w:ilvl="0">
      <w:start w:val="21"/>
      <w:numFmt w:val="decimal"/>
      <w:lvlRestart w:val="0"/>
      <w:lvlText w:val="%1."/>
      <w:lvlJc w:val="left"/>
      <w:pPr>
        <w:tabs>
          <w:tab w:val="num" w:pos="1742"/>
        </w:tabs>
        <w:ind w:left="1267" w:firstLine="0"/>
      </w:pPr>
      <w:rPr>
        <w:b w:val="0"/>
        <w:bCs w:val="0"/>
        <w:w w:val="100"/>
      </w:rPr>
    </w:lvl>
  </w:abstractNum>
  <w:abstractNum w:abstractNumId="19" w15:restartNumberingAfterBreak="0">
    <w:nsid w:val="30C2348C"/>
    <w:multiLevelType w:val="singleLevel"/>
    <w:tmpl w:val="F760CE98"/>
    <w:lvl w:ilvl="0">
      <w:start w:val="15"/>
      <w:numFmt w:val="decimal"/>
      <w:lvlRestart w:val="0"/>
      <w:lvlText w:val="%1."/>
      <w:lvlJc w:val="left"/>
      <w:pPr>
        <w:tabs>
          <w:tab w:val="num" w:pos="1742"/>
        </w:tabs>
        <w:ind w:left="1267" w:firstLine="0"/>
      </w:pPr>
      <w:rPr>
        <w:b w:val="0"/>
        <w:bCs w:val="0"/>
        <w:w w:val="100"/>
      </w:rPr>
    </w:lvl>
  </w:abstractNum>
  <w:abstractNum w:abstractNumId="20" w15:restartNumberingAfterBreak="0">
    <w:nsid w:val="339E6225"/>
    <w:multiLevelType w:val="singleLevel"/>
    <w:tmpl w:val="061CA9BE"/>
    <w:lvl w:ilvl="0">
      <w:start w:val="35"/>
      <w:numFmt w:val="decimal"/>
      <w:lvlRestart w:val="0"/>
      <w:lvlText w:val="%1."/>
      <w:lvlJc w:val="left"/>
      <w:pPr>
        <w:tabs>
          <w:tab w:val="num" w:pos="1742"/>
        </w:tabs>
        <w:ind w:left="1267" w:firstLine="0"/>
      </w:pPr>
      <w:rPr>
        <w:w w:val="100"/>
      </w:rPr>
    </w:lvl>
  </w:abstractNum>
  <w:abstractNum w:abstractNumId="21" w15:restartNumberingAfterBreak="0">
    <w:nsid w:val="351811CA"/>
    <w:multiLevelType w:val="singleLevel"/>
    <w:tmpl w:val="04A0B4B8"/>
    <w:lvl w:ilvl="0">
      <w:start w:val="31"/>
      <w:numFmt w:val="decimal"/>
      <w:lvlRestart w:val="0"/>
      <w:lvlText w:val="%1."/>
      <w:lvlJc w:val="left"/>
      <w:pPr>
        <w:tabs>
          <w:tab w:val="num" w:pos="1742"/>
        </w:tabs>
        <w:ind w:left="1267" w:firstLine="0"/>
      </w:pPr>
      <w:rPr>
        <w:w w:val="100"/>
      </w:rPr>
    </w:lvl>
  </w:abstractNum>
  <w:abstractNum w:abstractNumId="22" w15:restartNumberingAfterBreak="0">
    <w:nsid w:val="36870596"/>
    <w:multiLevelType w:val="singleLevel"/>
    <w:tmpl w:val="5458072C"/>
    <w:lvl w:ilvl="0">
      <w:start w:val="47"/>
      <w:numFmt w:val="decimal"/>
      <w:lvlRestart w:val="0"/>
      <w:lvlText w:val="%1."/>
      <w:lvlJc w:val="left"/>
      <w:pPr>
        <w:tabs>
          <w:tab w:val="num" w:pos="1742"/>
        </w:tabs>
        <w:ind w:left="1267" w:firstLine="0"/>
      </w:pPr>
      <w:rPr>
        <w:w w:val="100"/>
      </w:rPr>
    </w:lvl>
  </w:abstractNum>
  <w:abstractNum w:abstractNumId="23" w15:restartNumberingAfterBreak="0">
    <w:nsid w:val="38CA58EB"/>
    <w:multiLevelType w:val="singleLevel"/>
    <w:tmpl w:val="114018C6"/>
    <w:lvl w:ilvl="0">
      <w:start w:val="1"/>
      <w:numFmt w:val="decimal"/>
      <w:lvlRestart w:val="0"/>
      <w:lvlText w:val="%1."/>
      <w:lvlJc w:val="left"/>
      <w:pPr>
        <w:tabs>
          <w:tab w:val="num" w:pos="475"/>
        </w:tabs>
        <w:ind w:left="0" w:firstLine="0"/>
      </w:pPr>
      <w:rPr>
        <w:b w:val="0"/>
        <w:bCs w:val="0"/>
        <w:w w:val="100"/>
      </w:rPr>
    </w:lvl>
  </w:abstractNum>
  <w:abstractNum w:abstractNumId="24" w15:restartNumberingAfterBreak="0">
    <w:nsid w:val="3A7903EF"/>
    <w:multiLevelType w:val="singleLevel"/>
    <w:tmpl w:val="268E823E"/>
    <w:lvl w:ilvl="0">
      <w:start w:val="9"/>
      <w:numFmt w:val="decimal"/>
      <w:lvlRestart w:val="0"/>
      <w:lvlText w:val="%1."/>
      <w:lvlJc w:val="left"/>
      <w:pPr>
        <w:tabs>
          <w:tab w:val="num" w:pos="1742"/>
        </w:tabs>
        <w:ind w:left="1267" w:firstLine="0"/>
      </w:pPr>
      <w:rPr>
        <w:b w:val="0"/>
        <w:bCs w:val="0"/>
        <w:w w:val="100"/>
      </w:rPr>
    </w:lvl>
  </w:abstractNum>
  <w:abstractNum w:abstractNumId="25" w15:restartNumberingAfterBreak="0">
    <w:nsid w:val="3B340728"/>
    <w:multiLevelType w:val="singleLevel"/>
    <w:tmpl w:val="959AC8B4"/>
    <w:lvl w:ilvl="0">
      <w:start w:val="23"/>
      <w:numFmt w:val="decimal"/>
      <w:lvlRestart w:val="0"/>
      <w:lvlText w:val="%1."/>
      <w:lvlJc w:val="left"/>
      <w:pPr>
        <w:tabs>
          <w:tab w:val="num" w:pos="1742"/>
        </w:tabs>
        <w:ind w:left="1267" w:firstLine="0"/>
      </w:pPr>
      <w:rPr>
        <w:b w:val="0"/>
        <w:bCs w:val="0"/>
        <w:w w:val="100"/>
      </w:rPr>
    </w:lvl>
  </w:abstractNum>
  <w:abstractNum w:abstractNumId="26" w15:restartNumberingAfterBreak="0">
    <w:nsid w:val="40523BBD"/>
    <w:multiLevelType w:val="singleLevel"/>
    <w:tmpl w:val="B0009444"/>
    <w:lvl w:ilvl="0">
      <w:start w:val="27"/>
      <w:numFmt w:val="decimal"/>
      <w:lvlRestart w:val="0"/>
      <w:lvlText w:val="%1."/>
      <w:lvlJc w:val="left"/>
      <w:pPr>
        <w:tabs>
          <w:tab w:val="num" w:pos="1742"/>
        </w:tabs>
        <w:ind w:left="1267" w:firstLine="0"/>
      </w:pPr>
      <w:rPr>
        <w:b w:val="0"/>
        <w:bCs w:val="0"/>
        <w:w w:val="100"/>
      </w:rPr>
    </w:lvl>
  </w:abstractNum>
  <w:abstractNum w:abstractNumId="27" w15:restartNumberingAfterBreak="0">
    <w:nsid w:val="405E0A34"/>
    <w:multiLevelType w:val="singleLevel"/>
    <w:tmpl w:val="78946A52"/>
    <w:lvl w:ilvl="0">
      <w:start w:val="31"/>
      <w:numFmt w:val="decimal"/>
      <w:lvlRestart w:val="0"/>
      <w:lvlText w:val="%1."/>
      <w:lvlJc w:val="left"/>
      <w:pPr>
        <w:tabs>
          <w:tab w:val="num" w:pos="1742"/>
        </w:tabs>
        <w:ind w:left="1267" w:firstLine="0"/>
      </w:pPr>
      <w:rPr>
        <w:b w:val="0"/>
        <w:bCs w:val="0"/>
        <w:w w:val="100"/>
      </w:rPr>
    </w:lvl>
  </w:abstractNum>
  <w:abstractNum w:abstractNumId="28" w15:restartNumberingAfterBreak="0">
    <w:nsid w:val="42771B78"/>
    <w:multiLevelType w:val="singleLevel"/>
    <w:tmpl w:val="FD3C6F62"/>
    <w:lvl w:ilvl="0">
      <w:start w:val="41"/>
      <w:numFmt w:val="decimal"/>
      <w:lvlRestart w:val="0"/>
      <w:lvlText w:val="%1."/>
      <w:lvlJc w:val="left"/>
      <w:pPr>
        <w:tabs>
          <w:tab w:val="num" w:pos="1742"/>
        </w:tabs>
        <w:ind w:left="1267" w:firstLine="0"/>
      </w:pPr>
      <w:rPr>
        <w:b w:val="0"/>
        <w:bCs w:val="0"/>
        <w:w w:val="100"/>
      </w:rPr>
    </w:lvl>
  </w:abstractNum>
  <w:abstractNum w:abstractNumId="29" w15:restartNumberingAfterBreak="0">
    <w:nsid w:val="43FF5982"/>
    <w:multiLevelType w:val="singleLevel"/>
    <w:tmpl w:val="79A66CF4"/>
    <w:lvl w:ilvl="0">
      <w:start w:val="45"/>
      <w:numFmt w:val="decimal"/>
      <w:lvlRestart w:val="0"/>
      <w:lvlText w:val="%1."/>
      <w:lvlJc w:val="left"/>
      <w:pPr>
        <w:tabs>
          <w:tab w:val="num" w:pos="1742"/>
        </w:tabs>
        <w:ind w:left="1267" w:firstLine="0"/>
      </w:pPr>
      <w:rPr>
        <w:w w:val="100"/>
      </w:rPr>
    </w:lvl>
  </w:abstractNum>
  <w:abstractNum w:abstractNumId="3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2" w15:restartNumberingAfterBreak="0">
    <w:nsid w:val="52276224"/>
    <w:multiLevelType w:val="singleLevel"/>
    <w:tmpl w:val="1868BEC4"/>
    <w:lvl w:ilvl="0">
      <w:start w:val="29"/>
      <w:numFmt w:val="decimal"/>
      <w:lvlRestart w:val="0"/>
      <w:lvlText w:val="%1."/>
      <w:lvlJc w:val="left"/>
      <w:pPr>
        <w:tabs>
          <w:tab w:val="num" w:pos="1742"/>
        </w:tabs>
        <w:ind w:left="1267" w:firstLine="0"/>
      </w:pPr>
      <w:rPr>
        <w:w w:val="100"/>
      </w:rPr>
    </w:lvl>
  </w:abstractNum>
  <w:abstractNum w:abstractNumId="33" w15:restartNumberingAfterBreak="0">
    <w:nsid w:val="52AE1326"/>
    <w:multiLevelType w:val="singleLevel"/>
    <w:tmpl w:val="FFDEA90E"/>
    <w:lvl w:ilvl="0">
      <w:start w:val="43"/>
      <w:numFmt w:val="decimal"/>
      <w:lvlRestart w:val="0"/>
      <w:lvlText w:val="%1."/>
      <w:lvlJc w:val="left"/>
      <w:pPr>
        <w:tabs>
          <w:tab w:val="num" w:pos="1742"/>
        </w:tabs>
        <w:ind w:left="1267" w:firstLine="0"/>
      </w:pPr>
      <w:rPr>
        <w:w w:val="100"/>
      </w:rPr>
    </w:lvl>
  </w:abstractNum>
  <w:abstractNum w:abstractNumId="34" w15:restartNumberingAfterBreak="0">
    <w:nsid w:val="56B36135"/>
    <w:multiLevelType w:val="singleLevel"/>
    <w:tmpl w:val="77D0D0B0"/>
    <w:lvl w:ilvl="0">
      <w:start w:val="25"/>
      <w:numFmt w:val="decimal"/>
      <w:lvlRestart w:val="0"/>
      <w:lvlText w:val="%1."/>
      <w:lvlJc w:val="left"/>
      <w:pPr>
        <w:tabs>
          <w:tab w:val="num" w:pos="1742"/>
        </w:tabs>
        <w:ind w:left="1267" w:firstLine="0"/>
      </w:pPr>
      <w:rPr>
        <w:b w:val="0"/>
        <w:bCs w:val="0"/>
        <w:w w:val="100"/>
      </w:rPr>
    </w:lvl>
  </w:abstractNum>
  <w:abstractNum w:abstractNumId="35" w15:restartNumberingAfterBreak="0">
    <w:nsid w:val="5CA0336D"/>
    <w:multiLevelType w:val="singleLevel"/>
    <w:tmpl w:val="D5968644"/>
    <w:lvl w:ilvl="0">
      <w:start w:val="33"/>
      <w:numFmt w:val="decimal"/>
      <w:lvlRestart w:val="0"/>
      <w:lvlText w:val="%1."/>
      <w:lvlJc w:val="left"/>
      <w:pPr>
        <w:tabs>
          <w:tab w:val="num" w:pos="1742"/>
        </w:tabs>
        <w:ind w:left="1267" w:firstLine="0"/>
      </w:pPr>
      <w:rPr>
        <w:b w:val="0"/>
        <w:bCs w:val="0"/>
        <w:w w:val="100"/>
      </w:rPr>
    </w:lvl>
  </w:abstractNum>
  <w:abstractNum w:abstractNumId="36" w15:restartNumberingAfterBreak="0">
    <w:nsid w:val="5E301EF3"/>
    <w:multiLevelType w:val="singleLevel"/>
    <w:tmpl w:val="FBA6D7E0"/>
    <w:lvl w:ilvl="0">
      <w:start w:val="37"/>
      <w:numFmt w:val="decimal"/>
      <w:lvlRestart w:val="0"/>
      <w:lvlText w:val="%1."/>
      <w:lvlJc w:val="left"/>
      <w:pPr>
        <w:tabs>
          <w:tab w:val="num" w:pos="1742"/>
        </w:tabs>
        <w:ind w:left="1267" w:firstLine="0"/>
      </w:pPr>
      <w:rPr>
        <w:w w:val="100"/>
      </w:rPr>
    </w:lvl>
  </w:abstractNum>
  <w:abstractNum w:abstractNumId="37" w15:restartNumberingAfterBreak="0">
    <w:nsid w:val="5EDE300C"/>
    <w:multiLevelType w:val="singleLevel"/>
    <w:tmpl w:val="61847FB4"/>
    <w:lvl w:ilvl="0">
      <w:start w:val="41"/>
      <w:numFmt w:val="decimal"/>
      <w:lvlRestart w:val="0"/>
      <w:lvlText w:val="%1."/>
      <w:lvlJc w:val="left"/>
      <w:pPr>
        <w:tabs>
          <w:tab w:val="num" w:pos="1742"/>
        </w:tabs>
        <w:ind w:left="1267" w:firstLine="0"/>
      </w:pPr>
      <w:rPr>
        <w:w w:val="100"/>
      </w:rPr>
    </w:lvl>
  </w:abstractNum>
  <w:abstractNum w:abstractNumId="38" w15:restartNumberingAfterBreak="0">
    <w:nsid w:val="6CA94C9F"/>
    <w:multiLevelType w:val="singleLevel"/>
    <w:tmpl w:val="5B7AB762"/>
    <w:lvl w:ilvl="0">
      <w:start w:val="29"/>
      <w:numFmt w:val="decimal"/>
      <w:lvlRestart w:val="0"/>
      <w:lvlText w:val="%1."/>
      <w:lvlJc w:val="left"/>
      <w:pPr>
        <w:tabs>
          <w:tab w:val="num" w:pos="1742"/>
        </w:tabs>
        <w:ind w:left="1267" w:firstLine="0"/>
      </w:pPr>
      <w:rPr>
        <w:b w:val="0"/>
        <w:bCs w:val="0"/>
        <w:w w:val="100"/>
      </w:rPr>
    </w:lvl>
  </w:abstractNum>
  <w:abstractNum w:abstractNumId="39" w15:restartNumberingAfterBreak="0">
    <w:nsid w:val="76F7436C"/>
    <w:multiLevelType w:val="singleLevel"/>
    <w:tmpl w:val="C23CEC6C"/>
    <w:lvl w:ilvl="0">
      <w:start w:val="43"/>
      <w:numFmt w:val="decimal"/>
      <w:lvlRestart w:val="0"/>
      <w:lvlText w:val="%1."/>
      <w:lvlJc w:val="left"/>
      <w:pPr>
        <w:tabs>
          <w:tab w:val="num" w:pos="1742"/>
        </w:tabs>
        <w:ind w:left="1267" w:firstLine="0"/>
      </w:pPr>
      <w:rPr>
        <w:b w:val="0"/>
        <w:bCs w:val="0"/>
        <w:w w:val="100"/>
      </w:rPr>
    </w:lvl>
  </w:abstractNum>
  <w:abstractNum w:abstractNumId="40" w15:restartNumberingAfterBreak="0">
    <w:nsid w:val="7769503E"/>
    <w:multiLevelType w:val="singleLevel"/>
    <w:tmpl w:val="3804590C"/>
    <w:lvl w:ilvl="0">
      <w:start w:val="42"/>
      <w:numFmt w:val="decimal"/>
      <w:lvlRestart w:val="0"/>
      <w:lvlText w:val="%1."/>
      <w:lvlJc w:val="left"/>
      <w:pPr>
        <w:tabs>
          <w:tab w:val="num" w:pos="1742"/>
        </w:tabs>
        <w:ind w:left="1267" w:firstLine="0"/>
      </w:pPr>
      <w:rPr>
        <w:b w:val="0"/>
        <w:bCs w:val="0"/>
        <w:w w:val="100"/>
      </w:rPr>
    </w:lvl>
  </w:abstractNum>
  <w:abstractNum w:abstractNumId="41" w15:restartNumberingAfterBreak="0">
    <w:nsid w:val="7B9F48B6"/>
    <w:multiLevelType w:val="singleLevel"/>
    <w:tmpl w:val="72E43780"/>
    <w:lvl w:ilvl="0">
      <w:start w:val="8"/>
      <w:numFmt w:val="decimal"/>
      <w:lvlRestart w:val="0"/>
      <w:lvlText w:val="%1."/>
      <w:lvlJc w:val="left"/>
      <w:pPr>
        <w:tabs>
          <w:tab w:val="num" w:pos="1742"/>
        </w:tabs>
        <w:ind w:left="1267" w:firstLine="0"/>
      </w:pPr>
      <w:rPr>
        <w:b w:val="0"/>
        <w:bCs w:val="0"/>
        <w:w w:val="100"/>
      </w:rPr>
    </w:lvl>
  </w:abstractNum>
  <w:abstractNum w:abstractNumId="42" w15:restartNumberingAfterBreak="0">
    <w:nsid w:val="7DDE1343"/>
    <w:multiLevelType w:val="singleLevel"/>
    <w:tmpl w:val="AD7CEEB0"/>
    <w:lvl w:ilvl="0">
      <w:start w:val="19"/>
      <w:numFmt w:val="decimal"/>
      <w:lvlRestart w:val="0"/>
      <w:lvlText w:val="%1."/>
      <w:lvlJc w:val="left"/>
      <w:pPr>
        <w:tabs>
          <w:tab w:val="num" w:pos="1742"/>
        </w:tabs>
        <w:ind w:left="1267" w:firstLine="0"/>
      </w:pPr>
      <w:rPr>
        <w:b w:val="0"/>
        <w:bCs w:val="0"/>
        <w:w w:val="100"/>
      </w:rPr>
    </w:lvl>
  </w:abstractNum>
  <w:num w:numId="1">
    <w:abstractNumId w:val="9"/>
  </w:num>
  <w:num w:numId="2">
    <w:abstractNumId w:val="30"/>
  </w:num>
  <w:num w:numId="3">
    <w:abstractNumId w:val="1"/>
  </w:num>
  <w:num w:numId="4">
    <w:abstractNumId w:val="6"/>
  </w:num>
  <w:num w:numId="5">
    <w:abstractNumId w:val="31"/>
  </w:num>
  <w:num w:numId="6">
    <w:abstractNumId w:val="23"/>
  </w:num>
  <w:num w:numId="7">
    <w:abstractNumId w:val="41"/>
  </w:num>
  <w:num w:numId="8">
    <w:abstractNumId w:val="24"/>
  </w:num>
  <w:num w:numId="9">
    <w:abstractNumId w:val="12"/>
  </w:num>
  <w:num w:numId="10">
    <w:abstractNumId w:val="19"/>
  </w:num>
  <w:num w:numId="11">
    <w:abstractNumId w:val="3"/>
  </w:num>
  <w:num w:numId="12">
    <w:abstractNumId w:val="42"/>
  </w:num>
  <w:num w:numId="13">
    <w:abstractNumId w:val="18"/>
  </w:num>
  <w:num w:numId="14">
    <w:abstractNumId w:val="25"/>
  </w:num>
  <w:num w:numId="15">
    <w:abstractNumId w:val="34"/>
  </w:num>
  <w:num w:numId="16">
    <w:abstractNumId w:val="26"/>
  </w:num>
  <w:num w:numId="17">
    <w:abstractNumId w:val="7"/>
  </w:num>
  <w:num w:numId="18">
    <w:abstractNumId w:val="38"/>
  </w:num>
  <w:num w:numId="19">
    <w:abstractNumId w:val="32"/>
  </w:num>
  <w:num w:numId="20">
    <w:abstractNumId w:val="27"/>
  </w:num>
  <w:num w:numId="21">
    <w:abstractNumId w:val="21"/>
  </w:num>
  <w:num w:numId="22">
    <w:abstractNumId w:val="35"/>
  </w:num>
  <w:num w:numId="23">
    <w:abstractNumId w:val="0"/>
  </w:num>
  <w:num w:numId="24">
    <w:abstractNumId w:val="16"/>
  </w:num>
  <w:num w:numId="25">
    <w:abstractNumId w:val="20"/>
  </w:num>
  <w:num w:numId="26">
    <w:abstractNumId w:val="17"/>
  </w:num>
  <w:num w:numId="27">
    <w:abstractNumId w:val="36"/>
  </w:num>
  <w:num w:numId="28">
    <w:abstractNumId w:val="15"/>
  </w:num>
  <w:num w:numId="29">
    <w:abstractNumId w:val="13"/>
  </w:num>
  <w:num w:numId="30">
    <w:abstractNumId w:val="28"/>
  </w:num>
  <w:num w:numId="31">
    <w:abstractNumId w:val="5"/>
  </w:num>
  <w:num w:numId="32">
    <w:abstractNumId w:val="37"/>
  </w:num>
  <w:num w:numId="33">
    <w:abstractNumId w:val="37"/>
    <w:lvlOverride w:ilvl="0">
      <w:lvl w:ilvl="0">
        <w:start w:val="41"/>
        <w:numFmt w:val="decimal"/>
        <w:lvlRestart w:val="0"/>
        <w:lvlText w:val="%1."/>
        <w:lvlJc w:val="left"/>
        <w:pPr>
          <w:tabs>
            <w:tab w:val="num" w:pos="1742"/>
          </w:tabs>
          <w:ind w:left="1267" w:firstLine="0"/>
        </w:pPr>
        <w:rPr>
          <w:w w:val="100"/>
        </w:rPr>
      </w:lvl>
    </w:lvlOverride>
  </w:num>
  <w:num w:numId="34">
    <w:abstractNumId w:val="40"/>
  </w:num>
  <w:num w:numId="35">
    <w:abstractNumId w:val="4"/>
  </w:num>
  <w:num w:numId="36">
    <w:abstractNumId w:val="39"/>
  </w:num>
  <w:num w:numId="37">
    <w:abstractNumId w:val="33"/>
  </w:num>
  <w:num w:numId="38">
    <w:abstractNumId w:val="10"/>
  </w:num>
  <w:num w:numId="39">
    <w:abstractNumId w:val="14"/>
  </w:num>
  <w:num w:numId="40">
    <w:abstractNumId w:val="8"/>
  </w:num>
  <w:num w:numId="41">
    <w:abstractNumId w:val="29"/>
  </w:num>
  <w:num w:numId="42">
    <w:abstractNumId w:val="11"/>
  </w:num>
  <w:num w:numId="43">
    <w:abstractNumId w:val="2"/>
  </w:num>
  <w:num w:numId="4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hideSpellingError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6*"/>
    <w:docVar w:name="CreationDt" w:val="13/09/2022 14:17:52"/>
    <w:docVar w:name="DocCategory" w:val="Doc"/>
    <w:docVar w:name="DocType" w:val="Final"/>
    <w:docVar w:name="DutyStation" w:val="New York"/>
    <w:docVar w:name="FooterJN" w:val="22-10926"/>
    <w:docVar w:name="jobn" w:val="22-10926 (F)"/>
    <w:docVar w:name="jobnDT" w:val="22-10926 (F)   130922"/>
    <w:docVar w:name="jobnDTDT" w:val="22-10926 (F)   130922   130922"/>
    <w:docVar w:name="JobNo" w:val="2210926F"/>
    <w:docVar w:name="JobNo2" w:val="2242112F"/>
    <w:docVar w:name="LocalDrive" w:val="-1"/>
    <w:docVar w:name="OandT" w:val="JMS"/>
    <w:docVar w:name="sss1" w:val="CEDAW/C/BOL/CO/7"/>
    <w:docVar w:name="sss2" w:val="-"/>
    <w:docVar w:name="Symbol1" w:val="CEDAW/C/BOL/CO/7"/>
    <w:docVar w:name="Symbol2" w:val="-"/>
  </w:docVars>
  <w:rsids>
    <w:rsidRoot w:val="00432226"/>
    <w:rsid w:val="00000865"/>
    <w:rsid w:val="00002584"/>
    <w:rsid w:val="00002923"/>
    <w:rsid w:val="00002FD6"/>
    <w:rsid w:val="00043333"/>
    <w:rsid w:val="000442CA"/>
    <w:rsid w:val="000530E3"/>
    <w:rsid w:val="00063FAA"/>
    <w:rsid w:val="0006491F"/>
    <w:rsid w:val="00066B74"/>
    <w:rsid w:val="00071D43"/>
    <w:rsid w:val="0007273B"/>
    <w:rsid w:val="000729A9"/>
    <w:rsid w:val="00082144"/>
    <w:rsid w:val="00085F32"/>
    <w:rsid w:val="00090DE7"/>
    <w:rsid w:val="000A0379"/>
    <w:rsid w:val="000A45BB"/>
    <w:rsid w:val="000A5352"/>
    <w:rsid w:val="000B6C86"/>
    <w:rsid w:val="000C1221"/>
    <w:rsid w:val="000E4349"/>
    <w:rsid w:val="000E7762"/>
    <w:rsid w:val="000F40FC"/>
    <w:rsid w:val="000F4100"/>
    <w:rsid w:val="000F7DD2"/>
    <w:rsid w:val="00101B18"/>
    <w:rsid w:val="001066DE"/>
    <w:rsid w:val="00122A56"/>
    <w:rsid w:val="00126025"/>
    <w:rsid w:val="00130F75"/>
    <w:rsid w:val="00131217"/>
    <w:rsid w:val="001347B3"/>
    <w:rsid w:val="00134FEE"/>
    <w:rsid w:val="00146C6A"/>
    <w:rsid w:val="00161842"/>
    <w:rsid w:val="001667B7"/>
    <w:rsid w:val="00166A0D"/>
    <w:rsid w:val="00166A3B"/>
    <w:rsid w:val="00173353"/>
    <w:rsid w:val="00175C07"/>
    <w:rsid w:val="00177CD0"/>
    <w:rsid w:val="001953CF"/>
    <w:rsid w:val="001A0146"/>
    <w:rsid w:val="001A5F52"/>
    <w:rsid w:val="001B1175"/>
    <w:rsid w:val="001B43B7"/>
    <w:rsid w:val="001B5AF4"/>
    <w:rsid w:val="001B6651"/>
    <w:rsid w:val="001B7739"/>
    <w:rsid w:val="001C14EB"/>
    <w:rsid w:val="001C159C"/>
    <w:rsid w:val="001C6116"/>
    <w:rsid w:val="001D11F0"/>
    <w:rsid w:val="001D55E8"/>
    <w:rsid w:val="001E2379"/>
    <w:rsid w:val="001E4B50"/>
    <w:rsid w:val="001E75B1"/>
    <w:rsid w:val="002041F7"/>
    <w:rsid w:val="002122D7"/>
    <w:rsid w:val="00212A57"/>
    <w:rsid w:val="00215120"/>
    <w:rsid w:val="00224879"/>
    <w:rsid w:val="00230586"/>
    <w:rsid w:val="002366E8"/>
    <w:rsid w:val="00245107"/>
    <w:rsid w:val="00245FDC"/>
    <w:rsid w:val="002478A0"/>
    <w:rsid w:val="00254E0C"/>
    <w:rsid w:val="00266FD9"/>
    <w:rsid w:val="002766D0"/>
    <w:rsid w:val="002A5E20"/>
    <w:rsid w:val="002B2395"/>
    <w:rsid w:val="002B2F88"/>
    <w:rsid w:val="002B3AC7"/>
    <w:rsid w:val="002B6C24"/>
    <w:rsid w:val="002C1FC2"/>
    <w:rsid w:val="002E1C7F"/>
    <w:rsid w:val="002E5432"/>
    <w:rsid w:val="002E721E"/>
    <w:rsid w:val="002F36B2"/>
    <w:rsid w:val="002F60C8"/>
    <w:rsid w:val="00300867"/>
    <w:rsid w:val="003059C8"/>
    <w:rsid w:val="0030765E"/>
    <w:rsid w:val="003120BA"/>
    <w:rsid w:val="00324E9A"/>
    <w:rsid w:val="00330EC7"/>
    <w:rsid w:val="00353879"/>
    <w:rsid w:val="00362220"/>
    <w:rsid w:val="003653C1"/>
    <w:rsid w:val="00366D21"/>
    <w:rsid w:val="00385C30"/>
    <w:rsid w:val="003905FA"/>
    <w:rsid w:val="003A675A"/>
    <w:rsid w:val="003C6325"/>
    <w:rsid w:val="003D0180"/>
    <w:rsid w:val="003D0212"/>
    <w:rsid w:val="003D2B69"/>
    <w:rsid w:val="003E5BB0"/>
    <w:rsid w:val="003F5EA6"/>
    <w:rsid w:val="003F61E1"/>
    <w:rsid w:val="00410BE8"/>
    <w:rsid w:val="00432226"/>
    <w:rsid w:val="00433DB8"/>
    <w:rsid w:val="00440C93"/>
    <w:rsid w:val="004516D8"/>
    <w:rsid w:val="0045224E"/>
    <w:rsid w:val="00456CF0"/>
    <w:rsid w:val="00470181"/>
    <w:rsid w:val="00470650"/>
    <w:rsid w:val="00472B7F"/>
    <w:rsid w:val="004766FD"/>
    <w:rsid w:val="00480B84"/>
    <w:rsid w:val="00486664"/>
    <w:rsid w:val="00487ADC"/>
    <w:rsid w:val="004A7BA0"/>
    <w:rsid w:val="004B64F9"/>
    <w:rsid w:val="004C1A25"/>
    <w:rsid w:val="0050410C"/>
    <w:rsid w:val="005064A2"/>
    <w:rsid w:val="00515991"/>
    <w:rsid w:val="005225EC"/>
    <w:rsid w:val="00525097"/>
    <w:rsid w:val="005309C2"/>
    <w:rsid w:val="005509B6"/>
    <w:rsid w:val="00551139"/>
    <w:rsid w:val="00554207"/>
    <w:rsid w:val="00571235"/>
    <w:rsid w:val="005777B4"/>
    <w:rsid w:val="00577A36"/>
    <w:rsid w:val="00580CF2"/>
    <w:rsid w:val="00593BCC"/>
    <w:rsid w:val="00597AAD"/>
    <w:rsid w:val="00597B8B"/>
    <w:rsid w:val="005B398E"/>
    <w:rsid w:val="005C03A7"/>
    <w:rsid w:val="005C0EBD"/>
    <w:rsid w:val="005C329E"/>
    <w:rsid w:val="005C5330"/>
    <w:rsid w:val="005C544C"/>
    <w:rsid w:val="005F1F5F"/>
    <w:rsid w:val="005F2284"/>
    <w:rsid w:val="005F3721"/>
    <w:rsid w:val="005F4C0E"/>
    <w:rsid w:val="005F6036"/>
    <w:rsid w:val="00601EF6"/>
    <w:rsid w:val="006267C4"/>
    <w:rsid w:val="006317F2"/>
    <w:rsid w:val="00632C10"/>
    <w:rsid w:val="006565DB"/>
    <w:rsid w:val="00662257"/>
    <w:rsid w:val="006623A1"/>
    <w:rsid w:val="006706F2"/>
    <w:rsid w:val="006822DC"/>
    <w:rsid w:val="006875FA"/>
    <w:rsid w:val="00690698"/>
    <w:rsid w:val="00694063"/>
    <w:rsid w:val="006955D6"/>
    <w:rsid w:val="00695C43"/>
    <w:rsid w:val="00697B5E"/>
    <w:rsid w:val="006A72AB"/>
    <w:rsid w:val="006C5883"/>
    <w:rsid w:val="006D0B3E"/>
    <w:rsid w:val="006D61CA"/>
    <w:rsid w:val="006D6493"/>
    <w:rsid w:val="006D7B5B"/>
    <w:rsid w:val="006E0690"/>
    <w:rsid w:val="006E290B"/>
    <w:rsid w:val="006E3CDF"/>
    <w:rsid w:val="006E4A4B"/>
    <w:rsid w:val="006E5107"/>
    <w:rsid w:val="006F0527"/>
    <w:rsid w:val="006F5E32"/>
    <w:rsid w:val="00703106"/>
    <w:rsid w:val="0070663F"/>
    <w:rsid w:val="007459AE"/>
    <w:rsid w:val="007531A5"/>
    <w:rsid w:val="00770880"/>
    <w:rsid w:val="00771C9E"/>
    <w:rsid w:val="0077372E"/>
    <w:rsid w:val="00782641"/>
    <w:rsid w:val="00790B9D"/>
    <w:rsid w:val="0079232A"/>
    <w:rsid w:val="00792848"/>
    <w:rsid w:val="00793D98"/>
    <w:rsid w:val="007C007E"/>
    <w:rsid w:val="007C7824"/>
    <w:rsid w:val="007D4FB1"/>
    <w:rsid w:val="007E1619"/>
    <w:rsid w:val="007E502E"/>
    <w:rsid w:val="00813336"/>
    <w:rsid w:val="00816539"/>
    <w:rsid w:val="0082045E"/>
    <w:rsid w:val="008222A3"/>
    <w:rsid w:val="008300F3"/>
    <w:rsid w:val="0083052D"/>
    <w:rsid w:val="0083510D"/>
    <w:rsid w:val="00857C25"/>
    <w:rsid w:val="0086094B"/>
    <w:rsid w:val="00864E95"/>
    <w:rsid w:val="0088002B"/>
    <w:rsid w:val="00883D3C"/>
    <w:rsid w:val="00886CF2"/>
    <w:rsid w:val="00886E28"/>
    <w:rsid w:val="00895DD1"/>
    <w:rsid w:val="008A3F9C"/>
    <w:rsid w:val="008A4AB4"/>
    <w:rsid w:val="008A6E0A"/>
    <w:rsid w:val="008B2D03"/>
    <w:rsid w:val="008C3B7B"/>
    <w:rsid w:val="008C4090"/>
    <w:rsid w:val="008D6C0A"/>
    <w:rsid w:val="008F3462"/>
    <w:rsid w:val="0090104D"/>
    <w:rsid w:val="009237A6"/>
    <w:rsid w:val="00935932"/>
    <w:rsid w:val="009547DC"/>
    <w:rsid w:val="00954FA6"/>
    <w:rsid w:val="0096330C"/>
    <w:rsid w:val="009700FE"/>
    <w:rsid w:val="00972835"/>
    <w:rsid w:val="00985212"/>
    <w:rsid w:val="00993CB7"/>
    <w:rsid w:val="00994877"/>
    <w:rsid w:val="009C351D"/>
    <w:rsid w:val="009C3BFE"/>
    <w:rsid w:val="009D0EE3"/>
    <w:rsid w:val="009D652B"/>
    <w:rsid w:val="009E3220"/>
    <w:rsid w:val="009F40B9"/>
    <w:rsid w:val="009F57B4"/>
    <w:rsid w:val="009F630A"/>
    <w:rsid w:val="00A07216"/>
    <w:rsid w:val="00A220ED"/>
    <w:rsid w:val="00A2494D"/>
    <w:rsid w:val="00A40D0F"/>
    <w:rsid w:val="00A413B2"/>
    <w:rsid w:val="00A536A1"/>
    <w:rsid w:val="00A558A0"/>
    <w:rsid w:val="00A7104E"/>
    <w:rsid w:val="00A76C1D"/>
    <w:rsid w:val="00A90BA8"/>
    <w:rsid w:val="00A94311"/>
    <w:rsid w:val="00A967B5"/>
    <w:rsid w:val="00AA63DB"/>
    <w:rsid w:val="00AB0B7D"/>
    <w:rsid w:val="00AC15BA"/>
    <w:rsid w:val="00AC2228"/>
    <w:rsid w:val="00AD5F2F"/>
    <w:rsid w:val="00AE1797"/>
    <w:rsid w:val="00AE5D05"/>
    <w:rsid w:val="00B129F2"/>
    <w:rsid w:val="00B34C34"/>
    <w:rsid w:val="00B4689A"/>
    <w:rsid w:val="00B71BBA"/>
    <w:rsid w:val="00B72729"/>
    <w:rsid w:val="00B83DB5"/>
    <w:rsid w:val="00B858D5"/>
    <w:rsid w:val="00B93FC1"/>
    <w:rsid w:val="00BB0190"/>
    <w:rsid w:val="00BB281F"/>
    <w:rsid w:val="00BB6C50"/>
    <w:rsid w:val="00BC74DC"/>
    <w:rsid w:val="00BD3229"/>
    <w:rsid w:val="00BE3A11"/>
    <w:rsid w:val="00BF5EA6"/>
    <w:rsid w:val="00C0129D"/>
    <w:rsid w:val="00C11FF6"/>
    <w:rsid w:val="00C138C6"/>
    <w:rsid w:val="00C173B3"/>
    <w:rsid w:val="00C239C3"/>
    <w:rsid w:val="00C247C7"/>
    <w:rsid w:val="00C248DE"/>
    <w:rsid w:val="00C27069"/>
    <w:rsid w:val="00C42AF8"/>
    <w:rsid w:val="00C42DE4"/>
    <w:rsid w:val="00C52D7C"/>
    <w:rsid w:val="00C56FB2"/>
    <w:rsid w:val="00C80AFE"/>
    <w:rsid w:val="00C82229"/>
    <w:rsid w:val="00C90F2A"/>
    <w:rsid w:val="00CB06FB"/>
    <w:rsid w:val="00CB0D06"/>
    <w:rsid w:val="00CB63C5"/>
    <w:rsid w:val="00CD41B3"/>
    <w:rsid w:val="00CF2988"/>
    <w:rsid w:val="00D06A73"/>
    <w:rsid w:val="00D1588C"/>
    <w:rsid w:val="00D230AE"/>
    <w:rsid w:val="00D2668E"/>
    <w:rsid w:val="00D30EED"/>
    <w:rsid w:val="00D310CB"/>
    <w:rsid w:val="00D32BFB"/>
    <w:rsid w:val="00D43153"/>
    <w:rsid w:val="00D50FB3"/>
    <w:rsid w:val="00D5663A"/>
    <w:rsid w:val="00D62817"/>
    <w:rsid w:val="00D6735A"/>
    <w:rsid w:val="00D70BDE"/>
    <w:rsid w:val="00D77421"/>
    <w:rsid w:val="00D80E41"/>
    <w:rsid w:val="00D90AAC"/>
    <w:rsid w:val="00DA084D"/>
    <w:rsid w:val="00DB55C1"/>
    <w:rsid w:val="00DB6786"/>
    <w:rsid w:val="00DC7881"/>
    <w:rsid w:val="00DD1F59"/>
    <w:rsid w:val="00DF0C23"/>
    <w:rsid w:val="00DF43F6"/>
    <w:rsid w:val="00E126C3"/>
    <w:rsid w:val="00E147C4"/>
    <w:rsid w:val="00E20984"/>
    <w:rsid w:val="00E32F88"/>
    <w:rsid w:val="00E343A6"/>
    <w:rsid w:val="00E372D8"/>
    <w:rsid w:val="00E40A91"/>
    <w:rsid w:val="00E443AC"/>
    <w:rsid w:val="00E47A1E"/>
    <w:rsid w:val="00E5196F"/>
    <w:rsid w:val="00E60743"/>
    <w:rsid w:val="00E7105F"/>
    <w:rsid w:val="00E7792F"/>
    <w:rsid w:val="00EC1429"/>
    <w:rsid w:val="00EC5E6A"/>
    <w:rsid w:val="00EE37EC"/>
    <w:rsid w:val="00EE4711"/>
    <w:rsid w:val="00EF2DFA"/>
    <w:rsid w:val="00EF49F9"/>
    <w:rsid w:val="00F0163E"/>
    <w:rsid w:val="00F051C7"/>
    <w:rsid w:val="00F1054B"/>
    <w:rsid w:val="00F11D66"/>
    <w:rsid w:val="00F135A7"/>
    <w:rsid w:val="00F313F6"/>
    <w:rsid w:val="00F37808"/>
    <w:rsid w:val="00F45E5A"/>
    <w:rsid w:val="00F5012D"/>
    <w:rsid w:val="00F73093"/>
    <w:rsid w:val="00F75F67"/>
    <w:rsid w:val="00F80073"/>
    <w:rsid w:val="00F819FB"/>
    <w:rsid w:val="00F81BFD"/>
    <w:rsid w:val="00FA23D3"/>
    <w:rsid w:val="00FA23EC"/>
    <w:rsid w:val="00FA3D05"/>
    <w:rsid w:val="00FA5CC9"/>
    <w:rsid w:val="00FB0A2C"/>
    <w:rsid w:val="00FC1262"/>
    <w:rsid w:val="00FC59F1"/>
    <w:rsid w:val="00FC725E"/>
    <w:rsid w:val="00FD192B"/>
    <w:rsid w:val="00FD44F5"/>
    <w:rsid w:val="00FD5ADF"/>
    <w:rsid w:val="00FE41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BBFA7"/>
  <w15:chartTrackingRefBased/>
  <w15:docId w15:val="{461DD6D2-E48F-414A-97B9-C67B2837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D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77CD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77CD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77CD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177CD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77CD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177CD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77CD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77CD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77CD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77CD0"/>
    <w:pPr>
      <w:keepNext/>
      <w:keepLines/>
      <w:suppressAutoHyphens/>
      <w:spacing w:line="270" w:lineRule="exact"/>
      <w:outlineLvl w:val="0"/>
    </w:pPr>
    <w:rPr>
      <w:b/>
      <w:sz w:val="24"/>
    </w:rPr>
  </w:style>
  <w:style w:type="paragraph" w:customStyle="1" w:styleId="HCH">
    <w:name w:val="_ H _CH"/>
    <w:basedOn w:val="H1"/>
    <w:next w:val="Normal"/>
    <w:qFormat/>
    <w:rsid w:val="00177CD0"/>
    <w:pPr>
      <w:spacing w:line="300" w:lineRule="exact"/>
    </w:pPr>
    <w:rPr>
      <w:spacing w:val="-2"/>
      <w:sz w:val="28"/>
    </w:rPr>
  </w:style>
  <w:style w:type="paragraph" w:customStyle="1" w:styleId="HM">
    <w:name w:val="_ H __M"/>
    <w:basedOn w:val="HCH"/>
    <w:next w:val="Normal"/>
    <w:qFormat/>
    <w:rsid w:val="00177CD0"/>
    <w:pPr>
      <w:spacing w:line="360" w:lineRule="exact"/>
    </w:pPr>
    <w:rPr>
      <w:spacing w:val="-3"/>
      <w:w w:val="99"/>
      <w:sz w:val="34"/>
    </w:rPr>
  </w:style>
  <w:style w:type="paragraph" w:customStyle="1" w:styleId="H23">
    <w:name w:val="_ H_2/3"/>
    <w:basedOn w:val="H1"/>
    <w:next w:val="SingleTxt"/>
    <w:qFormat/>
    <w:rsid w:val="00177CD0"/>
    <w:pPr>
      <w:spacing w:line="240" w:lineRule="exact"/>
      <w:outlineLvl w:val="1"/>
    </w:pPr>
    <w:rPr>
      <w:spacing w:val="2"/>
      <w:sz w:val="20"/>
    </w:rPr>
  </w:style>
  <w:style w:type="paragraph" w:customStyle="1" w:styleId="H4">
    <w:name w:val="_ H_4"/>
    <w:basedOn w:val="Normal"/>
    <w:next w:val="Normal"/>
    <w:qFormat/>
    <w:rsid w:val="00177CD0"/>
    <w:pPr>
      <w:keepNext/>
      <w:keepLines/>
      <w:tabs>
        <w:tab w:val="right" w:pos="360"/>
      </w:tabs>
      <w:suppressAutoHyphens/>
      <w:outlineLvl w:val="3"/>
    </w:pPr>
    <w:rPr>
      <w:i/>
      <w:spacing w:val="3"/>
    </w:rPr>
  </w:style>
  <w:style w:type="paragraph" w:customStyle="1" w:styleId="H56">
    <w:name w:val="_ H_5/6"/>
    <w:basedOn w:val="Normal"/>
    <w:next w:val="Normal"/>
    <w:qFormat/>
    <w:rsid w:val="00177CD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77CD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77CD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77CD0"/>
    <w:pPr>
      <w:spacing w:line="540" w:lineRule="exact"/>
    </w:pPr>
    <w:rPr>
      <w:spacing w:val="-8"/>
      <w:w w:val="96"/>
      <w:sz w:val="57"/>
    </w:rPr>
  </w:style>
  <w:style w:type="paragraph" w:customStyle="1" w:styleId="SS">
    <w:name w:val="__S_S"/>
    <w:basedOn w:val="HCH"/>
    <w:next w:val="Normal"/>
    <w:qFormat/>
    <w:rsid w:val="00177CD0"/>
    <w:pPr>
      <w:ind w:left="1267" w:right="1267"/>
    </w:pPr>
  </w:style>
  <w:style w:type="paragraph" w:customStyle="1" w:styleId="SingleTxt">
    <w:name w:val="__Single Txt"/>
    <w:basedOn w:val="Normal"/>
    <w:qFormat/>
    <w:rsid w:val="00177C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77CD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77C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77CD0"/>
    <w:pPr>
      <w:spacing w:line="240" w:lineRule="exact"/>
      <w:ind w:right="5040"/>
      <w:outlineLvl w:val="1"/>
    </w:pPr>
    <w:rPr>
      <w:spacing w:val="2"/>
      <w:sz w:val="20"/>
    </w:rPr>
  </w:style>
  <w:style w:type="paragraph" w:styleId="BalloonText">
    <w:name w:val="Balloon Text"/>
    <w:basedOn w:val="Normal"/>
    <w:link w:val="BalloonTextChar"/>
    <w:semiHidden/>
    <w:unhideWhenUsed/>
    <w:rsid w:val="00177CD0"/>
    <w:pPr>
      <w:spacing w:line="240" w:lineRule="auto"/>
    </w:pPr>
    <w:rPr>
      <w:rFonts w:ascii="Tahoma" w:hAnsi="Tahoma" w:cs="Tahoma"/>
      <w:sz w:val="16"/>
      <w:szCs w:val="16"/>
    </w:rPr>
  </w:style>
  <w:style w:type="character" w:customStyle="1" w:styleId="BalloonTextChar">
    <w:name w:val="Balloon Text Char"/>
    <w:link w:val="BalloonText"/>
    <w:semiHidden/>
    <w:rsid w:val="00177CD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77CD0"/>
    <w:pPr>
      <w:numPr>
        <w:numId w:val="1"/>
      </w:numPr>
      <w:spacing w:after="120"/>
      <w:ind w:right="1267"/>
      <w:jc w:val="both"/>
    </w:pPr>
  </w:style>
  <w:style w:type="paragraph" w:customStyle="1" w:styleId="Bullet2">
    <w:name w:val="Bullet 2"/>
    <w:basedOn w:val="Normal"/>
    <w:qFormat/>
    <w:rsid w:val="00177CD0"/>
    <w:pPr>
      <w:numPr>
        <w:numId w:val="2"/>
      </w:numPr>
      <w:spacing w:after="120"/>
      <w:ind w:right="1264"/>
      <w:jc w:val="both"/>
    </w:pPr>
  </w:style>
  <w:style w:type="paragraph" w:customStyle="1" w:styleId="Bullet3">
    <w:name w:val="Bullet 3"/>
    <w:basedOn w:val="SingleTxt"/>
    <w:qFormat/>
    <w:rsid w:val="00177CD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77CD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177CD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177CD0"/>
    <w:pPr>
      <w:spacing w:line="210" w:lineRule="exact"/>
    </w:pPr>
    <w:rPr>
      <w:sz w:val="17"/>
      <w:szCs w:val="20"/>
    </w:rPr>
  </w:style>
  <w:style w:type="character" w:customStyle="1" w:styleId="EndnoteTextChar">
    <w:name w:val="Endnote Text Char"/>
    <w:link w:val="EndnoteText"/>
    <w:semiHidden/>
    <w:rsid w:val="00177CD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177CD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177CD0"/>
    <w:rPr>
      <w:rFonts w:ascii="Times New Roman" w:eastAsiaTheme="minorHAnsi" w:hAnsi="Times New Roman" w:cs="Times New Roman"/>
      <w:b/>
      <w:spacing w:val="3"/>
      <w:w w:val="105"/>
      <w:sz w:val="17"/>
      <w:lang w:val="en-US" w:eastAsia="en-US"/>
    </w:rPr>
  </w:style>
  <w:style w:type="character" w:styleId="FootnoteReference">
    <w:name w:val="footnote reference"/>
    <w:rsid w:val="00177CD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77CD0"/>
    <w:pPr>
      <w:spacing w:line="210" w:lineRule="exact"/>
    </w:pPr>
    <w:rPr>
      <w:sz w:val="17"/>
      <w:szCs w:val="20"/>
    </w:rPr>
  </w:style>
  <w:style w:type="character" w:customStyle="1" w:styleId="FootnoteTextChar">
    <w:name w:val="Footnote Text Char"/>
    <w:link w:val="FootnoteText"/>
    <w:rsid w:val="00177CD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177CD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177CD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77CD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77CD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77CD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77CD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77CD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77CD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77CD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77CD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77CD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177CD0"/>
    <w:rPr>
      <w:sz w:val="14"/>
    </w:rPr>
  </w:style>
  <w:style w:type="paragraph" w:styleId="ListParagraph">
    <w:name w:val="List Paragraph"/>
    <w:basedOn w:val="Normal"/>
    <w:uiPriority w:val="34"/>
    <w:rsid w:val="00177CD0"/>
    <w:pPr>
      <w:ind w:left="720"/>
      <w:contextualSpacing/>
    </w:pPr>
  </w:style>
  <w:style w:type="paragraph" w:styleId="NoSpacing">
    <w:name w:val="No Spacing"/>
    <w:uiPriority w:val="1"/>
    <w:rsid w:val="00177CD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77C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77C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77CD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77CD0"/>
    <w:pPr>
      <w:tabs>
        <w:tab w:val="right" w:pos="9965"/>
      </w:tabs>
      <w:spacing w:line="210" w:lineRule="exact"/>
    </w:pPr>
    <w:rPr>
      <w:spacing w:val="5"/>
      <w:w w:val="104"/>
      <w:sz w:val="17"/>
    </w:rPr>
  </w:style>
  <w:style w:type="paragraph" w:customStyle="1" w:styleId="SmallX">
    <w:name w:val="SmallX"/>
    <w:basedOn w:val="Small"/>
    <w:next w:val="Normal"/>
    <w:qFormat/>
    <w:rsid w:val="00177CD0"/>
    <w:pPr>
      <w:spacing w:line="180" w:lineRule="exact"/>
      <w:jc w:val="right"/>
    </w:pPr>
    <w:rPr>
      <w:spacing w:val="6"/>
      <w:w w:val="106"/>
      <w:sz w:val="14"/>
    </w:rPr>
  </w:style>
  <w:style w:type="character" w:styleId="Strong">
    <w:name w:val="Strong"/>
    <w:uiPriority w:val="22"/>
    <w:rsid w:val="00177CD0"/>
    <w:rPr>
      <w:b/>
      <w:bCs/>
    </w:rPr>
  </w:style>
  <w:style w:type="paragraph" w:customStyle="1" w:styleId="Style1">
    <w:name w:val="Style1"/>
    <w:basedOn w:val="Normal"/>
    <w:qFormat/>
    <w:rsid w:val="00177CD0"/>
  </w:style>
  <w:style w:type="paragraph" w:customStyle="1" w:styleId="Style2">
    <w:name w:val="Style2"/>
    <w:basedOn w:val="Normal"/>
    <w:autoRedefine/>
    <w:qFormat/>
    <w:rsid w:val="00177CD0"/>
  </w:style>
  <w:style w:type="paragraph" w:customStyle="1" w:styleId="TitleHCH">
    <w:name w:val="Title_H_CH"/>
    <w:basedOn w:val="H1"/>
    <w:next w:val="Normal"/>
    <w:qFormat/>
    <w:rsid w:val="00177C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77C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77CD0"/>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C27069"/>
    <w:rPr>
      <w:sz w:val="16"/>
      <w:szCs w:val="16"/>
    </w:rPr>
  </w:style>
  <w:style w:type="paragraph" w:styleId="CommentText">
    <w:name w:val="annotation text"/>
    <w:basedOn w:val="Normal"/>
    <w:link w:val="CommentTextChar"/>
    <w:uiPriority w:val="99"/>
    <w:semiHidden/>
    <w:unhideWhenUsed/>
    <w:rsid w:val="00C27069"/>
    <w:pPr>
      <w:spacing w:line="240" w:lineRule="auto"/>
    </w:pPr>
    <w:rPr>
      <w:szCs w:val="20"/>
    </w:rPr>
  </w:style>
  <w:style w:type="character" w:customStyle="1" w:styleId="CommentTextChar">
    <w:name w:val="Comment Text Char"/>
    <w:basedOn w:val="DefaultParagraphFont"/>
    <w:link w:val="CommentText"/>
    <w:uiPriority w:val="99"/>
    <w:semiHidden/>
    <w:rsid w:val="00C2706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27069"/>
    <w:rPr>
      <w:b/>
      <w:bCs/>
    </w:rPr>
  </w:style>
  <w:style w:type="character" w:customStyle="1" w:styleId="CommentSubjectChar">
    <w:name w:val="Comment Subject Char"/>
    <w:basedOn w:val="CommentTextChar"/>
    <w:link w:val="CommentSubject"/>
    <w:uiPriority w:val="99"/>
    <w:semiHidden/>
    <w:rsid w:val="00C27069"/>
    <w:rPr>
      <w:rFonts w:ascii="Times New Roman" w:eastAsiaTheme="minorHAnsi" w:hAnsi="Times New Roman" w:cs="Times New Roman"/>
      <w:b/>
      <w:bCs/>
      <w:spacing w:val="4"/>
      <w:w w:val="103"/>
      <w:kern w:val="14"/>
      <w:sz w:val="20"/>
      <w:szCs w:val="20"/>
      <w:lang w:val="fr-CA" w:eastAsia="en-US"/>
    </w:rPr>
  </w:style>
  <w:style w:type="paragraph" w:customStyle="1" w:styleId="7P">
    <w:name w:val="_ 7_ P"/>
    <w:basedOn w:val="Normal"/>
    <w:next w:val="Normal"/>
    <w:qFormat/>
    <w:rsid w:val="00E32F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SingleTxt"/>
    <w:rsid w:val="00E32F8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E32F88"/>
    <w:pPr>
      <w:suppressAutoHyphens/>
      <w:spacing w:line="240" w:lineRule="auto"/>
    </w:pPr>
    <w:rPr>
      <w:b/>
      <w:bCs/>
      <w:color w:val="4F81BD"/>
      <w:sz w:val="18"/>
      <w:szCs w:val="18"/>
      <w:lang w:val="en-GB"/>
    </w:rPr>
  </w:style>
  <w:style w:type="paragraph" w:customStyle="1" w:styleId="HdBanner">
    <w:name w:val="Hd Banner"/>
    <w:basedOn w:val="Normal"/>
    <w:next w:val="Normal"/>
    <w:qFormat/>
    <w:rsid w:val="00E32F88"/>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E32F88"/>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E32F88"/>
    <w:pPr>
      <w:spacing w:before="240"/>
    </w:pPr>
    <w:rPr>
      <w:b/>
      <w:spacing w:val="-2"/>
      <w:w w:val="100"/>
    </w:rPr>
  </w:style>
  <w:style w:type="paragraph" w:customStyle="1" w:styleId="HdChapterBdLg">
    <w:name w:val="Hd Chapter Bd Lg"/>
    <w:basedOn w:val="HdChapterBD"/>
    <w:next w:val="Normal"/>
    <w:qFormat/>
    <w:rsid w:val="00E32F88"/>
    <w:rPr>
      <w:spacing w:val="-3"/>
      <w:w w:val="99"/>
      <w:kern w:val="14"/>
      <w:sz w:val="34"/>
      <w:szCs w:val="34"/>
    </w:rPr>
  </w:style>
  <w:style w:type="paragraph" w:customStyle="1" w:styleId="JournalHeading1">
    <w:name w:val="Journal_Heading1"/>
    <w:basedOn w:val="Normal"/>
    <w:next w:val="Normal"/>
    <w:qFormat/>
    <w:rsid w:val="00E32F88"/>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E32F88"/>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E32F88"/>
    <w:pPr>
      <w:keepNext/>
      <w:keepLines/>
      <w:suppressAutoHyphens/>
      <w:spacing w:before="240"/>
      <w:outlineLvl w:val="3"/>
    </w:pPr>
    <w:rPr>
      <w:i/>
      <w:szCs w:val="20"/>
      <w:lang w:val="en-GB"/>
    </w:rPr>
  </w:style>
  <w:style w:type="paragraph" w:customStyle="1" w:styleId="NormalBullet">
    <w:name w:val="Normal Bullet"/>
    <w:basedOn w:val="Normal"/>
    <w:next w:val="Normal"/>
    <w:qFormat/>
    <w:rsid w:val="00E32F88"/>
    <w:pPr>
      <w:keepLines/>
      <w:numPr>
        <w:numId w:val="5"/>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E32F88"/>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E32F8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32F88"/>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E32F88"/>
    <w:rPr>
      <w:color w:val="0000FF"/>
      <w:u w:val="none"/>
    </w:rPr>
  </w:style>
  <w:style w:type="paragraph" w:styleId="PlainText">
    <w:name w:val="Plain Text"/>
    <w:basedOn w:val="Normal"/>
    <w:link w:val="PlainTextChar"/>
    <w:rsid w:val="00E32F88"/>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E32F88"/>
    <w:rPr>
      <w:rFonts w:ascii="Courier New" w:eastAsia="Times New Roman" w:hAnsi="Courier New" w:cs="Times New Roman"/>
      <w:sz w:val="20"/>
      <w:szCs w:val="20"/>
      <w:lang w:val="en-US" w:eastAsia="en-GB"/>
    </w:rPr>
  </w:style>
  <w:style w:type="table" w:styleId="TableGrid">
    <w:name w:val="Table Grid"/>
    <w:basedOn w:val="TableNormal"/>
    <w:rsid w:val="00E32F8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2F88"/>
    <w:rPr>
      <w:color w:val="0000FF"/>
      <w:u w:val="none"/>
    </w:rPr>
  </w:style>
  <w:style w:type="paragraph" w:styleId="NormalWeb">
    <w:name w:val="Normal (Web)"/>
    <w:basedOn w:val="Normal"/>
    <w:uiPriority w:val="99"/>
    <w:semiHidden/>
    <w:unhideWhenUsed/>
    <w:rsid w:val="00E32F88"/>
    <w:pPr>
      <w:suppressAutoHyphens/>
    </w:pPr>
    <w:rPr>
      <w:sz w:val="24"/>
      <w:szCs w:val="24"/>
      <w:lang w:val="en-GB"/>
    </w:rPr>
  </w:style>
  <w:style w:type="character" w:styleId="UnresolvedMention">
    <w:name w:val="Unresolved Mention"/>
    <w:basedOn w:val="DefaultParagraphFont"/>
    <w:uiPriority w:val="99"/>
    <w:semiHidden/>
    <w:unhideWhenUsed/>
    <w:rsid w:val="00E32F88"/>
    <w:rPr>
      <w:color w:val="605E5C"/>
      <w:shd w:val="clear" w:color="auto" w:fill="E1DFDD"/>
    </w:rPr>
  </w:style>
  <w:style w:type="paragraph" w:styleId="Revision">
    <w:name w:val="Revision"/>
    <w:hidden/>
    <w:uiPriority w:val="99"/>
    <w:semiHidden/>
    <w:rsid w:val="00E32F8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BOL/Q/7" TargetMode="External"/><Relationship Id="rId3" Type="http://schemas.openxmlformats.org/officeDocument/2006/relationships/settings" Target="settings.xml"/><Relationship Id="rId21" Type="http://schemas.openxmlformats.org/officeDocument/2006/relationships/hyperlink" Target="https://undocs.org/fr/CEDAW/C/BOL/CO/5-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BOL/7"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BOL/CO/5-6/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BOL/RQ/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su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8302</Words>
  <Characters>47326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Text Processing</dc:creator>
  <cp:keywords/>
  <dc:description/>
  <cp:lastModifiedBy>French Text Processing</cp:lastModifiedBy>
  <cp:revision>3</cp:revision>
  <cp:lastPrinted>2022-09-13T18:53:00Z</cp:lastPrinted>
  <dcterms:created xsi:type="dcterms:W3CDTF">2022-09-13T18:53:00Z</dcterms:created>
  <dcterms:modified xsi:type="dcterms:W3CDTF">2022-09-13T18:53:00Z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2210926F</vt:lpwstr>
  </property>
  <property fmtid="{D5CDD505-2E9C-101B-9397-08002B2CF9AE}" pid="3" name="ODSRefJobNo">
    <vt:lpwstr>2242112F</vt:lpwstr>
  </property>
  <property fmtid="{D5CDD505-2E9C-101B-9397-08002B2CF9AE}" pid="4" name="Symbol1">
    <vt:lpwstr>CEDAW/C/BOL/CO/7</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12 juillet 2022</vt:lpwstr>
  </property>
  <property fmtid="{D5CDD505-2E9C-101B-9397-08002B2CF9AE}" pid="14" name="Release Date">
    <vt:lpwstr/>
  </property>
</Properties>
</file>