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30" w:rsidRPr="00191E10" w:rsidRDefault="00DF6C30" w:rsidP="00DF6C30">
      <w:pPr>
        <w:spacing w:line="240" w:lineRule="auto"/>
        <w:rPr>
          <w:sz w:val="2"/>
        </w:rPr>
        <w:sectPr w:rsidR="00DF6C30" w:rsidRPr="00191E10" w:rsidSect="009D4AC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191E10">
        <w:rPr>
          <w:rStyle w:val="CommentReference"/>
        </w:rPr>
        <w:commentReference w:id="0"/>
      </w:r>
    </w:p>
    <w:p w:rsidR="009D4AC9" w:rsidRDefault="009D4AC9" w:rsidP="009C4D90">
      <w:pPr>
        <w:pStyle w:val="TitleH1"/>
      </w:pPr>
      <w:bookmarkStart w:id="1" w:name="BeginPage"/>
      <w:r>
        <w:lastRenderedPageBreak/>
        <w:t>Committee on the Elimination of Discrimination</w:t>
      </w:r>
    </w:p>
    <w:p w:rsidR="009D4AC9" w:rsidRDefault="009D4AC9" w:rsidP="009C4D90">
      <w:pPr>
        <w:pStyle w:val="TitleH1"/>
      </w:pPr>
      <w:r>
        <w:t>against Women</w:t>
      </w:r>
    </w:p>
    <w:p w:rsidR="009C4D90" w:rsidRPr="009C4D90" w:rsidRDefault="009C4D90" w:rsidP="009C4D90">
      <w:pPr>
        <w:pStyle w:val="SingleTxt"/>
        <w:spacing w:after="0" w:line="120" w:lineRule="exact"/>
        <w:rPr>
          <w:sz w:val="10"/>
        </w:rPr>
      </w:pPr>
    </w:p>
    <w:p w:rsidR="009C4D90" w:rsidRPr="009C4D90" w:rsidRDefault="009C4D90" w:rsidP="009C4D90">
      <w:pPr>
        <w:pStyle w:val="SingleTxt"/>
        <w:spacing w:after="0" w:line="120" w:lineRule="exact"/>
        <w:rPr>
          <w:sz w:val="10"/>
        </w:rPr>
      </w:pPr>
    </w:p>
    <w:p w:rsidR="009C4D90" w:rsidRPr="009C4D90" w:rsidRDefault="009C4D90" w:rsidP="009C4D90">
      <w:pPr>
        <w:pStyle w:val="SingleTxt"/>
        <w:spacing w:after="0" w:line="120" w:lineRule="exact"/>
        <w:rPr>
          <w:sz w:val="10"/>
        </w:rPr>
      </w:pPr>
    </w:p>
    <w:p w:rsidR="009D4AC9" w:rsidRDefault="009C4D90" w:rsidP="009C4D90">
      <w:pPr>
        <w:pStyle w:val="TitleHCH"/>
      </w:pPr>
      <w:r>
        <w:tab/>
      </w:r>
      <w:r w:rsidR="009D4AC9">
        <w:tab/>
        <w:t xml:space="preserve">Consideration of reports submitted by States parties under article 18 of the Convention </w:t>
      </w:r>
    </w:p>
    <w:p w:rsidR="009C4D90" w:rsidRPr="009C4D90" w:rsidRDefault="009C4D90" w:rsidP="009C4D90">
      <w:pPr>
        <w:pStyle w:val="SingleTxt"/>
        <w:spacing w:after="0" w:line="120" w:lineRule="exact"/>
        <w:rPr>
          <w:sz w:val="10"/>
        </w:rPr>
      </w:pPr>
    </w:p>
    <w:p w:rsidR="009C4D90" w:rsidRPr="009C4D90" w:rsidRDefault="009C4D90" w:rsidP="009C4D90">
      <w:pPr>
        <w:pStyle w:val="SingleTxt"/>
        <w:spacing w:after="0" w:line="120" w:lineRule="exact"/>
        <w:rPr>
          <w:sz w:val="10"/>
        </w:rPr>
      </w:pPr>
    </w:p>
    <w:p w:rsidR="009D4AC9" w:rsidRDefault="009D4AC9" w:rsidP="009C4D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Sixth periodic report of States parties due in 2016</w:t>
      </w:r>
    </w:p>
    <w:p w:rsidR="009C4D90" w:rsidRPr="009C4D90" w:rsidRDefault="009C4D90" w:rsidP="009C4D90">
      <w:pPr>
        <w:pStyle w:val="SingleTxt"/>
        <w:spacing w:after="0" w:line="120" w:lineRule="exact"/>
        <w:rPr>
          <w:sz w:val="10"/>
        </w:rPr>
      </w:pPr>
    </w:p>
    <w:p w:rsidR="009C4D90" w:rsidRPr="009C4D90" w:rsidRDefault="009C4D90" w:rsidP="009C4D90">
      <w:pPr>
        <w:pStyle w:val="SingleTxt"/>
        <w:spacing w:after="0" w:line="120" w:lineRule="exact"/>
        <w:rPr>
          <w:sz w:val="10"/>
        </w:rPr>
      </w:pPr>
    </w:p>
    <w:p w:rsidR="009C4D90" w:rsidRPr="009C4D90" w:rsidRDefault="009C4D90" w:rsidP="009C4D90">
      <w:pPr>
        <w:framePr w:w="9792" w:h="432" w:hSpace="180" w:wrap="around" w:hAnchor="page" w:x="1210" w:yAlign="bottom"/>
        <w:spacing w:line="240" w:lineRule="auto"/>
        <w:rPr>
          <w:sz w:val="10"/>
        </w:rPr>
      </w:pPr>
    </w:p>
    <w:p w:rsidR="009C4D90" w:rsidRPr="009C4D90" w:rsidRDefault="009C4D90" w:rsidP="009C4D90">
      <w:pPr>
        <w:framePr w:w="9792" w:h="432" w:hSpace="180" w:wrap="around" w:hAnchor="page" w:x="1210" w:yAlign="bottom"/>
        <w:spacing w:line="240" w:lineRule="auto"/>
        <w:rPr>
          <w:sz w:val="6"/>
        </w:rPr>
      </w:pPr>
      <w:r w:rsidRPr="009C4D90">
        <w:rPr>
          <w:noProof/>
          <w:w w:val="100"/>
          <w:sz w:val="6"/>
          <w:lang w:val="en-US"/>
        </w:rPr>
        <mc:AlternateContent>
          <mc:Choice Requires="wps">
            <w:drawing>
              <wp:anchor distT="0" distB="0" distL="114300" distR="114300" simplePos="0" relativeHeight="251659264" behindDoc="0" locked="0" layoutInCell="1" allowOverlap="1" wp14:anchorId="5FC56CEB" wp14:editId="33F06005">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9C4D90" w:rsidRDefault="009C4D90" w:rsidP="009C4D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9C4D90">
        <w:rPr>
          <w:sz w:val="17"/>
        </w:rPr>
        <w:t>In accordance with the information transmitted to the States parties regarding the processing of their reports, the present document has not been edited.</w:t>
      </w:r>
    </w:p>
    <w:p w:rsidR="009C4D90" w:rsidRPr="009C4D90" w:rsidRDefault="009C4D90" w:rsidP="0060145B">
      <w:pPr>
        <w:framePr w:w="9792" w:h="432" w:hSpace="180" w:wrap="around" w:hAnchor="page" w:x="1210" w:yAlign="bottom"/>
        <w:tabs>
          <w:tab w:val="left" w:pos="1116"/>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166" w:right="1267" w:hanging="576"/>
        <w:rPr>
          <w:sz w:val="17"/>
        </w:rPr>
      </w:pPr>
      <w:r>
        <w:rPr>
          <w:i/>
          <w:iCs/>
          <w:sz w:val="17"/>
        </w:rPr>
        <w:tab/>
      </w:r>
      <w:r w:rsidRPr="009C4D90">
        <w:rPr>
          <w:i/>
          <w:iCs/>
          <w:sz w:val="17"/>
        </w:rPr>
        <w:t>Note</w:t>
      </w:r>
      <w:r w:rsidRPr="009C4D90">
        <w:rPr>
          <w:sz w:val="17"/>
        </w:rPr>
        <w:t>: The present document is being circulated in English, French and Spanish only.</w:t>
      </w:r>
    </w:p>
    <w:p w:rsidR="00DF6C30" w:rsidRDefault="009D4AC9" w:rsidP="009C4D90">
      <w:pPr>
        <w:pStyle w:val="TitleH1"/>
        <w:rPr>
          <w:b w:val="0"/>
          <w:bCs/>
          <w:sz w:val="20"/>
        </w:rPr>
      </w:pPr>
      <w:r>
        <w:tab/>
      </w:r>
      <w:r>
        <w:tab/>
        <w:t>Bahamas</w:t>
      </w:r>
      <w:r w:rsidRPr="009C4D90">
        <w:rPr>
          <w:b w:val="0"/>
          <w:bCs/>
          <w:sz w:val="20"/>
        </w:rPr>
        <w:t>*</w:t>
      </w:r>
    </w:p>
    <w:p w:rsidR="009C4D90" w:rsidRPr="009C4D90" w:rsidRDefault="009C4D90" w:rsidP="009C4D90">
      <w:pPr>
        <w:pStyle w:val="SingleTxt"/>
        <w:spacing w:after="0" w:line="120" w:lineRule="exact"/>
        <w:rPr>
          <w:b/>
          <w:sz w:val="10"/>
        </w:rPr>
      </w:pPr>
    </w:p>
    <w:p w:rsidR="009C4D90" w:rsidRDefault="009C4D90" w:rsidP="009C4D90">
      <w:pPr>
        <w:pStyle w:val="SingleTxt"/>
        <w:jc w:val="right"/>
      </w:pPr>
      <w:r w:rsidRPr="009C4D90">
        <w:t>[Date received: 4 April 2017]</w:t>
      </w:r>
    </w:p>
    <w:p w:rsidR="009C4D90" w:rsidRDefault="009C4D90" w:rsidP="009C4D90">
      <w:pPr>
        <w:pStyle w:val="SingleTxt"/>
        <w:jc w:val="right"/>
      </w:pPr>
    </w:p>
    <w:p w:rsidR="009C4D90" w:rsidRDefault="009C4D90">
      <w:pPr>
        <w:suppressAutoHyphens w:val="0"/>
        <w:spacing w:after="200" w:line="276" w:lineRule="auto"/>
      </w:pPr>
      <w:r>
        <w:br w:type="page"/>
      </w:r>
    </w:p>
    <w:p w:rsidR="009C4D90" w:rsidRPr="009C4D90" w:rsidRDefault="009C4D90" w:rsidP="009C4D90">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C4D90" w:rsidRPr="009C4D90" w:rsidTr="009C4D90">
        <w:tc>
          <w:tcPr>
            <w:tcW w:w="1060" w:type="dxa"/>
            <w:shd w:val="clear" w:color="auto" w:fill="auto"/>
          </w:tcPr>
          <w:p w:rsidR="009C4D90" w:rsidRPr="009C4D90" w:rsidRDefault="009C4D90" w:rsidP="009C4D90">
            <w:pPr>
              <w:spacing w:after="120" w:line="240" w:lineRule="auto"/>
              <w:jc w:val="right"/>
              <w:rPr>
                <w:i/>
                <w:sz w:val="14"/>
              </w:rPr>
            </w:pPr>
          </w:p>
        </w:tc>
        <w:tc>
          <w:tcPr>
            <w:tcW w:w="7315" w:type="dxa"/>
            <w:shd w:val="clear" w:color="auto" w:fill="auto"/>
          </w:tcPr>
          <w:p w:rsidR="009C4D90" w:rsidRPr="009C4D90" w:rsidRDefault="009C4D90" w:rsidP="009C4D90">
            <w:pPr>
              <w:spacing w:after="120" w:line="240" w:lineRule="auto"/>
              <w:rPr>
                <w:i/>
                <w:sz w:val="14"/>
              </w:rPr>
            </w:pPr>
          </w:p>
        </w:tc>
        <w:tc>
          <w:tcPr>
            <w:tcW w:w="994" w:type="dxa"/>
            <w:shd w:val="clear" w:color="auto" w:fill="auto"/>
          </w:tcPr>
          <w:p w:rsidR="009C4D90" w:rsidRPr="009C4D90" w:rsidRDefault="009C4D90" w:rsidP="009C4D90">
            <w:pPr>
              <w:spacing w:after="120" w:line="240" w:lineRule="auto"/>
              <w:jc w:val="right"/>
              <w:rPr>
                <w:i/>
                <w:sz w:val="14"/>
              </w:rPr>
            </w:pPr>
          </w:p>
        </w:tc>
        <w:tc>
          <w:tcPr>
            <w:tcW w:w="533" w:type="dxa"/>
            <w:shd w:val="clear" w:color="auto" w:fill="auto"/>
          </w:tcPr>
          <w:p w:rsidR="009C4D90" w:rsidRPr="009C4D90" w:rsidRDefault="009C4D90" w:rsidP="009C4D90">
            <w:pPr>
              <w:spacing w:after="120" w:line="240" w:lineRule="auto"/>
              <w:jc w:val="right"/>
              <w:rPr>
                <w:i/>
                <w:sz w:val="14"/>
              </w:rPr>
            </w:pPr>
            <w:r>
              <w:rPr>
                <w:i/>
                <w:sz w:val="14"/>
              </w:rPr>
              <w:t>Page</w:t>
            </w:r>
          </w:p>
        </w:tc>
      </w:tr>
      <w:tr w:rsidR="009C4D90" w:rsidRPr="009C4D90" w:rsidTr="009C4D90">
        <w:tc>
          <w:tcPr>
            <w:tcW w:w="9369" w:type="dxa"/>
            <w:gridSpan w:val="3"/>
            <w:shd w:val="clear" w:color="auto" w:fill="auto"/>
          </w:tcPr>
          <w:p w:rsidR="009C4D90" w:rsidRPr="00C60B9E" w:rsidRDefault="009C4D90" w:rsidP="00C60B9E">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List of acronyms and abbreviations</w:t>
            </w:r>
            <w:r w:rsidR="00C60B9E">
              <w:rPr>
                <w:spacing w:val="60"/>
                <w:sz w:val="17"/>
              </w:rPr>
              <w:tab/>
            </w:r>
          </w:p>
        </w:tc>
        <w:tc>
          <w:tcPr>
            <w:tcW w:w="533" w:type="dxa"/>
            <w:shd w:val="clear" w:color="auto" w:fill="auto"/>
            <w:vAlign w:val="bottom"/>
          </w:tcPr>
          <w:p w:rsidR="009C4D90" w:rsidRPr="009C4D90" w:rsidRDefault="006732DD" w:rsidP="009C4D90">
            <w:pPr>
              <w:spacing w:after="120"/>
              <w:jc w:val="right"/>
            </w:pPr>
            <w:r>
              <w:t>6</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right" w:leader="dot" w:pos="9360"/>
              </w:tabs>
              <w:spacing w:after="120"/>
              <w:ind w:left="1080"/>
              <w:rPr>
                <w:spacing w:val="60"/>
                <w:sz w:val="17"/>
              </w:rPr>
            </w:pPr>
            <w:r>
              <w:t>Introduction</w:t>
            </w:r>
            <w:r>
              <w:rPr>
                <w:spacing w:val="60"/>
                <w:sz w:val="17"/>
              </w:rPr>
              <w:tab/>
            </w:r>
          </w:p>
        </w:tc>
        <w:tc>
          <w:tcPr>
            <w:tcW w:w="533" w:type="dxa"/>
            <w:shd w:val="clear" w:color="auto" w:fill="auto"/>
            <w:vAlign w:val="bottom"/>
          </w:tcPr>
          <w:p w:rsidR="00C60B9E" w:rsidRDefault="006732DD" w:rsidP="009C4D90">
            <w:pPr>
              <w:spacing w:after="120"/>
              <w:jc w:val="right"/>
            </w:pPr>
            <w:r>
              <w:t>8</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Part 1: Treaty-specific information</w:t>
            </w:r>
            <w:r>
              <w:rPr>
                <w:spacing w:val="60"/>
                <w:sz w:val="17"/>
              </w:rPr>
              <w:tab/>
            </w:r>
          </w:p>
        </w:tc>
        <w:tc>
          <w:tcPr>
            <w:tcW w:w="533" w:type="dxa"/>
            <w:shd w:val="clear" w:color="auto" w:fill="auto"/>
            <w:vAlign w:val="bottom"/>
          </w:tcPr>
          <w:p w:rsidR="00C60B9E" w:rsidRDefault="006732DD" w:rsidP="009C4D90">
            <w:pPr>
              <w:spacing w:after="120"/>
              <w:jc w:val="right"/>
            </w:pPr>
            <w:r>
              <w:t>8</w:t>
            </w:r>
          </w:p>
        </w:tc>
      </w:tr>
      <w:tr w:rsidR="00C60B9E" w:rsidRPr="009C4D90" w:rsidTr="009C4D90">
        <w:tc>
          <w:tcPr>
            <w:tcW w:w="9369" w:type="dxa"/>
            <w:gridSpan w:val="3"/>
            <w:shd w:val="clear" w:color="auto" w:fill="auto"/>
          </w:tcPr>
          <w:p w:rsidR="00C60B9E" w:rsidRPr="00C60B9E" w:rsidRDefault="00C60B9E" w:rsidP="007D1475">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Article 1: Definition of Discrimination</w:t>
            </w:r>
            <w:r>
              <w:rPr>
                <w:spacing w:val="60"/>
                <w:sz w:val="17"/>
              </w:rPr>
              <w:tab/>
            </w:r>
          </w:p>
        </w:tc>
        <w:tc>
          <w:tcPr>
            <w:tcW w:w="533" w:type="dxa"/>
            <w:shd w:val="clear" w:color="auto" w:fill="auto"/>
            <w:vAlign w:val="bottom"/>
          </w:tcPr>
          <w:p w:rsidR="00C60B9E" w:rsidRDefault="006732DD" w:rsidP="009C4D90">
            <w:pPr>
              <w:spacing w:after="120"/>
              <w:jc w:val="right"/>
            </w:pPr>
            <w:r>
              <w:t>8</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ab/>
              <w:t>Constitutional Amendment Bills — Gender Equality Referendum</w:t>
            </w:r>
            <w:r>
              <w:rPr>
                <w:spacing w:val="60"/>
                <w:sz w:val="17"/>
              </w:rPr>
              <w:tab/>
            </w:r>
          </w:p>
        </w:tc>
        <w:tc>
          <w:tcPr>
            <w:tcW w:w="533" w:type="dxa"/>
            <w:shd w:val="clear" w:color="auto" w:fill="auto"/>
            <w:vAlign w:val="bottom"/>
          </w:tcPr>
          <w:p w:rsidR="00C60B9E" w:rsidRDefault="006732DD" w:rsidP="009C4D90">
            <w:pPr>
              <w:spacing w:after="120"/>
              <w:jc w:val="right"/>
            </w:pPr>
            <w:r>
              <w:t>9</w:t>
            </w:r>
          </w:p>
        </w:tc>
      </w:tr>
      <w:tr w:rsidR="00C60B9E" w:rsidRPr="009C4D90" w:rsidTr="009C4D90">
        <w:tc>
          <w:tcPr>
            <w:tcW w:w="9369" w:type="dxa"/>
            <w:gridSpan w:val="3"/>
            <w:shd w:val="clear" w:color="auto" w:fill="auto"/>
          </w:tcPr>
          <w:p w:rsidR="00C60B9E" w:rsidRPr="00C60B9E" w:rsidRDefault="00C60B9E" w:rsidP="005E5C0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Article 2: Obligations to Eliminate Discrimination</w:t>
            </w:r>
            <w:r>
              <w:rPr>
                <w:spacing w:val="60"/>
                <w:sz w:val="17"/>
              </w:rPr>
              <w:tab/>
            </w:r>
          </w:p>
        </w:tc>
        <w:tc>
          <w:tcPr>
            <w:tcW w:w="533" w:type="dxa"/>
            <w:shd w:val="clear" w:color="auto" w:fill="auto"/>
            <w:vAlign w:val="bottom"/>
          </w:tcPr>
          <w:p w:rsidR="00C60B9E" w:rsidRDefault="006732DD" w:rsidP="009C4D90">
            <w:pPr>
              <w:spacing w:after="120"/>
              <w:jc w:val="right"/>
            </w:pPr>
            <w:r>
              <w:t>10</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right" w:leader="dot" w:pos="9360"/>
              </w:tabs>
              <w:spacing w:after="120"/>
              <w:ind w:left="1080"/>
              <w:rPr>
                <w:spacing w:val="60"/>
                <w:sz w:val="17"/>
              </w:rPr>
            </w:pPr>
            <w:r>
              <w:tab/>
              <w:t>Reservations</w:t>
            </w:r>
            <w:r>
              <w:rPr>
                <w:spacing w:val="60"/>
                <w:sz w:val="17"/>
              </w:rPr>
              <w:tab/>
            </w:r>
          </w:p>
        </w:tc>
        <w:tc>
          <w:tcPr>
            <w:tcW w:w="533" w:type="dxa"/>
            <w:shd w:val="clear" w:color="auto" w:fill="auto"/>
            <w:vAlign w:val="bottom"/>
          </w:tcPr>
          <w:p w:rsidR="00C60B9E" w:rsidRDefault="006732DD" w:rsidP="009C4D90">
            <w:pPr>
              <w:spacing w:after="120"/>
              <w:jc w:val="right"/>
            </w:pPr>
            <w:r>
              <w:t>10</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right" w:leader="dot" w:pos="9360"/>
              </w:tabs>
              <w:spacing w:after="120"/>
              <w:ind w:left="1080"/>
              <w:rPr>
                <w:spacing w:val="60"/>
                <w:sz w:val="17"/>
              </w:rPr>
            </w:pPr>
            <w:r>
              <w:tab/>
              <w:t>Domestic Legislation</w:t>
            </w:r>
            <w:r>
              <w:rPr>
                <w:spacing w:val="60"/>
                <w:sz w:val="17"/>
              </w:rPr>
              <w:tab/>
            </w:r>
          </w:p>
        </w:tc>
        <w:tc>
          <w:tcPr>
            <w:tcW w:w="533" w:type="dxa"/>
            <w:shd w:val="clear" w:color="auto" w:fill="auto"/>
            <w:vAlign w:val="bottom"/>
          </w:tcPr>
          <w:p w:rsidR="00C60B9E" w:rsidRDefault="006732DD" w:rsidP="009C4D90">
            <w:pPr>
              <w:spacing w:after="120"/>
              <w:jc w:val="right"/>
            </w:pPr>
            <w:r>
              <w:t>10</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right" w:leader="dot" w:pos="9360"/>
              </w:tabs>
              <w:spacing w:after="120"/>
              <w:ind w:left="1080"/>
              <w:rPr>
                <w:spacing w:val="60"/>
                <w:sz w:val="17"/>
              </w:rPr>
            </w:pPr>
            <w:r>
              <w:tab/>
              <w:t>International Agreements</w:t>
            </w:r>
            <w:r>
              <w:rPr>
                <w:spacing w:val="60"/>
                <w:sz w:val="17"/>
              </w:rPr>
              <w:tab/>
            </w:r>
          </w:p>
        </w:tc>
        <w:tc>
          <w:tcPr>
            <w:tcW w:w="533" w:type="dxa"/>
            <w:shd w:val="clear" w:color="auto" w:fill="auto"/>
            <w:vAlign w:val="bottom"/>
          </w:tcPr>
          <w:p w:rsidR="00C60B9E" w:rsidRDefault="006732DD" w:rsidP="009C4D90">
            <w:pPr>
              <w:spacing w:after="120"/>
              <w:jc w:val="right"/>
            </w:pPr>
            <w:r>
              <w:t>10</w:t>
            </w:r>
          </w:p>
        </w:tc>
      </w:tr>
      <w:tr w:rsidR="00C60B9E" w:rsidRPr="009C4D90" w:rsidTr="009C4D90">
        <w:tc>
          <w:tcPr>
            <w:tcW w:w="9369" w:type="dxa"/>
            <w:gridSpan w:val="3"/>
            <w:shd w:val="clear" w:color="auto" w:fill="auto"/>
          </w:tcPr>
          <w:p w:rsidR="00C60B9E" w:rsidRPr="00C60B9E" w:rsidRDefault="00C60B9E" w:rsidP="005E5C0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Article 3: The Development and Advancement of Women</w:t>
            </w:r>
            <w:r>
              <w:rPr>
                <w:spacing w:val="60"/>
                <w:sz w:val="17"/>
              </w:rPr>
              <w:tab/>
            </w:r>
          </w:p>
        </w:tc>
        <w:tc>
          <w:tcPr>
            <w:tcW w:w="533" w:type="dxa"/>
            <w:shd w:val="clear" w:color="auto" w:fill="auto"/>
            <w:vAlign w:val="bottom"/>
          </w:tcPr>
          <w:p w:rsidR="00C60B9E" w:rsidRDefault="006732DD" w:rsidP="009C4D90">
            <w:pPr>
              <w:spacing w:after="120"/>
              <w:jc w:val="right"/>
            </w:pPr>
            <w:r>
              <w:t>11</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tab/>
              <w:t>Renewing, Inspiring, Sustaining, and Empowering (RISE) Programme</w:t>
            </w:r>
            <w:r>
              <w:rPr>
                <w:spacing w:val="60"/>
                <w:sz w:val="17"/>
              </w:rPr>
              <w:tab/>
            </w:r>
          </w:p>
        </w:tc>
        <w:tc>
          <w:tcPr>
            <w:tcW w:w="533" w:type="dxa"/>
            <w:shd w:val="clear" w:color="auto" w:fill="auto"/>
            <w:vAlign w:val="bottom"/>
          </w:tcPr>
          <w:p w:rsidR="00C60B9E" w:rsidRDefault="006732DD" w:rsidP="009C4D90">
            <w:pPr>
              <w:spacing w:after="120"/>
              <w:jc w:val="right"/>
            </w:pPr>
            <w:r>
              <w:t>11</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Notable Achievements of Women</w:t>
            </w:r>
            <w:r>
              <w:rPr>
                <w:spacing w:val="60"/>
                <w:sz w:val="17"/>
              </w:rPr>
              <w:tab/>
            </w:r>
          </w:p>
        </w:tc>
        <w:tc>
          <w:tcPr>
            <w:tcW w:w="533" w:type="dxa"/>
            <w:shd w:val="clear" w:color="auto" w:fill="auto"/>
            <w:vAlign w:val="bottom"/>
          </w:tcPr>
          <w:p w:rsidR="00C60B9E" w:rsidRDefault="006732DD" w:rsidP="009C4D90">
            <w:pPr>
              <w:spacing w:after="120"/>
              <w:jc w:val="right"/>
            </w:pPr>
            <w:r>
              <w:t>11</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t>National Machinery for the Advancement of Women</w:t>
            </w:r>
            <w:r>
              <w:rPr>
                <w:spacing w:val="60"/>
                <w:sz w:val="17"/>
              </w:rPr>
              <w:tab/>
            </w:r>
          </w:p>
        </w:tc>
        <w:tc>
          <w:tcPr>
            <w:tcW w:w="533" w:type="dxa"/>
            <w:shd w:val="clear" w:color="auto" w:fill="auto"/>
            <w:vAlign w:val="bottom"/>
          </w:tcPr>
          <w:p w:rsidR="00C60B9E" w:rsidRDefault="006732DD" w:rsidP="009C4D90">
            <w:pPr>
              <w:spacing w:after="120"/>
              <w:jc w:val="right"/>
            </w:pPr>
            <w:r>
              <w:t>12</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Article 4: Temporary Special Measures</w:t>
            </w:r>
            <w:r>
              <w:rPr>
                <w:spacing w:val="60"/>
                <w:sz w:val="17"/>
              </w:rPr>
              <w:tab/>
            </w:r>
          </w:p>
        </w:tc>
        <w:tc>
          <w:tcPr>
            <w:tcW w:w="533" w:type="dxa"/>
            <w:shd w:val="clear" w:color="auto" w:fill="auto"/>
            <w:vAlign w:val="bottom"/>
          </w:tcPr>
          <w:p w:rsidR="00C60B9E" w:rsidRDefault="006732DD" w:rsidP="009C4D90">
            <w:pPr>
              <w:spacing w:after="120"/>
              <w:jc w:val="right"/>
            </w:pPr>
            <w:r>
              <w:t>13</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Article 5: Sex Roles and Stereotyping</w:t>
            </w:r>
            <w:r>
              <w:rPr>
                <w:spacing w:val="60"/>
                <w:sz w:val="17"/>
              </w:rPr>
              <w:tab/>
            </w:r>
          </w:p>
        </w:tc>
        <w:tc>
          <w:tcPr>
            <w:tcW w:w="533" w:type="dxa"/>
            <w:shd w:val="clear" w:color="auto" w:fill="auto"/>
            <w:vAlign w:val="bottom"/>
          </w:tcPr>
          <w:p w:rsidR="00C60B9E" w:rsidRDefault="006732DD" w:rsidP="009C4D90">
            <w:pPr>
              <w:spacing w:after="120"/>
              <w:jc w:val="right"/>
            </w:pPr>
            <w:r>
              <w:t>13</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Health and Family Life Education</w:t>
            </w:r>
            <w:r>
              <w:rPr>
                <w:spacing w:val="60"/>
                <w:sz w:val="17"/>
              </w:rPr>
              <w:tab/>
            </w:r>
          </w:p>
        </w:tc>
        <w:tc>
          <w:tcPr>
            <w:tcW w:w="533" w:type="dxa"/>
            <w:shd w:val="clear" w:color="auto" w:fill="auto"/>
            <w:vAlign w:val="bottom"/>
          </w:tcPr>
          <w:p w:rsidR="00C60B9E" w:rsidRDefault="006732DD" w:rsidP="009C4D90">
            <w:pPr>
              <w:spacing w:after="120"/>
              <w:jc w:val="right"/>
            </w:pPr>
            <w:r>
              <w:t>13</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Violent Behaviour between Spouses</w:t>
            </w:r>
            <w:r>
              <w:rPr>
                <w:spacing w:val="60"/>
                <w:sz w:val="17"/>
              </w:rPr>
              <w:tab/>
            </w:r>
          </w:p>
        </w:tc>
        <w:tc>
          <w:tcPr>
            <w:tcW w:w="533" w:type="dxa"/>
            <w:shd w:val="clear" w:color="auto" w:fill="auto"/>
            <w:vAlign w:val="bottom"/>
          </w:tcPr>
          <w:p w:rsidR="00C60B9E" w:rsidRDefault="006732DD" w:rsidP="009C4D90">
            <w:pPr>
              <w:spacing w:after="120"/>
              <w:jc w:val="right"/>
            </w:pPr>
            <w:r>
              <w:t>13</w:t>
            </w:r>
          </w:p>
        </w:tc>
      </w:tr>
      <w:tr w:rsidR="00C60B9E" w:rsidRPr="009C4D90" w:rsidTr="009C4D90">
        <w:tc>
          <w:tcPr>
            <w:tcW w:w="9369" w:type="dxa"/>
            <w:gridSpan w:val="3"/>
            <w:shd w:val="clear" w:color="auto" w:fill="auto"/>
          </w:tcPr>
          <w:p w:rsidR="00C60B9E" w:rsidRPr="00C60B9E" w:rsidRDefault="00C60B9E" w:rsidP="00C60B9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t>Conflict Resolution Education for Men and Women</w:t>
            </w:r>
            <w:r>
              <w:rPr>
                <w:spacing w:val="60"/>
                <w:sz w:val="17"/>
              </w:rPr>
              <w:tab/>
            </w:r>
          </w:p>
        </w:tc>
        <w:tc>
          <w:tcPr>
            <w:tcW w:w="533" w:type="dxa"/>
            <w:shd w:val="clear" w:color="auto" w:fill="auto"/>
            <w:vAlign w:val="bottom"/>
          </w:tcPr>
          <w:p w:rsidR="00C60B9E" w:rsidRDefault="006732DD" w:rsidP="009C4D90">
            <w:pPr>
              <w:spacing w:after="120"/>
              <w:jc w:val="right"/>
            </w:pPr>
            <w:r>
              <w:t>14</w:t>
            </w:r>
          </w:p>
        </w:tc>
      </w:tr>
      <w:tr w:rsidR="00C60B9E" w:rsidRPr="009C4D90" w:rsidTr="009C4D90">
        <w:tc>
          <w:tcPr>
            <w:tcW w:w="9369" w:type="dxa"/>
            <w:gridSpan w:val="3"/>
            <w:shd w:val="clear" w:color="auto" w:fill="auto"/>
          </w:tcPr>
          <w:p w:rsidR="00C60B9E" w:rsidRPr="008977DF" w:rsidRDefault="008977DF" w:rsidP="0051119B">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Article 6: Exploitation of Women</w:t>
            </w:r>
            <w:r>
              <w:rPr>
                <w:spacing w:val="60"/>
                <w:sz w:val="17"/>
              </w:rPr>
              <w:tab/>
            </w:r>
          </w:p>
        </w:tc>
        <w:tc>
          <w:tcPr>
            <w:tcW w:w="533" w:type="dxa"/>
            <w:shd w:val="clear" w:color="auto" w:fill="auto"/>
            <w:vAlign w:val="bottom"/>
          </w:tcPr>
          <w:p w:rsidR="00C60B9E" w:rsidRDefault="006732DD" w:rsidP="009C4D90">
            <w:pPr>
              <w:spacing w:after="120"/>
              <w:jc w:val="right"/>
            </w:pPr>
            <w:r>
              <w:t>14</w:t>
            </w:r>
          </w:p>
        </w:tc>
      </w:tr>
      <w:tr w:rsidR="008977DF" w:rsidRPr="009C4D90" w:rsidTr="009C4D90">
        <w:tc>
          <w:tcPr>
            <w:tcW w:w="9369" w:type="dxa"/>
            <w:gridSpan w:val="3"/>
            <w:shd w:val="clear" w:color="auto" w:fill="auto"/>
          </w:tcPr>
          <w:p w:rsidR="008977DF" w:rsidRPr="008977DF" w:rsidRDefault="008977DF" w:rsidP="008977DF">
            <w:pPr>
              <w:tabs>
                <w:tab w:val="right" w:pos="1080"/>
                <w:tab w:val="left" w:pos="1296"/>
                <w:tab w:val="left" w:pos="1728"/>
                <w:tab w:val="left" w:pos="2160"/>
                <w:tab w:val="left" w:pos="2592"/>
                <w:tab w:val="left" w:pos="3024"/>
                <w:tab w:val="right" w:leader="dot" w:pos="9360"/>
              </w:tabs>
              <w:spacing w:after="120"/>
              <w:ind w:left="1080"/>
              <w:rPr>
                <w:spacing w:val="60"/>
                <w:sz w:val="17"/>
              </w:rPr>
            </w:pPr>
            <w:r>
              <w:tab/>
              <w:t>Trafficking-in-Persons</w:t>
            </w:r>
            <w:r>
              <w:rPr>
                <w:spacing w:val="60"/>
                <w:sz w:val="17"/>
              </w:rPr>
              <w:tab/>
            </w:r>
          </w:p>
        </w:tc>
        <w:tc>
          <w:tcPr>
            <w:tcW w:w="533" w:type="dxa"/>
            <w:shd w:val="clear" w:color="auto" w:fill="auto"/>
            <w:vAlign w:val="bottom"/>
          </w:tcPr>
          <w:p w:rsidR="008977DF" w:rsidRDefault="006732DD" w:rsidP="009C4D90">
            <w:pPr>
              <w:spacing w:after="120"/>
              <w:jc w:val="right"/>
            </w:pPr>
            <w:r>
              <w:t>14</w:t>
            </w:r>
          </w:p>
        </w:tc>
      </w:tr>
      <w:tr w:rsidR="008977DF" w:rsidRPr="009C4D90" w:rsidTr="009C4D90">
        <w:tc>
          <w:tcPr>
            <w:tcW w:w="9369" w:type="dxa"/>
            <w:gridSpan w:val="3"/>
            <w:shd w:val="clear" w:color="auto" w:fill="auto"/>
          </w:tcPr>
          <w:p w:rsidR="008977DF" w:rsidRPr="008977DF" w:rsidRDefault="008977DF" w:rsidP="008977DF">
            <w:pPr>
              <w:tabs>
                <w:tab w:val="right" w:pos="1080"/>
                <w:tab w:val="left" w:pos="1296"/>
                <w:tab w:val="left" w:pos="1728"/>
                <w:tab w:val="left" w:pos="2160"/>
                <w:tab w:val="right" w:leader="dot" w:pos="9360"/>
              </w:tabs>
              <w:spacing w:after="120"/>
              <w:ind w:left="1080"/>
              <w:rPr>
                <w:spacing w:val="60"/>
                <w:sz w:val="17"/>
              </w:rPr>
            </w:pPr>
            <w:r>
              <w:tab/>
              <w:t>Prostitution</w:t>
            </w:r>
            <w:r>
              <w:rPr>
                <w:spacing w:val="60"/>
                <w:sz w:val="17"/>
              </w:rPr>
              <w:tab/>
            </w:r>
          </w:p>
        </w:tc>
        <w:tc>
          <w:tcPr>
            <w:tcW w:w="533" w:type="dxa"/>
            <w:shd w:val="clear" w:color="auto" w:fill="auto"/>
            <w:vAlign w:val="bottom"/>
          </w:tcPr>
          <w:p w:rsidR="008977DF" w:rsidRDefault="006732DD" w:rsidP="009C4D90">
            <w:pPr>
              <w:spacing w:after="120"/>
              <w:jc w:val="right"/>
            </w:pPr>
            <w:r>
              <w:t>15</w:t>
            </w:r>
          </w:p>
        </w:tc>
      </w:tr>
      <w:tr w:rsidR="008977DF" w:rsidRPr="009C4D90" w:rsidTr="009C4D90">
        <w:tc>
          <w:tcPr>
            <w:tcW w:w="9369" w:type="dxa"/>
            <w:gridSpan w:val="3"/>
            <w:shd w:val="clear" w:color="auto" w:fill="auto"/>
          </w:tcPr>
          <w:p w:rsidR="008977DF" w:rsidRPr="008977DF" w:rsidRDefault="008977DF" w:rsidP="008977DF">
            <w:pPr>
              <w:tabs>
                <w:tab w:val="right" w:pos="1080"/>
                <w:tab w:val="left" w:pos="1296"/>
                <w:tab w:val="left" w:pos="1728"/>
                <w:tab w:val="left" w:pos="2160"/>
                <w:tab w:val="left" w:pos="2592"/>
                <w:tab w:val="left" w:pos="3024"/>
                <w:tab w:val="right" w:leader="dot" w:pos="9360"/>
              </w:tabs>
              <w:spacing w:after="120"/>
              <w:ind w:left="1080"/>
              <w:rPr>
                <w:spacing w:val="60"/>
                <w:sz w:val="17"/>
              </w:rPr>
            </w:pPr>
            <w:r>
              <w:tab/>
              <w:t>Violence against Women</w:t>
            </w:r>
            <w:r>
              <w:rPr>
                <w:spacing w:val="60"/>
                <w:sz w:val="17"/>
              </w:rPr>
              <w:tab/>
            </w:r>
          </w:p>
        </w:tc>
        <w:tc>
          <w:tcPr>
            <w:tcW w:w="533" w:type="dxa"/>
            <w:shd w:val="clear" w:color="auto" w:fill="auto"/>
            <w:vAlign w:val="bottom"/>
          </w:tcPr>
          <w:p w:rsidR="008977DF" w:rsidRDefault="006732DD" w:rsidP="009C4D90">
            <w:pPr>
              <w:spacing w:after="120"/>
              <w:jc w:val="right"/>
            </w:pPr>
            <w:r>
              <w:t>15</w:t>
            </w:r>
          </w:p>
        </w:tc>
      </w:tr>
      <w:tr w:rsidR="008977DF" w:rsidRPr="009C4D90" w:rsidTr="009C4D90">
        <w:tc>
          <w:tcPr>
            <w:tcW w:w="9369" w:type="dxa"/>
            <w:gridSpan w:val="3"/>
            <w:shd w:val="clear" w:color="auto" w:fill="auto"/>
          </w:tcPr>
          <w:p w:rsidR="008977DF" w:rsidRPr="005E5C0D" w:rsidRDefault="008977DF" w:rsidP="00E30C4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ab/>
              <w:t>National Strategic Plan for Addressing Gender-Based Violence (GBV)</w:t>
            </w:r>
            <w:r>
              <w:rPr>
                <w:spacing w:val="60"/>
                <w:sz w:val="17"/>
              </w:rPr>
              <w:tab/>
            </w:r>
          </w:p>
        </w:tc>
        <w:tc>
          <w:tcPr>
            <w:tcW w:w="533" w:type="dxa"/>
            <w:shd w:val="clear" w:color="auto" w:fill="auto"/>
            <w:vAlign w:val="bottom"/>
          </w:tcPr>
          <w:p w:rsidR="008977DF" w:rsidRDefault="006732DD" w:rsidP="009C4D90">
            <w:pPr>
              <w:spacing w:after="120"/>
              <w:jc w:val="right"/>
            </w:pPr>
            <w:r>
              <w:t>16</w:t>
            </w:r>
          </w:p>
        </w:tc>
      </w:tr>
      <w:tr w:rsidR="008977DF" w:rsidRPr="009C4D90" w:rsidTr="009C4D90">
        <w:tc>
          <w:tcPr>
            <w:tcW w:w="9369" w:type="dxa"/>
            <w:gridSpan w:val="3"/>
            <w:shd w:val="clear" w:color="auto" w:fill="auto"/>
          </w:tcPr>
          <w:p w:rsidR="008977DF" w:rsidRPr="008977DF" w:rsidRDefault="008977DF" w:rsidP="008977DF">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Domestic Violence Shelters</w:t>
            </w:r>
            <w:r>
              <w:rPr>
                <w:spacing w:val="60"/>
                <w:sz w:val="17"/>
              </w:rPr>
              <w:tab/>
            </w:r>
          </w:p>
        </w:tc>
        <w:tc>
          <w:tcPr>
            <w:tcW w:w="533" w:type="dxa"/>
            <w:shd w:val="clear" w:color="auto" w:fill="auto"/>
            <w:vAlign w:val="bottom"/>
          </w:tcPr>
          <w:p w:rsidR="008977DF" w:rsidRDefault="006732DD" w:rsidP="009C4D90">
            <w:pPr>
              <w:spacing w:after="120"/>
              <w:jc w:val="right"/>
            </w:pPr>
            <w:r>
              <w:t>16</w:t>
            </w:r>
          </w:p>
        </w:tc>
      </w:tr>
      <w:tr w:rsidR="008977DF" w:rsidRPr="009C4D90" w:rsidTr="009C4D90">
        <w:tc>
          <w:tcPr>
            <w:tcW w:w="9369" w:type="dxa"/>
            <w:gridSpan w:val="3"/>
            <w:shd w:val="clear" w:color="auto" w:fill="auto"/>
          </w:tcPr>
          <w:p w:rsidR="008977DF" w:rsidRPr="008977DF" w:rsidRDefault="008977DF" w:rsidP="005E5C0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Government Funding — NGOs Addressing GBV</w:t>
            </w:r>
            <w:r>
              <w:rPr>
                <w:spacing w:val="60"/>
                <w:sz w:val="17"/>
              </w:rPr>
              <w:tab/>
            </w:r>
          </w:p>
        </w:tc>
        <w:tc>
          <w:tcPr>
            <w:tcW w:w="533" w:type="dxa"/>
            <w:shd w:val="clear" w:color="auto" w:fill="auto"/>
            <w:vAlign w:val="bottom"/>
          </w:tcPr>
          <w:p w:rsidR="008977DF" w:rsidRDefault="006732DD" w:rsidP="009C4D90">
            <w:pPr>
              <w:spacing w:after="120"/>
              <w:jc w:val="right"/>
            </w:pPr>
            <w:r>
              <w:t>16</w:t>
            </w:r>
          </w:p>
        </w:tc>
      </w:tr>
      <w:tr w:rsidR="008977DF" w:rsidRPr="009C4D90" w:rsidTr="009C4D90">
        <w:tc>
          <w:tcPr>
            <w:tcW w:w="9369" w:type="dxa"/>
            <w:gridSpan w:val="3"/>
            <w:shd w:val="clear" w:color="auto" w:fill="auto"/>
          </w:tcPr>
          <w:p w:rsidR="008977DF" w:rsidRPr="00410492" w:rsidRDefault="008977DF"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tab/>
              <w:t>Promoting Awareness of Domestic Violence among Law Enforcement Officers</w:t>
            </w:r>
            <w:r w:rsidR="00410492">
              <w:rPr>
                <w:spacing w:val="60"/>
                <w:sz w:val="17"/>
              </w:rPr>
              <w:tab/>
            </w:r>
          </w:p>
        </w:tc>
        <w:tc>
          <w:tcPr>
            <w:tcW w:w="533" w:type="dxa"/>
            <w:shd w:val="clear" w:color="auto" w:fill="auto"/>
            <w:vAlign w:val="bottom"/>
          </w:tcPr>
          <w:p w:rsidR="008977DF" w:rsidRDefault="006732DD" w:rsidP="009C4D90">
            <w:pPr>
              <w:spacing w:after="120"/>
              <w:jc w:val="right"/>
            </w:pPr>
            <w:r>
              <w:t>16</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tab/>
              <w:t>Law Enforcement Officers’ Treatment of Sexually Assaulted Victims</w:t>
            </w:r>
            <w:r>
              <w:rPr>
                <w:spacing w:val="60"/>
                <w:sz w:val="17"/>
              </w:rPr>
              <w:tab/>
            </w:r>
          </w:p>
        </w:tc>
        <w:tc>
          <w:tcPr>
            <w:tcW w:w="533" w:type="dxa"/>
            <w:shd w:val="clear" w:color="auto" w:fill="auto"/>
            <w:vAlign w:val="bottom"/>
          </w:tcPr>
          <w:p w:rsidR="00410492" w:rsidRDefault="006732DD" w:rsidP="009C4D90">
            <w:pPr>
              <w:spacing w:after="120"/>
              <w:jc w:val="right"/>
            </w:pPr>
            <w:r>
              <w:t>17</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ab/>
              <w:t>Special Measures: Sexual Abuse of Children in The Bahamas</w:t>
            </w:r>
            <w:r>
              <w:rPr>
                <w:spacing w:val="60"/>
                <w:sz w:val="17"/>
              </w:rPr>
              <w:tab/>
            </w:r>
          </w:p>
        </w:tc>
        <w:tc>
          <w:tcPr>
            <w:tcW w:w="533" w:type="dxa"/>
            <w:shd w:val="clear" w:color="auto" w:fill="auto"/>
            <w:vAlign w:val="bottom"/>
          </w:tcPr>
          <w:p w:rsidR="00410492" w:rsidRDefault="006732DD" w:rsidP="009C4D90">
            <w:pPr>
              <w:spacing w:after="120"/>
              <w:jc w:val="right"/>
            </w:pPr>
            <w:r>
              <w:t>17</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Article 7: Political and Public Life</w:t>
            </w:r>
            <w:r>
              <w:rPr>
                <w:spacing w:val="60"/>
                <w:sz w:val="17"/>
              </w:rPr>
              <w:tab/>
            </w:r>
          </w:p>
        </w:tc>
        <w:tc>
          <w:tcPr>
            <w:tcW w:w="533" w:type="dxa"/>
            <w:shd w:val="clear" w:color="auto" w:fill="auto"/>
            <w:vAlign w:val="bottom"/>
          </w:tcPr>
          <w:p w:rsidR="00410492" w:rsidRDefault="006732DD" w:rsidP="009C4D90">
            <w:pPr>
              <w:spacing w:after="120"/>
              <w:jc w:val="right"/>
            </w:pPr>
            <w:r>
              <w:t>18</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t>Equal Rights to Vote and Participation in Elections</w:t>
            </w:r>
            <w:r>
              <w:rPr>
                <w:spacing w:val="60"/>
                <w:sz w:val="17"/>
              </w:rPr>
              <w:tab/>
            </w:r>
          </w:p>
        </w:tc>
        <w:tc>
          <w:tcPr>
            <w:tcW w:w="533" w:type="dxa"/>
            <w:shd w:val="clear" w:color="auto" w:fill="auto"/>
            <w:vAlign w:val="bottom"/>
          </w:tcPr>
          <w:p w:rsidR="00410492" w:rsidRDefault="006732DD" w:rsidP="009C4D90">
            <w:pPr>
              <w:spacing w:after="120"/>
              <w:jc w:val="right"/>
            </w:pPr>
            <w:r>
              <w:t>18</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Percentage of Women Participating in Elections</w:t>
            </w:r>
            <w:r>
              <w:rPr>
                <w:spacing w:val="60"/>
                <w:sz w:val="17"/>
              </w:rPr>
              <w:tab/>
            </w:r>
          </w:p>
        </w:tc>
        <w:tc>
          <w:tcPr>
            <w:tcW w:w="533" w:type="dxa"/>
            <w:shd w:val="clear" w:color="auto" w:fill="auto"/>
            <w:vAlign w:val="bottom"/>
          </w:tcPr>
          <w:p w:rsidR="00410492" w:rsidRDefault="006732DD" w:rsidP="009C4D90">
            <w:pPr>
              <w:spacing w:after="120"/>
              <w:jc w:val="right"/>
            </w:pPr>
            <w:r>
              <w:t>18</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2012 Electorate — by Sex</w:t>
            </w:r>
            <w:r>
              <w:rPr>
                <w:spacing w:val="60"/>
                <w:sz w:val="17"/>
              </w:rPr>
              <w:tab/>
            </w:r>
          </w:p>
        </w:tc>
        <w:tc>
          <w:tcPr>
            <w:tcW w:w="533" w:type="dxa"/>
            <w:shd w:val="clear" w:color="auto" w:fill="auto"/>
            <w:vAlign w:val="bottom"/>
          </w:tcPr>
          <w:p w:rsidR="00410492" w:rsidRDefault="006732DD" w:rsidP="009C4D90">
            <w:pPr>
              <w:spacing w:after="120"/>
              <w:jc w:val="right"/>
            </w:pPr>
            <w:r>
              <w:t>18</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2012 Candidates — by Sex</w:t>
            </w:r>
            <w:r>
              <w:rPr>
                <w:spacing w:val="60"/>
                <w:sz w:val="17"/>
              </w:rPr>
              <w:tab/>
            </w:r>
          </w:p>
        </w:tc>
        <w:tc>
          <w:tcPr>
            <w:tcW w:w="533" w:type="dxa"/>
            <w:shd w:val="clear" w:color="auto" w:fill="auto"/>
            <w:vAlign w:val="bottom"/>
          </w:tcPr>
          <w:p w:rsidR="00410492" w:rsidRDefault="006732DD" w:rsidP="009C4D90">
            <w:pPr>
              <w:spacing w:after="120"/>
              <w:jc w:val="right"/>
            </w:pPr>
            <w:r>
              <w:t>18</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Public Offices Held by Women</w:t>
            </w:r>
            <w:r>
              <w:rPr>
                <w:spacing w:val="60"/>
                <w:sz w:val="17"/>
              </w:rPr>
              <w:tab/>
            </w:r>
          </w:p>
        </w:tc>
        <w:tc>
          <w:tcPr>
            <w:tcW w:w="533" w:type="dxa"/>
            <w:shd w:val="clear" w:color="auto" w:fill="auto"/>
            <w:vAlign w:val="bottom"/>
          </w:tcPr>
          <w:p w:rsidR="00410492" w:rsidRDefault="006732DD" w:rsidP="009C4D90">
            <w:pPr>
              <w:spacing w:after="120"/>
              <w:jc w:val="right"/>
            </w:pPr>
            <w:r>
              <w:t>19</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lastRenderedPageBreak/>
              <w:tab/>
              <w:t>Factors which Prevent Women’s Political Participation</w:t>
            </w:r>
            <w:r>
              <w:rPr>
                <w:spacing w:val="60"/>
                <w:sz w:val="17"/>
              </w:rPr>
              <w:tab/>
            </w:r>
          </w:p>
        </w:tc>
        <w:tc>
          <w:tcPr>
            <w:tcW w:w="533" w:type="dxa"/>
            <w:shd w:val="clear" w:color="auto" w:fill="auto"/>
            <w:vAlign w:val="bottom"/>
          </w:tcPr>
          <w:p w:rsidR="00410492" w:rsidRDefault="006732DD" w:rsidP="009C4D90">
            <w:pPr>
              <w:spacing w:after="120"/>
              <w:jc w:val="right"/>
            </w:pPr>
            <w:r>
              <w:t>19</w:t>
            </w:r>
          </w:p>
        </w:tc>
      </w:tr>
      <w:tr w:rsidR="00410492" w:rsidRPr="009C4D90" w:rsidTr="009C4D90">
        <w:tc>
          <w:tcPr>
            <w:tcW w:w="9369" w:type="dxa"/>
            <w:gridSpan w:val="3"/>
            <w:shd w:val="clear" w:color="auto" w:fill="auto"/>
          </w:tcPr>
          <w:p w:rsidR="00410492" w:rsidRPr="005D6016" w:rsidRDefault="00410492" w:rsidP="005D601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080"/>
              <w:rPr>
                <w:spacing w:val="60"/>
                <w:sz w:val="17"/>
              </w:rPr>
            </w:pPr>
            <w:r>
              <w:tab/>
              <w:t>Women’s Participation in the Design and Implementation of Development Planning</w:t>
            </w:r>
            <w:r w:rsidR="005E5C0D">
              <w:t xml:space="preserve"> </w:t>
            </w:r>
            <w:r w:rsidR="005D6016">
              <w:rPr>
                <w:spacing w:val="60"/>
                <w:sz w:val="17"/>
              </w:rPr>
              <w:tab/>
            </w:r>
          </w:p>
        </w:tc>
        <w:tc>
          <w:tcPr>
            <w:tcW w:w="533" w:type="dxa"/>
            <w:shd w:val="clear" w:color="auto" w:fill="auto"/>
            <w:vAlign w:val="bottom"/>
          </w:tcPr>
          <w:p w:rsidR="00410492" w:rsidRDefault="006732DD" w:rsidP="009C4D90">
            <w:pPr>
              <w:spacing w:after="120"/>
              <w:jc w:val="right"/>
            </w:pPr>
            <w:r>
              <w:t>19</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Women’s Participation in Trade Unions</w:t>
            </w:r>
            <w:r>
              <w:rPr>
                <w:spacing w:val="60"/>
                <w:sz w:val="17"/>
              </w:rPr>
              <w:tab/>
            </w:r>
          </w:p>
        </w:tc>
        <w:tc>
          <w:tcPr>
            <w:tcW w:w="533" w:type="dxa"/>
            <w:shd w:val="clear" w:color="auto" w:fill="auto"/>
            <w:vAlign w:val="bottom"/>
          </w:tcPr>
          <w:p w:rsidR="00410492" w:rsidRDefault="006732DD" w:rsidP="009C4D90">
            <w:pPr>
              <w:spacing w:after="120"/>
              <w:jc w:val="right"/>
            </w:pPr>
            <w:r>
              <w:t>19</w:t>
            </w:r>
          </w:p>
        </w:tc>
      </w:tr>
      <w:tr w:rsidR="00410492" w:rsidRPr="009C4D90" w:rsidTr="009C4D90">
        <w:tc>
          <w:tcPr>
            <w:tcW w:w="9369" w:type="dxa"/>
            <w:gridSpan w:val="3"/>
            <w:shd w:val="clear" w:color="auto" w:fill="auto"/>
          </w:tcPr>
          <w:p w:rsidR="00410492" w:rsidRPr="00410492" w:rsidRDefault="00410492" w:rsidP="005E5C0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tab/>
              <w:t>Legislation Affecting Trade Unions — National Tripartite Council Act, 2014</w:t>
            </w:r>
            <w:r>
              <w:rPr>
                <w:spacing w:val="60"/>
                <w:sz w:val="17"/>
              </w:rPr>
              <w:tab/>
            </w:r>
          </w:p>
        </w:tc>
        <w:tc>
          <w:tcPr>
            <w:tcW w:w="533" w:type="dxa"/>
            <w:shd w:val="clear" w:color="auto" w:fill="auto"/>
            <w:vAlign w:val="bottom"/>
          </w:tcPr>
          <w:p w:rsidR="00410492" w:rsidRDefault="006732DD" w:rsidP="009C4D90">
            <w:pPr>
              <w:spacing w:after="120"/>
              <w:jc w:val="right"/>
            </w:pPr>
            <w:r>
              <w:t>20</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Article 8: International Representation and Participation</w:t>
            </w:r>
            <w:r>
              <w:rPr>
                <w:spacing w:val="60"/>
                <w:sz w:val="17"/>
              </w:rPr>
              <w:tab/>
            </w:r>
          </w:p>
        </w:tc>
        <w:tc>
          <w:tcPr>
            <w:tcW w:w="533" w:type="dxa"/>
            <w:shd w:val="clear" w:color="auto" w:fill="auto"/>
            <w:vAlign w:val="bottom"/>
          </w:tcPr>
          <w:p w:rsidR="00410492" w:rsidRDefault="006732DD" w:rsidP="009C4D90">
            <w:pPr>
              <w:spacing w:after="120"/>
              <w:jc w:val="right"/>
            </w:pPr>
            <w:r>
              <w:t>20</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Representation of Women at the International Level</w:t>
            </w:r>
            <w:r>
              <w:rPr>
                <w:spacing w:val="60"/>
                <w:sz w:val="17"/>
              </w:rPr>
              <w:tab/>
            </w:r>
          </w:p>
        </w:tc>
        <w:tc>
          <w:tcPr>
            <w:tcW w:w="533" w:type="dxa"/>
            <w:shd w:val="clear" w:color="auto" w:fill="auto"/>
            <w:vAlign w:val="bottom"/>
          </w:tcPr>
          <w:p w:rsidR="00410492" w:rsidRDefault="006732DD" w:rsidP="009C4D90">
            <w:pPr>
              <w:spacing w:after="120"/>
              <w:jc w:val="right"/>
            </w:pPr>
            <w:r>
              <w:t>20</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Women in International Organizations</w:t>
            </w:r>
            <w:r>
              <w:rPr>
                <w:spacing w:val="60"/>
                <w:sz w:val="17"/>
              </w:rPr>
              <w:tab/>
            </w:r>
          </w:p>
        </w:tc>
        <w:tc>
          <w:tcPr>
            <w:tcW w:w="533" w:type="dxa"/>
            <w:shd w:val="clear" w:color="auto" w:fill="auto"/>
            <w:vAlign w:val="bottom"/>
          </w:tcPr>
          <w:p w:rsidR="00410492" w:rsidRDefault="006732DD" w:rsidP="009C4D90">
            <w:pPr>
              <w:spacing w:after="120"/>
              <w:jc w:val="right"/>
            </w:pPr>
            <w:r>
              <w:t>20</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ab/>
              <w:t>Women in the Ministry of Foreign Affairs</w:t>
            </w:r>
            <w:r>
              <w:rPr>
                <w:spacing w:val="60"/>
                <w:sz w:val="17"/>
              </w:rPr>
              <w:tab/>
            </w:r>
          </w:p>
        </w:tc>
        <w:tc>
          <w:tcPr>
            <w:tcW w:w="533" w:type="dxa"/>
            <w:shd w:val="clear" w:color="auto" w:fill="auto"/>
            <w:vAlign w:val="bottom"/>
          </w:tcPr>
          <w:p w:rsidR="00410492" w:rsidRDefault="006732DD" w:rsidP="009C4D90">
            <w:pPr>
              <w:spacing w:after="120"/>
              <w:jc w:val="right"/>
            </w:pPr>
            <w:r>
              <w:t>21</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right" w:leader="dot" w:pos="9360"/>
              </w:tabs>
              <w:spacing w:after="120"/>
              <w:ind w:left="1080"/>
              <w:rPr>
                <w:spacing w:val="60"/>
                <w:sz w:val="17"/>
              </w:rPr>
            </w:pPr>
            <w:r>
              <w:t>Article 9: Nationality</w:t>
            </w:r>
            <w:r>
              <w:rPr>
                <w:spacing w:val="60"/>
                <w:sz w:val="17"/>
              </w:rPr>
              <w:tab/>
            </w:r>
          </w:p>
        </w:tc>
        <w:tc>
          <w:tcPr>
            <w:tcW w:w="533" w:type="dxa"/>
            <w:shd w:val="clear" w:color="auto" w:fill="auto"/>
            <w:vAlign w:val="bottom"/>
          </w:tcPr>
          <w:p w:rsidR="00410492" w:rsidRDefault="006732DD" w:rsidP="009C4D90">
            <w:pPr>
              <w:spacing w:after="120"/>
              <w:jc w:val="right"/>
            </w:pPr>
            <w:r>
              <w:t>21</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Legal Rights in Nationality</w:t>
            </w:r>
            <w:r>
              <w:rPr>
                <w:spacing w:val="60"/>
                <w:sz w:val="17"/>
              </w:rPr>
              <w:tab/>
            </w:r>
          </w:p>
        </w:tc>
        <w:tc>
          <w:tcPr>
            <w:tcW w:w="533" w:type="dxa"/>
            <w:shd w:val="clear" w:color="auto" w:fill="auto"/>
            <w:vAlign w:val="bottom"/>
          </w:tcPr>
          <w:p w:rsidR="00410492" w:rsidRDefault="006732DD" w:rsidP="009C4D90">
            <w:pPr>
              <w:spacing w:after="120"/>
              <w:jc w:val="right"/>
            </w:pPr>
            <w:r>
              <w:t>21</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Equality in Marriage to Non-Nationals</w:t>
            </w:r>
            <w:r>
              <w:rPr>
                <w:spacing w:val="60"/>
                <w:sz w:val="17"/>
              </w:rPr>
              <w:tab/>
            </w:r>
          </w:p>
        </w:tc>
        <w:tc>
          <w:tcPr>
            <w:tcW w:w="533" w:type="dxa"/>
            <w:shd w:val="clear" w:color="auto" w:fill="auto"/>
            <w:vAlign w:val="bottom"/>
          </w:tcPr>
          <w:p w:rsidR="00410492" w:rsidRDefault="006732DD" w:rsidP="009C4D90">
            <w:pPr>
              <w:spacing w:after="120"/>
              <w:jc w:val="right"/>
            </w:pPr>
            <w:r>
              <w:t>21</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ab/>
              <w:t>Residential and Employment Status for Non-National Spouses</w:t>
            </w:r>
            <w:r>
              <w:rPr>
                <w:spacing w:val="60"/>
                <w:sz w:val="17"/>
              </w:rPr>
              <w:tab/>
            </w:r>
          </w:p>
        </w:tc>
        <w:tc>
          <w:tcPr>
            <w:tcW w:w="533" w:type="dxa"/>
            <w:shd w:val="clear" w:color="auto" w:fill="auto"/>
            <w:vAlign w:val="bottom"/>
          </w:tcPr>
          <w:p w:rsidR="00410492" w:rsidRDefault="006732DD" w:rsidP="009C4D90">
            <w:pPr>
              <w:spacing w:after="120"/>
              <w:jc w:val="right"/>
            </w:pPr>
            <w:r>
              <w:t>21</w:t>
            </w:r>
          </w:p>
        </w:tc>
      </w:tr>
      <w:tr w:rsidR="00410492" w:rsidRPr="009C4D90" w:rsidTr="009C4D90">
        <w:tc>
          <w:tcPr>
            <w:tcW w:w="9369" w:type="dxa"/>
            <w:gridSpan w:val="3"/>
            <w:shd w:val="clear" w:color="auto" w:fill="auto"/>
          </w:tcPr>
          <w:p w:rsidR="00410492" w:rsidRPr="00410492" w:rsidRDefault="00410492" w:rsidP="00410492">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Administration of Refugee and Asylum Matters</w:t>
            </w:r>
            <w:r>
              <w:rPr>
                <w:spacing w:val="60"/>
                <w:sz w:val="17"/>
              </w:rPr>
              <w:tab/>
            </w:r>
          </w:p>
        </w:tc>
        <w:tc>
          <w:tcPr>
            <w:tcW w:w="533" w:type="dxa"/>
            <w:shd w:val="clear" w:color="auto" w:fill="auto"/>
            <w:vAlign w:val="bottom"/>
          </w:tcPr>
          <w:p w:rsidR="00410492" w:rsidRDefault="006732DD" w:rsidP="009C4D90">
            <w:pPr>
              <w:spacing w:after="120"/>
              <w:jc w:val="right"/>
            </w:pPr>
            <w:r>
              <w:t>22</w:t>
            </w:r>
          </w:p>
        </w:tc>
      </w:tr>
      <w:tr w:rsidR="00410492" w:rsidRPr="009C4D90" w:rsidTr="009C4D90">
        <w:tc>
          <w:tcPr>
            <w:tcW w:w="9369" w:type="dxa"/>
            <w:gridSpan w:val="3"/>
            <w:shd w:val="clear" w:color="auto" w:fill="auto"/>
          </w:tcPr>
          <w:p w:rsidR="00410492" w:rsidRPr="00A57A4A" w:rsidRDefault="00A57A4A" w:rsidP="00A57A4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Detention of Women and Children</w:t>
            </w:r>
            <w:r>
              <w:rPr>
                <w:spacing w:val="60"/>
                <w:sz w:val="17"/>
              </w:rPr>
              <w:tab/>
            </w:r>
          </w:p>
        </w:tc>
        <w:tc>
          <w:tcPr>
            <w:tcW w:w="533" w:type="dxa"/>
            <w:shd w:val="clear" w:color="auto" w:fill="auto"/>
            <w:vAlign w:val="bottom"/>
          </w:tcPr>
          <w:p w:rsidR="00410492" w:rsidRDefault="006732DD" w:rsidP="009C4D90">
            <w:pPr>
              <w:spacing w:after="120"/>
              <w:jc w:val="right"/>
            </w:pPr>
            <w:r>
              <w:t>22</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right" w:leader="dot" w:pos="9360"/>
              </w:tabs>
              <w:spacing w:after="120"/>
              <w:ind w:left="1080"/>
              <w:rPr>
                <w:spacing w:val="60"/>
                <w:sz w:val="17"/>
              </w:rPr>
            </w:pPr>
            <w:r>
              <w:t>Article 10: Education</w:t>
            </w:r>
            <w:r>
              <w:rPr>
                <w:spacing w:val="60"/>
                <w:sz w:val="17"/>
              </w:rPr>
              <w:tab/>
            </w:r>
          </w:p>
        </w:tc>
        <w:tc>
          <w:tcPr>
            <w:tcW w:w="533" w:type="dxa"/>
            <w:shd w:val="clear" w:color="auto" w:fill="auto"/>
            <w:vAlign w:val="bottom"/>
          </w:tcPr>
          <w:p w:rsidR="00A57A4A" w:rsidRDefault="008347AA" w:rsidP="009C4D90">
            <w:pPr>
              <w:spacing w:after="120"/>
              <w:jc w:val="right"/>
            </w:pPr>
            <w:r>
              <w:t>23</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t>Trends in Academic Achievement for Boys and Girls</w:t>
            </w:r>
            <w:r>
              <w:rPr>
                <w:spacing w:val="60"/>
                <w:sz w:val="17"/>
              </w:rPr>
              <w:tab/>
            </w:r>
          </w:p>
        </w:tc>
        <w:tc>
          <w:tcPr>
            <w:tcW w:w="533" w:type="dxa"/>
            <w:shd w:val="clear" w:color="auto" w:fill="auto"/>
            <w:vAlign w:val="bottom"/>
          </w:tcPr>
          <w:p w:rsidR="00A57A4A" w:rsidRDefault="008347AA" w:rsidP="009C4D90">
            <w:pPr>
              <w:spacing w:after="120"/>
              <w:jc w:val="right"/>
            </w:pPr>
            <w:r>
              <w:t>23</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The National Training Agency</w:t>
            </w:r>
            <w:r>
              <w:rPr>
                <w:spacing w:val="60"/>
                <w:sz w:val="17"/>
              </w:rPr>
              <w:tab/>
            </w:r>
          </w:p>
        </w:tc>
        <w:tc>
          <w:tcPr>
            <w:tcW w:w="533" w:type="dxa"/>
            <w:shd w:val="clear" w:color="auto" w:fill="auto"/>
            <w:vAlign w:val="bottom"/>
          </w:tcPr>
          <w:p w:rsidR="00A57A4A" w:rsidRDefault="008347AA" w:rsidP="009C4D90">
            <w:pPr>
              <w:spacing w:after="120"/>
              <w:jc w:val="right"/>
            </w:pPr>
            <w:r>
              <w:t>23</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right" w:leader="dot" w:pos="9360"/>
              </w:tabs>
              <w:spacing w:after="120"/>
              <w:ind w:left="1080"/>
              <w:rPr>
                <w:spacing w:val="60"/>
                <w:sz w:val="17"/>
              </w:rPr>
            </w:pPr>
            <w:r>
              <w:tab/>
              <w:t>Grants and Scholarships</w:t>
            </w:r>
            <w:r>
              <w:rPr>
                <w:spacing w:val="60"/>
                <w:sz w:val="17"/>
              </w:rPr>
              <w:tab/>
            </w:r>
          </w:p>
        </w:tc>
        <w:tc>
          <w:tcPr>
            <w:tcW w:w="533" w:type="dxa"/>
            <w:shd w:val="clear" w:color="auto" w:fill="auto"/>
            <w:vAlign w:val="bottom"/>
          </w:tcPr>
          <w:p w:rsidR="00A57A4A" w:rsidRDefault="008347AA" w:rsidP="009C4D90">
            <w:pPr>
              <w:spacing w:after="120"/>
              <w:jc w:val="right"/>
            </w:pPr>
            <w:r>
              <w:t>23</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Technical Cadet Corp Programme</w:t>
            </w:r>
            <w:r>
              <w:rPr>
                <w:spacing w:val="60"/>
                <w:sz w:val="17"/>
              </w:rPr>
              <w:tab/>
            </w:r>
          </w:p>
        </w:tc>
        <w:tc>
          <w:tcPr>
            <w:tcW w:w="533" w:type="dxa"/>
            <w:shd w:val="clear" w:color="auto" w:fill="auto"/>
            <w:vAlign w:val="bottom"/>
          </w:tcPr>
          <w:p w:rsidR="00A57A4A" w:rsidRDefault="008347AA" w:rsidP="009C4D90">
            <w:pPr>
              <w:spacing w:after="120"/>
              <w:jc w:val="right"/>
            </w:pPr>
            <w:r>
              <w:t>25</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Public Teachers in The Bahamas by Sex</w:t>
            </w:r>
            <w:r>
              <w:rPr>
                <w:spacing w:val="60"/>
                <w:sz w:val="17"/>
              </w:rPr>
              <w:tab/>
            </w:r>
          </w:p>
        </w:tc>
        <w:tc>
          <w:tcPr>
            <w:tcW w:w="533" w:type="dxa"/>
            <w:shd w:val="clear" w:color="auto" w:fill="auto"/>
            <w:vAlign w:val="bottom"/>
          </w:tcPr>
          <w:p w:rsidR="00A57A4A" w:rsidRDefault="008347AA" w:rsidP="009C4D90">
            <w:pPr>
              <w:spacing w:after="120"/>
              <w:jc w:val="right"/>
            </w:pPr>
            <w:r>
              <w:t>26</w:t>
            </w:r>
          </w:p>
        </w:tc>
      </w:tr>
      <w:tr w:rsidR="00A57A4A" w:rsidRPr="009C4D90" w:rsidTr="009C4D90">
        <w:tc>
          <w:tcPr>
            <w:tcW w:w="9369" w:type="dxa"/>
            <w:gridSpan w:val="3"/>
            <w:shd w:val="clear" w:color="auto" w:fill="auto"/>
          </w:tcPr>
          <w:p w:rsidR="00A57A4A" w:rsidRPr="00A57A4A" w:rsidRDefault="00A57A4A" w:rsidP="009B1B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t>Female School Principals and Heads of Department</w:t>
            </w:r>
            <w:r>
              <w:rPr>
                <w:spacing w:val="60"/>
                <w:sz w:val="17"/>
              </w:rPr>
              <w:tab/>
            </w:r>
          </w:p>
        </w:tc>
        <w:tc>
          <w:tcPr>
            <w:tcW w:w="533" w:type="dxa"/>
            <w:shd w:val="clear" w:color="auto" w:fill="auto"/>
            <w:vAlign w:val="bottom"/>
          </w:tcPr>
          <w:p w:rsidR="00A57A4A" w:rsidRDefault="008347AA" w:rsidP="009C4D90">
            <w:pPr>
              <w:spacing w:after="120"/>
              <w:jc w:val="right"/>
            </w:pPr>
            <w:r>
              <w:t>26</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Gender Equal Access to Health and Family Life</w:t>
            </w:r>
            <w:r>
              <w:rPr>
                <w:spacing w:val="60"/>
                <w:sz w:val="17"/>
              </w:rPr>
              <w:tab/>
            </w:r>
          </w:p>
        </w:tc>
        <w:tc>
          <w:tcPr>
            <w:tcW w:w="533" w:type="dxa"/>
            <w:shd w:val="clear" w:color="auto" w:fill="auto"/>
            <w:vAlign w:val="bottom"/>
          </w:tcPr>
          <w:p w:rsidR="00A57A4A" w:rsidRDefault="008347AA" w:rsidP="009C4D90">
            <w:pPr>
              <w:spacing w:after="120"/>
              <w:jc w:val="right"/>
            </w:pPr>
            <w:r>
              <w:t>26</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right" w:leader="dot" w:pos="9360"/>
              </w:tabs>
              <w:spacing w:after="120"/>
              <w:ind w:left="1080"/>
              <w:rPr>
                <w:spacing w:val="60"/>
                <w:sz w:val="17"/>
              </w:rPr>
            </w:pPr>
            <w:r>
              <w:tab/>
              <w:t>Girls in ICT</w:t>
            </w:r>
            <w:r>
              <w:rPr>
                <w:spacing w:val="60"/>
                <w:sz w:val="17"/>
              </w:rPr>
              <w:tab/>
            </w:r>
          </w:p>
        </w:tc>
        <w:tc>
          <w:tcPr>
            <w:tcW w:w="533" w:type="dxa"/>
            <w:shd w:val="clear" w:color="auto" w:fill="auto"/>
            <w:vAlign w:val="bottom"/>
          </w:tcPr>
          <w:p w:rsidR="00A57A4A" w:rsidRDefault="008347AA" w:rsidP="009C4D90">
            <w:pPr>
              <w:spacing w:after="120"/>
              <w:jc w:val="right"/>
            </w:pPr>
            <w:r>
              <w:t>26</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Sex Segregation in Higher Education</w:t>
            </w:r>
            <w:r>
              <w:rPr>
                <w:spacing w:val="60"/>
                <w:sz w:val="17"/>
              </w:rPr>
              <w:tab/>
            </w:r>
          </w:p>
        </w:tc>
        <w:tc>
          <w:tcPr>
            <w:tcW w:w="533" w:type="dxa"/>
            <w:shd w:val="clear" w:color="auto" w:fill="auto"/>
            <w:vAlign w:val="bottom"/>
          </w:tcPr>
          <w:p w:rsidR="00A57A4A" w:rsidRDefault="008347AA" w:rsidP="009C4D90">
            <w:pPr>
              <w:spacing w:after="120"/>
              <w:jc w:val="right"/>
            </w:pPr>
            <w:r>
              <w:t>27</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right" w:leader="dot" w:pos="9360"/>
              </w:tabs>
              <w:spacing w:after="120"/>
              <w:ind w:left="1080"/>
              <w:rPr>
                <w:spacing w:val="60"/>
                <w:sz w:val="17"/>
              </w:rPr>
            </w:pPr>
            <w:r>
              <w:t>Article 11: Employment</w:t>
            </w:r>
            <w:r>
              <w:rPr>
                <w:spacing w:val="60"/>
                <w:sz w:val="17"/>
              </w:rPr>
              <w:tab/>
            </w:r>
          </w:p>
        </w:tc>
        <w:tc>
          <w:tcPr>
            <w:tcW w:w="533" w:type="dxa"/>
            <w:shd w:val="clear" w:color="auto" w:fill="auto"/>
            <w:vAlign w:val="bottom"/>
          </w:tcPr>
          <w:p w:rsidR="00A57A4A" w:rsidRDefault="008347AA" w:rsidP="009C4D90">
            <w:pPr>
              <w:spacing w:after="120"/>
              <w:jc w:val="right"/>
            </w:pPr>
            <w:r>
              <w:t>28</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tab/>
              <w:t>Legislation to Eliminate Discrimination in Employment and Wages</w:t>
            </w:r>
            <w:r>
              <w:rPr>
                <w:spacing w:val="60"/>
                <w:sz w:val="17"/>
              </w:rPr>
              <w:tab/>
            </w:r>
          </w:p>
        </w:tc>
        <w:tc>
          <w:tcPr>
            <w:tcW w:w="533" w:type="dxa"/>
            <w:shd w:val="clear" w:color="auto" w:fill="auto"/>
            <w:vAlign w:val="bottom"/>
          </w:tcPr>
          <w:p w:rsidR="00A57A4A" w:rsidRDefault="008347AA" w:rsidP="009C4D90">
            <w:pPr>
              <w:spacing w:after="120"/>
              <w:jc w:val="right"/>
            </w:pPr>
            <w:r>
              <w:t>28</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Recruitment and Employment Practices</w:t>
            </w:r>
            <w:r>
              <w:rPr>
                <w:spacing w:val="60"/>
                <w:sz w:val="17"/>
              </w:rPr>
              <w:tab/>
            </w:r>
          </w:p>
        </w:tc>
        <w:tc>
          <w:tcPr>
            <w:tcW w:w="533" w:type="dxa"/>
            <w:shd w:val="clear" w:color="auto" w:fill="auto"/>
            <w:vAlign w:val="bottom"/>
          </w:tcPr>
          <w:p w:rsidR="00A57A4A" w:rsidRDefault="008347AA" w:rsidP="009C4D90">
            <w:pPr>
              <w:spacing w:after="120"/>
              <w:jc w:val="right"/>
            </w:pPr>
            <w:r>
              <w:t>28</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Employment-Related Information</w:t>
            </w:r>
            <w:r>
              <w:rPr>
                <w:spacing w:val="60"/>
                <w:sz w:val="17"/>
              </w:rPr>
              <w:tab/>
            </w:r>
          </w:p>
        </w:tc>
        <w:tc>
          <w:tcPr>
            <w:tcW w:w="533" w:type="dxa"/>
            <w:shd w:val="clear" w:color="auto" w:fill="auto"/>
            <w:vAlign w:val="bottom"/>
          </w:tcPr>
          <w:p w:rsidR="00A57A4A" w:rsidRDefault="008347AA" w:rsidP="009C4D90">
            <w:pPr>
              <w:spacing w:after="120"/>
              <w:jc w:val="right"/>
            </w:pPr>
            <w:r>
              <w:t>28</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right" w:leader="dot" w:pos="9360"/>
              </w:tabs>
              <w:spacing w:after="120"/>
              <w:ind w:left="1080"/>
              <w:rPr>
                <w:spacing w:val="60"/>
                <w:sz w:val="17"/>
              </w:rPr>
            </w:pPr>
            <w:r>
              <w:tab/>
              <w:t>Unemployment</w:t>
            </w:r>
            <w:r>
              <w:rPr>
                <w:spacing w:val="60"/>
                <w:sz w:val="17"/>
              </w:rPr>
              <w:tab/>
            </w:r>
          </w:p>
        </w:tc>
        <w:tc>
          <w:tcPr>
            <w:tcW w:w="533" w:type="dxa"/>
            <w:shd w:val="clear" w:color="auto" w:fill="auto"/>
            <w:vAlign w:val="bottom"/>
          </w:tcPr>
          <w:p w:rsidR="00A57A4A" w:rsidRDefault="008347AA" w:rsidP="009C4D90">
            <w:pPr>
              <w:spacing w:after="120"/>
              <w:jc w:val="right"/>
            </w:pPr>
            <w:r>
              <w:t>29</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Labour Force Participation</w:t>
            </w:r>
            <w:r>
              <w:rPr>
                <w:spacing w:val="60"/>
                <w:sz w:val="17"/>
              </w:rPr>
              <w:tab/>
            </w:r>
          </w:p>
        </w:tc>
        <w:tc>
          <w:tcPr>
            <w:tcW w:w="533" w:type="dxa"/>
            <w:shd w:val="clear" w:color="auto" w:fill="auto"/>
            <w:vAlign w:val="bottom"/>
          </w:tcPr>
          <w:p w:rsidR="00A57A4A" w:rsidRDefault="008347AA" w:rsidP="009C4D90">
            <w:pPr>
              <w:spacing w:after="120"/>
              <w:jc w:val="right"/>
            </w:pPr>
            <w:r>
              <w:t>29</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Minimum Wage Order, 2015</w:t>
            </w:r>
            <w:r>
              <w:rPr>
                <w:spacing w:val="60"/>
                <w:sz w:val="17"/>
              </w:rPr>
              <w:tab/>
            </w:r>
          </w:p>
        </w:tc>
        <w:tc>
          <w:tcPr>
            <w:tcW w:w="533" w:type="dxa"/>
            <w:shd w:val="clear" w:color="auto" w:fill="auto"/>
            <w:vAlign w:val="bottom"/>
          </w:tcPr>
          <w:p w:rsidR="00A57A4A" w:rsidRDefault="008347AA" w:rsidP="009C4D90">
            <w:pPr>
              <w:spacing w:after="120"/>
              <w:jc w:val="right"/>
            </w:pPr>
            <w:r>
              <w:t>30</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Employment Exchange Unit</w:t>
            </w:r>
            <w:r>
              <w:rPr>
                <w:spacing w:val="60"/>
                <w:sz w:val="17"/>
              </w:rPr>
              <w:tab/>
            </w:r>
          </w:p>
        </w:tc>
        <w:tc>
          <w:tcPr>
            <w:tcW w:w="533" w:type="dxa"/>
            <w:shd w:val="clear" w:color="auto" w:fill="auto"/>
            <w:vAlign w:val="bottom"/>
          </w:tcPr>
          <w:p w:rsidR="00A57A4A" w:rsidRDefault="008347AA" w:rsidP="009C4D90">
            <w:pPr>
              <w:spacing w:after="120"/>
              <w:jc w:val="right"/>
            </w:pPr>
            <w:r>
              <w:t>30</w:t>
            </w:r>
          </w:p>
        </w:tc>
      </w:tr>
      <w:tr w:rsidR="00A57A4A" w:rsidRPr="009C4D90" w:rsidTr="009C4D90">
        <w:tc>
          <w:tcPr>
            <w:tcW w:w="9369" w:type="dxa"/>
            <w:gridSpan w:val="3"/>
            <w:shd w:val="clear" w:color="auto" w:fill="auto"/>
          </w:tcPr>
          <w:p w:rsidR="00A57A4A" w:rsidRPr="00A57A4A" w:rsidRDefault="00A57A4A" w:rsidP="00A57A4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Citizen Security and Justice Program</w:t>
            </w:r>
            <w:r>
              <w:rPr>
                <w:spacing w:val="60"/>
                <w:sz w:val="17"/>
              </w:rPr>
              <w:tab/>
            </w:r>
          </w:p>
        </w:tc>
        <w:tc>
          <w:tcPr>
            <w:tcW w:w="533" w:type="dxa"/>
            <w:shd w:val="clear" w:color="auto" w:fill="auto"/>
            <w:vAlign w:val="bottom"/>
          </w:tcPr>
          <w:p w:rsidR="00A57A4A" w:rsidRDefault="008347AA" w:rsidP="009C4D90">
            <w:pPr>
              <w:spacing w:after="120"/>
              <w:jc w:val="right"/>
            </w:pPr>
            <w:r>
              <w:t>30</w:t>
            </w:r>
          </w:p>
        </w:tc>
      </w:tr>
      <w:tr w:rsidR="00A57A4A" w:rsidRPr="009C4D90" w:rsidTr="009C4D90">
        <w:tc>
          <w:tcPr>
            <w:tcW w:w="9369" w:type="dxa"/>
            <w:gridSpan w:val="3"/>
            <w:shd w:val="clear" w:color="auto" w:fill="auto"/>
          </w:tcPr>
          <w:p w:rsidR="00A57A4A" w:rsidRPr="00A34D29" w:rsidRDefault="00A57A4A" w:rsidP="00A34D29">
            <w:pPr>
              <w:tabs>
                <w:tab w:val="right" w:pos="1080"/>
                <w:tab w:val="left" w:pos="1296"/>
                <w:tab w:val="left" w:pos="1728"/>
                <w:tab w:val="left" w:pos="2160"/>
                <w:tab w:val="left" w:pos="2592"/>
                <w:tab w:val="right" w:leader="dot" w:pos="9360"/>
              </w:tabs>
              <w:spacing w:after="120"/>
              <w:ind w:left="1080"/>
              <w:rPr>
                <w:spacing w:val="60"/>
                <w:sz w:val="17"/>
              </w:rPr>
            </w:pPr>
            <w:r>
              <w:t>Article 12: Healthcare</w:t>
            </w:r>
            <w:r w:rsidR="00A34D29">
              <w:rPr>
                <w:spacing w:val="60"/>
                <w:sz w:val="17"/>
              </w:rPr>
              <w:tab/>
            </w:r>
          </w:p>
        </w:tc>
        <w:tc>
          <w:tcPr>
            <w:tcW w:w="533" w:type="dxa"/>
            <w:shd w:val="clear" w:color="auto" w:fill="auto"/>
            <w:vAlign w:val="bottom"/>
          </w:tcPr>
          <w:p w:rsidR="00A57A4A" w:rsidRDefault="008347AA" w:rsidP="009C4D90">
            <w:pPr>
              <w:spacing w:after="120"/>
              <w:jc w:val="right"/>
            </w:pPr>
            <w:r>
              <w:t>31</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right" w:leader="dot" w:pos="9360"/>
              </w:tabs>
              <w:spacing w:after="120"/>
              <w:ind w:left="1080"/>
              <w:rPr>
                <w:spacing w:val="60"/>
                <w:sz w:val="17"/>
              </w:rPr>
            </w:pPr>
            <w:r>
              <w:tab/>
              <w:t>Mental Health</w:t>
            </w:r>
            <w:r>
              <w:rPr>
                <w:spacing w:val="60"/>
                <w:sz w:val="17"/>
              </w:rPr>
              <w:tab/>
            </w:r>
          </w:p>
        </w:tc>
        <w:tc>
          <w:tcPr>
            <w:tcW w:w="533" w:type="dxa"/>
            <w:shd w:val="clear" w:color="auto" w:fill="auto"/>
            <w:vAlign w:val="bottom"/>
          </w:tcPr>
          <w:p w:rsidR="00A34D29" w:rsidRDefault="008347AA" w:rsidP="009C4D90">
            <w:pPr>
              <w:spacing w:after="120"/>
              <w:jc w:val="right"/>
            </w:pPr>
            <w:r>
              <w:t>31</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right" w:leader="dot" w:pos="9360"/>
              </w:tabs>
              <w:spacing w:after="120"/>
              <w:ind w:left="1080"/>
              <w:rPr>
                <w:spacing w:val="60"/>
                <w:sz w:val="17"/>
              </w:rPr>
            </w:pPr>
            <w:r>
              <w:tab/>
              <w:t>Infrastructure</w:t>
            </w:r>
            <w:r>
              <w:rPr>
                <w:spacing w:val="60"/>
                <w:sz w:val="17"/>
              </w:rPr>
              <w:tab/>
            </w:r>
          </w:p>
        </w:tc>
        <w:tc>
          <w:tcPr>
            <w:tcW w:w="533" w:type="dxa"/>
            <w:shd w:val="clear" w:color="auto" w:fill="auto"/>
            <w:vAlign w:val="bottom"/>
          </w:tcPr>
          <w:p w:rsidR="00A34D29" w:rsidRDefault="008347AA" w:rsidP="009C4D90">
            <w:pPr>
              <w:spacing w:after="120"/>
              <w:jc w:val="right"/>
            </w:pPr>
            <w:r>
              <w:t>31</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lastRenderedPageBreak/>
              <w:tab/>
              <w:t>Female Mortality and Morbidity</w:t>
            </w:r>
            <w:r>
              <w:rPr>
                <w:spacing w:val="60"/>
                <w:sz w:val="17"/>
              </w:rPr>
              <w:tab/>
            </w:r>
          </w:p>
        </w:tc>
        <w:tc>
          <w:tcPr>
            <w:tcW w:w="533" w:type="dxa"/>
            <w:shd w:val="clear" w:color="auto" w:fill="auto"/>
            <w:vAlign w:val="bottom"/>
          </w:tcPr>
          <w:p w:rsidR="00A34D29" w:rsidRDefault="008347AA" w:rsidP="009C4D90">
            <w:pPr>
              <w:spacing w:after="120"/>
              <w:jc w:val="right"/>
            </w:pPr>
            <w:r>
              <w:t>31</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right" w:leader="dot" w:pos="9360"/>
              </w:tabs>
              <w:spacing w:after="120"/>
              <w:ind w:left="1080"/>
              <w:rPr>
                <w:spacing w:val="60"/>
                <w:sz w:val="17"/>
              </w:rPr>
            </w:pPr>
            <w:r>
              <w:tab/>
              <w:t>Maternal Mortality</w:t>
            </w:r>
            <w:r>
              <w:rPr>
                <w:spacing w:val="60"/>
                <w:sz w:val="17"/>
              </w:rPr>
              <w:tab/>
            </w:r>
          </w:p>
        </w:tc>
        <w:tc>
          <w:tcPr>
            <w:tcW w:w="533" w:type="dxa"/>
            <w:shd w:val="clear" w:color="auto" w:fill="auto"/>
            <w:vAlign w:val="bottom"/>
          </w:tcPr>
          <w:p w:rsidR="00A34D29" w:rsidRDefault="008347AA" w:rsidP="009C4D90">
            <w:pPr>
              <w:spacing w:after="120"/>
              <w:jc w:val="right"/>
            </w:pPr>
            <w:r>
              <w:t>31</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Infant and Child Mortality</w:t>
            </w:r>
            <w:r>
              <w:rPr>
                <w:spacing w:val="60"/>
                <w:sz w:val="17"/>
              </w:rPr>
              <w:tab/>
            </w:r>
          </w:p>
        </w:tc>
        <w:tc>
          <w:tcPr>
            <w:tcW w:w="533" w:type="dxa"/>
            <w:shd w:val="clear" w:color="auto" w:fill="auto"/>
            <w:vAlign w:val="bottom"/>
          </w:tcPr>
          <w:p w:rsidR="00A34D29" w:rsidRDefault="008347AA" w:rsidP="009C4D90">
            <w:pPr>
              <w:spacing w:after="120"/>
              <w:jc w:val="right"/>
            </w:pPr>
            <w:r>
              <w:t>32</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Women’s Life Expectancy</w:t>
            </w:r>
            <w:r>
              <w:rPr>
                <w:spacing w:val="60"/>
                <w:sz w:val="17"/>
              </w:rPr>
              <w:tab/>
            </w:r>
          </w:p>
        </w:tc>
        <w:tc>
          <w:tcPr>
            <w:tcW w:w="533" w:type="dxa"/>
            <w:shd w:val="clear" w:color="auto" w:fill="auto"/>
            <w:vAlign w:val="bottom"/>
          </w:tcPr>
          <w:p w:rsidR="00A34D29" w:rsidRDefault="008347AA" w:rsidP="009C4D90">
            <w:pPr>
              <w:spacing w:after="120"/>
              <w:jc w:val="right"/>
            </w:pPr>
            <w:r>
              <w:t>32</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Crude Birth and Death Rates by Sex</w:t>
            </w:r>
            <w:r>
              <w:rPr>
                <w:spacing w:val="60"/>
                <w:sz w:val="17"/>
              </w:rPr>
              <w:tab/>
            </w:r>
          </w:p>
        </w:tc>
        <w:tc>
          <w:tcPr>
            <w:tcW w:w="533" w:type="dxa"/>
            <w:shd w:val="clear" w:color="auto" w:fill="auto"/>
            <w:vAlign w:val="bottom"/>
          </w:tcPr>
          <w:p w:rsidR="00A34D29" w:rsidRDefault="008347AA" w:rsidP="009C4D90">
            <w:pPr>
              <w:spacing w:after="120"/>
              <w:jc w:val="right"/>
            </w:pPr>
            <w:r>
              <w:t>32</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right" w:leader="dot" w:pos="9360"/>
              </w:tabs>
              <w:spacing w:after="120"/>
              <w:ind w:left="1080"/>
              <w:rPr>
                <w:spacing w:val="60"/>
                <w:sz w:val="17"/>
              </w:rPr>
            </w:pPr>
            <w:r>
              <w:tab/>
              <w:t>Contraceptive Prevalence</w:t>
            </w:r>
            <w:r>
              <w:rPr>
                <w:spacing w:val="60"/>
                <w:sz w:val="17"/>
              </w:rPr>
              <w:tab/>
            </w:r>
          </w:p>
        </w:tc>
        <w:tc>
          <w:tcPr>
            <w:tcW w:w="533" w:type="dxa"/>
            <w:shd w:val="clear" w:color="auto" w:fill="auto"/>
            <w:vAlign w:val="bottom"/>
          </w:tcPr>
          <w:p w:rsidR="00A34D29" w:rsidRDefault="008347AA" w:rsidP="009C4D90">
            <w:pPr>
              <w:spacing w:after="120"/>
              <w:jc w:val="right"/>
            </w:pPr>
            <w:r>
              <w:t>32</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Women Workers in the Health Sector</w:t>
            </w:r>
            <w:r>
              <w:rPr>
                <w:spacing w:val="60"/>
                <w:sz w:val="17"/>
              </w:rPr>
              <w:tab/>
            </w:r>
          </w:p>
        </w:tc>
        <w:tc>
          <w:tcPr>
            <w:tcW w:w="533" w:type="dxa"/>
            <w:shd w:val="clear" w:color="auto" w:fill="auto"/>
            <w:vAlign w:val="bottom"/>
          </w:tcPr>
          <w:p w:rsidR="00A34D29" w:rsidRDefault="008347AA" w:rsidP="009C4D90">
            <w:pPr>
              <w:spacing w:after="120"/>
              <w:jc w:val="right"/>
            </w:pPr>
            <w:r>
              <w:t>33</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HIV/AIDS and Sexually Transmitted Diseases</w:t>
            </w:r>
            <w:r>
              <w:rPr>
                <w:spacing w:val="60"/>
                <w:sz w:val="17"/>
              </w:rPr>
              <w:tab/>
            </w:r>
          </w:p>
        </w:tc>
        <w:tc>
          <w:tcPr>
            <w:tcW w:w="533" w:type="dxa"/>
            <w:shd w:val="clear" w:color="auto" w:fill="auto"/>
            <w:vAlign w:val="bottom"/>
          </w:tcPr>
          <w:p w:rsidR="00A34D29" w:rsidRDefault="008347AA" w:rsidP="009C4D90">
            <w:pPr>
              <w:spacing w:after="120"/>
              <w:jc w:val="right"/>
            </w:pPr>
            <w:r>
              <w:t>33</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Sexual Reproductive Health and Rights</w:t>
            </w:r>
            <w:r>
              <w:rPr>
                <w:spacing w:val="60"/>
                <w:sz w:val="17"/>
              </w:rPr>
              <w:tab/>
            </w:r>
          </w:p>
        </w:tc>
        <w:tc>
          <w:tcPr>
            <w:tcW w:w="533" w:type="dxa"/>
            <w:shd w:val="clear" w:color="auto" w:fill="auto"/>
            <w:vAlign w:val="bottom"/>
          </w:tcPr>
          <w:p w:rsidR="00A34D29" w:rsidRDefault="008347AA" w:rsidP="009C4D90">
            <w:pPr>
              <w:spacing w:after="120"/>
              <w:jc w:val="right"/>
            </w:pPr>
            <w:r>
              <w:t>33</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right" w:leader="dot" w:pos="9360"/>
              </w:tabs>
              <w:spacing w:after="120"/>
              <w:ind w:left="1080"/>
              <w:rPr>
                <w:spacing w:val="60"/>
                <w:sz w:val="17"/>
              </w:rPr>
            </w:pPr>
            <w:r>
              <w:tab/>
              <w:t>Breast Cancer</w:t>
            </w:r>
            <w:r>
              <w:rPr>
                <w:spacing w:val="60"/>
                <w:sz w:val="17"/>
              </w:rPr>
              <w:tab/>
            </w:r>
          </w:p>
        </w:tc>
        <w:tc>
          <w:tcPr>
            <w:tcW w:w="533" w:type="dxa"/>
            <w:shd w:val="clear" w:color="auto" w:fill="auto"/>
            <w:vAlign w:val="bottom"/>
          </w:tcPr>
          <w:p w:rsidR="00A34D29" w:rsidRDefault="008347AA" w:rsidP="009C4D90">
            <w:pPr>
              <w:spacing w:after="120"/>
              <w:jc w:val="right"/>
            </w:pPr>
            <w:r>
              <w:t>33</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National Prescription Drug Plan</w:t>
            </w:r>
            <w:r>
              <w:rPr>
                <w:spacing w:val="60"/>
                <w:sz w:val="17"/>
              </w:rPr>
              <w:tab/>
            </w:r>
          </w:p>
        </w:tc>
        <w:tc>
          <w:tcPr>
            <w:tcW w:w="533" w:type="dxa"/>
            <w:shd w:val="clear" w:color="auto" w:fill="auto"/>
            <w:vAlign w:val="bottom"/>
          </w:tcPr>
          <w:p w:rsidR="00A34D29" w:rsidRDefault="008347AA" w:rsidP="009C4D90">
            <w:pPr>
              <w:spacing w:after="120"/>
              <w:jc w:val="right"/>
            </w:pPr>
            <w:r>
              <w:t>34</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Family Planning and Male Involvement</w:t>
            </w:r>
            <w:r>
              <w:rPr>
                <w:spacing w:val="60"/>
                <w:sz w:val="17"/>
              </w:rPr>
              <w:tab/>
            </w:r>
          </w:p>
        </w:tc>
        <w:tc>
          <w:tcPr>
            <w:tcW w:w="533" w:type="dxa"/>
            <w:shd w:val="clear" w:color="auto" w:fill="auto"/>
            <w:vAlign w:val="bottom"/>
          </w:tcPr>
          <w:p w:rsidR="00A34D29" w:rsidRDefault="008347AA" w:rsidP="009C4D90">
            <w:pPr>
              <w:spacing w:after="120"/>
              <w:jc w:val="right"/>
            </w:pPr>
            <w:r>
              <w:t>34</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Article 13: Social and Economic Benefits</w:t>
            </w:r>
            <w:r>
              <w:rPr>
                <w:spacing w:val="60"/>
                <w:sz w:val="17"/>
              </w:rPr>
              <w:tab/>
            </w:r>
          </w:p>
        </w:tc>
        <w:tc>
          <w:tcPr>
            <w:tcW w:w="533" w:type="dxa"/>
            <w:shd w:val="clear" w:color="auto" w:fill="auto"/>
            <w:vAlign w:val="bottom"/>
          </w:tcPr>
          <w:p w:rsidR="00A34D29" w:rsidRDefault="008347AA" w:rsidP="009C4D90">
            <w:pPr>
              <w:spacing w:after="120"/>
              <w:jc w:val="right"/>
            </w:pPr>
            <w:r>
              <w:t>34</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right" w:leader="dot" w:pos="9360"/>
              </w:tabs>
              <w:spacing w:after="120"/>
              <w:ind w:left="1080"/>
              <w:rPr>
                <w:spacing w:val="60"/>
                <w:sz w:val="17"/>
              </w:rPr>
            </w:pPr>
            <w:r>
              <w:t>Article 14: Rural Women</w:t>
            </w:r>
            <w:r>
              <w:rPr>
                <w:spacing w:val="60"/>
                <w:sz w:val="17"/>
              </w:rPr>
              <w:tab/>
            </w:r>
          </w:p>
        </w:tc>
        <w:tc>
          <w:tcPr>
            <w:tcW w:w="533" w:type="dxa"/>
            <w:shd w:val="clear" w:color="auto" w:fill="auto"/>
            <w:vAlign w:val="bottom"/>
          </w:tcPr>
          <w:p w:rsidR="00A34D29" w:rsidRDefault="008347AA" w:rsidP="009C4D90">
            <w:pPr>
              <w:spacing w:after="120"/>
              <w:jc w:val="right"/>
            </w:pPr>
            <w:r>
              <w:t>34</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rPr>
            </w:pPr>
            <w:r>
              <w:tab/>
              <w:t>Rural Women’s Ability to Access Education and Training</w:t>
            </w:r>
            <w:r>
              <w:rPr>
                <w:spacing w:val="60"/>
                <w:sz w:val="17"/>
              </w:rPr>
              <w:tab/>
            </w:r>
          </w:p>
        </w:tc>
        <w:tc>
          <w:tcPr>
            <w:tcW w:w="533" w:type="dxa"/>
            <w:shd w:val="clear" w:color="auto" w:fill="auto"/>
            <w:vAlign w:val="bottom"/>
          </w:tcPr>
          <w:p w:rsidR="00A34D29" w:rsidRDefault="008347AA" w:rsidP="009C4D90">
            <w:pPr>
              <w:spacing w:after="120"/>
              <w:jc w:val="right"/>
            </w:pPr>
            <w:r>
              <w:t>34</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Rural Women and the Department of Agriculture</w:t>
            </w:r>
            <w:r>
              <w:rPr>
                <w:spacing w:val="60"/>
                <w:sz w:val="17"/>
              </w:rPr>
              <w:tab/>
            </w:r>
          </w:p>
        </w:tc>
        <w:tc>
          <w:tcPr>
            <w:tcW w:w="533" w:type="dxa"/>
            <w:shd w:val="clear" w:color="auto" w:fill="auto"/>
            <w:vAlign w:val="bottom"/>
          </w:tcPr>
          <w:p w:rsidR="00A34D29" w:rsidRDefault="008347AA" w:rsidP="009C4D90">
            <w:pPr>
              <w:spacing w:after="120"/>
              <w:jc w:val="right"/>
            </w:pPr>
            <w:r>
              <w:t>35</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Bahamas Agricultural and Industrial Cooperation</w:t>
            </w:r>
            <w:r>
              <w:rPr>
                <w:spacing w:val="60"/>
                <w:sz w:val="17"/>
              </w:rPr>
              <w:tab/>
            </w:r>
          </w:p>
        </w:tc>
        <w:tc>
          <w:tcPr>
            <w:tcW w:w="533" w:type="dxa"/>
            <w:shd w:val="clear" w:color="auto" w:fill="auto"/>
            <w:vAlign w:val="bottom"/>
          </w:tcPr>
          <w:p w:rsidR="00A34D29" w:rsidRDefault="008347AA" w:rsidP="009C4D90">
            <w:pPr>
              <w:spacing w:after="120"/>
              <w:jc w:val="right"/>
            </w:pPr>
            <w:r>
              <w:t>35</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Bahamas Development Bank</w:t>
            </w:r>
            <w:r>
              <w:rPr>
                <w:spacing w:val="60"/>
                <w:sz w:val="17"/>
              </w:rPr>
              <w:tab/>
            </w:r>
          </w:p>
        </w:tc>
        <w:tc>
          <w:tcPr>
            <w:tcW w:w="533" w:type="dxa"/>
            <w:shd w:val="clear" w:color="auto" w:fill="auto"/>
            <w:vAlign w:val="bottom"/>
          </w:tcPr>
          <w:p w:rsidR="00A34D29" w:rsidRDefault="008347AA" w:rsidP="009C4D90">
            <w:pPr>
              <w:spacing w:after="120"/>
              <w:jc w:val="right"/>
            </w:pPr>
            <w:r>
              <w:t>35</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Rural Women and Cooperatives</w:t>
            </w:r>
            <w:r>
              <w:rPr>
                <w:spacing w:val="60"/>
                <w:sz w:val="17"/>
              </w:rPr>
              <w:tab/>
            </w:r>
          </w:p>
        </w:tc>
        <w:tc>
          <w:tcPr>
            <w:tcW w:w="533" w:type="dxa"/>
            <w:shd w:val="clear" w:color="auto" w:fill="auto"/>
            <w:vAlign w:val="bottom"/>
          </w:tcPr>
          <w:p w:rsidR="00A34D29" w:rsidRDefault="008347AA" w:rsidP="009C4D90">
            <w:pPr>
              <w:spacing w:after="120"/>
              <w:jc w:val="right"/>
            </w:pPr>
            <w:r>
              <w:t>35</w:t>
            </w:r>
          </w:p>
        </w:tc>
      </w:tr>
      <w:tr w:rsidR="00A34D29" w:rsidRPr="009C4D90" w:rsidTr="009C4D90">
        <w:tc>
          <w:tcPr>
            <w:tcW w:w="9369" w:type="dxa"/>
            <w:gridSpan w:val="3"/>
            <w:shd w:val="clear" w:color="auto" w:fill="auto"/>
          </w:tcPr>
          <w:p w:rsidR="00A34D29" w:rsidRPr="00A34D29" w:rsidRDefault="00A34D29" w:rsidP="00A34D2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t>The Bahamas Network for Rural Women Producers</w:t>
            </w:r>
            <w:r>
              <w:rPr>
                <w:spacing w:val="60"/>
                <w:sz w:val="17"/>
              </w:rPr>
              <w:tab/>
            </w:r>
          </w:p>
        </w:tc>
        <w:tc>
          <w:tcPr>
            <w:tcW w:w="533" w:type="dxa"/>
            <w:shd w:val="clear" w:color="auto" w:fill="auto"/>
            <w:vAlign w:val="bottom"/>
          </w:tcPr>
          <w:p w:rsidR="00A34D29" w:rsidRDefault="008347AA" w:rsidP="009C4D90">
            <w:pPr>
              <w:spacing w:after="120"/>
              <w:jc w:val="right"/>
            </w:pPr>
            <w:r>
              <w:t>36</w:t>
            </w:r>
          </w:p>
        </w:tc>
      </w:tr>
      <w:tr w:rsidR="00A34D29" w:rsidRPr="009C4D90" w:rsidTr="009C4D90">
        <w:tc>
          <w:tcPr>
            <w:tcW w:w="9369" w:type="dxa"/>
            <w:gridSpan w:val="3"/>
            <w:shd w:val="clear" w:color="auto" w:fill="auto"/>
          </w:tcPr>
          <w:p w:rsidR="00A34D29"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Article 15: Equality before the Law and in Civil Matters</w:t>
            </w:r>
            <w:r>
              <w:rPr>
                <w:spacing w:val="60"/>
                <w:sz w:val="17"/>
              </w:rPr>
              <w:tab/>
            </w:r>
          </w:p>
        </w:tc>
        <w:tc>
          <w:tcPr>
            <w:tcW w:w="533" w:type="dxa"/>
            <w:shd w:val="clear" w:color="auto" w:fill="auto"/>
            <w:vAlign w:val="bottom"/>
          </w:tcPr>
          <w:p w:rsidR="00A34D29" w:rsidRDefault="008347AA" w:rsidP="008347AA">
            <w:pPr>
              <w:spacing w:after="120"/>
              <w:jc w:val="right"/>
            </w:pPr>
            <w:r>
              <w:t>36</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Article 16: Equality in Marriage and Family Law</w:t>
            </w:r>
            <w:r>
              <w:rPr>
                <w:spacing w:val="60"/>
                <w:sz w:val="17"/>
              </w:rPr>
              <w:tab/>
            </w:r>
          </w:p>
        </w:tc>
        <w:tc>
          <w:tcPr>
            <w:tcW w:w="533" w:type="dxa"/>
            <w:shd w:val="clear" w:color="auto" w:fill="auto"/>
            <w:vAlign w:val="bottom"/>
          </w:tcPr>
          <w:p w:rsidR="000C528A" w:rsidRDefault="008347AA" w:rsidP="009C4D90">
            <w:pPr>
              <w:spacing w:after="120"/>
              <w:jc w:val="right"/>
            </w:pPr>
            <w:r>
              <w:t>37</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right" w:leader="dot" w:pos="9360"/>
              </w:tabs>
              <w:spacing w:after="120"/>
              <w:ind w:left="1080"/>
              <w:rPr>
                <w:spacing w:val="60"/>
                <w:sz w:val="17"/>
              </w:rPr>
            </w:pPr>
            <w:r>
              <w:t>Part 2: Responses to the concluding observations and recommendations of the Committee on the Elimination on All Forms of Discrimination against Women</w:t>
            </w:r>
            <w:r>
              <w:rPr>
                <w:spacing w:val="60"/>
                <w:sz w:val="17"/>
              </w:rPr>
              <w:tab/>
            </w:r>
          </w:p>
        </w:tc>
        <w:tc>
          <w:tcPr>
            <w:tcW w:w="533" w:type="dxa"/>
            <w:shd w:val="clear" w:color="auto" w:fill="auto"/>
            <w:vAlign w:val="bottom"/>
          </w:tcPr>
          <w:p w:rsidR="000C528A" w:rsidRDefault="008347AA" w:rsidP="009C4D90">
            <w:pPr>
              <w:spacing w:after="120"/>
              <w:jc w:val="right"/>
            </w:pPr>
            <w:r>
              <w:t>37</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Recommendation 1: Parliament</w:t>
            </w:r>
            <w:r>
              <w:rPr>
                <w:spacing w:val="60"/>
                <w:sz w:val="17"/>
              </w:rPr>
              <w:tab/>
            </w:r>
          </w:p>
        </w:tc>
        <w:tc>
          <w:tcPr>
            <w:tcW w:w="533" w:type="dxa"/>
            <w:shd w:val="clear" w:color="auto" w:fill="auto"/>
            <w:vAlign w:val="bottom"/>
          </w:tcPr>
          <w:p w:rsidR="000C528A" w:rsidRDefault="008347AA" w:rsidP="009C4D90">
            <w:pPr>
              <w:spacing w:after="120"/>
              <w:jc w:val="right"/>
            </w:pPr>
            <w:r>
              <w:t>37</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tab/>
              <w:t>Recommendation 2: Visibility of the Convention and Access to Justice</w:t>
            </w:r>
            <w:r>
              <w:rPr>
                <w:spacing w:val="60"/>
                <w:sz w:val="17"/>
              </w:rPr>
              <w:tab/>
            </w:r>
          </w:p>
        </w:tc>
        <w:tc>
          <w:tcPr>
            <w:tcW w:w="533" w:type="dxa"/>
            <w:shd w:val="clear" w:color="auto" w:fill="auto"/>
            <w:vAlign w:val="bottom"/>
          </w:tcPr>
          <w:p w:rsidR="000C528A" w:rsidRDefault="008347AA" w:rsidP="009C4D90">
            <w:pPr>
              <w:spacing w:after="120"/>
              <w:jc w:val="right"/>
            </w:pPr>
            <w:r>
              <w:t>37</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right" w:leader="dot" w:pos="9360"/>
              </w:tabs>
              <w:spacing w:after="120"/>
              <w:ind w:left="1296" w:hanging="216"/>
              <w:rPr>
                <w:spacing w:val="60"/>
                <w:sz w:val="17"/>
              </w:rPr>
            </w:pPr>
            <w:r>
              <w:tab/>
              <w:t>Recommendation 3: Constitutional and Legislative Protection of Women from Discrimination</w:t>
            </w:r>
            <w:r>
              <w:rPr>
                <w:spacing w:val="60"/>
                <w:sz w:val="17"/>
              </w:rPr>
              <w:tab/>
            </w:r>
          </w:p>
        </w:tc>
        <w:tc>
          <w:tcPr>
            <w:tcW w:w="533" w:type="dxa"/>
            <w:shd w:val="clear" w:color="auto" w:fill="auto"/>
            <w:vAlign w:val="bottom"/>
          </w:tcPr>
          <w:p w:rsidR="000C528A" w:rsidRDefault="008347AA" w:rsidP="009C4D90">
            <w:pPr>
              <w:spacing w:after="120"/>
              <w:jc w:val="right"/>
            </w:pPr>
            <w:r>
              <w:t>37</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Recommendation 4: Legislative Framework</w:t>
            </w:r>
            <w:r>
              <w:rPr>
                <w:spacing w:val="60"/>
                <w:sz w:val="17"/>
              </w:rPr>
              <w:tab/>
            </w:r>
          </w:p>
        </w:tc>
        <w:tc>
          <w:tcPr>
            <w:tcW w:w="533" w:type="dxa"/>
            <w:shd w:val="clear" w:color="auto" w:fill="auto"/>
            <w:vAlign w:val="bottom"/>
          </w:tcPr>
          <w:p w:rsidR="000C528A" w:rsidRDefault="008347AA" w:rsidP="009C4D90">
            <w:pPr>
              <w:spacing w:after="120"/>
              <w:jc w:val="right"/>
            </w:pPr>
            <w:r>
              <w:t>37</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hanging="216"/>
              <w:rPr>
                <w:spacing w:val="60"/>
                <w:sz w:val="17"/>
              </w:rPr>
            </w:pPr>
            <w:r>
              <w:tab/>
              <w:t>Recommendation 5: National machinery for the Advancement of Women</w:t>
            </w:r>
            <w:r>
              <w:rPr>
                <w:spacing w:val="60"/>
                <w:sz w:val="17"/>
              </w:rPr>
              <w:tab/>
            </w:r>
          </w:p>
        </w:tc>
        <w:tc>
          <w:tcPr>
            <w:tcW w:w="533" w:type="dxa"/>
            <w:shd w:val="clear" w:color="auto" w:fill="auto"/>
            <w:vAlign w:val="bottom"/>
          </w:tcPr>
          <w:p w:rsidR="000C528A" w:rsidRDefault="008347AA" w:rsidP="009C4D90">
            <w:pPr>
              <w:spacing w:after="120"/>
              <w:jc w:val="right"/>
            </w:pPr>
            <w:r>
              <w:t>37</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216"/>
              <w:rPr>
                <w:spacing w:val="60"/>
                <w:sz w:val="17"/>
              </w:rPr>
            </w:pPr>
            <w:r>
              <w:tab/>
              <w:t>Recommendation 6: Temporary Special Measures</w:t>
            </w:r>
            <w:r>
              <w:rPr>
                <w:spacing w:val="60"/>
                <w:sz w:val="17"/>
              </w:rPr>
              <w:tab/>
            </w:r>
          </w:p>
        </w:tc>
        <w:tc>
          <w:tcPr>
            <w:tcW w:w="533" w:type="dxa"/>
            <w:shd w:val="clear" w:color="auto" w:fill="auto"/>
            <w:vAlign w:val="bottom"/>
          </w:tcPr>
          <w:p w:rsidR="000C528A" w:rsidRDefault="008347AA" w:rsidP="009C4D90">
            <w:pPr>
              <w:spacing w:after="120"/>
              <w:jc w:val="right"/>
            </w:pPr>
            <w:r>
              <w:t>37</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216"/>
              <w:rPr>
                <w:spacing w:val="60"/>
                <w:sz w:val="17"/>
              </w:rPr>
            </w:pPr>
            <w:r>
              <w:tab/>
              <w:t>Recommendation 7: Stereotypes and harmful practices</w:t>
            </w:r>
            <w:r>
              <w:rPr>
                <w:spacing w:val="60"/>
                <w:sz w:val="17"/>
              </w:rPr>
              <w:tab/>
            </w:r>
          </w:p>
        </w:tc>
        <w:tc>
          <w:tcPr>
            <w:tcW w:w="533" w:type="dxa"/>
            <w:shd w:val="clear" w:color="auto" w:fill="auto"/>
            <w:vAlign w:val="bottom"/>
          </w:tcPr>
          <w:p w:rsidR="000C528A" w:rsidRDefault="008347AA" w:rsidP="009C4D90">
            <w:pPr>
              <w:spacing w:after="120"/>
              <w:jc w:val="right"/>
            </w:pPr>
            <w:r>
              <w:t>38</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Recommendation 8: Violence against Women</w:t>
            </w:r>
            <w:r>
              <w:rPr>
                <w:spacing w:val="60"/>
                <w:sz w:val="17"/>
              </w:rPr>
              <w:tab/>
            </w:r>
          </w:p>
        </w:tc>
        <w:tc>
          <w:tcPr>
            <w:tcW w:w="533" w:type="dxa"/>
            <w:shd w:val="clear" w:color="auto" w:fill="auto"/>
            <w:vAlign w:val="bottom"/>
          </w:tcPr>
          <w:p w:rsidR="000C528A" w:rsidRDefault="008347AA" w:rsidP="009C4D90">
            <w:pPr>
              <w:spacing w:after="120"/>
              <w:jc w:val="right"/>
            </w:pPr>
            <w:r>
              <w:t>38</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216"/>
              <w:rPr>
                <w:spacing w:val="60"/>
                <w:sz w:val="17"/>
              </w:rPr>
            </w:pPr>
            <w:r>
              <w:tab/>
              <w:t>Recommendation 9: Trafficking and exploitation of prostitution</w:t>
            </w:r>
            <w:r>
              <w:rPr>
                <w:spacing w:val="60"/>
                <w:sz w:val="17"/>
              </w:rPr>
              <w:tab/>
            </w:r>
          </w:p>
        </w:tc>
        <w:tc>
          <w:tcPr>
            <w:tcW w:w="533" w:type="dxa"/>
            <w:shd w:val="clear" w:color="auto" w:fill="auto"/>
            <w:vAlign w:val="bottom"/>
          </w:tcPr>
          <w:p w:rsidR="000C528A" w:rsidRDefault="008347AA" w:rsidP="009C4D90">
            <w:pPr>
              <w:spacing w:after="120"/>
              <w:jc w:val="right"/>
            </w:pPr>
            <w:r>
              <w:t>38</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216"/>
              <w:rPr>
                <w:spacing w:val="60"/>
                <w:sz w:val="17"/>
              </w:rPr>
            </w:pPr>
            <w:r>
              <w:tab/>
              <w:t>Recommendation 10: Participation in political and public life</w:t>
            </w:r>
            <w:r>
              <w:rPr>
                <w:spacing w:val="60"/>
                <w:sz w:val="17"/>
              </w:rPr>
              <w:tab/>
            </w:r>
          </w:p>
        </w:tc>
        <w:tc>
          <w:tcPr>
            <w:tcW w:w="533" w:type="dxa"/>
            <w:shd w:val="clear" w:color="auto" w:fill="auto"/>
            <w:vAlign w:val="bottom"/>
          </w:tcPr>
          <w:p w:rsidR="000C528A" w:rsidRDefault="008347AA" w:rsidP="009C4D90">
            <w:pPr>
              <w:spacing w:after="120"/>
              <w:jc w:val="right"/>
            </w:pPr>
            <w:r>
              <w:t>38</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11: Nationality</w:t>
            </w:r>
            <w:r>
              <w:rPr>
                <w:spacing w:val="60"/>
                <w:sz w:val="17"/>
              </w:rPr>
              <w:tab/>
            </w:r>
          </w:p>
        </w:tc>
        <w:tc>
          <w:tcPr>
            <w:tcW w:w="533" w:type="dxa"/>
            <w:shd w:val="clear" w:color="auto" w:fill="auto"/>
            <w:vAlign w:val="bottom"/>
          </w:tcPr>
          <w:p w:rsidR="000C528A" w:rsidRDefault="008347AA" w:rsidP="009C4D90">
            <w:pPr>
              <w:spacing w:after="120"/>
              <w:jc w:val="right"/>
            </w:pPr>
            <w:r>
              <w:t>38</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Recommendation 12: Education</w:t>
            </w:r>
            <w:r>
              <w:rPr>
                <w:spacing w:val="60"/>
                <w:sz w:val="17"/>
              </w:rPr>
              <w:tab/>
            </w:r>
          </w:p>
        </w:tc>
        <w:tc>
          <w:tcPr>
            <w:tcW w:w="533" w:type="dxa"/>
            <w:shd w:val="clear" w:color="auto" w:fill="auto"/>
            <w:vAlign w:val="bottom"/>
          </w:tcPr>
          <w:p w:rsidR="000C528A" w:rsidRDefault="008347AA" w:rsidP="009C4D90">
            <w:pPr>
              <w:spacing w:after="120"/>
              <w:jc w:val="right"/>
            </w:pPr>
            <w:r>
              <w:t>38</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lastRenderedPageBreak/>
              <w:tab/>
              <w:t>Recommendation 13: Employment</w:t>
            </w:r>
            <w:r>
              <w:rPr>
                <w:spacing w:val="60"/>
                <w:sz w:val="17"/>
              </w:rPr>
              <w:tab/>
            </w:r>
          </w:p>
        </w:tc>
        <w:tc>
          <w:tcPr>
            <w:tcW w:w="533" w:type="dxa"/>
            <w:shd w:val="clear" w:color="auto" w:fill="auto"/>
            <w:vAlign w:val="bottom"/>
          </w:tcPr>
          <w:p w:rsidR="000C528A" w:rsidRDefault="008347AA" w:rsidP="009C4D90">
            <w:pPr>
              <w:spacing w:after="120"/>
              <w:jc w:val="right"/>
            </w:pPr>
            <w:r>
              <w:t>38</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right" w:leader="dot" w:pos="9360"/>
              </w:tabs>
              <w:spacing w:after="120"/>
              <w:ind w:left="1296" w:hanging="216"/>
              <w:rPr>
                <w:spacing w:val="60"/>
                <w:sz w:val="17"/>
              </w:rPr>
            </w:pPr>
            <w:r>
              <w:tab/>
              <w:t>Recommendation 14: Health</w:t>
            </w:r>
            <w:r>
              <w:rPr>
                <w:spacing w:val="60"/>
                <w:sz w:val="17"/>
              </w:rPr>
              <w:tab/>
            </w:r>
          </w:p>
        </w:tc>
        <w:tc>
          <w:tcPr>
            <w:tcW w:w="533" w:type="dxa"/>
            <w:shd w:val="clear" w:color="auto" w:fill="auto"/>
            <w:vAlign w:val="bottom"/>
          </w:tcPr>
          <w:p w:rsidR="000C528A" w:rsidRDefault="008347AA" w:rsidP="009C4D90">
            <w:pPr>
              <w:spacing w:after="120"/>
              <w:jc w:val="right"/>
            </w:pPr>
            <w:r>
              <w:t>38</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216"/>
              <w:rPr>
                <w:spacing w:val="60"/>
                <w:sz w:val="17"/>
              </w:rPr>
            </w:pPr>
            <w:r>
              <w:tab/>
              <w:t>Recommendation 15: Marriage and Family Relations</w:t>
            </w:r>
            <w:r>
              <w:rPr>
                <w:spacing w:val="60"/>
                <w:sz w:val="17"/>
              </w:rPr>
              <w:tab/>
            </w:r>
          </w:p>
        </w:tc>
        <w:tc>
          <w:tcPr>
            <w:tcW w:w="533" w:type="dxa"/>
            <w:shd w:val="clear" w:color="auto" w:fill="auto"/>
            <w:vAlign w:val="bottom"/>
          </w:tcPr>
          <w:p w:rsidR="000C528A" w:rsidRDefault="008347AA" w:rsidP="009C4D90">
            <w:pPr>
              <w:spacing w:after="120"/>
              <w:jc w:val="right"/>
            </w:pPr>
            <w:r>
              <w:t>38</w:t>
            </w:r>
          </w:p>
        </w:tc>
      </w:tr>
      <w:tr w:rsidR="000C528A" w:rsidRPr="009C4D90" w:rsidTr="009C4D90">
        <w:tc>
          <w:tcPr>
            <w:tcW w:w="9369" w:type="dxa"/>
            <w:gridSpan w:val="3"/>
            <w:shd w:val="clear" w:color="auto" w:fill="auto"/>
          </w:tcPr>
          <w:p w:rsidR="000C528A" w:rsidRPr="000C528A" w:rsidRDefault="000C528A" w:rsidP="000C52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216"/>
              <w:rPr>
                <w:spacing w:val="60"/>
                <w:sz w:val="17"/>
              </w:rPr>
            </w:pPr>
            <w:r>
              <w:tab/>
              <w:t>Recommendation 16: National human rights institution</w:t>
            </w:r>
            <w:r>
              <w:rPr>
                <w:spacing w:val="60"/>
                <w:sz w:val="17"/>
              </w:rPr>
              <w:tab/>
            </w:r>
          </w:p>
        </w:tc>
        <w:tc>
          <w:tcPr>
            <w:tcW w:w="533" w:type="dxa"/>
            <w:shd w:val="clear" w:color="auto" w:fill="auto"/>
            <w:vAlign w:val="bottom"/>
          </w:tcPr>
          <w:p w:rsidR="000C528A" w:rsidRDefault="008347AA" w:rsidP="009C4D90">
            <w:pPr>
              <w:spacing w:after="120"/>
              <w:jc w:val="right"/>
            </w:pPr>
            <w:r>
              <w:t>39</w:t>
            </w:r>
          </w:p>
        </w:tc>
      </w:tr>
      <w:tr w:rsidR="000C528A" w:rsidRPr="009C4D90" w:rsidTr="009C4D90">
        <w:tc>
          <w:tcPr>
            <w:tcW w:w="9369" w:type="dxa"/>
            <w:gridSpan w:val="3"/>
            <w:shd w:val="clear" w:color="auto" w:fill="auto"/>
          </w:tcPr>
          <w:p w:rsidR="000C528A" w:rsidRPr="00946D58" w:rsidRDefault="000C528A" w:rsidP="00946D5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hanging="216"/>
              <w:rPr>
                <w:spacing w:val="60"/>
                <w:sz w:val="17"/>
              </w:rPr>
            </w:pPr>
            <w:r>
              <w:tab/>
              <w:t>Recommendation 17: Optional Protocol</w:t>
            </w:r>
            <w:r w:rsidR="00946D58">
              <w:rPr>
                <w:spacing w:val="60"/>
                <w:sz w:val="17"/>
              </w:rPr>
              <w:tab/>
            </w:r>
          </w:p>
        </w:tc>
        <w:tc>
          <w:tcPr>
            <w:tcW w:w="533" w:type="dxa"/>
            <w:shd w:val="clear" w:color="auto" w:fill="auto"/>
            <w:vAlign w:val="bottom"/>
          </w:tcPr>
          <w:p w:rsidR="000C528A" w:rsidRDefault="008347AA" w:rsidP="009C4D90">
            <w:pPr>
              <w:spacing w:after="120"/>
              <w:jc w:val="right"/>
            </w:pPr>
            <w:r>
              <w:t>39</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216"/>
              <w:rPr>
                <w:spacing w:val="60"/>
                <w:sz w:val="17"/>
              </w:rPr>
            </w:pPr>
            <w:r>
              <w:tab/>
              <w:t>Recommendation 18: Beijing Declaration and Platform for Action</w:t>
            </w:r>
            <w:r>
              <w:rPr>
                <w:spacing w:val="60"/>
                <w:sz w:val="17"/>
              </w:rPr>
              <w:tab/>
            </w:r>
          </w:p>
        </w:tc>
        <w:tc>
          <w:tcPr>
            <w:tcW w:w="533" w:type="dxa"/>
            <w:shd w:val="clear" w:color="auto" w:fill="auto"/>
            <w:vAlign w:val="bottom"/>
          </w:tcPr>
          <w:p w:rsidR="00946D58" w:rsidRDefault="008347AA" w:rsidP="009C4D90">
            <w:pPr>
              <w:spacing w:after="120"/>
              <w:jc w:val="right"/>
            </w:pPr>
            <w:r>
              <w:t>39</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216"/>
              <w:rPr>
                <w:spacing w:val="60"/>
                <w:sz w:val="17"/>
              </w:rPr>
            </w:pPr>
            <w:r>
              <w:tab/>
              <w:t>Recommendation 19: Millennium Development Goals</w:t>
            </w:r>
            <w:r>
              <w:rPr>
                <w:spacing w:val="60"/>
                <w:sz w:val="17"/>
              </w:rPr>
              <w:tab/>
            </w:r>
          </w:p>
        </w:tc>
        <w:tc>
          <w:tcPr>
            <w:tcW w:w="533" w:type="dxa"/>
            <w:shd w:val="clear" w:color="auto" w:fill="auto"/>
            <w:vAlign w:val="bottom"/>
          </w:tcPr>
          <w:p w:rsidR="00946D58" w:rsidRDefault="008347AA" w:rsidP="009C4D90">
            <w:pPr>
              <w:spacing w:after="120"/>
              <w:jc w:val="right"/>
            </w:pPr>
            <w:r>
              <w:t>39</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hanging="216"/>
              <w:rPr>
                <w:spacing w:val="60"/>
                <w:sz w:val="17"/>
              </w:rPr>
            </w:pPr>
            <w:r>
              <w:tab/>
              <w:t>Recommendation 20: Dissemination</w:t>
            </w:r>
            <w:r>
              <w:rPr>
                <w:spacing w:val="60"/>
                <w:sz w:val="17"/>
              </w:rPr>
              <w:tab/>
            </w:r>
          </w:p>
        </w:tc>
        <w:tc>
          <w:tcPr>
            <w:tcW w:w="533" w:type="dxa"/>
            <w:shd w:val="clear" w:color="auto" w:fill="auto"/>
            <w:vAlign w:val="bottom"/>
          </w:tcPr>
          <w:p w:rsidR="00946D58" w:rsidRDefault="008347AA" w:rsidP="009C4D90">
            <w:pPr>
              <w:spacing w:after="120"/>
              <w:jc w:val="right"/>
            </w:pPr>
            <w:r>
              <w:t>39</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216"/>
              <w:rPr>
                <w:spacing w:val="60"/>
                <w:sz w:val="17"/>
              </w:rPr>
            </w:pPr>
            <w:r>
              <w:tab/>
              <w:t>Recommendation 21: Ratification of other treaties</w:t>
            </w:r>
            <w:r>
              <w:rPr>
                <w:spacing w:val="60"/>
                <w:sz w:val="17"/>
              </w:rPr>
              <w:tab/>
            </w:r>
          </w:p>
        </w:tc>
        <w:tc>
          <w:tcPr>
            <w:tcW w:w="533" w:type="dxa"/>
            <w:shd w:val="clear" w:color="auto" w:fill="auto"/>
            <w:vAlign w:val="bottom"/>
          </w:tcPr>
          <w:p w:rsidR="00946D58" w:rsidRDefault="008347AA" w:rsidP="009C4D90">
            <w:pPr>
              <w:spacing w:after="120"/>
              <w:jc w:val="right"/>
            </w:pPr>
            <w:r>
              <w:t>40</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216"/>
              <w:rPr>
                <w:spacing w:val="60"/>
                <w:sz w:val="17"/>
              </w:rPr>
            </w:pPr>
            <w:r>
              <w:tab/>
              <w:t>Recommendation 22: Follow-up to concluding observations</w:t>
            </w:r>
            <w:r>
              <w:rPr>
                <w:spacing w:val="60"/>
                <w:sz w:val="17"/>
              </w:rPr>
              <w:tab/>
            </w:r>
          </w:p>
        </w:tc>
        <w:tc>
          <w:tcPr>
            <w:tcW w:w="533" w:type="dxa"/>
            <w:shd w:val="clear" w:color="auto" w:fill="auto"/>
            <w:vAlign w:val="bottom"/>
          </w:tcPr>
          <w:p w:rsidR="00946D58" w:rsidRDefault="008347AA" w:rsidP="009C4D90">
            <w:pPr>
              <w:spacing w:after="120"/>
              <w:jc w:val="right"/>
            </w:pPr>
            <w:r>
              <w:t>40</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Recommendation 23: Technical Assistance</w:t>
            </w:r>
            <w:r>
              <w:rPr>
                <w:spacing w:val="60"/>
                <w:sz w:val="17"/>
              </w:rPr>
              <w:tab/>
            </w:r>
          </w:p>
        </w:tc>
        <w:tc>
          <w:tcPr>
            <w:tcW w:w="533" w:type="dxa"/>
            <w:shd w:val="clear" w:color="auto" w:fill="auto"/>
            <w:vAlign w:val="bottom"/>
          </w:tcPr>
          <w:p w:rsidR="00946D58" w:rsidRDefault="008347AA" w:rsidP="009C4D90">
            <w:pPr>
              <w:spacing w:after="120"/>
              <w:jc w:val="right"/>
            </w:pPr>
            <w:r>
              <w:t>40</w:t>
            </w:r>
          </w:p>
        </w:tc>
      </w:tr>
      <w:tr w:rsidR="00946D58" w:rsidRPr="009C4D90" w:rsidTr="009C4D90">
        <w:tc>
          <w:tcPr>
            <w:tcW w:w="9369" w:type="dxa"/>
            <w:gridSpan w:val="3"/>
            <w:shd w:val="clear" w:color="auto" w:fill="auto"/>
          </w:tcPr>
          <w:p w:rsid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pPr>
            <w:r>
              <w:t>List of tables</w:t>
            </w:r>
          </w:p>
        </w:tc>
        <w:tc>
          <w:tcPr>
            <w:tcW w:w="533" w:type="dxa"/>
            <w:shd w:val="clear" w:color="auto" w:fill="auto"/>
            <w:vAlign w:val="bottom"/>
          </w:tcPr>
          <w:p w:rsidR="00946D58" w:rsidRDefault="00946D58" w:rsidP="009C4D90">
            <w:pPr>
              <w:spacing w:after="120"/>
              <w:jc w:val="right"/>
            </w:pP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216"/>
              <w:rPr>
                <w:spacing w:val="60"/>
                <w:sz w:val="17"/>
              </w:rPr>
            </w:pPr>
            <w:r>
              <w:tab/>
              <w:t>Table 1: Private dwellings by sex of head of household, 2014</w:t>
            </w:r>
            <w:r>
              <w:rPr>
                <w:spacing w:val="60"/>
                <w:sz w:val="17"/>
              </w:rPr>
              <w:tab/>
            </w:r>
          </w:p>
        </w:tc>
        <w:tc>
          <w:tcPr>
            <w:tcW w:w="533" w:type="dxa"/>
            <w:shd w:val="clear" w:color="auto" w:fill="auto"/>
            <w:vAlign w:val="bottom"/>
          </w:tcPr>
          <w:p w:rsidR="00946D58" w:rsidRDefault="008347AA" w:rsidP="009C4D90">
            <w:pPr>
              <w:spacing w:after="120"/>
              <w:jc w:val="right"/>
            </w:pPr>
            <w:r>
              <w:t>13</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216"/>
              <w:rPr>
                <w:spacing w:val="60"/>
                <w:sz w:val="17"/>
              </w:rPr>
            </w:pPr>
            <w:r>
              <w:tab/>
              <w:t>Table 2: Representation of women — Parliament, 2012</w:t>
            </w:r>
            <w:r>
              <w:rPr>
                <w:spacing w:val="60"/>
                <w:sz w:val="17"/>
              </w:rPr>
              <w:tab/>
            </w:r>
          </w:p>
        </w:tc>
        <w:tc>
          <w:tcPr>
            <w:tcW w:w="533" w:type="dxa"/>
            <w:shd w:val="clear" w:color="auto" w:fill="auto"/>
            <w:vAlign w:val="bottom"/>
          </w:tcPr>
          <w:p w:rsidR="00946D58" w:rsidRDefault="008347AA" w:rsidP="009C4D90">
            <w:pPr>
              <w:spacing w:after="120"/>
              <w:jc w:val="right"/>
            </w:pPr>
            <w:r>
              <w:t>18</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hanging="216"/>
              <w:rPr>
                <w:spacing w:val="60"/>
                <w:sz w:val="17"/>
              </w:rPr>
            </w:pPr>
            <w:r>
              <w:tab/>
              <w:t>Table 3: Women in key positions in Parliament, 2016</w:t>
            </w:r>
            <w:r>
              <w:rPr>
                <w:spacing w:val="60"/>
                <w:sz w:val="17"/>
              </w:rPr>
              <w:tab/>
            </w:r>
          </w:p>
        </w:tc>
        <w:tc>
          <w:tcPr>
            <w:tcW w:w="533" w:type="dxa"/>
            <w:shd w:val="clear" w:color="auto" w:fill="auto"/>
            <w:vAlign w:val="bottom"/>
          </w:tcPr>
          <w:p w:rsidR="00946D58" w:rsidRDefault="008347AA" w:rsidP="009C4D90">
            <w:pPr>
              <w:spacing w:after="120"/>
              <w:jc w:val="right"/>
            </w:pPr>
            <w:r>
              <w:t>18</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216"/>
              <w:rPr>
                <w:spacing w:val="60"/>
                <w:sz w:val="17"/>
              </w:rPr>
            </w:pPr>
            <w:r>
              <w:tab/>
              <w:t>Table 4: Representation of women — Trade Unions, 2014</w:t>
            </w:r>
            <w:r>
              <w:rPr>
                <w:spacing w:val="60"/>
                <w:sz w:val="17"/>
              </w:rPr>
              <w:tab/>
            </w:r>
          </w:p>
        </w:tc>
        <w:tc>
          <w:tcPr>
            <w:tcW w:w="533" w:type="dxa"/>
            <w:shd w:val="clear" w:color="auto" w:fill="auto"/>
            <w:vAlign w:val="bottom"/>
          </w:tcPr>
          <w:p w:rsidR="00946D58" w:rsidRDefault="008347AA" w:rsidP="009C4D90">
            <w:pPr>
              <w:spacing w:after="120"/>
              <w:jc w:val="right"/>
            </w:pPr>
            <w:r>
              <w:t>19</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216"/>
              <w:rPr>
                <w:spacing w:val="60"/>
                <w:sz w:val="17"/>
              </w:rPr>
            </w:pPr>
            <w:r>
              <w:tab/>
              <w:t>Table 5: Government scholarship awarded by sex, 2012-2015</w:t>
            </w:r>
            <w:r>
              <w:rPr>
                <w:spacing w:val="60"/>
                <w:sz w:val="17"/>
              </w:rPr>
              <w:tab/>
            </w:r>
          </w:p>
        </w:tc>
        <w:tc>
          <w:tcPr>
            <w:tcW w:w="533" w:type="dxa"/>
            <w:shd w:val="clear" w:color="auto" w:fill="auto"/>
            <w:vAlign w:val="bottom"/>
          </w:tcPr>
          <w:p w:rsidR="00946D58" w:rsidRDefault="008347AA" w:rsidP="009C4D90">
            <w:pPr>
              <w:spacing w:after="120"/>
              <w:jc w:val="right"/>
            </w:pPr>
            <w:r>
              <w:t>23</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right" w:leader="dot" w:pos="9360"/>
              </w:tabs>
              <w:spacing w:after="120"/>
              <w:ind w:left="1296" w:hanging="216"/>
              <w:rPr>
                <w:spacing w:val="60"/>
                <w:sz w:val="17"/>
              </w:rPr>
            </w:pPr>
            <w:r>
              <w:tab/>
              <w:t>Table 6: Scholarships, grants, and other awards (public and private) available to students at the College of The Bahamas by sex, 2012-2015</w:t>
            </w:r>
            <w:r>
              <w:rPr>
                <w:spacing w:val="60"/>
                <w:sz w:val="17"/>
              </w:rPr>
              <w:tab/>
            </w:r>
          </w:p>
        </w:tc>
        <w:tc>
          <w:tcPr>
            <w:tcW w:w="533" w:type="dxa"/>
            <w:shd w:val="clear" w:color="auto" w:fill="auto"/>
            <w:vAlign w:val="bottom"/>
          </w:tcPr>
          <w:p w:rsidR="00946D58" w:rsidRDefault="008347AA" w:rsidP="009C4D90">
            <w:pPr>
              <w:spacing w:after="120"/>
              <w:jc w:val="right"/>
            </w:pPr>
            <w:r>
              <w:t>24</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216"/>
              <w:rPr>
                <w:spacing w:val="60"/>
                <w:sz w:val="17"/>
              </w:rPr>
            </w:pPr>
            <w:r>
              <w:tab/>
              <w:t>Table 7: Gerace Scholarship awarded by sex, 2012-2015</w:t>
            </w:r>
            <w:r>
              <w:rPr>
                <w:spacing w:val="60"/>
                <w:sz w:val="17"/>
              </w:rPr>
              <w:tab/>
            </w:r>
          </w:p>
        </w:tc>
        <w:tc>
          <w:tcPr>
            <w:tcW w:w="533" w:type="dxa"/>
            <w:shd w:val="clear" w:color="auto" w:fill="auto"/>
            <w:vAlign w:val="bottom"/>
          </w:tcPr>
          <w:p w:rsidR="00946D58" w:rsidRDefault="008347AA" w:rsidP="009C4D90">
            <w:pPr>
              <w:spacing w:after="120"/>
              <w:jc w:val="right"/>
            </w:pPr>
            <w:r>
              <w:t>25</w:t>
            </w:r>
          </w:p>
        </w:tc>
      </w:tr>
      <w:tr w:rsidR="00946D58" w:rsidRPr="009C4D90" w:rsidTr="009C4D90">
        <w:tc>
          <w:tcPr>
            <w:tcW w:w="9369" w:type="dxa"/>
            <w:gridSpan w:val="3"/>
            <w:shd w:val="clear" w:color="auto" w:fill="auto"/>
          </w:tcPr>
          <w:p w:rsid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216"/>
            </w:pPr>
            <w:r>
              <w:tab/>
              <w:t>Table 8: Technical Cadet Corps Programme Scholarships Awards Review by sex, 2011-2015</w:t>
            </w:r>
          </w:p>
        </w:tc>
        <w:tc>
          <w:tcPr>
            <w:tcW w:w="533" w:type="dxa"/>
            <w:shd w:val="clear" w:color="auto" w:fill="auto"/>
            <w:vAlign w:val="bottom"/>
          </w:tcPr>
          <w:p w:rsidR="00946D58" w:rsidRDefault="008347AA" w:rsidP="009C4D90">
            <w:pPr>
              <w:spacing w:after="120"/>
              <w:jc w:val="right"/>
            </w:pPr>
            <w:r>
              <w:t>25</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hanging="216"/>
              <w:rPr>
                <w:spacing w:val="60"/>
                <w:sz w:val="17"/>
              </w:rPr>
            </w:pPr>
            <w:r>
              <w:tab/>
              <w:t>Table 9: Public teachers in The Bahamas by sex, 2010-2013</w:t>
            </w:r>
            <w:r>
              <w:rPr>
                <w:spacing w:val="60"/>
                <w:sz w:val="17"/>
              </w:rPr>
              <w:tab/>
            </w:r>
          </w:p>
        </w:tc>
        <w:tc>
          <w:tcPr>
            <w:tcW w:w="533" w:type="dxa"/>
            <w:shd w:val="clear" w:color="auto" w:fill="auto"/>
            <w:vAlign w:val="bottom"/>
          </w:tcPr>
          <w:p w:rsidR="00946D58" w:rsidRDefault="008347AA" w:rsidP="009C4D90">
            <w:pPr>
              <w:spacing w:after="120"/>
              <w:jc w:val="right"/>
            </w:pPr>
            <w:r>
              <w:t>26</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right" w:leader="dot" w:pos="9360"/>
              </w:tabs>
              <w:spacing w:after="120"/>
              <w:ind w:left="1296" w:hanging="216"/>
              <w:rPr>
                <w:spacing w:val="60"/>
                <w:sz w:val="17"/>
              </w:rPr>
            </w:pPr>
            <w:r>
              <w:tab/>
              <w:t>Table 10: Percentage of women graduating from the College of The Bahamas by fields of study January 2011-March 2016</w:t>
            </w:r>
            <w:r>
              <w:rPr>
                <w:spacing w:val="60"/>
                <w:sz w:val="17"/>
              </w:rPr>
              <w:tab/>
            </w:r>
          </w:p>
        </w:tc>
        <w:tc>
          <w:tcPr>
            <w:tcW w:w="533" w:type="dxa"/>
            <w:shd w:val="clear" w:color="auto" w:fill="auto"/>
            <w:vAlign w:val="bottom"/>
          </w:tcPr>
          <w:p w:rsidR="00946D58" w:rsidRDefault="008347AA" w:rsidP="009C4D90">
            <w:pPr>
              <w:spacing w:after="120"/>
              <w:jc w:val="right"/>
            </w:pPr>
            <w:r>
              <w:t>27</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right" w:leader="dot" w:pos="9360"/>
              </w:tabs>
              <w:spacing w:after="120"/>
              <w:ind w:left="1296" w:hanging="216"/>
              <w:rPr>
                <w:spacing w:val="60"/>
                <w:sz w:val="17"/>
              </w:rPr>
            </w:pPr>
            <w:r>
              <w:tab/>
              <w:t>Table 11: Percentage of women graduating from the Bahamas Technical and Vocational Institute 2013-2014</w:t>
            </w:r>
            <w:r>
              <w:rPr>
                <w:spacing w:val="60"/>
                <w:sz w:val="17"/>
              </w:rPr>
              <w:tab/>
            </w:r>
          </w:p>
        </w:tc>
        <w:tc>
          <w:tcPr>
            <w:tcW w:w="533" w:type="dxa"/>
            <w:shd w:val="clear" w:color="auto" w:fill="auto"/>
            <w:vAlign w:val="bottom"/>
          </w:tcPr>
          <w:p w:rsidR="00946D58" w:rsidRDefault="008347AA" w:rsidP="009C4D90">
            <w:pPr>
              <w:spacing w:after="120"/>
              <w:jc w:val="right"/>
            </w:pPr>
            <w:r>
              <w:t>27</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hanging="216"/>
              <w:rPr>
                <w:spacing w:val="60"/>
                <w:sz w:val="17"/>
              </w:rPr>
            </w:pPr>
            <w:r>
              <w:tab/>
              <w:t>Table 12: Employed persons by sex and industrial group, November 2015 — All Bahamas</w:t>
            </w:r>
            <w:r>
              <w:rPr>
                <w:spacing w:val="60"/>
                <w:sz w:val="17"/>
              </w:rPr>
              <w:tab/>
            </w:r>
          </w:p>
        </w:tc>
        <w:tc>
          <w:tcPr>
            <w:tcW w:w="533" w:type="dxa"/>
            <w:shd w:val="clear" w:color="auto" w:fill="auto"/>
            <w:vAlign w:val="bottom"/>
          </w:tcPr>
          <w:p w:rsidR="00946D58" w:rsidRDefault="008347AA" w:rsidP="009C4D90">
            <w:pPr>
              <w:spacing w:after="120"/>
              <w:jc w:val="right"/>
            </w:pPr>
            <w:r>
              <w:t>29</w:t>
            </w:r>
          </w:p>
        </w:tc>
      </w:tr>
      <w:tr w:rsidR="00946D58" w:rsidRPr="009C4D90" w:rsidTr="009C4D90">
        <w:tc>
          <w:tcPr>
            <w:tcW w:w="9369" w:type="dxa"/>
            <w:gridSpan w:val="3"/>
            <w:shd w:val="clear" w:color="auto" w:fill="auto"/>
          </w:tcPr>
          <w:p w:rsidR="00946D58" w:rsidRPr="00946D58" w:rsidRDefault="00946D58" w:rsidP="00946D5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hanging="216"/>
              <w:rPr>
                <w:spacing w:val="60"/>
                <w:sz w:val="17"/>
              </w:rPr>
            </w:pPr>
            <w:r>
              <w:tab/>
              <w:t>Table 13: Bahamas Employment Exchange, January 2011-December 2015</w:t>
            </w:r>
            <w:r>
              <w:rPr>
                <w:spacing w:val="60"/>
                <w:sz w:val="17"/>
              </w:rPr>
              <w:tab/>
            </w:r>
          </w:p>
        </w:tc>
        <w:tc>
          <w:tcPr>
            <w:tcW w:w="533" w:type="dxa"/>
            <w:shd w:val="clear" w:color="auto" w:fill="auto"/>
            <w:vAlign w:val="bottom"/>
          </w:tcPr>
          <w:p w:rsidR="00946D58" w:rsidRDefault="008347AA" w:rsidP="009C4D90">
            <w:pPr>
              <w:spacing w:after="120"/>
              <w:jc w:val="right"/>
            </w:pPr>
            <w:r>
              <w:t>30</w:t>
            </w:r>
          </w:p>
        </w:tc>
      </w:tr>
      <w:tr w:rsidR="00946D58" w:rsidRPr="009C4D90" w:rsidTr="009C4D90">
        <w:tc>
          <w:tcPr>
            <w:tcW w:w="9369" w:type="dxa"/>
            <w:gridSpan w:val="3"/>
            <w:shd w:val="clear" w:color="auto" w:fill="auto"/>
          </w:tcPr>
          <w:p w:rsidR="00946D58" w:rsidRPr="00314BFA" w:rsidRDefault="00946D58" w:rsidP="00314BF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216"/>
              <w:rPr>
                <w:spacing w:val="60"/>
                <w:sz w:val="17"/>
              </w:rPr>
            </w:pPr>
            <w:r>
              <w:tab/>
              <w:t>Table 14: Maternal mortality statistics for The Bahamas, 2012-2014</w:t>
            </w:r>
            <w:r w:rsidR="00314BFA">
              <w:rPr>
                <w:spacing w:val="60"/>
                <w:sz w:val="17"/>
              </w:rPr>
              <w:tab/>
            </w:r>
          </w:p>
        </w:tc>
        <w:tc>
          <w:tcPr>
            <w:tcW w:w="533" w:type="dxa"/>
            <w:shd w:val="clear" w:color="auto" w:fill="auto"/>
            <w:vAlign w:val="bottom"/>
          </w:tcPr>
          <w:p w:rsidR="00946D58" w:rsidRDefault="008347AA" w:rsidP="009C4D90">
            <w:pPr>
              <w:spacing w:after="120"/>
              <w:jc w:val="right"/>
            </w:pPr>
            <w:r>
              <w:t>32</w:t>
            </w:r>
          </w:p>
        </w:tc>
      </w:tr>
      <w:tr w:rsidR="00314BFA" w:rsidRPr="009C4D90" w:rsidTr="009C4D90">
        <w:tc>
          <w:tcPr>
            <w:tcW w:w="9369" w:type="dxa"/>
            <w:gridSpan w:val="3"/>
            <w:shd w:val="clear" w:color="auto" w:fill="auto"/>
          </w:tcPr>
          <w:p w:rsidR="00314BFA" w:rsidRPr="00314BFA" w:rsidRDefault="00314BFA" w:rsidP="00314BF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216"/>
              <w:rPr>
                <w:spacing w:val="60"/>
                <w:sz w:val="17"/>
              </w:rPr>
            </w:pPr>
            <w:r>
              <w:tab/>
              <w:t>Table 15: Female contraceptive usage, 2012-2015</w:t>
            </w:r>
            <w:r>
              <w:rPr>
                <w:spacing w:val="60"/>
                <w:sz w:val="17"/>
              </w:rPr>
              <w:tab/>
            </w:r>
          </w:p>
        </w:tc>
        <w:tc>
          <w:tcPr>
            <w:tcW w:w="533" w:type="dxa"/>
            <w:shd w:val="clear" w:color="auto" w:fill="auto"/>
            <w:vAlign w:val="bottom"/>
          </w:tcPr>
          <w:p w:rsidR="00314BFA" w:rsidRDefault="008347AA" w:rsidP="009C4D90">
            <w:pPr>
              <w:spacing w:after="120"/>
              <w:jc w:val="right"/>
            </w:pPr>
            <w:r>
              <w:t>32</w:t>
            </w:r>
          </w:p>
        </w:tc>
      </w:tr>
    </w:tbl>
    <w:p w:rsidR="009C4D90" w:rsidRDefault="009C4D90" w:rsidP="009C4D90">
      <w:pPr>
        <w:pStyle w:val="SingleTxt"/>
      </w:pPr>
      <w:r>
        <w:tab/>
      </w:r>
    </w:p>
    <w:p w:rsidR="009C4D90" w:rsidRDefault="009C4D90" w:rsidP="009C4D90">
      <w:pPr>
        <w:pStyle w:val="SingleTxt"/>
      </w:pPr>
      <w:r>
        <w:tab/>
      </w:r>
    </w:p>
    <w:p w:rsidR="009C4D90" w:rsidRDefault="009C4D90" w:rsidP="009C4D90">
      <w:pPr>
        <w:pStyle w:val="SingleTxt"/>
      </w:pPr>
      <w:r>
        <w:tab/>
      </w:r>
    </w:p>
    <w:p w:rsidR="00314BFA" w:rsidRDefault="009C4D90" w:rsidP="009C4D90">
      <w:pPr>
        <w:pStyle w:val="SingleTxt"/>
      </w:pPr>
      <w:r>
        <w:tab/>
      </w:r>
    </w:p>
    <w:p w:rsidR="00314BFA" w:rsidRDefault="00314BFA">
      <w:pPr>
        <w:suppressAutoHyphens w:val="0"/>
        <w:spacing w:after="200" w:line="276" w:lineRule="auto"/>
      </w:pPr>
      <w:r>
        <w:br w:type="page"/>
      </w:r>
    </w:p>
    <w:p w:rsidR="009C4D90" w:rsidRDefault="00314BFA" w:rsidP="00314BFA">
      <w:pPr>
        <w:pStyle w:val="TitleH1"/>
      </w:pPr>
      <w:r>
        <w:lastRenderedPageBreak/>
        <w:tab/>
      </w:r>
      <w:r>
        <w:tab/>
      </w:r>
      <w:r w:rsidRPr="00314BFA">
        <w:t>List of abbreviations</w:t>
      </w:r>
    </w:p>
    <w:p w:rsidR="00314BFA" w:rsidRPr="00314BFA" w:rsidRDefault="00314BFA" w:rsidP="00314BFA">
      <w:pPr>
        <w:pStyle w:val="SingleTxt"/>
        <w:spacing w:after="0" w:line="120" w:lineRule="exact"/>
        <w:rPr>
          <w:sz w:val="10"/>
        </w:rPr>
      </w:pPr>
    </w:p>
    <w:p w:rsidR="00314BFA" w:rsidRDefault="00314BFA" w:rsidP="00314BF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50"/>
        <w:gridCol w:w="5970"/>
      </w:tblGrid>
      <w:tr w:rsidR="00314BFA" w:rsidRPr="00314BFA" w:rsidTr="00626016">
        <w:tc>
          <w:tcPr>
            <w:tcW w:w="135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right="43"/>
              <w:rPr>
                <w:sz w:val="17"/>
              </w:rPr>
            </w:pPr>
            <w:r>
              <w:t>BAHNROP</w:t>
            </w:r>
          </w:p>
        </w:tc>
        <w:tc>
          <w:tcPr>
            <w:tcW w:w="597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left="144" w:right="43"/>
              <w:rPr>
                <w:sz w:val="17"/>
              </w:rPr>
            </w:pPr>
            <w:r w:rsidRPr="00C51EBE">
              <w:t>Bahamas Network of Rural Women Producers</w:t>
            </w:r>
          </w:p>
        </w:tc>
      </w:tr>
      <w:tr w:rsidR="00314BFA" w:rsidRPr="00314BFA" w:rsidTr="00626016">
        <w:tc>
          <w:tcPr>
            <w:tcW w:w="135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right="43"/>
              <w:rPr>
                <w:sz w:val="17"/>
              </w:rPr>
            </w:pPr>
            <w:r w:rsidRPr="00C51EBE">
              <w:t>BAIC</w:t>
            </w:r>
          </w:p>
        </w:tc>
        <w:tc>
          <w:tcPr>
            <w:tcW w:w="597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left="144" w:right="43"/>
              <w:rPr>
                <w:sz w:val="17"/>
              </w:rPr>
            </w:pPr>
            <w:r w:rsidRPr="00C51EBE">
              <w:t>Bahamas Agricultural and Industrial Corporation</w:t>
            </w:r>
          </w:p>
        </w:tc>
      </w:tr>
      <w:tr w:rsidR="00314BFA" w:rsidRPr="00314BFA" w:rsidTr="00626016">
        <w:tc>
          <w:tcPr>
            <w:tcW w:w="135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right="43"/>
              <w:rPr>
                <w:sz w:val="17"/>
              </w:rPr>
            </w:pPr>
            <w:r>
              <w:t>BASHRA</w:t>
            </w:r>
          </w:p>
        </w:tc>
        <w:tc>
          <w:tcPr>
            <w:tcW w:w="597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left="144" w:right="43"/>
              <w:rPr>
                <w:sz w:val="17"/>
              </w:rPr>
            </w:pPr>
            <w:r w:rsidRPr="00C51EBE">
              <w:t>Bahamas Sexual Rights and Reproductive Health Association</w:t>
            </w:r>
          </w:p>
        </w:tc>
      </w:tr>
      <w:tr w:rsidR="00314BFA" w:rsidRPr="00314BFA" w:rsidTr="00626016">
        <w:tc>
          <w:tcPr>
            <w:tcW w:w="135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right="43"/>
              <w:rPr>
                <w:sz w:val="17"/>
              </w:rPr>
            </w:pPr>
            <w:r>
              <w:t>BDB</w:t>
            </w:r>
          </w:p>
        </w:tc>
        <w:tc>
          <w:tcPr>
            <w:tcW w:w="597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left="144" w:right="43"/>
              <w:rPr>
                <w:sz w:val="17"/>
              </w:rPr>
            </w:pPr>
            <w:r w:rsidRPr="00C51EBE">
              <w:t>Bahamas Development Bank</w:t>
            </w:r>
          </w:p>
        </w:tc>
      </w:tr>
      <w:tr w:rsidR="00314BFA" w:rsidRPr="00314BFA" w:rsidTr="00626016">
        <w:tc>
          <w:tcPr>
            <w:tcW w:w="135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right="43"/>
              <w:rPr>
                <w:sz w:val="17"/>
              </w:rPr>
            </w:pPr>
            <w:r>
              <w:t>BEC</w:t>
            </w:r>
          </w:p>
        </w:tc>
        <w:tc>
          <w:tcPr>
            <w:tcW w:w="597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left="144" w:right="43"/>
              <w:rPr>
                <w:sz w:val="17"/>
              </w:rPr>
            </w:pPr>
            <w:r w:rsidRPr="00C51EBE">
              <w:t>Bahamas Electricity Corporation</w:t>
            </w:r>
          </w:p>
        </w:tc>
      </w:tr>
      <w:tr w:rsidR="00314BFA" w:rsidRPr="00314BFA" w:rsidTr="00626016">
        <w:tc>
          <w:tcPr>
            <w:tcW w:w="135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right="43"/>
              <w:rPr>
                <w:sz w:val="17"/>
              </w:rPr>
            </w:pPr>
            <w:r>
              <w:t>BRC</w:t>
            </w:r>
          </w:p>
        </w:tc>
        <w:tc>
          <w:tcPr>
            <w:tcW w:w="597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left="144" w:right="43"/>
              <w:rPr>
                <w:sz w:val="17"/>
              </w:rPr>
            </w:pPr>
            <w:r w:rsidRPr="00C51EBE">
              <w:t>Bahamas Red Cross</w:t>
            </w:r>
          </w:p>
        </w:tc>
      </w:tr>
      <w:tr w:rsidR="00314BFA" w:rsidRPr="00314BFA" w:rsidTr="00626016">
        <w:tc>
          <w:tcPr>
            <w:tcW w:w="135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right="43"/>
              <w:rPr>
                <w:sz w:val="17"/>
              </w:rPr>
            </w:pPr>
            <w:r>
              <w:t>BTC</w:t>
            </w:r>
          </w:p>
        </w:tc>
        <w:tc>
          <w:tcPr>
            <w:tcW w:w="597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left="144" w:right="43"/>
              <w:rPr>
                <w:sz w:val="17"/>
              </w:rPr>
            </w:pPr>
            <w:r w:rsidRPr="00C51EBE">
              <w:t>Bahamas Telecommunications Corporation</w:t>
            </w:r>
          </w:p>
        </w:tc>
      </w:tr>
      <w:tr w:rsidR="00314BFA" w:rsidRPr="00314BFA" w:rsidTr="00626016">
        <w:tc>
          <w:tcPr>
            <w:tcW w:w="135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right="43"/>
              <w:rPr>
                <w:sz w:val="17"/>
              </w:rPr>
            </w:pPr>
            <w:r>
              <w:t>BUYDC</w:t>
            </w:r>
          </w:p>
        </w:tc>
        <w:tc>
          <w:tcPr>
            <w:tcW w:w="5970" w:type="dxa"/>
            <w:shd w:val="clear" w:color="auto" w:fill="auto"/>
            <w:vAlign w:val="bottom"/>
          </w:tcPr>
          <w:p w:rsidR="00314BFA" w:rsidRPr="00314BFA" w:rsidRDefault="00314BFA" w:rsidP="00626016">
            <w:pPr>
              <w:tabs>
                <w:tab w:val="left" w:pos="288"/>
                <w:tab w:val="left" w:pos="576"/>
                <w:tab w:val="left" w:pos="864"/>
                <w:tab w:val="left" w:pos="1152"/>
              </w:tabs>
              <w:snapToGrid w:val="0"/>
              <w:spacing w:after="120"/>
              <w:ind w:left="144" w:right="43"/>
              <w:rPr>
                <w:sz w:val="17"/>
              </w:rPr>
            </w:pPr>
            <w:r w:rsidRPr="00C51EBE">
              <w:t>Bahamas Urban Youth Development Centre</w:t>
            </w:r>
          </w:p>
        </w:tc>
      </w:tr>
      <w:tr w:rsidR="00314BFA" w:rsidRPr="00314BFA" w:rsidTr="00626016">
        <w:tc>
          <w:tcPr>
            <w:tcW w:w="1350" w:type="dxa"/>
            <w:shd w:val="clear" w:color="auto" w:fill="auto"/>
          </w:tcPr>
          <w:p w:rsidR="00314BFA" w:rsidRPr="00FC0D25" w:rsidRDefault="00314BFA" w:rsidP="00626016">
            <w:pPr>
              <w:snapToGrid w:val="0"/>
              <w:spacing w:after="120"/>
            </w:pPr>
            <w:r w:rsidRPr="00FC0D25">
              <w:t xml:space="preserve">CAFRA </w:t>
            </w:r>
          </w:p>
        </w:tc>
        <w:tc>
          <w:tcPr>
            <w:tcW w:w="5970" w:type="dxa"/>
            <w:shd w:val="clear" w:color="auto" w:fill="auto"/>
          </w:tcPr>
          <w:p w:rsidR="00314BFA" w:rsidRPr="00FC0D25" w:rsidRDefault="00314BFA" w:rsidP="00626016">
            <w:pPr>
              <w:snapToGrid w:val="0"/>
              <w:spacing w:after="120"/>
              <w:ind w:left="144"/>
            </w:pPr>
            <w:r w:rsidRPr="00FC0D25">
              <w:t xml:space="preserve">Caribbean Association for Feminist Research and Action </w:t>
            </w:r>
          </w:p>
        </w:tc>
      </w:tr>
      <w:tr w:rsidR="00314BFA" w:rsidRPr="00314BFA" w:rsidTr="00626016">
        <w:tc>
          <w:tcPr>
            <w:tcW w:w="1350" w:type="dxa"/>
            <w:shd w:val="clear" w:color="auto" w:fill="auto"/>
          </w:tcPr>
          <w:p w:rsidR="00314BFA" w:rsidRPr="00E20050" w:rsidRDefault="00314BFA" w:rsidP="00626016">
            <w:pPr>
              <w:snapToGrid w:val="0"/>
              <w:spacing w:after="120"/>
            </w:pPr>
            <w:r w:rsidRPr="00E20050">
              <w:t xml:space="preserve">CANROP </w:t>
            </w:r>
          </w:p>
        </w:tc>
        <w:tc>
          <w:tcPr>
            <w:tcW w:w="5970" w:type="dxa"/>
            <w:shd w:val="clear" w:color="auto" w:fill="auto"/>
          </w:tcPr>
          <w:p w:rsidR="00314BFA" w:rsidRPr="00E20050" w:rsidRDefault="00314BFA" w:rsidP="00626016">
            <w:pPr>
              <w:snapToGrid w:val="0"/>
              <w:spacing w:after="120"/>
              <w:ind w:left="144"/>
            </w:pPr>
            <w:r w:rsidRPr="00E20050">
              <w:t>Caribbean Network of Rural Women Producers</w:t>
            </w:r>
          </w:p>
        </w:tc>
      </w:tr>
      <w:tr w:rsidR="00314BFA" w:rsidRPr="00314BFA" w:rsidTr="00626016">
        <w:tc>
          <w:tcPr>
            <w:tcW w:w="1350" w:type="dxa"/>
            <w:shd w:val="clear" w:color="auto" w:fill="auto"/>
          </w:tcPr>
          <w:p w:rsidR="00314BFA" w:rsidRPr="00E20050" w:rsidRDefault="00314BFA" w:rsidP="00626016">
            <w:pPr>
              <w:snapToGrid w:val="0"/>
              <w:spacing w:after="120"/>
            </w:pPr>
            <w:r w:rsidRPr="00E20050">
              <w:t>CCELD15</w:t>
            </w:r>
          </w:p>
        </w:tc>
        <w:tc>
          <w:tcPr>
            <w:tcW w:w="5970" w:type="dxa"/>
            <w:shd w:val="clear" w:color="auto" w:fill="auto"/>
          </w:tcPr>
          <w:p w:rsidR="00314BFA" w:rsidRPr="00E20050" w:rsidRDefault="00314BFA" w:rsidP="00626016">
            <w:pPr>
              <w:snapToGrid w:val="0"/>
              <w:spacing w:after="120"/>
              <w:ind w:left="144"/>
            </w:pPr>
            <w:r w:rsidRPr="00E20050">
              <w:t xml:space="preserve">Caribbean-Canada Emerging Leaders Dialogue </w:t>
            </w:r>
          </w:p>
        </w:tc>
      </w:tr>
      <w:tr w:rsidR="00314BFA" w:rsidRPr="00314BFA" w:rsidTr="00626016">
        <w:tc>
          <w:tcPr>
            <w:tcW w:w="1350" w:type="dxa"/>
            <w:shd w:val="clear" w:color="auto" w:fill="auto"/>
          </w:tcPr>
          <w:p w:rsidR="00314BFA" w:rsidRPr="00E20050" w:rsidRDefault="00314BFA" w:rsidP="00626016">
            <w:pPr>
              <w:snapToGrid w:val="0"/>
              <w:spacing w:after="120"/>
            </w:pPr>
            <w:r w:rsidRPr="00E20050">
              <w:t xml:space="preserve">CBTUC </w:t>
            </w:r>
          </w:p>
        </w:tc>
        <w:tc>
          <w:tcPr>
            <w:tcW w:w="5970" w:type="dxa"/>
            <w:shd w:val="clear" w:color="auto" w:fill="auto"/>
          </w:tcPr>
          <w:p w:rsidR="00314BFA" w:rsidRPr="00E20050" w:rsidRDefault="00314BFA" w:rsidP="00626016">
            <w:pPr>
              <w:snapToGrid w:val="0"/>
              <w:spacing w:after="120"/>
              <w:ind w:left="144"/>
            </w:pPr>
            <w:r w:rsidRPr="00E20050">
              <w:t xml:space="preserve">Commonwealth of The Bahamas Trade Union Congress </w:t>
            </w:r>
          </w:p>
        </w:tc>
      </w:tr>
      <w:tr w:rsidR="00314BFA" w:rsidRPr="00314BFA" w:rsidTr="00626016">
        <w:tc>
          <w:tcPr>
            <w:tcW w:w="1350" w:type="dxa"/>
            <w:shd w:val="clear" w:color="auto" w:fill="auto"/>
          </w:tcPr>
          <w:p w:rsidR="00314BFA" w:rsidRPr="00E20050" w:rsidRDefault="00314BFA" w:rsidP="00626016">
            <w:pPr>
              <w:snapToGrid w:val="0"/>
              <w:spacing w:after="120"/>
            </w:pPr>
            <w:r w:rsidRPr="00E20050">
              <w:t xml:space="preserve">CSW </w:t>
            </w:r>
          </w:p>
        </w:tc>
        <w:tc>
          <w:tcPr>
            <w:tcW w:w="5970" w:type="dxa"/>
            <w:shd w:val="clear" w:color="auto" w:fill="auto"/>
          </w:tcPr>
          <w:p w:rsidR="00314BFA" w:rsidRPr="00E20050" w:rsidRDefault="00314BFA" w:rsidP="00626016">
            <w:pPr>
              <w:snapToGrid w:val="0"/>
              <w:spacing w:after="120"/>
              <w:ind w:left="144"/>
            </w:pPr>
            <w:r w:rsidRPr="00C51EBE">
              <w:t>Commission on the Status of Women</w:t>
            </w:r>
          </w:p>
        </w:tc>
      </w:tr>
      <w:tr w:rsidR="00314BFA" w:rsidRPr="00314BFA" w:rsidTr="00626016">
        <w:tc>
          <w:tcPr>
            <w:tcW w:w="1350" w:type="dxa"/>
            <w:shd w:val="clear" w:color="auto" w:fill="auto"/>
          </w:tcPr>
          <w:p w:rsidR="00314BFA" w:rsidRPr="00E20050" w:rsidRDefault="00314BFA" w:rsidP="00626016">
            <w:pPr>
              <w:snapToGrid w:val="0"/>
              <w:spacing w:after="120"/>
            </w:pPr>
            <w:r w:rsidRPr="00E20050">
              <w:t xml:space="preserve">DOI </w:t>
            </w:r>
          </w:p>
        </w:tc>
        <w:tc>
          <w:tcPr>
            <w:tcW w:w="5970" w:type="dxa"/>
            <w:shd w:val="clear" w:color="auto" w:fill="auto"/>
          </w:tcPr>
          <w:p w:rsidR="00314BFA" w:rsidRPr="00E20050" w:rsidRDefault="00314BFA" w:rsidP="00626016">
            <w:pPr>
              <w:snapToGrid w:val="0"/>
              <w:spacing w:after="120"/>
              <w:ind w:left="144"/>
            </w:pPr>
            <w:r w:rsidRPr="00C51EBE">
              <w:t>Department of Immigration</w:t>
            </w:r>
          </w:p>
        </w:tc>
      </w:tr>
      <w:tr w:rsidR="003D47CC" w:rsidRPr="00314BFA" w:rsidTr="00626016">
        <w:tc>
          <w:tcPr>
            <w:tcW w:w="1350" w:type="dxa"/>
            <w:shd w:val="clear" w:color="auto" w:fill="auto"/>
          </w:tcPr>
          <w:p w:rsidR="003D47CC" w:rsidRPr="00CE4832" w:rsidRDefault="003D47CC" w:rsidP="00626016">
            <w:pPr>
              <w:snapToGrid w:val="0"/>
              <w:spacing w:after="120"/>
            </w:pPr>
            <w:r w:rsidRPr="00CE4832">
              <w:t xml:space="preserve">DOL </w:t>
            </w:r>
          </w:p>
        </w:tc>
        <w:tc>
          <w:tcPr>
            <w:tcW w:w="5970" w:type="dxa"/>
            <w:shd w:val="clear" w:color="auto" w:fill="auto"/>
          </w:tcPr>
          <w:p w:rsidR="003D47CC" w:rsidRPr="00CE4832" w:rsidRDefault="003D47CC" w:rsidP="00626016">
            <w:pPr>
              <w:snapToGrid w:val="0"/>
              <w:spacing w:after="120"/>
              <w:ind w:left="144"/>
            </w:pPr>
            <w:r w:rsidRPr="00C51EBE">
              <w:t>Department of Labour</w:t>
            </w:r>
          </w:p>
        </w:tc>
      </w:tr>
      <w:tr w:rsidR="003D47CC" w:rsidRPr="00314BFA" w:rsidTr="00626016">
        <w:tc>
          <w:tcPr>
            <w:tcW w:w="1350" w:type="dxa"/>
            <w:shd w:val="clear" w:color="auto" w:fill="auto"/>
          </w:tcPr>
          <w:p w:rsidR="003D47CC" w:rsidRPr="00CE4832" w:rsidRDefault="003D47CC" w:rsidP="00626016">
            <w:pPr>
              <w:snapToGrid w:val="0"/>
              <w:spacing w:after="120"/>
            </w:pPr>
            <w:r w:rsidRPr="00CE4832">
              <w:t xml:space="preserve">DOSS </w:t>
            </w:r>
          </w:p>
        </w:tc>
        <w:tc>
          <w:tcPr>
            <w:tcW w:w="5970" w:type="dxa"/>
            <w:shd w:val="clear" w:color="auto" w:fill="auto"/>
          </w:tcPr>
          <w:p w:rsidR="003D47CC" w:rsidRPr="00CE4832" w:rsidRDefault="003D47CC" w:rsidP="00626016">
            <w:pPr>
              <w:snapToGrid w:val="0"/>
              <w:spacing w:after="120"/>
              <w:ind w:left="144"/>
            </w:pPr>
            <w:r w:rsidRPr="00CE4832">
              <w:t xml:space="preserve">Department of Social Services </w:t>
            </w:r>
          </w:p>
        </w:tc>
      </w:tr>
      <w:tr w:rsidR="00314BFA" w:rsidRPr="00314BFA" w:rsidTr="00626016">
        <w:tc>
          <w:tcPr>
            <w:tcW w:w="1350" w:type="dxa"/>
            <w:shd w:val="clear" w:color="auto" w:fill="auto"/>
          </w:tcPr>
          <w:p w:rsidR="00314BFA" w:rsidRPr="00E20050" w:rsidRDefault="003D47CC" w:rsidP="00626016">
            <w:pPr>
              <w:snapToGrid w:val="0"/>
              <w:spacing w:after="120"/>
            </w:pPr>
            <w:r>
              <w:t>DVCU</w:t>
            </w:r>
          </w:p>
        </w:tc>
        <w:tc>
          <w:tcPr>
            <w:tcW w:w="5970" w:type="dxa"/>
            <w:shd w:val="clear" w:color="auto" w:fill="auto"/>
          </w:tcPr>
          <w:p w:rsidR="00314BFA" w:rsidRPr="00C51EBE" w:rsidRDefault="003D47CC" w:rsidP="00626016">
            <w:pPr>
              <w:snapToGrid w:val="0"/>
              <w:spacing w:after="120"/>
              <w:ind w:left="144"/>
            </w:pPr>
            <w:r w:rsidRPr="00C51EBE">
              <w:t>Domestic Violence and Counselling Unit</w:t>
            </w:r>
          </w:p>
        </w:tc>
      </w:tr>
      <w:tr w:rsidR="00314BFA" w:rsidRPr="00314BFA" w:rsidTr="00626016">
        <w:tc>
          <w:tcPr>
            <w:tcW w:w="1350" w:type="dxa"/>
            <w:shd w:val="clear" w:color="auto" w:fill="auto"/>
          </w:tcPr>
          <w:p w:rsidR="00314BFA" w:rsidRPr="00E20050" w:rsidRDefault="003D47CC" w:rsidP="00626016">
            <w:pPr>
              <w:snapToGrid w:val="0"/>
              <w:spacing w:after="120"/>
            </w:pPr>
            <w:r>
              <w:t>EWP</w:t>
            </w:r>
          </w:p>
        </w:tc>
        <w:tc>
          <w:tcPr>
            <w:tcW w:w="5970" w:type="dxa"/>
            <w:shd w:val="clear" w:color="auto" w:fill="auto"/>
          </w:tcPr>
          <w:p w:rsidR="00314BFA" w:rsidRPr="00C51EBE" w:rsidRDefault="003D47CC" w:rsidP="00626016">
            <w:pPr>
              <w:snapToGrid w:val="0"/>
              <w:spacing w:after="120"/>
              <w:ind w:left="144"/>
            </w:pPr>
            <w:r w:rsidRPr="00C51EBE">
              <w:t>Exuma Woman Project</w:t>
            </w:r>
          </w:p>
        </w:tc>
      </w:tr>
      <w:tr w:rsidR="00314BFA" w:rsidRPr="00314BFA" w:rsidTr="00626016">
        <w:tc>
          <w:tcPr>
            <w:tcW w:w="1350" w:type="dxa"/>
            <w:shd w:val="clear" w:color="auto" w:fill="auto"/>
          </w:tcPr>
          <w:p w:rsidR="00314BFA" w:rsidRPr="00E20050" w:rsidRDefault="003D47CC" w:rsidP="00626016">
            <w:pPr>
              <w:snapToGrid w:val="0"/>
              <w:spacing w:after="120"/>
            </w:pPr>
            <w:r w:rsidRPr="00C51EBE">
              <w:t>FAO</w:t>
            </w:r>
          </w:p>
        </w:tc>
        <w:tc>
          <w:tcPr>
            <w:tcW w:w="5970" w:type="dxa"/>
            <w:shd w:val="clear" w:color="auto" w:fill="auto"/>
          </w:tcPr>
          <w:p w:rsidR="00314BFA" w:rsidRPr="00C51EBE" w:rsidRDefault="003D47CC" w:rsidP="00626016">
            <w:pPr>
              <w:snapToGrid w:val="0"/>
              <w:spacing w:after="120"/>
              <w:ind w:left="144"/>
            </w:pPr>
            <w:r w:rsidRPr="00C51EBE">
              <w:t>Food and Agriculture Organization</w:t>
            </w:r>
          </w:p>
        </w:tc>
      </w:tr>
      <w:tr w:rsidR="00314BFA" w:rsidRPr="00314BFA" w:rsidTr="00626016">
        <w:tc>
          <w:tcPr>
            <w:tcW w:w="1350" w:type="dxa"/>
            <w:shd w:val="clear" w:color="auto" w:fill="auto"/>
          </w:tcPr>
          <w:p w:rsidR="00314BFA" w:rsidRPr="00E20050" w:rsidRDefault="003D47CC" w:rsidP="00626016">
            <w:pPr>
              <w:snapToGrid w:val="0"/>
              <w:spacing w:after="120"/>
            </w:pPr>
            <w:r w:rsidRPr="00C51EBE">
              <w:t>FBOs</w:t>
            </w:r>
          </w:p>
        </w:tc>
        <w:tc>
          <w:tcPr>
            <w:tcW w:w="5970" w:type="dxa"/>
            <w:shd w:val="clear" w:color="auto" w:fill="auto"/>
          </w:tcPr>
          <w:p w:rsidR="00314BFA" w:rsidRPr="00C51EBE" w:rsidRDefault="003D47CC" w:rsidP="00626016">
            <w:pPr>
              <w:snapToGrid w:val="0"/>
              <w:spacing w:after="120"/>
              <w:ind w:left="144"/>
            </w:pPr>
            <w:r w:rsidRPr="00C51EBE">
              <w:t>Faith-Based Organizations</w:t>
            </w:r>
          </w:p>
        </w:tc>
      </w:tr>
      <w:tr w:rsidR="00314BFA" w:rsidRPr="00314BFA" w:rsidTr="00626016">
        <w:tc>
          <w:tcPr>
            <w:tcW w:w="1350" w:type="dxa"/>
            <w:shd w:val="clear" w:color="auto" w:fill="auto"/>
          </w:tcPr>
          <w:p w:rsidR="00314BFA" w:rsidRPr="00E20050" w:rsidRDefault="003D47CC" w:rsidP="00626016">
            <w:pPr>
              <w:snapToGrid w:val="0"/>
              <w:spacing w:after="120"/>
            </w:pPr>
            <w:r w:rsidRPr="00C51EBE">
              <w:t>FLHE</w:t>
            </w:r>
          </w:p>
        </w:tc>
        <w:tc>
          <w:tcPr>
            <w:tcW w:w="5970" w:type="dxa"/>
            <w:shd w:val="clear" w:color="auto" w:fill="auto"/>
          </w:tcPr>
          <w:p w:rsidR="00314BFA" w:rsidRPr="00C51EBE" w:rsidRDefault="003D47CC" w:rsidP="00626016">
            <w:pPr>
              <w:snapToGrid w:val="0"/>
              <w:spacing w:after="120"/>
              <w:ind w:left="144"/>
            </w:pPr>
            <w:r w:rsidRPr="00C51EBE">
              <w:t>Family Life and Health Education</w:t>
            </w:r>
          </w:p>
        </w:tc>
      </w:tr>
      <w:tr w:rsidR="003D47CC" w:rsidRPr="00314BFA" w:rsidTr="00626016">
        <w:tc>
          <w:tcPr>
            <w:tcW w:w="1350" w:type="dxa"/>
            <w:shd w:val="clear" w:color="auto" w:fill="auto"/>
          </w:tcPr>
          <w:p w:rsidR="003D47CC" w:rsidRPr="00C51EBE" w:rsidRDefault="003D47CC" w:rsidP="00626016">
            <w:pPr>
              <w:snapToGrid w:val="0"/>
              <w:spacing w:after="120"/>
            </w:pPr>
            <w:r w:rsidRPr="00C51EBE">
              <w:t>GII</w:t>
            </w:r>
          </w:p>
        </w:tc>
        <w:tc>
          <w:tcPr>
            <w:tcW w:w="5970" w:type="dxa"/>
            <w:shd w:val="clear" w:color="auto" w:fill="auto"/>
          </w:tcPr>
          <w:p w:rsidR="003D47CC" w:rsidRPr="00C51EBE" w:rsidRDefault="003D47CC" w:rsidP="00626016">
            <w:pPr>
              <w:snapToGrid w:val="0"/>
              <w:spacing w:after="120"/>
              <w:ind w:left="144"/>
            </w:pPr>
            <w:r w:rsidRPr="00C51EBE">
              <w:t>Gender Inequality Index</w:t>
            </w:r>
          </w:p>
        </w:tc>
      </w:tr>
      <w:tr w:rsidR="003D47CC" w:rsidRPr="00314BFA" w:rsidTr="00626016">
        <w:tc>
          <w:tcPr>
            <w:tcW w:w="1350" w:type="dxa"/>
            <w:shd w:val="clear" w:color="auto" w:fill="auto"/>
          </w:tcPr>
          <w:p w:rsidR="003D47CC" w:rsidRPr="000C7B61" w:rsidRDefault="003D47CC" w:rsidP="00626016">
            <w:pPr>
              <w:snapToGrid w:val="0"/>
              <w:spacing w:after="120"/>
            </w:pPr>
            <w:r w:rsidRPr="000C7B61">
              <w:t xml:space="preserve">GBV </w:t>
            </w:r>
          </w:p>
        </w:tc>
        <w:tc>
          <w:tcPr>
            <w:tcW w:w="5970" w:type="dxa"/>
            <w:shd w:val="clear" w:color="auto" w:fill="auto"/>
          </w:tcPr>
          <w:p w:rsidR="003D47CC" w:rsidRPr="000C7B61" w:rsidRDefault="003D47CC" w:rsidP="00626016">
            <w:pPr>
              <w:snapToGrid w:val="0"/>
              <w:spacing w:after="120"/>
              <w:ind w:left="144"/>
            </w:pPr>
            <w:r w:rsidRPr="00C51EBE">
              <w:t>Gender-Based Violence</w:t>
            </w:r>
          </w:p>
        </w:tc>
      </w:tr>
      <w:tr w:rsidR="003D47CC" w:rsidRPr="00314BFA" w:rsidTr="00626016">
        <w:tc>
          <w:tcPr>
            <w:tcW w:w="1350" w:type="dxa"/>
            <w:shd w:val="clear" w:color="auto" w:fill="auto"/>
          </w:tcPr>
          <w:p w:rsidR="003D47CC" w:rsidRPr="000C7B61" w:rsidRDefault="003D47CC" w:rsidP="00626016">
            <w:pPr>
              <w:snapToGrid w:val="0"/>
              <w:spacing w:after="120"/>
            </w:pPr>
            <w:r w:rsidRPr="000C7B61">
              <w:t xml:space="preserve">GWP </w:t>
            </w:r>
          </w:p>
        </w:tc>
        <w:tc>
          <w:tcPr>
            <w:tcW w:w="5970" w:type="dxa"/>
            <w:shd w:val="clear" w:color="auto" w:fill="auto"/>
          </w:tcPr>
          <w:p w:rsidR="003D47CC" w:rsidRPr="000C7B61" w:rsidRDefault="003D47CC" w:rsidP="00626016">
            <w:pPr>
              <w:snapToGrid w:val="0"/>
              <w:spacing w:after="120"/>
              <w:ind w:left="144"/>
            </w:pPr>
            <w:r w:rsidRPr="00C51EBE">
              <w:t>General Worker Permit</w:t>
            </w:r>
          </w:p>
        </w:tc>
      </w:tr>
      <w:tr w:rsidR="003D47CC" w:rsidRPr="00314BFA" w:rsidTr="00626016">
        <w:tc>
          <w:tcPr>
            <w:tcW w:w="1350" w:type="dxa"/>
            <w:shd w:val="clear" w:color="auto" w:fill="auto"/>
          </w:tcPr>
          <w:p w:rsidR="003D47CC" w:rsidRPr="000C7B61" w:rsidRDefault="003D47CC" w:rsidP="00626016">
            <w:pPr>
              <w:snapToGrid w:val="0"/>
              <w:spacing w:after="120"/>
            </w:pPr>
            <w:r w:rsidRPr="000C7B61">
              <w:t xml:space="preserve">HDI </w:t>
            </w:r>
          </w:p>
        </w:tc>
        <w:tc>
          <w:tcPr>
            <w:tcW w:w="5970" w:type="dxa"/>
            <w:shd w:val="clear" w:color="auto" w:fill="auto"/>
          </w:tcPr>
          <w:p w:rsidR="003D47CC" w:rsidRPr="000C7B61" w:rsidRDefault="003D47CC" w:rsidP="00626016">
            <w:pPr>
              <w:snapToGrid w:val="0"/>
              <w:spacing w:after="120"/>
              <w:ind w:left="144"/>
            </w:pPr>
            <w:r w:rsidRPr="00C51EBE">
              <w:t>Human Development Index</w:t>
            </w:r>
          </w:p>
        </w:tc>
      </w:tr>
      <w:tr w:rsidR="003D47CC" w:rsidRPr="00314BFA" w:rsidTr="00626016">
        <w:tc>
          <w:tcPr>
            <w:tcW w:w="1350" w:type="dxa"/>
            <w:shd w:val="clear" w:color="auto" w:fill="auto"/>
          </w:tcPr>
          <w:p w:rsidR="003D47CC" w:rsidRPr="0052584F" w:rsidRDefault="003D47CC" w:rsidP="00626016">
            <w:pPr>
              <w:snapToGrid w:val="0"/>
              <w:spacing w:after="120"/>
            </w:pPr>
            <w:r w:rsidRPr="0052584F">
              <w:t xml:space="preserve">HDR </w:t>
            </w:r>
          </w:p>
        </w:tc>
        <w:tc>
          <w:tcPr>
            <w:tcW w:w="5970" w:type="dxa"/>
            <w:shd w:val="clear" w:color="auto" w:fill="auto"/>
          </w:tcPr>
          <w:p w:rsidR="003D47CC" w:rsidRPr="0052584F" w:rsidRDefault="003D47CC" w:rsidP="00626016">
            <w:pPr>
              <w:snapToGrid w:val="0"/>
              <w:spacing w:after="120"/>
              <w:ind w:left="144"/>
            </w:pPr>
            <w:r w:rsidRPr="00C51EBE">
              <w:t>Human Development Report</w:t>
            </w:r>
          </w:p>
        </w:tc>
      </w:tr>
      <w:tr w:rsidR="003D47CC" w:rsidRPr="00314BFA" w:rsidTr="00626016">
        <w:tc>
          <w:tcPr>
            <w:tcW w:w="1350" w:type="dxa"/>
            <w:shd w:val="clear" w:color="auto" w:fill="auto"/>
          </w:tcPr>
          <w:p w:rsidR="003D47CC" w:rsidRPr="0052584F" w:rsidRDefault="003D47CC" w:rsidP="00626016">
            <w:pPr>
              <w:snapToGrid w:val="0"/>
              <w:spacing w:after="120"/>
            </w:pPr>
            <w:r w:rsidRPr="0052584F">
              <w:t xml:space="preserve">ICT </w:t>
            </w:r>
          </w:p>
        </w:tc>
        <w:tc>
          <w:tcPr>
            <w:tcW w:w="5970" w:type="dxa"/>
            <w:shd w:val="clear" w:color="auto" w:fill="auto"/>
          </w:tcPr>
          <w:p w:rsidR="003D47CC" w:rsidRPr="0052584F" w:rsidRDefault="003D47CC" w:rsidP="00626016">
            <w:pPr>
              <w:snapToGrid w:val="0"/>
              <w:spacing w:after="120"/>
              <w:ind w:left="144"/>
            </w:pPr>
            <w:r w:rsidRPr="00C51EBE">
              <w:t>Information and Communications Technology</w:t>
            </w:r>
          </w:p>
        </w:tc>
      </w:tr>
      <w:tr w:rsidR="003D47CC" w:rsidRPr="00314BFA" w:rsidTr="00626016">
        <w:tc>
          <w:tcPr>
            <w:tcW w:w="1350" w:type="dxa"/>
            <w:shd w:val="clear" w:color="auto" w:fill="auto"/>
          </w:tcPr>
          <w:p w:rsidR="003D47CC" w:rsidRPr="0052584F" w:rsidRDefault="003D47CC" w:rsidP="00626016">
            <w:pPr>
              <w:snapToGrid w:val="0"/>
              <w:spacing w:after="120"/>
            </w:pPr>
            <w:r w:rsidRPr="0052584F">
              <w:t xml:space="preserve">IICA </w:t>
            </w:r>
          </w:p>
        </w:tc>
        <w:tc>
          <w:tcPr>
            <w:tcW w:w="5970" w:type="dxa"/>
            <w:shd w:val="clear" w:color="auto" w:fill="auto"/>
          </w:tcPr>
          <w:p w:rsidR="003D47CC" w:rsidRPr="0052584F" w:rsidRDefault="003D47CC" w:rsidP="00626016">
            <w:pPr>
              <w:snapToGrid w:val="0"/>
              <w:spacing w:after="120"/>
              <w:ind w:left="144"/>
            </w:pPr>
            <w:r w:rsidRPr="00C51EBE">
              <w:t>Inter-American Institute for Cooperation on Agriculture</w:t>
            </w:r>
          </w:p>
        </w:tc>
      </w:tr>
      <w:tr w:rsidR="003D47CC" w:rsidRPr="00314BFA" w:rsidTr="00626016">
        <w:tc>
          <w:tcPr>
            <w:tcW w:w="1350" w:type="dxa"/>
            <w:shd w:val="clear" w:color="auto" w:fill="auto"/>
          </w:tcPr>
          <w:p w:rsidR="003D47CC" w:rsidRPr="0052584F" w:rsidRDefault="003D47CC" w:rsidP="00626016">
            <w:pPr>
              <w:snapToGrid w:val="0"/>
              <w:spacing w:after="120"/>
            </w:pPr>
            <w:r w:rsidRPr="0052584F">
              <w:t xml:space="preserve">IOM </w:t>
            </w:r>
          </w:p>
        </w:tc>
        <w:tc>
          <w:tcPr>
            <w:tcW w:w="5970" w:type="dxa"/>
            <w:shd w:val="clear" w:color="auto" w:fill="auto"/>
          </w:tcPr>
          <w:p w:rsidR="003D47CC" w:rsidRPr="0052584F" w:rsidRDefault="003D47CC" w:rsidP="00626016">
            <w:pPr>
              <w:snapToGrid w:val="0"/>
              <w:spacing w:after="120"/>
              <w:ind w:left="144"/>
            </w:pPr>
            <w:r w:rsidRPr="00C51EBE">
              <w:t>International Organization for Migration</w:t>
            </w:r>
          </w:p>
        </w:tc>
      </w:tr>
      <w:tr w:rsidR="003D47CC" w:rsidRPr="00314BFA" w:rsidTr="00626016">
        <w:tc>
          <w:tcPr>
            <w:tcW w:w="1350" w:type="dxa"/>
            <w:shd w:val="clear" w:color="auto" w:fill="auto"/>
          </w:tcPr>
          <w:p w:rsidR="003D47CC" w:rsidRPr="008D4DDE" w:rsidRDefault="003D47CC" w:rsidP="00626016">
            <w:pPr>
              <w:snapToGrid w:val="0"/>
              <w:spacing w:after="120"/>
            </w:pPr>
            <w:r w:rsidRPr="008D4DDE">
              <w:t xml:space="preserve">MDGs </w:t>
            </w:r>
          </w:p>
        </w:tc>
        <w:tc>
          <w:tcPr>
            <w:tcW w:w="5970" w:type="dxa"/>
            <w:shd w:val="clear" w:color="auto" w:fill="auto"/>
          </w:tcPr>
          <w:p w:rsidR="003D47CC" w:rsidRPr="008D4DDE" w:rsidRDefault="003D47CC" w:rsidP="00626016">
            <w:pPr>
              <w:snapToGrid w:val="0"/>
              <w:spacing w:after="120"/>
              <w:ind w:left="144"/>
            </w:pPr>
            <w:r w:rsidRPr="008D4DDE">
              <w:t xml:space="preserve">Millennium Development Goals </w:t>
            </w:r>
          </w:p>
        </w:tc>
      </w:tr>
      <w:tr w:rsidR="003D47CC" w:rsidRPr="00314BFA" w:rsidTr="00626016">
        <w:tc>
          <w:tcPr>
            <w:tcW w:w="1350" w:type="dxa"/>
            <w:shd w:val="clear" w:color="auto" w:fill="auto"/>
          </w:tcPr>
          <w:p w:rsidR="003D47CC" w:rsidRPr="008D4DDE" w:rsidRDefault="003D47CC" w:rsidP="00626016">
            <w:pPr>
              <w:snapToGrid w:val="0"/>
              <w:spacing w:after="120"/>
            </w:pPr>
            <w:r w:rsidRPr="008D4DDE">
              <w:t xml:space="preserve">MFAI </w:t>
            </w:r>
          </w:p>
        </w:tc>
        <w:tc>
          <w:tcPr>
            <w:tcW w:w="5970" w:type="dxa"/>
            <w:shd w:val="clear" w:color="auto" w:fill="auto"/>
          </w:tcPr>
          <w:p w:rsidR="003D47CC" w:rsidRPr="008D4DDE" w:rsidRDefault="003D47CC" w:rsidP="00626016">
            <w:pPr>
              <w:snapToGrid w:val="0"/>
              <w:spacing w:after="120"/>
              <w:ind w:left="144"/>
            </w:pPr>
            <w:r w:rsidRPr="008D4DDE">
              <w:t xml:space="preserve">Ministry of Foreign Affairs and Immigration </w:t>
            </w:r>
          </w:p>
        </w:tc>
      </w:tr>
      <w:tr w:rsidR="003D47CC" w:rsidRPr="00314BFA" w:rsidTr="00626016">
        <w:tc>
          <w:tcPr>
            <w:tcW w:w="1350" w:type="dxa"/>
            <w:shd w:val="clear" w:color="auto" w:fill="auto"/>
          </w:tcPr>
          <w:p w:rsidR="003D47CC" w:rsidRPr="008D4DDE" w:rsidRDefault="003D47CC" w:rsidP="00626016">
            <w:pPr>
              <w:snapToGrid w:val="0"/>
              <w:spacing w:after="120"/>
            </w:pPr>
            <w:r w:rsidRPr="008D4DDE">
              <w:t xml:space="preserve">MSM </w:t>
            </w:r>
          </w:p>
        </w:tc>
        <w:tc>
          <w:tcPr>
            <w:tcW w:w="5970" w:type="dxa"/>
            <w:shd w:val="clear" w:color="auto" w:fill="auto"/>
          </w:tcPr>
          <w:p w:rsidR="003D47CC" w:rsidRPr="008D4DDE" w:rsidRDefault="003D47CC" w:rsidP="00626016">
            <w:pPr>
              <w:snapToGrid w:val="0"/>
              <w:spacing w:after="120"/>
              <w:ind w:left="144"/>
            </w:pPr>
            <w:r w:rsidRPr="00C51EBE">
              <w:t>Men who have Sex with Men</w:t>
            </w:r>
          </w:p>
        </w:tc>
      </w:tr>
      <w:tr w:rsidR="00303911" w:rsidRPr="00314BFA" w:rsidTr="00626016">
        <w:tc>
          <w:tcPr>
            <w:tcW w:w="1350" w:type="dxa"/>
            <w:shd w:val="clear" w:color="auto" w:fill="auto"/>
          </w:tcPr>
          <w:p w:rsidR="00303911" w:rsidRPr="00C35445" w:rsidRDefault="00303911" w:rsidP="00626016">
            <w:pPr>
              <w:snapToGrid w:val="0"/>
              <w:spacing w:after="120"/>
            </w:pPr>
            <w:r w:rsidRPr="00C35445">
              <w:t xml:space="preserve">NCTUB </w:t>
            </w:r>
          </w:p>
        </w:tc>
        <w:tc>
          <w:tcPr>
            <w:tcW w:w="5970" w:type="dxa"/>
            <w:shd w:val="clear" w:color="auto" w:fill="auto"/>
          </w:tcPr>
          <w:p w:rsidR="00303911" w:rsidRPr="00C35445" w:rsidRDefault="00303911" w:rsidP="00626016">
            <w:pPr>
              <w:snapToGrid w:val="0"/>
              <w:spacing w:after="120"/>
              <w:ind w:left="144"/>
            </w:pPr>
            <w:r w:rsidRPr="00C35445">
              <w:t xml:space="preserve">National Congress of Trade Unions Bahamas </w:t>
            </w:r>
          </w:p>
        </w:tc>
      </w:tr>
      <w:tr w:rsidR="00303911" w:rsidRPr="00314BFA" w:rsidTr="00626016">
        <w:tc>
          <w:tcPr>
            <w:tcW w:w="1350" w:type="dxa"/>
            <w:shd w:val="clear" w:color="auto" w:fill="auto"/>
          </w:tcPr>
          <w:p w:rsidR="00303911" w:rsidRPr="00C35445" w:rsidRDefault="00303911" w:rsidP="00626016">
            <w:pPr>
              <w:snapToGrid w:val="0"/>
              <w:spacing w:after="120"/>
            </w:pPr>
            <w:r w:rsidRPr="00C35445">
              <w:t xml:space="preserve">NPDP </w:t>
            </w:r>
          </w:p>
        </w:tc>
        <w:tc>
          <w:tcPr>
            <w:tcW w:w="5970" w:type="dxa"/>
            <w:shd w:val="clear" w:color="auto" w:fill="auto"/>
          </w:tcPr>
          <w:p w:rsidR="00303911" w:rsidRPr="00C35445" w:rsidRDefault="00303911" w:rsidP="00626016">
            <w:pPr>
              <w:snapToGrid w:val="0"/>
              <w:spacing w:after="120"/>
              <w:ind w:left="144"/>
            </w:pPr>
            <w:r w:rsidRPr="00C35445">
              <w:t xml:space="preserve">National Prescription Drug Plan </w:t>
            </w:r>
          </w:p>
        </w:tc>
      </w:tr>
      <w:tr w:rsidR="00303911" w:rsidRPr="00314BFA" w:rsidTr="00626016">
        <w:tc>
          <w:tcPr>
            <w:tcW w:w="1350" w:type="dxa"/>
            <w:shd w:val="clear" w:color="auto" w:fill="auto"/>
          </w:tcPr>
          <w:p w:rsidR="00303911" w:rsidRPr="00C35445" w:rsidRDefault="00303911" w:rsidP="00626016">
            <w:pPr>
              <w:snapToGrid w:val="0"/>
              <w:spacing w:after="120"/>
            </w:pPr>
            <w:r w:rsidRPr="00C35445">
              <w:t xml:space="preserve">NGOs </w:t>
            </w:r>
          </w:p>
        </w:tc>
        <w:tc>
          <w:tcPr>
            <w:tcW w:w="5970" w:type="dxa"/>
            <w:shd w:val="clear" w:color="auto" w:fill="auto"/>
          </w:tcPr>
          <w:p w:rsidR="00303911" w:rsidRPr="00C35445" w:rsidRDefault="00303911" w:rsidP="00626016">
            <w:pPr>
              <w:snapToGrid w:val="0"/>
              <w:spacing w:after="120"/>
              <w:ind w:left="144"/>
            </w:pPr>
            <w:r w:rsidRPr="00C35445">
              <w:t xml:space="preserve">Non-Governmental Organizations </w:t>
            </w:r>
          </w:p>
        </w:tc>
      </w:tr>
      <w:tr w:rsidR="00303911" w:rsidRPr="00314BFA" w:rsidTr="00626016">
        <w:tc>
          <w:tcPr>
            <w:tcW w:w="1350" w:type="dxa"/>
            <w:shd w:val="clear" w:color="auto" w:fill="auto"/>
          </w:tcPr>
          <w:p w:rsidR="00303911" w:rsidRPr="00C35445" w:rsidRDefault="00303911" w:rsidP="00626016">
            <w:pPr>
              <w:snapToGrid w:val="0"/>
              <w:spacing w:after="120"/>
            </w:pPr>
            <w:r w:rsidRPr="00C35445">
              <w:lastRenderedPageBreak/>
              <w:t xml:space="preserve">OAS </w:t>
            </w:r>
          </w:p>
        </w:tc>
        <w:tc>
          <w:tcPr>
            <w:tcW w:w="5970" w:type="dxa"/>
            <w:shd w:val="clear" w:color="auto" w:fill="auto"/>
          </w:tcPr>
          <w:p w:rsidR="00303911" w:rsidRPr="00C35445" w:rsidRDefault="00303911" w:rsidP="00626016">
            <w:pPr>
              <w:snapToGrid w:val="0"/>
              <w:spacing w:after="120"/>
              <w:ind w:left="144"/>
            </w:pPr>
            <w:r w:rsidRPr="00C51EBE">
              <w:t>Organization of American States</w:t>
            </w:r>
          </w:p>
        </w:tc>
      </w:tr>
      <w:tr w:rsidR="00303911" w:rsidRPr="00314BFA" w:rsidTr="00626016">
        <w:tc>
          <w:tcPr>
            <w:tcW w:w="1350" w:type="dxa"/>
            <w:shd w:val="clear" w:color="auto" w:fill="auto"/>
          </w:tcPr>
          <w:p w:rsidR="00303911" w:rsidRPr="004C2574" w:rsidRDefault="00303911" w:rsidP="00626016">
            <w:pPr>
              <w:snapToGrid w:val="0"/>
              <w:spacing w:after="120"/>
            </w:pPr>
            <w:r w:rsidRPr="004C2574">
              <w:t>OHCHR</w:t>
            </w:r>
          </w:p>
        </w:tc>
        <w:tc>
          <w:tcPr>
            <w:tcW w:w="5970" w:type="dxa"/>
            <w:shd w:val="clear" w:color="auto" w:fill="auto"/>
          </w:tcPr>
          <w:p w:rsidR="00303911" w:rsidRPr="004C2574" w:rsidRDefault="00303911" w:rsidP="00626016">
            <w:pPr>
              <w:snapToGrid w:val="0"/>
              <w:spacing w:after="120"/>
              <w:ind w:left="144"/>
            </w:pPr>
            <w:r w:rsidRPr="004C2574">
              <w:t>United Nations Office of the High Commissioner for Human Rights</w:t>
            </w:r>
          </w:p>
        </w:tc>
      </w:tr>
      <w:tr w:rsidR="00303911" w:rsidRPr="00314BFA" w:rsidTr="00626016">
        <w:tc>
          <w:tcPr>
            <w:tcW w:w="1350" w:type="dxa"/>
            <w:shd w:val="clear" w:color="auto" w:fill="auto"/>
          </w:tcPr>
          <w:p w:rsidR="00303911" w:rsidRPr="004C2574" w:rsidRDefault="00303911" w:rsidP="00626016">
            <w:pPr>
              <w:snapToGrid w:val="0"/>
              <w:spacing w:after="120"/>
            </w:pPr>
            <w:r w:rsidRPr="004C2574">
              <w:t xml:space="preserve">PACE </w:t>
            </w:r>
          </w:p>
        </w:tc>
        <w:tc>
          <w:tcPr>
            <w:tcW w:w="5970" w:type="dxa"/>
            <w:shd w:val="clear" w:color="auto" w:fill="auto"/>
          </w:tcPr>
          <w:p w:rsidR="00303911" w:rsidRPr="004C2574" w:rsidRDefault="00303911" w:rsidP="00626016">
            <w:pPr>
              <w:snapToGrid w:val="0"/>
              <w:spacing w:after="120"/>
              <w:ind w:left="144"/>
            </w:pPr>
            <w:r w:rsidRPr="004C2574">
              <w:t>Providing Access to Continued Education</w:t>
            </w:r>
          </w:p>
        </w:tc>
      </w:tr>
      <w:tr w:rsidR="00303911" w:rsidRPr="00314BFA" w:rsidTr="00626016">
        <w:tc>
          <w:tcPr>
            <w:tcW w:w="1350" w:type="dxa"/>
            <w:shd w:val="clear" w:color="auto" w:fill="auto"/>
          </w:tcPr>
          <w:p w:rsidR="00303911" w:rsidRPr="004C2574" w:rsidRDefault="00303911" w:rsidP="00626016">
            <w:pPr>
              <w:snapToGrid w:val="0"/>
              <w:spacing w:after="120"/>
            </w:pPr>
            <w:r w:rsidRPr="004C2574">
              <w:t xml:space="preserve">PAHO </w:t>
            </w:r>
          </w:p>
        </w:tc>
        <w:tc>
          <w:tcPr>
            <w:tcW w:w="5970" w:type="dxa"/>
            <w:shd w:val="clear" w:color="auto" w:fill="auto"/>
          </w:tcPr>
          <w:p w:rsidR="00303911" w:rsidRPr="004C2574" w:rsidRDefault="00303911" w:rsidP="00626016">
            <w:pPr>
              <w:snapToGrid w:val="0"/>
              <w:spacing w:after="120"/>
              <w:ind w:left="144"/>
            </w:pPr>
            <w:r w:rsidRPr="004C2574">
              <w:t>Pan-American Health Organization</w:t>
            </w:r>
          </w:p>
        </w:tc>
      </w:tr>
      <w:tr w:rsidR="00303911" w:rsidRPr="00314BFA" w:rsidTr="00626016">
        <w:tc>
          <w:tcPr>
            <w:tcW w:w="1350" w:type="dxa"/>
            <w:shd w:val="clear" w:color="auto" w:fill="auto"/>
          </w:tcPr>
          <w:p w:rsidR="00303911" w:rsidRPr="004C2574" w:rsidRDefault="00303911" w:rsidP="00626016">
            <w:pPr>
              <w:snapToGrid w:val="0"/>
              <w:spacing w:after="120"/>
            </w:pPr>
            <w:r w:rsidRPr="004C2574">
              <w:t xml:space="preserve">RAPP </w:t>
            </w:r>
          </w:p>
        </w:tc>
        <w:tc>
          <w:tcPr>
            <w:tcW w:w="5970" w:type="dxa"/>
            <w:shd w:val="clear" w:color="auto" w:fill="auto"/>
          </w:tcPr>
          <w:p w:rsidR="00303911" w:rsidRPr="004C2574" w:rsidRDefault="00303911" w:rsidP="00626016">
            <w:pPr>
              <w:snapToGrid w:val="0"/>
              <w:spacing w:after="120"/>
              <w:ind w:left="144"/>
            </w:pPr>
            <w:r w:rsidRPr="004C2574">
              <w:t>Resistance and Prevention Programme</w:t>
            </w:r>
          </w:p>
        </w:tc>
      </w:tr>
      <w:tr w:rsidR="00303911" w:rsidRPr="00314BFA" w:rsidTr="00626016">
        <w:tc>
          <w:tcPr>
            <w:tcW w:w="1350" w:type="dxa"/>
            <w:shd w:val="clear" w:color="auto" w:fill="auto"/>
          </w:tcPr>
          <w:p w:rsidR="00303911" w:rsidRPr="004C2574" w:rsidRDefault="00303911" w:rsidP="00626016">
            <w:pPr>
              <w:snapToGrid w:val="0"/>
              <w:spacing w:after="120"/>
            </w:pPr>
            <w:r w:rsidRPr="004C2574">
              <w:t xml:space="preserve">RBDF </w:t>
            </w:r>
          </w:p>
        </w:tc>
        <w:tc>
          <w:tcPr>
            <w:tcW w:w="5970" w:type="dxa"/>
            <w:shd w:val="clear" w:color="auto" w:fill="auto"/>
          </w:tcPr>
          <w:p w:rsidR="00303911" w:rsidRPr="004C2574" w:rsidRDefault="00303911" w:rsidP="00626016">
            <w:pPr>
              <w:snapToGrid w:val="0"/>
              <w:spacing w:after="120"/>
              <w:ind w:left="144"/>
            </w:pPr>
            <w:r w:rsidRPr="004C2574">
              <w:t>Royal Bahamas Defence Force</w:t>
            </w:r>
          </w:p>
        </w:tc>
      </w:tr>
      <w:tr w:rsidR="00303911" w:rsidRPr="00314BFA" w:rsidTr="00626016">
        <w:tc>
          <w:tcPr>
            <w:tcW w:w="1350" w:type="dxa"/>
            <w:shd w:val="clear" w:color="auto" w:fill="auto"/>
          </w:tcPr>
          <w:p w:rsidR="00303911" w:rsidRPr="004C2574" w:rsidRDefault="00303911" w:rsidP="00626016">
            <w:pPr>
              <w:snapToGrid w:val="0"/>
              <w:spacing w:after="120"/>
            </w:pPr>
            <w:r w:rsidRPr="004C2574">
              <w:t xml:space="preserve">RISE </w:t>
            </w:r>
          </w:p>
        </w:tc>
        <w:tc>
          <w:tcPr>
            <w:tcW w:w="5970" w:type="dxa"/>
            <w:shd w:val="clear" w:color="auto" w:fill="auto"/>
          </w:tcPr>
          <w:p w:rsidR="00303911" w:rsidRPr="004C2574" w:rsidRDefault="00303911" w:rsidP="00626016">
            <w:pPr>
              <w:snapToGrid w:val="0"/>
              <w:spacing w:after="120"/>
              <w:ind w:left="144"/>
            </w:pPr>
            <w:r w:rsidRPr="00C51EBE">
              <w:t>Renewing, Inspiring, Sustaining, and Empowering Programme</w:t>
            </w:r>
          </w:p>
        </w:tc>
      </w:tr>
      <w:tr w:rsidR="00303911" w:rsidRPr="00314BFA" w:rsidTr="00626016">
        <w:tc>
          <w:tcPr>
            <w:tcW w:w="1350" w:type="dxa"/>
            <w:shd w:val="clear" w:color="auto" w:fill="auto"/>
          </w:tcPr>
          <w:p w:rsidR="00303911" w:rsidRPr="004C2574" w:rsidRDefault="00303911" w:rsidP="00626016">
            <w:pPr>
              <w:snapToGrid w:val="0"/>
              <w:spacing w:after="120"/>
            </w:pPr>
            <w:r w:rsidRPr="004C2574">
              <w:t xml:space="preserve">RSP </w:t>
            </w:r>
          </w:p>
        </w:tc>
        <w:tc>
          <w:tcPr>
            <w:tcW w:w="5970" w:type="dxa"/>
            <w:shd w:val="clear" w:color="auto" w:fill="auto"/>
          </w:tcPr>
          <w:p w:rsidR="00303911" w:rsidRPr="004C2574" w:rsidRDefault="00303911" w:rsidP="00626016">
            <w:pPr>
              <w:snapToGrid w:val="0"/>
              <w:spacing w:after="120"/>
              <w:ind w:left="144"/>
            </w:pPr>
            <w:r w:rsidRPr="00C51EBE">
              <w:t>Resident Spouse Permit</w:t>
            </w:r>
          </w:p>
        </w:tc>
      </w:tr>
      <w:tr w:rsidR="00303911" w:rsidRPr="00314BFA" w:rsidTr="00626016">
        <w:tc>
          <w:tcPr>
            <w:tcW w:w="1350" w:type="dxa"/>
            <w:shd w:val="clear" w:color="auto" w:fill="auto"/>
          </w:tcPr>
          <w:p w:rsidR="00303911" w:rsidRPr="00BE7D93" w:rsidRDefault="00303911" w:rsidP="00626016">
            <w:pPr>
              <w:snapToGrid w:val="0"/>
              <w:spacing w:after="120"/>
            </w:pPr>
            <w:r w:rsidRPr="00BE7D93">
              <w:t xml:space="preserve">SAFE </w:t>
            </w:r>
          </w:p>
        </w:tc>
        <w:tc>
          <w:tcPr>
            <w:tcW w:w="5970" w:type="dxa"/>
            <w:shd w:val="clear" w:color="auto" w:fill="auto"/>
          </w:tcPr>
          <w:p w:rsidR="00303911" w:rsidRPr="00BE7D93" w:rsidRDefault="00303911" w:rsidP="00626016">
            <w:pPr>
              <w:snapToGrid w:val="0"/>
              <w:spacing w:after="120"/>
              <w:ind w:left="144"/>
            </w:pPr>
            <w:r w:rsidRPr="00C51EBE">
              <w:t>Sexual Assault Follow-up Evaluation Unit</w:t>
            </w:r>
          </w:p>
        </w:tc>
      </w:tr>
      <w:tr w:rsidR="00303911" w:rsidRPr="00314BFA" w:rsidTr="00626016">
        <w:tc>
          <w:tcPr>
            <w:tcW w:w="1350" w:type="dxa"/>
            <w:shd w:val="clear" w:color="auto" w:fill="auto"/>
          </w:tcPr>
          <w:p w:rsidR="00303911" w:rsidRPr="00BE7D93" w:rsidRDefault="00303911" w:rsidP="00626016">
            <w:pPr>
              <w:snapToGrid w:val="0"/>
              <w:spacing w:after="120"/>
            </w:pPr>
            <w:r w:rsidRPr="00BE7D93">
              <w:t xml:space="preserve">SASH </w:t>
            </w:r>
          </w:p>
        </w:tc>
        <w:tc>
          <w:tcPr>
            <w:tcW w:w="5970" w:type="dxa"/>
            <w:shd w:val="clear" w:color="auto" w:fill="auto"/>
          </w:tcPr>
          <w:p w:rsidR="00303911" w:rsidRPr="00BE7D93" w:rsidRDefault="00303911" w:rsidP="00626016">
            <w:pPr>
              <w:snapToGrid w:val="0"/>
              <w:spacing w:after="120"/>
              <w:ind w:left="144"/>
            </w:pPr>
            <w:r w:rsidRPr="00C51EBE">
              <w:t>Society against Stigmatization and Hate</w:t>
            </w:r>
          </w:p>
        </w:tc>
      </w:tr>
      <w:tr w:rsidR="00303911" w:rsidRPr="00314BFA" w:rsidTr="00626016">
        <w:tc>
          <w:tcPr>
            <w:tcW w:w="1350" w:type="dxa"/>
            <w:shd w:val="clear" w:color="auto" w:fill="auto"/>
          </w:tcPr>
          <w:p w:rsidR="00303911" w:rsidRPr="00BE7D93" w:rsidRDefault="00303911" w:rsidP="00626016">
            <w:pPr>
              <w:snapToGrid w:val="0"/>
              <w:spacing w:after="120"/>
            </w:pPr>
            <w:r w:rsidRPr="00BE7D93">
              <w:t xml:space="preserve">SCAN </w:t>
            </w:r>
          </w:p>
        </w:tc>
        <w:tc>
          <w:tcPr>
            <w:tcW w:w="5970" w:type="dxa"/>
            <w:shd w:val="clear" w:color="auto" w:fill="auto"/>
          </w:tcPr>
          <w:p w:rsidR="00303911" w:rsidRPr="00BE7D93" w:rsidRDefault="00303911" w:rsidP="00626016">
            <w:pPr>
              <w:snapToGrid w:val="0"/>
              <w:spacing w:after="120"/>
              <w:ind w:left="144"/>
            </w:pPr>
            <w:r w:rsidRPr="00C51EBE">
              <w:t>Suspected Child Abuse and Neglect Unit</w:t>
            </w:r>
          </w:p>
        </w:tc>
      </w:tr>
      <w:tr w:rsidR="00303911" w:rsidRPr="00314BFA" w:rsidTr="00626016">
        <w:tc>
          <w:tcPr>
            <w:tcW w:w="1350" w:type="dxa"/>
            <w:shd w:val="clear" w:color="auto" w:fill="auto"/>
          </w:tcPr>
          <w:p w:rsidR="00303911" w:rsidRPr="00BE7D93" w:rsidRDefault="00303911" w:rsidP="00626016">
            <w:pPr>
              <w:snapToGrid w:val="0"/>
              <w:spacing w:after="120"/>
            </w:pPr>
            <w:r w:rsidRPr="00BE7D93">
              <w:t xml:space="preserve">SRC </w:t>
            </w:r>
          </w:p>
        </w:tc>
        <w:tc>
          <w:tcPr>
            <w:tcW w:w="5970" w:type="dxa"/>
            <w:shd w:val="clear" w:color="auto" w:fill="auto"/>
          </w:tcPr>
          <w:p w:rsidR="00303911" w:rsidRPr="00BE7D93" w:rsidRDefault="00303911" w:rsidP="00626016">
            <w:pPr>
              <w:snapToGrid w:val="0"/>
              <w:spacing w:after="120"/>
              <w:ind w:left="144"/>
            </w:pPr>
            <w:r w:rsidRPr="00C51EBE">
              <w:t>Sandilands Rehabilitative Centre</w:t>
            </w:r>
          </w:p>
        </w:tc>
      </w:tr>
      <w:tr w:rsidR="00303911" w:rsidRPr="00314BFA" w:rsidTr="00626016">
        <w:tc>
          <w:tcPr>
            <w:tcW w:w="1350" w:type="dxa"/>
            <w:shd w:val="clear" w:color="auto" w:fill="auto"/>
          </w:tcPr>
          <w:p w:rsidR="00303911" w:rsidRPr="00BE7D93" w:rsidRDefault="00303911" w:rsidP="00626016">
            <w:pPr>
              <w:snapToGrid w:val="0"/>
              <w:spacing w:after="120"/>
            </w:pPr>
            <w:r w:rsidRPr="00BE7D93">
              <w:t xml:space="preserve">SSN </w:t>
            </w:r>
          </w:p>
        </w:tc>
        <w:tc>
          <w:tcPr>
            <w:tcW w:w="5970" w:type="dxa"/>
            <w:shd w:val="clear" w:color="auto" w:fill="auto"/>
          </w:tcPr>
          <w:p w:rsidR="00303911" w:rsidRPr="00BE7D93" w:rsidRDefault="00303911" w:rsidP="00626016">
            <w:pPr>
              <w:snapToGrid w:val="0"/>
              <w:spacing w:after="120"/>
              <w:ind w:left="144"/>
            </w:pPr>
            <w:r w:rsidRPr="00C51EBE">
              <w:t>Social Safety Net Unit</w:t>
            </w:r>
          </w:p>
        </w:tc>
      </w:tr>
      <w:tr w:rsidR="00303911" w:rsidRPr="00314BFA" w:rsidTr="00626016">
        <w:tc>
          <w:tcPr>
            <w:tcW w:w="1350" w:type="dxa"/>
            <w:shd w:val="clear" w:color="auto" w:fill="auto"/>
          </w:tcPr>
          <w:p w:rsidR="00303911" w:rsidRPr="00EF3FDE" w:rsidRDefault="00303911" w:rsidP="00626016">
            <w:pPr>
              <w:snapToGrid w:val="0"/>
              <w:spacing w:after="120"/>
            </w:pPr>
            <w:r w:rsidRPr="00EF3FDE">
              <w:t xml:space="preserve">TCCP </w:t>
            </w:r>
          </w:p>
        </w:tc>
        <w:tc>
          <w:tcPr>
            <w:tcW w:w="5970" w:type="dxa"/>
            <w:shd w:val="clear" w:color="auto" w:fill="auto"/>
          </w:tcPr>
          <w:p w:rsidR="00303911" w:rsidRPr="00EF3FDE" w:rsidRDefault="00303911" w:rsidP="00626016">
            <w:pPr>
              <w:snapToGrid w:val="0"/>
              <w:spacing w:after="120"/>
              <w:ind w:left="144"/>
            </w:pPr>
            <w:r w:rsidRPr="00C51EBE">
              <w:t>Technical Cadet Corp Programme</w:t>
            </w:r>
          </w:p>
        </w:tc>
      </w:tr>
      <w:tr w:rsidR="00303911" w:rsidRPr="00314BFA" w:rsidTr="00626016">
        <w:tc>
          <w:tcPr>
            <w:tcW w:w="1350" w:type="dxa"/>
            <w:shd w:val="clear" w:color="auto" w:fill="auto"/>
          </w:tcPr>
          <w:p w:rsidR="00303911" w:rsidRPr="00EF3FDE" w:rsidRDefault="00303911" w:rsidP="00626016">
            <w:pPr>
              <w:snapToGrid w:val="0"/>
              <w:spacing w:after="120"/>
            </w:pPr>
            <w:r w:rsidRPr="00EF3FDE">
              <w:t xml:space="preserve">TIP </w:t>
            </w:r>
          </w:p>
        </w:tc>
        <w:tc>
          <w:tcPr>
            <w:tcW w:w="5970" w:type="dxa"/>
            <w:shd w:val="clear" w:color="auto" w:fill="auto"/>
          </w:tcPr>
          <w:p w:rsidR="00303911" w:rsidRPr="00EF3FDE" w:rsidRDefault="00303911" w:rsidP="00626016">
            <w:pPr>
              <w:snapToGrid w:val="0"/>
              <w:spacing w:after="120"/>
              <w:ind w:left="144"/>
            </w:pPr>
            <w:r w:rsidRPr="00C51EBE">
              <w:t>Trafficking-in-Persons</w:t>
            </w:r>
          </w:p>
        </w:tc>
      </w:tr>
      <w:tr w:rsidR="00303911" w:rsidRPr="00314BFA" w:rsidTr="00626016">
        <w:tc>
          <w:tcPr>
            <w:tcW w:w="1350" w:type="dxa"/>
            <w:shd w:val="clear" w:color="auto" w:fill="auto"/>
          </w:tcPr>
          <w:p w:rsidR="00303911" w:rsidRPr="00EF3FDE" w:rsidRDefault="00303911" w:rsidP="00626016">
            <w:pPr>
              <w:snapToGrid w:val="0"/>
              <w:spacing w:after="120"/>
            </w:pPr>
            <w:r w:rsidRPr="00EF3FDE">
              <w:t xml:space="preserve">TVET </w:t>
            </w:r>
          </w:p>
        </w:tc>
        <w:tc>
          <w:tcPr>
            <w:tcW w:w="5970" w:type="dxa"/>
            <w:shd w:val="clear" w:color="auto" w:fill="auto"/>
          </w:tcPr>
          <w:p w:rsidR="00303911" w:rsidRPr="00EF3FDE" w:rsidRDefault="00303911" w:rsidP="00626016">
            <w:pPr>
              <w:snapToGrid w:val="0"/>
              <w:spacing w:after="120"/>
              <w:ind w:left="144"/>
            </w:pPr>
            <w:r w:rsidRPr="00C51EBE">
              <w:t>Technical and Vocational Education and Training</w:t>
            </w:r>
          </w:p>
        </w:tc>
      </w:tr>
      <w:tr w:rsidR="00303911" w:rsidRPr="00314BFA" w:rsidTr="00626016">
        <w:tc>
          <w:tcPr>
            <w:tcW w:w="1350" w:type="dxa"/>
            <w:shd w:val="clear" w:color="auto" w:fill="auto"/>
          </w:tcPr>
          <w:p w:rsidR="00303911" w:rsidRPr="004C2574" w:rsidRDefault="00303911" w:rsidP="00626016">
            <w:pPr>
              <w:snapToGrid w:val="0"/>
              <w:spacing w:after="120"/>
            </w:pPr>
            <w:r w:rsidRPr="00C51EBE">
              <w:t>U</w:t>
            </w:r>
            <w:r>
              <w:t>NDP</w:t>
            </w:r>
          </w:p>
        </w:tc>
        <w:tc>
          <w:tcPr>
            <w:tcW w:w="5970" w:type="dxa"/>
            <w:shd w:val="clear" w:color="auto" w:fill="auto"/>
          </w:tcPr>
          <w:p w:rsidR="00303911" w:rsidRPr="00C51EBE" w:rsidRDefault="00303911" w:rsidP="00626016">
            <w:pPr>
              <w:snapToGrid w:val="0"/>
              <w:spacing w:after="120"/>
              <w:ind w:left="144"/>
            </w:pPr>
            <w:r w:rsidRPr="00C51EBE">
              <w:t>United Nations Development Programme</w:t>
            </w:r>
          </w:p>
        </w:tc>
      </w:tr>
      <w:tr w:rsidR="00303911" w:rsidRPr="00314BFA" w:rsidTr="00626016">
        <w:tc>
          <w:tcPr>
            <w:tcW w:w="1350" w:type="dxa"/>
            <w:shd w:val="clear" w:color="auto" w:fill="auto"/>
          </w:tcPr>
          <w:p w:rsidR="00303911" w:rsidRPr="004C2574" w:rsidRDefault="00303911" w:rsidP="00626016">
            <w:pPr>
              <w:snapToGrid w:val="0"/>
              <w:spacing w:after="120"/>
            </w:pPr>
            <w:r>
              <w:t>UNHCR</w:t>
            </w:r>
          </w:p>
        </w:tc>
        <w:tc>
          <w:tcPr>
            <w:tcW w:w="5970" w:type="dxa"/>
            <w:shd w:val="clear" w:color="auto" w:fill="auto"/>
          </w:tcPr>
          <w:p w:rsidR="00303911" w:rsidRPr="00C51EBE" w:rsidRDefault="00303911" w:rsidP="00626016">
            <w:pPr>
              <w:snapToGrid w:val="0"/>
              <w:spacing w:after="120"/>
              <w:ind w:left="144"/>
            </w:pPr>
            <w:r w:rsidRPr="00C51EBE">
              <w:t>United Nations High Commissioner for Refugees</w:t>
            </w:r>
          </w:p>
        </w:tc>
      </w:tr>
      <w:tr w:rsidR="00303911" w:rsidRPr="00314BFA" w:rsidTr="00626016">
        <w:tc>
          <w:tcPr>
            <w:tcW w:w="1350" w:type="dxa"/>
            <w:shd w:val="clear" w:color="auto" w:fill="auto"/>
          </w:tcPr>
          <w:p w:rsidR="00303911" w:rsidRPr="004C2574" w:rsidRDefault="00626016" w:rsidP="00626016">
            <w:pPr>
              <w:snapToGrid w:val="0"/>
              <w:spacing w:after="120"/>
            </w:pPr>
            <w:r>
              <w:t>UN Women</w:t>
            </w:r>
          </w:p>
        </w:tc>
        <w:tc>
          <w:tcPr>
            <w:tcW w:w="5970" w:type="dxa"/>
            <w:shd w:val="clear" w:color="auto" w:fill="auto"/>
          </w:tcPr>
          <w:p w:rsidR="00303911" w:rsidRPr="00C51EBE" w:rsidRDefault="00626016" w:rsidP="00626016">
            <w:pPr>
              <w:snapToGrid w:val="0"/>
              <w:spacing w:after="120"/>
              <w:ind w:left="144"/>
            </w:pPr>
            <w:r w:rsidRPr="00C51EBE">
              <w:t>United Nations Entity for Gender Equality and the Empowerment of Women</w:t>
            </w:r>
          </w:p>
        </w:tc>
      </w:tr>
      <w:tr w:rsidR="00303911" w:rsidRPr="00314BFA" w:rsidTr="00626016">
        <w:tc>
          <w:tcPr>
            <w:tcW w:w="1350" w:type="dxa"/>
            <w:shd w:val="clear" w:color="auto" w:fill="auto"/>
          </w:tcPr>
          <w:p w:rsidR="00303911" w:rsidRPr="004C2574" w:rsidRDefault="00626016" w:rsidP="00626016">
            <w:pPr>
              <w:snapToGrid w:val="0"/>
              <w:spacing w:after="120"/>
            </w:pPr>
            <w:r w:rsidRPr="00C51EBE">
              <w:t>URCA</w:t>
            </w:r>
          </w:p>
        </w:tc>
        <w:tc>
          <w:tcPr>
            <w:tcW w:w="5970" w:type="dxa"/>
            <w:shd w:val="clear" w:color="auto" w:fill="auto"/>
          </w:tcPr>
          <w:p w:rsidR="00303911" w:rsidRPr="00C51EBE" w:rsidRDefault="00626016" w:rsidP="00626016">
            <w:pPr>
              <w:snapToGrid w:val="0"/>
              <w:spacing w:after="120"/>
              <w:ind w:left="144"/>
            </w:pPr>
            <w:r w:rsidRPr="00C51EBE">
              <w:t>Utilities Regulation and Competition Authority</w:t>
            </w:r>
          </w:p>
        </w:tc>
      </w:tr>
      <w:tr w:rsidR="00626016" w:rsidRPr="00314BFA" w:rsidTr="00626016">
        <w:tc>
          <w:tcPr>
            <w:tcW w:w="1350" w:type="dxa"/>
            <w:shd w:val="clear" w:color="auto" w:fill="auto"/>
          </w:tcPr>
          <w:p w:rsidR="00626016" w:rsidRPr="00C51EBE" w:rsidRDefault="00626016" w:rsidP="00626016">
            <w:pPr>
              <w:snapToGrid w:val="0"/>
              <w:spacing w:after="120"/>
            </w:pPr>
            <w:r w:rsidRPr="00C51EBE">
              <w:t>WSC</w:t>
            </w:r>
          </w:p>
        </w:tc>
        <w:tc>
          <w:tcPr>
            <w:tcW w:w="5970" w:type="dxa"/>
            <w:shd w:val="clear" w:color="auto" w:fill="auto"/>
          </w:tcPr>
          <w:p w:rsidR="00626016" w:rsidRPr="00C51EBE" w:rsidRDefault="00626016" w:rsidP="00626016">
            <w:pPr>
              <w:snapToGrid w:val="0"/>
              <w:spacing w:after="120"/>
              <w:ind w:left="144"/>
            </w:pPr>
            <w:r w:rsidRPr="00C51EBE">
              <w:t>Water and Sewerage Corporation</w:t>
            </w:r>
          </w:p>
        </w:tc>
      </w:tr>
    </w:tbl>
    <w:p w:rsidR="00626016" w:rsidRDefault="00314BFA" w:rsidP="00626016">
      <w:pPr>
        <w:pStyle w:val="SingleTxt"/>
      </w:pPr>
      <w:r w:rsidRPr="00C51EBE">
        <w:tab/>
      </w:r>
      <w:r w:rsidRPr="00C51EBE">
        <w:tab/>
      </w:r>
    </w:p>
    <w:p w:rsidR="00626016" w:rsidRDefault="00626016">
      <w:pPr>
        <w:suppressAutoHyphens w:val="0"/>
        <w:spacing w:after="200" w:line="276" w:lineRule="auto"/>
      </w:pPr>
      <w:r>
        <w:br w:type="page"/>
      </w:r>
    </w:p>
    <w:p w:rsidR="00626016" w:rsidRDefault="00AF50FD" w:rsidP="00AF50FD">
      <w:pPr>
        <w:pStyle w:val="TitleHCH"/>
      </w:pPr>
      <w:r>
        <w:lastRenderedPageBreak/>
        <w:tab/>
      </w:r>
      <w:r w:rsidR="00626016">
        <w:tab/>
        <w:t>Introduction</w:t>
      </w:r>
    </w:p>
    <w:p w:rsidR="00AF50FD" w:rsidRPr="00AF50FD" w:rsidRDefault="00AF50FD" w:rsidP="00AF50FD">
      <w:pPr>
        <w:pStyle w:val="SingleTxt"/>
        <w:spacing w:after="0" w:line="120" w:lineRule="exact"/>
        <w:rPr>
          <w:sz w:val="10"/>
        </w:rPr>
      </w:pPr>
    </w:p>
    <w:p w:rsidR="00AF50FD" w:rsidRPr="00AF50FD" w:rsidRDefault="00AF50FD" w:rsidP="00AF50FD">
      <w:pPr>
        <w:pStyle w:val="SingleTxt"/>
        <w:spacing w:after="0" w:line="120" w:lineRule="exact"/>
        <w:rPr>
          <w:sz w:val="10"/>
        </w:rPr>
      </w:pPr>
    </w:p>
    <w:p w:rsidR="00626016" w:rsidRDefault="00626016" w:rsidP="00626016">
      <w:pPr>
        <w:pStyle w:val="SingleTxt"/>
      </w:pPr>
      <w:r>
        <w:t>1.</w:t>
      </w:r>
      <w:r>
        <w:tab/>
        <w:t>The Government of the Commonwealth of The Bahamas is committed to enhancing the quality of life of all persons within its territory. With respect to women, the Government is making notable efforts to ensure that women are able to participate fully and equally in all aspects of Bahamian life. As stated in previous reports, The Bahamas ratified the Convention on the Elimination of All Forms of Discrimination against Women on October 6th, 1993. The Government submitted its combined Initial to the Fourth Periodic Report in October 2009 and its Fifth Periodic Report in October 2011. In addition, The Bahamas submitted a follow-up report to the CEDAW Committee in 2014. The Government now presents its Sixth Periodic Report which contains developments relevant to the implementation of the Convention in The Bahamas for the period of January 2011 to May 2016. This present report also addresses the principal areas of concern and recommendations raised by the Committee on the Elimination of All Forms of Discrimination against Women subsequent to the Government of The Bahamas’ appearance before the Committee in July 2012.</w:t>
      </w:r>
    </w:p>
    <w:p w:rsidR="00626016" w:rsidRDefault="00626016" w:rsidP="00626016">
      <w:pPr>
        <w:pStyle w:val="SingleTxt"/>
      </w:pPr>
      <w:r>
        <w:t>2.</w:t>
      </w:r>
      <w:r>
        <w:tab/>
        <w:t xml:space="preserve">In March 2015, the Bureau of Women’s Affairs formed a working group to aid in the preparation of this present report. The working group comprised officials from the Ministry of Foreign Affairs and Immigration, the Office of the Attorney General and Ministry of Legal Affairs, the Ministry of Education, Science and Technology, the Ministry of Health, the Department of Statistics, the Department of Labour and the Department of Local Government. Information was gleaned from a vast array of additional governmental and non-governmental agencies. This report is divided into three parts. Part I provides an update of general background information about the country. Part II contains achievements pertaining to the substantive articles (i.e. Articles 1-16) of the CEDAW. Part III presents information on actions taken by the Government of The Bahamas, which correlate with the CEDAW Committee’s Concluding Observations and Recommendations. </w:t>
      </w:r>
    </w:p>
    <w:p w:rsidR="00626016" w:rsidRDefault="00626016" w:rsidP="00626016">
      <w:pPr>
        <w:pStyle w:val="SingleTxt"/>
      </w:pPr>
      <w:r>
        <w:t>3.</w:t>
      </w:r>
      <w:r>
        <w:tab/>
        <w:t>During the period under review, significant strides have been made to improve the status of all Bahamians. Some of these improvements which directly impact women were the creation of the National Task Force for Ending Gender-Based Violence in July 2013 and the development of consequent strategic and implementation plans; the Trafficking in Persons (TIP) Committee and Task Force in July 2013; the enactment of the Persons with Disabilities (Equal Opportunities) Act in 2014; the establishment of the National Commission for Persons with Disabilities in 2014; the development and launching of the Renewing, Inspiring, Sustaining, and Empowering (RISE) Programme (a poverty alleviation and empowerment initiative) in June 2015; and the near unanimous, bipartisan passage of four gender equality bills in Parliament in March 2016. The bills will go to the public in the form of a constitutional referendum in June 2016.</w:t>
      </w:r>
    </w:p>
    <w:p w:rsidR="00626016" w:rsidRDefault="00626016" w:rsidP="00626016">
      <w:pPr>
        <w:pStyle w:val="SingleTxt"/>
      </w:pPr>
      <w:r>
        <w:t>4.</w:t>
      </w:r>
      <w:r>
        <w:tab/>
        <w:t xml:space="preserve">The Bahamas remains committed to the equal and equitable treatment of all persons within its borders and will continue in this regard. </w:t>
      </w:r>
    </w:p>
    <w:p w:rsidR="00AF50FD" w:rsidRPr="00AF50FD" w:rsidRDefault="00AF50FD" w:rsidP="00AF50FD">
      <w:pPr>
        <w:pStyle w:val="SingleTxt"/>
        <w:spacing w:after="0" w:line="120" w:lineRule="exact"/>
        <w:rPr>
          <w:sz w:val="10"/>
        </w:rPr>
      </w:pPr>
    </w:p>
    <w:p w:rsidR="00AF50FD" w:rsidRPr="00AF50FD" w:rsidRDefault="00AF50FD" w:rsidP="00AF50FD">
      <w:pPr>
        <w:pStyle w:val="SingleTxt"/>
        <w:spacing w:after="0" w:line="120" w:lineRule="exact"/>
        <w:rPr>
          <w:sz w:val="10"/>
        </w:rPr>
      </w:pPr>
    </w:p>
    <w:p w:rsidR="00626016" w:rsidRDefault="00626016" w:rsidP="00AF50FD">
      <w:pPr>
        <w:pStyle w:val="TitleHCH"/>
      </w:pPr>
      <w:r>
        <w:tab/>
      </w:r>
      <w:r>
        <w:tab/>
        <w:t>Part 1</w:t>
      </w:r>
    </w:p>
    <w:p w:rsidR="00AF50FD" w:rsidRPr="00AF50FD" w:rsidRDefault="00AF50FD" w:rsidP="00AF50FD">
      <w:pPr>
        <w:pStyle w:val="SingleTxt"/>
        <w:spacing w:after="0" w:line="120" w:lineRule="exact"/>
        <w:rPr>
          <w:sz w:val="10"/>
        </w:rPr>
      </w:pPr>
    </w:p>
    <w:p w:rsidR="00AF50FD" w:rsidRPr="00AF50FD" w:rsidRDefault="00AF50FD" w:rsidP="00AF50FD">
      <w:pPr>
        <w:pStyle w:val="SingleTxt"/>
        <w:spacing w:after="0" w:line="120" w:lineRule="exact"/>
        <w:rPr>
          <w:sz w:val="10"/>
        </w:rPr>
      </w:pPr>
    </w:p>
    <w:p w:rsidR="00626016" w:rsidRDefault="00626016" w:rsidP="00AF50FD">
      <w:pPr>
        <w:pStyle w:val="TitleH1"/>
      </w:pPr>
      <w:r>
        <w:tab/>
      </w:r>
      <w:r>
        <w:tab/>
        <w:t>Article 1: Defining Discrimination against Women</w:t>
      </w:r>
    </w:p>
    <w:p w:rsidR="00AF50FD" w:rsidRPr="00AF50FD" w:rsidRDefault="00AF50FD" w:rsidP="00AF50FD">
      <w:pPr>
        <w:pStyle w:val="SingleTxt"/>
        <w:spacing w:after="0" w:line="120" w:lineRule="exact"/>
        <w:rPr>
          <w:sz w:val="10"/>
        </w:rPr>
      </w:pPr>
    </w:p>
    <w:p w:rsidR="00AF50FD" w:rsidRPr="00AF50FD" w:rsidRDefault="00AF50FD" w:rsidP="00AF50FD">
      <w:pPr>
        <w:pStyle w:val="SingleTxt"/>
        <w:spacing w:after="0" w:line="120" w:lineRule="exact"/>
        <w:rPr>
          <w:sz w:val="10"/>
        </w:rPr>
      </w:pPr>
    </w:p>
    <w:p w:rsidR="00626016" w:rsidRDefault="00626016" w:rsidP="00626016">
      <w:pPr>
        <w:pStyle w:val="SingleTxt"/>
      </w:pPr>
      <w:r>
        <w:t>5.</w:t>
      </w:r>
      <w:r>
        <w:tab/>
        <w:t xml:space="preserve">The laws of the Commonwealth of The Bahamas with respect to discrimination against women are formulated in the Constitution and remain as previously reported. The Bahamas recognizes the need to reaffirm the principle of equality already existing in the Constitution. This need was realized when in August </w:t>
      </w:r>
      <w:r>
        <w:lastRenderedPageBreak/>
        <w:t xml:space="preserve">2012, the Right Honourable Prime Minister Perry G. Christie appointed a Constitutional Commission to conduct a comprehensive review of the Constitution of The Bahamas, and to recommend changes to the Constitution in advance of the country’s fortieth (40th) anniversary of Independence. </w:t>
      </w:r>
    </w:p>
    <w:p w:rsidR="00BA4C7A" w:rsidRPr="00BA4C7A" w:rsidRDefault="00BA4C7A" w:rsidP="00BA4C7A">
      <w:pPr>
        <w:pStyle w:val="SingleTxt"/>
        <w:spacing w:after="0" w:line="120" w:lineRule="exact"/>
        <w:rPr>
          <w:sz w:val="10"/>
        </w:rPr>
      </w:pPr>
    </w:p>
    <w:p w:rsidR="00626016" w:rsidRDefault="00626016" w:rsidP="00BA4C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Constitutional Amendment Bills </w:t>
      </w:r>
      <w:r w:rsidR="00BA4C7A">
        <w:t>—</w:t>
      </w:r>
      <w:r>
        <w:t xml:space="preserve"> Gender Equality Referendum</w:t>
      </w:r>
    </w:p>
    <w:p w:rsidR="00BA4C7A" w:rsidRPr="00BA4C7A" w:rsidRDefault="00BA4C7A" w:rsidP="00BA4C7A">
      <w:pPr>
        <w:pStyle w:val="SingleTxt"/>
        <w:spacing w:after="0" w:line="120" w:lineRule="exact"/>
        <w:rPr>
          <w:sz w:val="10"/>
        </w:rPr>
      </w:pPr>
    </w:p>
    <w:p w:rsidR="00626016" w:rsidRDefault="00626016" w:rsidP="00BA4C7A">
      <w:pPr>
        <w:pStyle w:val="SingleTxt"/>
      </w:pPr>
      <w:r>
        <w:t>6.</w:t>
      </w:r>
      <w:r>
        <w:tab/>
        <w:t xml:space="preserve">In July 2013, the Commission presented the </w:t>
      </w:r>
      <w:r w:rsidRPr="00BA4C7A">
        <w:rPr>
          <w:i/>
          <w:iCs/>
        </w:rPr>
        <w:t>Report of the Constitutional Commission into a Review of The Bahamas Constitution</w:t>
      </w:r>
      <w:r>
        <w:t xml:space="preserve">. The proposed amendments called for a national referendum </w:t>
      </w:r>
      <w:r w:rsidR="00BA4C7A">
        <w:t>—</w:t>
      </w:r>
      <w:r>
        <w:t xml:space="preserve"> scheduled to be held on June 7, 2016. In this context, the Commission observed that “</w:t>
      </w:r>
      <w:r w:rsidRPr="00BA4C7A">
        <w:rPr>
          <w:i/>
          <w:iCs/>
        </w:rPr>
        <w:t>We must therefore make the necessary amendments to our Constitution not only to satisfy a moral and social imperative of the first magnitude but also to enable us to comply fully with international norms and obligations</w:t>
      </w:r>
      <w:r>
        <w:t xml:space="preserve">.” In the context of the referendum, the following Bills were introduced and passed in Parliament: and were to be subsequently voted upon by the populace: </w:t>
      </w:r>
    </w:p>
    <w:p w:rsidR="00BA4C7A" w:rsidRPr="00BA4C7A" w:rsidRDefault="00BA4C7A" w:rsidP="00BA4C7A">
      <w:pPr>
        <w:pStyle w:val="SingleTxt"/>
        <w:spacing w:after="0" w:line="120" w:lineRule="exact"/>
        <w:rPr>
          <w:sz w:val="10"/>
        </w:rPr>
      </w:pPr>
    </w:p>
    <w:p w:rsidR="00626016" w:rsidRDefault="00626016" w:rsidP="00BA4C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Constitution (Amendment) (No. 1) Bill 2014: Articles 8</w:t>
      </w:r>
    </w:p>
    <w:p w:rsidR="00BA4C7A" w:rsidRPr="00BA4C7A" w:rsidRDefault="00BA4C7A" w:rsidP="00BA4C7A">
      <w:pPr>
        <w:pStyle w:val="SingleTxt"/>
        <w:spacing w:after="0" w:line="120" w:lineRule="exact"/>
        <w:rPr>
          <w:sz w:val="10"/>
          <w:lang w:val="en-US"/>
        </w:rPr>
      </w:pPr>
    </w:p>
    <w:p w:rsidR="00626016" w:rsidRPr="00BA4C7A" w:rsidRDefault="00BA4C7A" w:rsidP="00BA4C7A">
      <w:pPr>
        <w:pStyle w:val="SingleTxt"/>
        <w:ind w:left="1742" w:hanging="475"/>
        <w:rPr>
          <w:i/>
          <w:iCs/>
        </w:rPr>
      </w:pPr>
      <w:r>
        <w:tab/>
      </w:r>
      <w:r w:rsidR="00626016" w:rsidRPr="00BA4C7A">
        <w:rPr>
          <w:i/>
          <w:iCs/>
        </w:rPr>
        <w:t>“(1)</w:t>
      </w:r>
      <w:r w:rsidR="00626016" w:rsidRPr="00BA4C7A">
        <w:rPr>
          <w:i/>
          <w:iCs/>
        </w:rPr>
        <w:tab/>
        <w:t>A person born outside The Bahamas after the coming into operation of this Article shall become a citizen at the date of his birth if at that date HIS FATHER OR MOTHER is a citizen of The Bahamas otherwise than by virtue of this Article or Article 3(2) or Article 10 of the Constitution.</w:t>
      </w:r>
    </w:p>
    <w:p w:rsidR="00626016" w:rsidRDefault="00BA4C7A" w:rsidP="00BA4C7A">
      <w:pPr>
        <w:pStyle w:val="SingleTxt"/>
        <w:ind w:left="1742" w:hanging="475"/>
        <w:rPr>
          <w:i/>
          <w:iCs/>
        </w:rPr>
      </w:pPr>
      <w:r w:rsidRPr="00BA4C7A">
        <w:rPr>
          <w:i/>
          <w:iCs/>
        </w:rPr>
        <w:tab/>
      </w:r>
      <w:r w:rsidR="00626016" w:rsidRPr="00BA4C7A">
        <w:rPr>
          <w:i/>
          <w:iCs/>
        </w:rPr>
        <w:t>(2)</w:t>
      </w:r>
      <w:r w:rsidR="00626016" w:rsidRPr="00BA4C7A">
        <w:rPr>
          <w:i/>
          <w:iCs/>
        </w:rPr>
        <w:tab/>
        <w:t>Paragraph (1) shall not affect the right of any person who was entitled to citizenship of The Bahamas by virtue of any provision of this Constitution in force before the coming into operation of this Article.”</w:t>
      </w:r>
    </w:p>
    <w:p w:rsidR="00BA4C7A" w:rsidRPr="00BA4C7A" w:rsidRDefault="00BA4C7A" w:rsidP="00BA4C7A">
      <w:pPr>
        <w:pStyle w:val="SingleTxt"/>
        <w:spacing w:after="0" w:line="120" w:lineRule="exact"/>
        <w:ind w:left="1742" w:hanging="475"/>
        <w:rPr>
          <w:i/>
          <w:iCs/>
          <w:sz w:val="10"/>
        </w:rPr>
      </w:pPr>
    </w:p>
    <w:p w:rsidR="00626016" w:rsidRDefault="00626016" w:rsidP="00BA4C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Constitution (Amendment) (No.2) Bill 2014: Article 10</w:t>
      </w:r>
    </w:p>
    <w:p w:rsidR="00BA4C7A" w:rsidRPr="00BA4C7A" w:rsidRDefault="00BA4C7A" w:rsidP="00BA4C7A">
      <w:pPr>
        <w:pStyle w:val="SingleTxt"/>
        <w:spacing w:after="0" w:line="120" w:lineRule="exact"/>
        <w:rPr>
          <w:sz w:val="10"/>
        </w:rPr>
      </w:pPr>
    </w:p>
    <w:p w:rsidR="00626016" w:rsidRPr="00BA4C7A" w:rsidRDefault="00BA4C7A" w:rsidP="00BA4C7A">
      <w:pPr>
        <w:pStyle w:val="SingleTxt"/>
        <w:ind w:left="1742" w:hanging="475"/>
        <w:rPr>
          <w:i/>
          <w:iCs/>
        </w:rPr>
      </w:pPr>
      <w:r>
        <w:tab/>
      </w:r>
      <w:r w:rsidR="00626016" w:rsidRPr="00BA4C7A">
        <w:rPr>
          <w:i/>
          <w:iCs/>
        </w:rPr>
        <w:t>(1)</w:t>
      </w:r>
      <w:r w:rsidR="00626016" w:rsidRPr="00BA4C7A">
        <w:rPr>
          <w:i/>
          <w:iCs/>
        </w:rPr>
        <w:tab/>
        <w:t>A MAN OR WOMAN who, after the coming into operation of this Article, marries a person who is or becomes a citizen of The Bahamas shall be entitled, provided he or she is still so married, upon making application in such manner as may be prescribed and upon taking the oath of allegiance or such declaration as may be prescribed, to be registered as a citizen of The Bahamas: Provided that the right to be registered as a citizen of The Bahamas under this Article shall be subject to such exceptions or qualifications as may be prescribed in the interests of national Security or public policy or as set out in paragraph (2) of this Article.</w:t>
      </w:r>
    </w:p>
    <w:p w:rsidR="00BA4C7A" w:rsidRPr="00BA4C7A" w:rsidRDefault="00BA4C7A" w:rsidP="00C82204">
      <w:pPr>
        <w:pStyle w:val="SingleTxt"/>
        <w:rPr>
          <w:i/>
          <w:iCs/>
        </w:rPr>
      </w:pPr>
      <w:r w:rsidRPr="00BA4C7A">
        <w:rPr>
          <w:i/>
          <w:iCs/>
        </w:rPr>
        <w:tab/>
      </w:r>
      <w:r w:rsidR="00626016" w:rsidRPr="00BA4C7A">
        <w:rPr>
          <w:i/>
          <w:iCs/>
        </w:rPr>
        <w:t>(2)</w:t>
      </w:r>
      <w:r w:rsidR="00626016" w:rsidRPr="00BA4C7A">
        <w:rPr>
          <w:i/>
          <w:iCs/>
        </w:rPr>
        <w:tab/>
        <w:t xml:space="preserve">A person may be denied registration under this Article if </w:t>
      </w:r>
      <w:r w:rsidR="00C82204">
        <w:rPr>
          <w:i/>
          <w:iCs/>
        </w:rPr>
        <w:t>—</w:t>
      </w:r>
    </w:p>
    <w:p w:rsidR="00626016" w:rsidRPr="00BA4C7A" w:rsidRDefault="00BA4C7A" w:rsidP="00BA4C7A">
      <w:pPr>
        <w:pStyle w:val="SingleTxt"/>
        <w:ind w:left="1742" w:hanging="475"/>
        <w:rPr>
          <w:i/>
          <w:iCs/>
        </w:rPr>
      </w:pPr>
      <w:r w:rsidRPr="00BA4C7A">
        <w:rPr>
          <w:i/>
          <w:iCs/>
        </w:rPr>
        <w:tab/>
      </w:r>
      <w:r w:rsidR="00626016" w:rsidRPr="00BA4C7A">
        <w:rPr>
          <w:i/>
          <w:iCs/>
        </w:rPr>
        <w:t>there is satisfactory evidence that</w:t>
      </w:r>
      <w:r w:rsidR="00B956DB">
        <w:rPr>
          <w:i/>
          <w:iCs/>
        </w:rPr>
        <w:t xml:space="preserve"> </w:t>
      </w:r>
      <w:r w:rsidR="00626016" w:rsidRPr="00BA4C7A">
        <w:rPr>
          <w:i/>
          <w:iCs/>
        </w:rPr>
        <w:t>— (i) the marriage no longer subsists; (ii)</w:t>
      </w:r>
      <w:r>
        <w:rPr>
          <w:i/>
          <w:iCs/>
        </w:rPr>
        <w:t> </w:t>
      </w:r>
      <w:r w:rsidR="00626016" w:rsidRPr="00BA4C7A">
        <w:rPr>
          <w:i/>
          <w:iCs/>
        </w:rPr>
        <w:t xml:space="preserve">the marriage was entered into for the purpose of enabling that person to acquire citizenship of The Bahamas; or (iii) the parties to the marriage have no intention of permanently co-habiting with each other as spouses, after marriage; or the person has been convicted in any country of criminal offence specified in any law which makes provision for such denial on the ground of such conviction. </w:t>
      </w:r>
    </w:p>
    <w:p w:rsidR="00626016" w:rsidRDefault="00BA4C7A" w:rsidP="00BA4C7A">
      <w:pPr>
        <w:pStyle w:val="SingleTxt"/>
        <w:ind w:left="1742" w:hanging="475"/>
        <w:rPr>
          <w:i/>
          <w:iCs/>
        </w:rPr>
      </w:pPr>
      <w:r w:rsidRPr="00BA4C7A">
        <w:rPr>
          <w:i/>
          <w:iCs/>
        </w:rPr>
        <w:tab/>
      </w:r>
      <w:r w:rsidR="00626016" w:rsidRPr="00BA4C7A">
        <w:rPr>
          <w:i/>
          <w:iCs/>
        </w:rPr>
        <w:t>(3)</w:t>
      </w:r>
      <w:r w:rsidR="00626016" w:rsidRPr="00BA4C7A">
        <w:rPr>
          <w:i/>
          <w:iCs/>
        </w:rPr>
        <w:tab/>
        <w:t>Nothing in this Article shall affect the right of any person who was entitled to apply for citizenship of The Bahamas by virtue of any provisions of this Constitution in force before the coming into operation of this Article.</w:t>
      </w:r>
    </w:p>
    <w:p w:rsidR="00BA4C7A" w:rsidRPr="00BA4C7A" w:rsidRDefault="00BA4C7A" w:rsidP="00BA4C7A">
      <w:pPr>
        <w:pStyle w:val="SingleTxt"/>
        <w:spacing w:after="0" w:line="120" w:lineRule="exact"/>
        <w:ind w:left="1742" w:hanging="475"/>
        <w:rPr>
          <w:i/>
          <w:iCs/>
          <w:sz w:val="10"/>
        </w:rPr>
      </w:pPr>
    </w:p>
    <w:p w:rsidR="00626016" w:rsidRDefault="00626016" w:rsidP="00BA4C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Constitution (Amendment) (No.3) Bill 2014: Article 14</w:t>
      </w:r>
    </w:p>
    <w:p w:rsidR="00BA4C7A" w:rsidRPr="00BA4C7A" w:rsidRDefault="00BA4C7A" w:rsidP="00BA4C7A">
      <w:pPr>
        <w:pStyle w:val="SingleTxt"/>
        <w:spacing w:after="0" w:line="120" w:lineRule="exact"/>
        <w:rPr>
          <w:sz w:val="10"/>
        </w:rPr>
      </w:pPr>
    </w:p>
    <w:p w:rsidR="00626016" w:rsidRPr="00402D47" w:rsidRDefault="00BA4C7A" w:rsidP="00BA4C7A">
      <w:pPr>
        <w:pStyle w:val="SingleTxt"/>
        <w:ind w:left="1742" w:hanging="475"/>
        <w:rPr>
          <w:i/>
          <w:iCs/>
        </w:rPr>
      </w:pPr>
      <w:r>
        <w:tab/>
      </w:r>
      <w:r w:rsidR="00626016" w:rsidRPr="00402D47">
        <w:rPr>
          <w:i/>
          <w:iCs/>
        </w:rPr>
        <w:t>(1)</w:t>
      </w:r>
      <w:r w:rsidR="00626016" w:rsidRPr="00402D47">
        <w:rPr>
          <w:i/>
          <w:iCs/>
        </w:rPr>
        <w:tab/>
        <w:t xml:space="preserve">A reference in this Chapter to the father of a person born out of wedlock after the coming into operation of this paragraph, means a male who satisfies any requirements as to proof of paternity as may be prescribed. […] </w:t>
      </w:r>
    </w:p>
    <w:p w:rsidR="00626016" w:rsidRDefault="00BA4C7A" w:rsidP="00BA4C7A">
      <w:pPr>
        <w:pStyle w:val="SingleTxt"/>
        <w:ind w:left="1742" w:hanging="475"/>
        <w:rPr>
          <w:i/>
          <w:iCs/>
        </w:rPr>
      </w:pPr>
      <w:r w:rsidRPr="00402D47">
        <w:rPr>
          <w:i/>
          <w:iCs/>
        </w:rPr>
        <w:lastRenderedPageBreak/>
        <w:tab/>
      </w:r>
      <w:r w:rsidR="00626016" w:rsidRPr="00402D47">
        <w:rPr>
          <w:i/>
          <w:iCs/>
        </w:rPr>
        <w:t>(3)</w:t>
      </w:r>
      <w:r w:rsidR="00626016" w:rsidRPr="00402D47">
        <w:rPr>
          <w:i/>
          <w:iCs/>
        </w:rPr>
        <w:tab/>
        <w:t>Any reference in this Chapter to the national status of the parent of a person at the time of that person’s birth shall, in relation to a person born after the death of his parent, be construed as a reference to the national status of the parent at the time of the parent’s death.”</w:t>
      </w:r>
    </w:p>
    <w:p w:rsidR="00402D47" w:rsidRPr="00402D47" w:rsidRDefault="00402D47" w:rsidP="00402D47">
      <w:pPr>
        <w:pStyle w:val="SingleTxt"/>
        <w:spacing w:after="0" w:line="120" w:lineRule="exact"/>
        <w:ind w:left="1742" w:hanging="475"/>
        <w:rPr>
          <w:i/>
          <w:iCs/>
          <w:sz w:val="10"/>
        </w:rPr>
      </w:pPr>
    </w:p>
    <w:p w:rsidR="00626016" w:rsidRDefault="00626016" w:rsidP="00402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Constitution (Amendment) (No.4) Bill 2014: Article 26</w:t>
      </w:r>
    </w:p>
    <w:p w:rsidR="00402D47" w:rsidRPr="00402D47" w:rsidRDefault="00402D47" w:rsidP="00402D47">
      <w:pPr>
        <w:pStyle w:val="SingleTxt"/>
        <w:spacing w:after="0" w:line="120" w:lineRule="exact"/>
        <w:rPr>
          <w:sz w:val="10"/>
        </w:rPr>
      </w:pPr>
    </w:p>
    <w:p w:rsidR="00626016" w:rsidRPr="00402D47" w:rsidRDefault="00402D47" w:rsidP="00402D47">
      <w:pPr>
        <w:pStyle w:val="SingleTxt"/>
        <w:ind w:left="2218" w:hanging="951"/>
        <w:rPr>
          <w:i/>
          <w:iCs/>
        </w:rPr>
      </w:pPr>
      <w:r w:rsidRPr="00402D47">
        <w:rPr>
          <w:i/>
          <w:iCs/>
        </w:rPr>
        <w:tab/>
      </w:r>
      <w:r w:rsidR="00626016" w:rsidRPr="00402D47">
        <w:rPr>
          <w:i/>
          <w:iCs/>
        </w:rPr>
        <w:t>(a)</w:t>
      </w:r>
      <w:r w:rsidR="00626016" w:rsidRPr="00402D47">
        <w:rPr>
          <w:i/>
          <w:iCs/>
        </w:rPr>
        <w:tab/>
        <w:t xml:space="preserve">In paragraph (3) and (5), by the deletion of the words “or creed” and the substitution therefore of the words “creed or sex”; and </w:t>
      </w:r>
    </w:p>
    <w:p w:rsidR="00626016" w:rsidRPr="00402D47" w:rsidRDefault="00402D47" w:rsidP="00402D47">
      <w:pPr>
        <w:pStyle w:val="SingleTxt"/>
        <w:ind w:left="2218" w:hanging="951"/>
        <w:rPr>
          <w:i/>
          <w:iCs/>
        </w:rPr>
      </w:pPr>
      <w:r w:rsidRPr="00402D47">
        <w:rPr>
          <w:i/>
          <w:iCs/>
        </w:rPr>
        <w:tab/>
      </w:r>
      <w:r w:rsidR="00626016" w:rsidRPr="00402D47">
        <w:rPr>
          <w:i/>
          <w:iCs/>
        </w:rPr>
        <w:t>(b)</w:t>
      </w:r>
      <w:r w:rsidR="00626016" w:rsidRPr="00402D47">
        <w:rPr>
          <w:i/>
          <w:iCs/>
        </w:rPr>
        <w:tab/>
        <w:t>By the insertion immediately after paragraph 10, of the following new paragraph (11)</w:t>
      </w:r>
      <w:r w:rsidRPr="00402D47">
        <w:rPr>
          <w:i/>
          <w:iCs/>
        </w:rPr>
        <w:t>-</w:t>
      </w:r>
      <w:r w:rsidR="00626016" w:rsidRPr="00402D47">
        <w:rPr>
          <w:i/>
          <w:iCs/>
        </w:rPr>
        <w:t>(11) in this Chapter, “sex” means being male or female.</w:t>
      </w:r>
    </w:p>
    <w:p w:rsidR="00626016" w:rsidRDefault="00626016" w:rsidP="00626016">
      <w:pPr>
        <w:pStyle w:val="SingleTxt"/>
      </w:pPr>
      <w:r>
        <w:t>7.</w:t>
      </w:r>
      <w:r>
        <w:tab/>
        <w:t xml:space="preserve">As of June 2016, the Educational Team of the Commission made approximately two hundred and eighteen (218) presentations throughout the country to various government agencies, NGOs, religious organizations, public and private groups. During National Women’s Week 2014, the Bureau, in conjunction with the Constitutional Commission’s Education arm, held sessions on the proposed amendments to the Constitution on three (3) of the most populated Family Islands. </w:t>
      </w:r>
    </w:p>
    <w:p w:rsidR="00402D47" w:rsidRPr="00402D47" w:rsidRDefault="00402D47" w:rsidP="00402D47">
      <w:pPr>
        <w:pStyle w:val="SingleTxt"/>
        <w:spacing w:after="0" w:line="120" w:lineRule="exact"/>
        <w:rPr>
          <w:sz w:val="10"/>
        </w:rPr>
      </w:pPr>
    </w:p>
    <w:p w:rsidR="00402D47" w:rsidRPr="00402D47" w:rsidRDefault="00402D47" w:rsidP="00402D47">
      <w:pPr>
        <w:pStyle w:val="SingleTxt"/>
        <w:spacing w:after="0" w:line="120" w:lineRule="exact"/>
        <w:rPr>
          <w:sz w:val="10"/>
        </w:rPr>
      </w:pPr>
    </w:p>
    <w:p w:rsidR="00626016" w:rsidRDefault="00626016" w:rsidP="00402D47">
      <w:pPr>
        <w:pStyle w:val="TitleH1"/>
      </w:pPr>
      <w:r>
        <w:tab/>
      </w:r>
      <w:r>
        <w:tab/>
        <w:t>Article 2: Obligations to Eliminate All Forms of Discrimination against Women</w:t>
      </w:r>
    </w:p>
    <w:p w:rsidR="00402D47" w:rsidRPr="00402D47" w:rsidRDefault="00402D47" w:rsidP="00402D47">
      <w:pPr>
        <w:pStyle w:val="SingleTxt"/>
        <w:spacing w:after="0" w:line="120" w:lineRule="exact"/>
        <w:rPr>
          <w:sz w:val="10"/>
        </w:rPr>
      </w:pPr>
    </w:p>
    <w:p w:rsidR="00402D47" w:rsidRPr="00402D47" w:rsidRDefault="00402D47" w:rsidP="00402D47">
      <w:pPr>
        <w:pStyle w:val="SingleTxt"/>
        <w:spacing w:after="0" w:line="120" w:lineRule="exact"/>
        <w:rPr>
          <w:sz w:val="10"/>
        </w:rPr>
      </w:pPr>
    </w:p>
    <w:p w:rsidR="00626016" w:rsidRDefault="00626016" w:rsidP="00626016">
      <w:pPr>
        <w:pStyle w:val="SingleTxt"/>
      </w:pPr>
      <w:r>
        <w:t>8.</w:t>
      </w:r>
      <w:r>
        <w:tab/>
        <w:t xml:space="preserve">The Government of The Bahamas has been active in raising awareness about the Convention and about the need to address all forms of discrimination. </w:t>
      </w:r>
    </w:p>
    <w:p w:rsidR="00402D47" w:rsidRPr="00402D47" w:rsidRDefault="00402D47" w:rsidP="00402D47">
      <w:pPr>
        <w:pStyle w:val="SingleTxt"/>
        <w:spacing w:after="0" w:line="120" w:lineRule="exact"/>
        <w:rPr>
          <w:sz w:val="10"/>
        </w:rPr>
      </w:pPr>
    </w:p>
    <w:p w:rsidR="00626016" w:rsidRDefault="00626016" w:rsidP="00402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Reservations</w:t>
      </w:r>
    </w:p>
    <w:p w:rsidR="00402D47" w:rsidRPr="00402D47" w:rsidRDefault="00402D47" w:rsidP="00402D47">
      <w:pPr>
        <w:pStyle w:val="SingleTxt"/>
        <w:spacing w:after="0" w:line="120" w:lineRule="exact"/>
        <w:rPr>
          <w:sz w:val="10"/>
        </w:rPr>
      </w:pPr>
    </w:p>
    <w:p w:rsidR="00626016" w:rsidRDefault="00626016" w:rsidP="00626016">
      <w:pPr>
        <w:pStyle w:val="SingleTxt"/>
      </w:pPr>
      <w:r>
        <w:t>9.</w:t>
      </w:r>
      <w:r>
        <w:tab/>
        <w:t xml:space="preserve">As indicated in </w:t>
      </w:r>
      <w:r w:rsidRPr="00402D47">
        <w:rPr>
          <w:b/>
          <w:bCs/>
        </w:rPr>
        <w:t>Article 1</w:t>
      </w:r>
      <w:r>
        <w:t xml:space="preserve"> of this report. The Government of The Bahamas will be seeking to address reservations resultant from the mandated Constitutional Referendum. </w:t>
      </w:r>
    </w:p>
    <w:p w:rsidR="00402D47" w:rsidRPr="00402D47" w:rsidRDefault="00402D47" w:rsidP="00402D47">
      <w:pPr>
        <w:pStyle w:val="SingleTxt"/>
        <w:spacing w:after="0" w:line="120" w:lineRule="exact"/>
        <w:rPr>
          <w:sz w:val="10"/>
        </w:rPr>
      </w:pPr>
    </w:p>
    <w:p w:rsidR="00626016" w:rsidRDefault="00626016" w:rsidP="00402D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Domestic Legislation</w:t>
      </w:r>
    </w:p>
    <w:p w:rsidR="00402D47" w:rsidRPr="00402D47" w:rsidRDefault="00402D47" w:rsidP="00402D47">
      <w:pPr>
        <w:pStyle w:val="SingleTxt"/>
        <w:spacing w:after="0" w:line="120" w:lineRule="exact"/>
        <w:rPr>
          <w:sz w:val="10"/>
        </w:rPr>
      </w:pPr>
    </w:p>
    <w:p w:rsidR="00626016" w:rsidRDefault="00626016" w:rsidP="00626016">
      <w:pPr>
        <w:pStyle w:val="SingleTxt"/>
      </w:pPr>
      <w:r>
        <w:t>10.</w:t>
      </w:r>
      <w:r>
        <w:tab/>
        <w:t>Additional legislation has been enacted which ensures the protection of females, in particular:</w:t>
      </w:r>
    </w:p>
    <w:p w:rsidR="00626016" w:rsidRDefault="00402D47" w:rsidP="00402D47">
      <w:pPr>
        <w:pStyle w:val="SingleTxt"/>
        <w:tabs>
          <w:tab w:val="right" w:pos="1685"/>
        </w:tabs>
        <w:ind w:left="1742" w:hanging="475"/>
      </w:pPr>
      <w:r>
        <w:tab/>
      </w:r>
      <w:r w:rsidR="00626016">
        <w:t>•</w:t>
      </w:r>
      <w:r w:rsidR="00626016">
        <w:tab/>
        <w:t xml:space="preserve">The Amendment of the Sexual Offences Act 2014, which allowed the </w:t>
      </w:r>
      <w:r>
        <w:t>insertion of new sections 26A-</w:t>
      </w:r>
      <w:r w:rsidR="00626016">
        <w:t xml:space="preserve">26J into the Principal Act which establishes a Sex Offender Register and Registry; </w:t>
      </w:r>
    </w:p>
    <w:p w:rsidR="00626016" w:rsidRDefault="00402D47" w:rsidP="00402D47">
      <w:pPr>
        <w:pStyle w:val="SingleTxt"/>
        <w:tabs>
          <w:tab w:val="right" w:pos="1685"/>
        </w:tabs>
        <w:ind w:left="1742" w:hanging="475"/>
      </w:pPr>
      <w:r>
        <w:tab/>
      </w:r>
      <w:r w:rsidR="00626016">
        <w:t>•</w:t>
      </w:r>
      <w:r w:rsidR="00626016">
        <w:tab/>
        <w:t>The Persons with Disabilities (Equal Opportunities) Act aims to:</w:t>
      </w:r>
    </w:p>
    <w:p w:rsidR="00626016" w:rsidRDefault="00402D47" w:rsidP="00626016">
      <w:pPr>
        <w:pStyle w:val="SingleTxt"/>
      </w:pPr>
      <w:r>
        <w:tab/>
      </w:r>
      <w:r w:rsidR="00626016">
        <w:t>a.</w:t>
      </w:r>
      <w:r w:rsidR="00626016">
        <w:tab/>
        <w:t xml:space="preserve">Achieve opportunities for persons with disabilities; </w:t>
      </w:r>
    </w:p>
    <w:p w:rsidR="00626016" w:rsidRDefault="00402D47" w:rsidP="00626016">
      <w:pPr>
        <w:pStyle w:val="SingleTxt"/>
      </w:pPr>
      <w:r>
        <w:tab/>
      </w:r>
      <w:r w:rsidR="00626016">
        <w:t>b.</w:t>
      </w:r>
      <w:r w:rsidR="00626016">
        <w:tab/>
        <w:t xml:space="preserve">Eliminate discrimination on the basis of disabilities; </w:t>
      </w:r>
    </w:p>
    <w:p w:rsidR="00626016" w:rsidRDefault="00402D47" w:rsidP="00402D47">
      <w:pPr>
        <w:pStyle w:val="SingleTxt"/>
        <w:ind w:left="2218" w:hanging="951"/>
      </w:pPr>
      <w:r>
        <w:tab/>
      </w:r>
      <w:r w:rsidR="00626016">
        <w:t>c.</w:t>
      </w:r>
      <w:r w:rsidR="00626016">
        <w:tab/>
        <w:t>Provide rights and rehabilitation and habitation of persons with disabilities; and</w:t>
      </w:r>
    </w:p>
    <w:p w:rsidR="00626016" w:rsidRDefault="00402D47" w:rsidP="00626016">
      <w:pPr>
        <w:pStyle w:val="SingleTxt"/>
      </w:pPr>
      <w:r>
        <w:tab/>
      </w:r>
      <w:r w:rsidR="00626016">
        <w:t>d.</w:t>
      </w:r>
      <w:r w:rsidR="00626016">
        <w:tab/>
        <w:t xml:space="preserve">Establish the national commission for person with disabilities. </w:t>
      </w:r>
    </w:p>
    <w:p w:rsidR="00C82204" w:rsidRPr="005D6016" w:rsidRDefault="00C82204" w:rsidP="00E30C49">
      <w:pPr>
        <w:pStyle w:val="SingleTxt"/>
        <w:spacing w:after="0" w:line="120" w:lineRule="exact"/>
        <w:rPr>
          <w:sz w:val="10"/>
        </w:rPr>
      </w:pPr>
    </w:p>
    <w:p w:rsidR="00626016" w:rsidRDefault="00626016" w:rsidP="005D60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International Agreements</w:t>
      </w:r>
    </w:p>
    <w:p w:rsidR="00C82204" w:rsidRPr="005D6016" w:rsidRDefault="00C82204" w:rsidP="00E30C49">
      <w:pPr>
        <w:pStyle w:val="SingleTxt"/>
        <w:spacing w:after="0" w:line="120" w:lineRule="exact"/>
        <w:rPr>
          <w:sz w:val="10"/>
          <w:lang w:val="en-US"/>
        </w:rPr>
      </w:pPr>
    </w:p>
    <w:p w:rsidR="00626016" w:rsidRDefault="00626016" w:rsidP="00626016">
      <w:pPr>
        <w:pStyle w:val="SingleTxt"/>
      </w:pPr>
      <w:r>
        <w:t>11.</w:t>
      </w:r>
      <w:r>
        <w:tab/>
        <w:t>Efforts have been made to maintain international obligations, as is evident in the accession and ratification of the following additional international agreements:</w:t>
      </w:r>
    </w:p>
    <w:p w:rsidR="00626016" w:rsidRDefault="00402D47" w:rsidP="00402D47">
      <w:pPr>
        <w:pStyle w:val="SingleTxt"/>
        <w:tabs>
          <w:tab w:val="right" w:pos="1685"/>
        </w:tabs>
        <w:ind w:left="1742" w:hanging="475"/>
      </w:pPr>
      <w:r>
        <w:tab/>
      </w:r>
      <w:r w:rsidR="00626016">
        <w:t>•</w:t>
      </w:r>
      <w:r w:rsidR="00626016">
        <w:tab/>
        <w:t>Optional Protocol to the Convention on the Rights of the Child on the involvement of children in armed conflict (Accession Date: 28 Sept. 2015);</w:t>
      </w:r>
    </w:p>
    <w:p w:rsidR="00626016" w:rsidRDefault="00402D47" w:rsidP="00402D47">
      <w:pPr>
        <w:pStyle w:val="SingleTxt"/>
        <w:tabs>
          <w:tab w:val="right" w:pos="1685"/>
        </w:tabs>
        <w:ind w:left="1742" w:hanging="475"/>
      </w:pPr>
      <w:r>
        <w:lastRenderedPageBreak/>
        <w:tab/>
      </w:r>
      <w:r w:rsidR="00626016">
        <w:t>•</w:t>
      </w:r>
      <w:r w:rsidR="00626016">
        <w:tab/>
        <w:t xml:space="preserve">Optional Protocol to the Convention on the Rights of the Child on the Sale of Children, Child Prostitution and Child Pornography (Accession Date: 28 Sep 2015); </w:t>
      </w:r>
    </w:p>
    <w:p w:rsidR="00626016" w:rsidRDefault="00402D47" w:rsidP="00402D47">
      <w:pPr>
        <w:pStyle w:val="SingleTxt"/>
        <w:tabs>
          <w:tab w:val="right" w:pos="1685"/>
        </w:tabs>
        <w:ind w:left="1742" w:hanging="475"/>
      </w:pPr>
      <w:r>
        <w:tab/>
      </w:r>
      <w:r w:rsidR="00626016">
        <w:t>•</w:t>
      </w:r>
      <w:r w:rsidR="00626016">
        <w:tab/>
        <w:t>Convention on the Rights of Persons with Disabilities (Signature Date: 24 Sep 2013); and</w:t>
      </w:r>
    </w:p>
    <w:p w:rsidR="00626016" w:rsidRDefault="00402D47" w:rsidP="00402D47">
      <w:pPr>
        <w:pStyle w:val="SingleTxt"/>
        <w:tabs>
          <w:tab w:val="right" w:pos="1685"/>
        </w:tabs>
        <w:ind w:left="1742" w:hanging="475"/>
      </w:pPr>
      <w:r>
        <w:tab/>
      </w:r>
      <w:r w:rsidR="00626016">
        <w:t>•</w:t>
      </w:r>
      <w:r w:rsidR="00626016">
        <w:tab/>
        <w:t>Convention on the Rights of Persons with Disabilities (Ratification Date: 28</w:t>
      </w:r>
      <w:r>
        <w:t> </w:t>
      </w:r>
      <w:r w:rsidR="00626016">
        <w:t>Sep 2015).</w:t>
      </w:r>
    </w:p>
    <w:p w:rsidR="002863E9" w:rsidRPr="002863E9" w:rsidRDefault="002863E9" w:rsidP="002863E9">
      <w:pPr>
        <w:pStyle w:val="SingleTxt"/>
        <w:tabs>
          <w:tab w:val="right" w:pos="1685"/>
        </w:tabs>
        <w:spacing w:after="0" w:line="120" w:lineRule="exact"/>
        <w:ind w:left="1742" w:hanging="475"/>
        <w:rPr>
          <w:sz w:val="10"/>
        </w:rPr>
      </w:pPr>
    </w:p>
    <w:p w:rsidR="002863E9" w:rsidRPr="002863E9" w:rsidRDefault="002863E9" w:rsidP="002863E9">
      <w:pPr>
        <w:pStyle w:val="SingleTxt"/>
        <w:tabs>
          <w:tab w:val="right" w:pos="1685"/>
        </w:tabs>
        <w:spacing w:after="0" w:line="120" w:lineRule="exact"/>
        <w:ind w:left="1742" w:hanging="475"/>
        <w:rPr>
          <w:sz w:val="10"/>
        </w:rPr>
      </w:pPr>
    </w:p>
    <w:p w:rsidR="00626016" w:rsidRDefault="00626016" w:rsidP="002863E9">
      <w:pPr>
        <w:pStyle w:val="H1"/>
        <w:ind w:right="1260"/>
      </w:pPr>
      <w:r>
        <w:tab/>
      </w:r>
      <w:r>
        <w:tab/>
        <w:t>Article 3: Development and Advancement of Women</w:t>
      </w:r>
    </w:p>
    <w:p w:rsidR="002863E9" w:rsidRPr="002863E9" w:rsidRDefault="002863E9" w:rsidP="002863E9">
      <w:pPr>
        <w:pStyle w:val="SingleTxt"/>
        <w:spacing w:after="0" w:line="120" w:lineRule="exact"/>
        <w:rPr>
          <w:sz w:val="10"/>
        </w:rPr>
      </w:pPr>
    </w:p>
    <w:p w:rsidR="002863E9" w:rsidRPr="002863E9" w:rsidRDefault="002863E9" w:rsidP="002863E9">
      <w:pPr>
        <w:pStyle w:val="SingleTxt"/>
        <w:spacing w:after="0" w:line="120" w:lineRule="exact"/>
        <w:rPr>
          <w:sz w:val="10"/>
        </w:rPr>
      </w:pPr>
    </w:p>
    <w:p w:rsidR="00626016" w:rsidRDefault="00626016" w:rsidP="00626016">
      <w:pPr>
        <w:pStyle w:val="SingleTxt"/>
      </w:pPr>
      <w:r>
        <w:t>12.</w:t>
      </w:r>
      <w:r>
        <w:tab/>
        <w:t xml:space="preserve">The Government of The Bahamas has continued to work towards the development and advancement of women in The Bahamas. Generally, women have continued to advance meaningfully in areas such as: politics, education and employment. The Bahamas is working to give special attention to those women who are seen as specially disadvantaged such as women in the lower socio-economic classes, women with disabilities, women in the Family Islands (rural women) and migrant women as they are the most marginalized groups of women in the country. </w:t>
      </w:r>
    </w:p>
    <w:p w:rsidR="002863E9" w:rsidRPr="002863E9" w:rsidRDefault="002863E9" w:rsidP="002863E9">
      <w:pPr>
        <w:pStyle w:val="SingleTxt"/>
        <w:spacing w:after="0" w:line="120" w:lineRule="exact"/>
        <w:rPr>
          <w:sz w:val="10"/>
        </w:rPr>
      </w:pPr>
    </w:p>
    <w:p w:rsidR="00626016" w:rsidRDefault="00626016" w:rsidP="002863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Renewing, Inspiring, Sustaining, and Empowering (RISE) Programme</w:t>
      </w:r>
    </w:p>
    <w:p w:rsidR="002863E9" w:rsidRPr="002863E9" w:rsidRDefault="002863E9" w:rsidP="002863E9">
      <w:pPr>
        <w:pStyle w:val="SingleTxt"/>
        <w:spacing w:after="0" w:line="120" w:lineRule="exact"/>
        <w:rPr>
          <w:sz w:val="10"/>
        </w:rPr>
      </w:pPr>
    </w:p>
    <w:p w:rsidR="00626016" w:rsidRDefault="00626016" w:rsidP="002863E9">
      <w:pPr>
        <w:pStyle w:val="SingleTxt"/>
      </w:pPr>
      <w:r>
        <w:t>13.</w:t>
      </w:r>
      <w:r>
        <w:tab/>
        <w:t xml:space="preserve">With respect to women living in poverty, the Government of The Bahamas has continued to address this issue by way of the initiatives mentioned in previous reports. During the period under review, the Government, with the support of the Inter-American Development Bank, has taken its commitment further by establishing the Social Safety Net Unit (SSN) within the Ministry of Social Services and Community Development. The laying of the groundwork to guarantee high quality service to beneficiaries of the programme began in late 2013. Then, in June 2015, the Ministry of Social Services and Community Development launched the new social safety net programme called Renewing, Inspiring, Sustaining, and Empowering (RISE), a conditional cash transfer programme, which aims to reduce the number of Bahamians living at or below the poverty level </w:t>
      </w:r>
      <w:r w:rsidR="002863E9">
        <w:t>—</w:t>
      </w:r>
      <w:r>
        <w:t xml:space="preserve"> the number of which rose from 9.3 per cent to 12.8 per cent from 2001 to 2013. RISE consolidates existing social programmes. Additionally, conditions have been established to ensure academic achievement and promote healthy lifestyles. Enrolment of clients into the RISE Programme began in March 2016 and by May 2016, 382 households had enrolled. The importance of this programme to women can be demonstrated by the results of a status quo survey conducted, at one of the centres on New Providence, which revealed that 72.16 per cent of the clients were female. According to the Department of Statistics 2013 Household Expenditure Survey, men represented 48.17 per cent of the poor, while women represented 51.83 per cent of the poor. </w:t>
      </w:r>
    </w:p>
    <w:p w:rsidR="002863E9" w:rsidRPr="002863E9" w:rsidRDefault="002863E9" w:rsidP="002863E9">
      <w:pPr>
        <w:pStyle w:val="SingleTxt"/>
        <w:spacing w:after="0" w:line="120" w:lineRule="exact"/>
        <w:rPr>
          <w:sz w:val="10"/>
        </w:rPr>
      </w:pPr>
    </w:p>
    <w:p w:rsidR="00626016" w:rsidRDefault="00626016" w:rsidP="002863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Notable Achievements of Women</w:t>
      </w:r>
    </w:p>
    <w:p w:rsidR="002863E9" w:rsidRPr="002863E9" w:rsidRDefault="002863E9" w:rsidP="002863E9">
      <w:pPr>
        <w:pStyle w:val="SingleTxt"/>
        <w:spacing w:after="0" w:line="120" w:lineRule="exact"/>
        <w:rPr>
          <w:sz w:val="10"/>
        </w:rPr>
      </w:pPr>
    </w:p>
    <w:p w:rsidR="00626016" w:rsidRDefault="00626016" w:rsidP="00626016">
      <w:pPr>
        <w:pStyle w:val="SingleTxt"/>
      </w:pPr>
      <w:r>
        <w:t>14.</w:t>
      </w:r>
      <w:r>
        <w:tab/>
        <w:t>In 2012, Bahamasair, the national airline of The Bahamas, promoted for the first time, three women to the post of captain. This was the first group of women appointed to this level since the inception of the airline 39 years ago, making aviation history.</w:t>
      </w:r>
    </w:p>
    <w:p w:rsidR="00626016" w:rsidRDefault="00626016" w:rsidP="00626016">
      <w:pPr>
        <w:pStyle w:val="SingleTxt"/>
      </w:pPr>
      <w:r>
        <w:t>15.</w:t>
      </w:r>
      <w:r>
        <w:tab/>
        <w:t>The Bahamas Development Bank (BDB) saw the first female appointed to the office of Managing Director in September 2013. The Managing Director is the chief executive of the Bank.</w:t>
      </w:r>
    </w:p>
    <w:p w:rsidR="00626016" w:rsidRDefault="00626016" w:rsidP="00626016">
      <w:pPr>
        <w:pStyle w:val="SingleTxt"/>
      </w:pPr>
      <w:r>
        <w:t>16.</w:t>
      </w:r>
      <w:r>
        <w:tab/>
        <w:t xml:space="preserve">Minister Glenys Hanna-Martin, Minister of Transport &amp; Aviation, served as regional chair of the Caribbean Americas and Atlantic Region of the Commonwealth </w:t>
      </w:r>
      <w:r>
        <w:lastRenderedPageBreak/>
        <w:t>Parliamentary Association in the year 2014 and also chaired a Special Call Meeting of that body in that same year.</w:t>
      </w:r>
    </w:p>
    <w:p w:rsidR="00626016" w:rsidRDefault="00626016" w:rsidP="00626016">
      <w:pPr>
        <w:pStyle w:val="SingleTxt"/>
      </w:pPr>
      <w:r>
        <w:t>17.</w:t>
      </w:r>
      <w:r>
        <w:tab/>
        <w:t>In June 2014, Marion Bethel-Sears, who was nominated by the Bureau of Women’s Affairs, became the 11th CARICOM Triennial Award Winner, in the category of gender and development.</w:t>
      </w:r>
    </w:p>
    <w:p w:rsidR="00626016" w:rsidRDefault="00626016" w:rsidP="00626016">
      <w:pPr>
        <w:pStyle w:val="SingleTxt"/>
      </w:pPr>
      <w:r>
        <w:t>18.</w:t>
      </w:r>
      <w:r>
        <w:tab/>
        <w:t>Ms. Betty Roberts, FCIB, TEP, was the recipient of the Bahamas Financial Services Board’s 2015 Lifetime Achievement Award, for outstanding, sustained contribution to the Financial Industry. On April 10, 2015, the Royal Bahamas Defence Force held a Changing of the Guard at Government House that featured a female Officer of the Guard for the first time in history. (Woman Sub-Lieutenant Natasha Walton).</w:t>
      </w:r>
    </w:p>
    <w:p w:rsidR="00626016" w:rsidRDefault="00626016" w:rsidP="00626016">
      <w:pPr>
        <w:pStyle w:val="SingleTxt"/>
      </w:pPr>
      <w:r>
        <w:t>19.</w:t>
      </w:r>
      <w:r>
        <w:tab/>
        <w:t>In September 2015, the Ministry of Youth, Sports and Culture sponsored the participation (principal sponsor) of three young women in the Caribbean-Canada Emerging Leaders Dialogue (CCELD15), which is a unique leadership, development and educational initiative which takes place every four years.</w:t>
      </w:r>
    </w:p>
    <w:p w:rsidR="00626016" w:rsidRDefault="00626016" w:rsidP="00626016">
      <w:pPr>
        <w:pStyle w:val="SingleTxt"/>
      </w:pPr>
      <w:r>
        <w:t>20.</w:t>
      </w:r>
      <w:r>
        <w:tab/>
        <w:t xml:space="preserve">In February 2016, the Bureau of Women’s Affairs nominated the first Bahamian candidate to serve as expert on the CEDAW Committee. </w:t>
      </w:r>
    </w:p>
    <w:p w:rsidR="002863E9" w:rsidRPr="002863E9" w:rsidRDefault="002863E9" w:rsidP="002863E9">
      <w:pPr>
        <w:pStyle w:val="SingleTxt"/>
        <w:spacing w:after="0" w:line="120" w:lineRule="exact"/>
        <w:rPr>
          <w:sz w:val="10"/>
        </w:rPr>
      </w:pPr>
    </w:p>
    <w:p w:rsidR="00626016" w:rsidRDefault="00626016" w:rsidP="002863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rsidR="002863E9" w:rsidRPr="002863E9" w:rsidRDefault="002863E9" w:rsidP="002863E9">
      <w:pPr>
        <w:pStyle w:val="SingleTxt"/>
        <w:spacing w:after="0" w:line="120" w:lineRule="exact"/>
        <w:rPr>
          <w:sz w:val="10"/>
        </w:rPr>
      </w:pPr>
    </w:p>
    <w:p w:rsidR="00626016" w:rsidRDefault="00626016" w:rsidP="00626016">
      <w:pPr>
        <w:pStyle w:val="SingleTxt"/>
      </w:pPr>
      <w:r>
        <w:t>21.</w:t>
      </w:r>
      <w:r>
        <w:tab/>
        <w:t xml:space="preserve">The Bureau of Women’s Affairs (BWA) is the national machinery mandated to promote the advancement and empowerment of women in the country. BWA is mandated to monitor, evaluate and report on the implementation of international conventions adopted by the Government that impact women. Two of the international conventions that The Bahamas ratified include CEDAW (October 1993) and the Inter-American Convention on the Prevention, Punishment, and Eradication of Violence against Women “Convention of Belem Do Para” (May 1995). </w:t>
      </w:r>
    </w:p>
    <w:p w:rsidR="00626016" w:rsidRDefault="00626016" w:rsidP="00626016">
      <w:pPr>
        <w:pStyle w:val="SingleTxt"/>
      </w:pPr>
      <w:r>
        <w:t>22.</w:t>
      </w:r>
      <w:r>
        <w:tab/>
        <w:t xml:space="preserve">The BWA has been a member of the national committee on Trafficking-in-Persons and has since the previous report joined several working groups/committees tasked with coordinating national emergency response efforts, developing refugee/asylee legislation, and coordinating international reporting obligations. </w:t>
      </w:r>
    </w:p>
    <w:p w:rsidR="00626016" w:rsidRDefault="00626016" w:rsidP="00626016">
      <w:pPr>
        <w:pStyle w:val="SingleTxt"/>
      </w:pPr>
      <w:r>
        <w:t>23.</w:t>
      </w:r>
      <w:r>
        <w:tab/>
        <w:t xml:space="preserve">In 2012, the BWA completed a five-year strategic plan for the anticipated expansion of the Bureau to a Department of Gender Affairs. Though the plan has not yet been operationalized, plans are underway to upgrade the unit to a Department of Family and Gender Affairs – as proposed in the recently developed National Strategic Plan for Ending Gender-Based Violence in The Bahamas. As mentioned in the previous report, the Bureau holds a monthly meeting with NGOs and interested women. These meetings are used as an opportunity to share information about issues impacting women in The Bahamas, and internationally, with a view to sensitizing the representatives in expectation of further impacting the entities they represent thus affecting the broader Bahamian population. The Bureau also oversaw the drafting of a National Gender Equality Policy, referred to in the previous periodic report. </w:t>
      </w:r>
    </w:p>
    <w:p w:rsidR="00626016" w:rsidRDefault="00626016" w:rsidP="00626016">
      <w:pPr>
        <w:pStyle w:val="SingleTxt"/>
      </w:pPr>
      <w:r>
        <w:t>24.</w:t>
      </w:r>
      <w:r>
        <w:tab/>
        <w:t xml:space="preserve">As stated in previous reports, the BWA coordinates several events to commemorate women and also to promote gender equality and women’s empowerment in The Bahamas. These events include: International Women’s Day and National Women’s Week. Both occasions are used to highlight the achievements of Bahamian women and to empower women by providing information pertaining to the impact of national and international activities on the full inclusion of women in society. </w:t>
      </w:r>
    </w:p>
    <w:p w:rsidR="00626016" w:rsidRDefault="00626016" w:rsidP="002863E9">
      <w:pPr>
        <w:pStyle w:val="TitleH1"/>
      </w:pPr>
      <w:r>
        <w:lastRenderedPageBreak/>
        <w:tab/>
      </w:r>
      <w:r>
        <w:tab/>
        <w:t>Article 4: Temporary Special Measures</w:t>
      </w:r>
    </w:p>
    <w:p w:rsidR="002863E9" w:rsidRPr="002863E9" w:rsidRDefault="002863E9" w:rsidP="002863E9">
      <w:pPr>
        <w:pStyle w:val="SingleTxt"/>
        <w:spacing w:after="0" w:line="120" w:lineRule="exact"/>
        <w:rPr>
          <w:sz w:val="10"/>
        </w:rPr>
      </w:pPr>
    </w:p>
    <w:p w:rsidR="002863E9" w:rsidRPr="002863E9" w:rsidRDefault="002863E9" w:rsidP="002863E9">
      <w:pPr>
        <w:pStyle w:val="SingleTxt"/>
        <w:spacing w:after="0" w:line="120" w:lineRule="exact"/>
        <w:rPr>
          <w:sz w:val="10"/>
        </w:rPr>
      </w:pPr>
    </w:p>
    <w:p w:rsidR="00626016" w:rsidRDefault="00626016" w:rsidP="002863E9">
      <w:pPr>
        <w:pStyle w:val="SingleTxt"/>
      </w:pPr>
      <w:r>
        <w:t>25.</w:t>
      </w:r>
      <w:r>
        <w:tab/>
        <w:t>In June 2015, in partial fulfilment of the commitment made by the Bureau in its two-year report to the CEDAW Committee, the Bureau, created a course entitled “Leadership for Women in Politics”. The 6-week course was developed in partnership with the College of The Bahamas’ Centre for Continuing Education and Extension Services included topics such as (i) Balancing Family and Public Life, (ii) Strategic Campaign Management, (iii) Parliamentary Procedures, (iv)</w:t>
      </w:r>
      <w:r w:rsidR="002863E9">
        <w:t> </w:t>
      </w:r>
      <w:r>
        <w:t>Transformational Leadership, (v) Dynamics of Political Parties in The Bahamas: How Parties Function, and (vi) Public Speaking: Communications &amp; the Media. Course presenters included former Cabinet Ministers, former parliamentarians, as well as senior government officials who encouraged women to consider political leadership roles. Nineteen women from a cross section of society participated in, and sixteen completed, the course. Subsequently, one of the participants was ratified as a candidate by one of the political parties.</w:t>
      </w:r>
    </w:p>
    <w:p w:rsidR="002863E9" w:rsidRPr="002863E9" w:rsidRDefault="002863E9" w:rsidP="002863E9">
      <w:pPr>
        <w:pStyle w:val="SingleTxt"/>
        <w:spacing w:after="0" w:line="120" w:lineRule="exact"/>
        <w:rPr>
          <w:sz w:val="10"/>
        </w:rPr>
      </w:pPr>
    </w:p>
    <w:p w:rsidR="002863E9" w:rsidRPr="002863E9" w:rsidRDefault="002863E9" w:rsidP="002863E9">
      <w:pPr>
        <w:pStyle w:val="SingleTxt"/>
        <w:spacing w:after="0" w:line="120" w:lineRule="exact"/>
        <w:rPr>
          <w:sz w:val="10"/>
        </w:rPr>
      </w:pPr>
    </w:p>
    <w:p w:rsidR="00626016" w:rsidRDefault="00626016" w:rsidP="002863E9">
      <w:pPr>
        <w:pStyle w:val="TitleH1"/>
      </w:pPr>
      <w:r>
        <w:tab/>
      </w:r>
      <w:r>
        <w:tab/>
        <w:t>Article 5: Sex Roles and Stereotyping</w:t>
      </w:r>
    </w:p>
    <w:p w:rsidR="002863E9" w:rsidRPr="002863E9" w:rsidRDefault="002863E9" w:rsidP="002863E9">
      <w:pPr>
        <w:pStyle w:val="SingleTxt"/>
        <w:spacing w:after="0" w:line="120" w:lineRule="exact"/>
        <w:rPr>
          <w:sz w:val="10"/>
        </w:rPr>
      </w:pPr>
    </w:p>
    <w:p w:rsidR="002863E9" w:rsidRPr="002863E9" w:rsidRDefault="002863E9" w:rsidP="002863E9">
      <w:pPr>
        <w:pStyle w:val="SingleTxt"/>
        <w:spacing w:after="0" w:line="120" w:lineRule="exact"/>
        <w:rPr>
          <w:sz w:val="10"/>
        </w:rPr>
      </w:pPr>
    </w:p>
    <w:p w:rsidR="00626016" w:rsidRDefault="00626016" w:rsidP="00626016">
      <w:pPr>
        <w:pStyle w:val="SingleTxt"/>
      </w:pPr>
      <w:r>
        <w:t>26.</w:t>
      </w:r>
      <w:r>
        <w:tab/>
        <w:t xml:space="preserve">Despite males comprising the majority of heads of households (see Table 3 below), women continue to be the primary caregivers in the family. The Bureau of Women’s Affairs strives to address the imbalance in perception by dialogue held at regular monthly meetings with women. As mentioned in previous reports, the work to ensure equality for women in law and in practice is ongoing for the Government. </w:t>
      </w:r>
    </w:p>
    <w:p w:rsidR="002863E9" w:rsidRPr="002863E9" w:rsidRDefault="002863E9" w:rsidP="002863E9">
      <w:pPr>
        <w:pStyle w:val="SingleTxt"/>
        <w:spacing w:after="0" w:line="120" w:lineRule="exact"/>
        <w:rPr>
          <w:sz w:val="10"/>
        </w:rPr>
      </w:pPr>
    </w:p>
    <w:p w:rsidR="00626016" w:rsidRPr="002863E9" w:rsidRDefault="002863E9" w:rsidP="002863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2863E9">
        <w:rPr>
          <w:b w:val="0"/>
          <w:bCs/>
        </w:rPr>
        <w:t>Table 1</w:t>
      </w:r>
    </w:p>
    <w:p w:rsidR="00626016" w:rsidRDefault="002863E9" w:rsidP="002863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63E9">
        <w:rPr>
          <w:b w:val="0"/>
          <w:bCs/>
        </w:rPr>
        <w:tab/>
      </w:r>
      <w:r w:rsidRPr="002863E9">
        <w:rPr>
          <w:b w:val="0"/>
          <w:bCs/>
        </w:rPr>
        <w:tab/>
      </w:r>
      <w:r w:rsidR="00626016">
        <w:t>Private Dwellings by Sex of Head of Household (2014)</w:t>
      </w:r>
    </w:p>
    <w:p w:rsidR="002863E9" w:rsidRPr="002863E9" w:rsidRDefault="002863E9" w:rsidP="002863E9">
      <w:pPr>
        <w:pStyle w:val="SingleTxt"/>
        <w:spacing w:after="0" w:line="120" w:lineRule="exact"/>
        <w:rPr>
          <w:sz w:val="10"/>
          <w:lang w:val="en-US"/>
        </w:rPr>
      </w:pPr>
    </w:p>
    <w:tbl>
      <w:tblPr>
        <w:tblW w:w="7244" w:type="dxa"/>
        <w:tblInd w:w="1260" w:type="dxa"/>
        <w:tblLayout w:type="fixed"/>
        <w:tblCellMar>
          <w:left w:w="0" w:type="dxa"/>
          <w:right w:w="0" w:type="dxa"/>
        </w:tblCellMar>
        <w:tblLook w:val="0000" w:firstRow="0" w:lastRow="0" w:firstColumn="0" w:lastColumn="0" w:noHBand="0" w:noVBand="0"/>
      </w:tblPr>
      <w:tblGrid>
        <w:gridCol w:w="2692"/>
        <w:gridCol w:w="1138"/>
        <w:gridCol w:w="1138"/>
        <w:gridCol w:w="1138"/>
        <w:gridCol w:w="1138"/>
      </w:tblGrid>
      <w:tr w:rsidR="002863E9" w:rsidRPr="002863E9" w:rsidTr="002863E9">
        <w:trPr>
          <w:tblHeader/>
        </w:trPr>
        <w:tc>
          <w:tcPr>
            <w:tcW w:w="2692" w:type="dxa"/>
            <w:tcBorders>
              <w:top w:val="single" w:sz="4" w:space="0" w:color="auto"/>
              <w:bottom w:val="single" w:sz="12" w:space="0" w:color="auto"/>
            </w:tcBorders>
            <w:shd w:val="clear" w:color="auto" w:fill="auto"/>
            <w:vAlign w:val="bottom"/>
          </w:tcPr>
          <w:p w:rsidR="002863E9" w:rsidRPr="002863E9" w:rsidRDefault="002863E9" w:rsidP="002863E9">
            <w:pPr>
              <w:pStyle w:val="SingleTxtG"/>
              <w:spacing w:before="81" w:after="81" w:line="160" w:lineRule="exact"/>
              <w:ind w:left="0" w:right="40"/>
              <w:jc w:val="left"/>
              <w:rPr>
                <w:i/>
                <w:sz w:val="14"/>
              </w:rPr>
            </w:pPr>
          </w:p>
        </w:tc>
        <w:tc>
          <w:tcPr>
            <w:tcW w:w="1138" w:type="dxa"/>
            <w:tcBorders>
              <w:top w:val="single" w:sz="4" w:space="0" w:color="auto"/>
              <w:bottom w:val="single" w:sz="12" w:space="0" w:color="auto"/>
            </w:tcBorders>
            <w:shd w:val="clear" w:color="auto" w:fill="auto"/>
            <w:vAlign w:val="bottom"/>
          </w:tcPr>
          <w:p w:rsidR="002863E9" w:rsidRPr="002863E9" w:rsidRDefault="002863E9" w:rsidP="002863E9">
            <w:pPr>
              <w:pStyle w:val="SingleTxtG"/>
              <w:spacing w:before="81" w:after="81" w:line="160" w:lineRule="exact"/>
              <w:ind w:left="144" w:right="40"/>
              <w:jc w:val="right"/>
              <w:rPr>
                <w:i/>
                <w:sz w:val="14"/>
              </w:rPr>
            </w:pPr>
            <w:r w:rsidRPr="002863E9">
              <w:rPr>
                <w:i/>
                <w:sz w:val="14"/>
              </w:rPr>
              <w:t>Women</w:t>
            </w:r>
          </w:p>
        </w:tc>
        <w:tc>
          <w:tcPr>
            <w:tcW w:w="1138" w:type="dxa"/>
            <w:tcBorders>
              <w:top w:val="single" w:sz="4" w:space="0" w:color="auto"/>
              <w:bottom w:val="single" w:sz="12" w:space="0" w:color="auto"/>
            </w:tcBorders>
            <w:shd w:val="clear" w:color="auto" w:fill="auto"/>
            <w:vAlign w:val="bottom"/>
          </w:tcPr>
          <w:p w:rsidR="002863E9" w:rsidRPr="002863E9" w:rsidRDefault="002863E9" w:rsidP="002863E9">
            <w:pPr>
              <w:pStyle w:val="SingleTxtG"/>
              <w:spacing w:before="81" w:after="81" w:line="160" w:lineRule="exact"/>
              <w:ind w:left="144" w:right="40"/>
              <w:jc w:val="right"/>
              <w:rPr>
                <w:i/>
                <w:sz w:val="14"/>
              </w:rPr>
            </w:pPr>
            <w:r w:rsidRPr="002863E9">
              <w:rPr>
                <w:i/>
                <w:sz w:val="14"/>
              </w:rPr>
              <w:t>Men</w:t>
            </w:r>
          </w:p>
        </w:tc>
        <w:tc>
          <w:tcPr>
            <w:tcW w:w="1138" w:type="dxa"/>
            <w:tcBorders>
              <w:top w:val="single" w:sz="4" w:space="0" w:color="auto"/>
              <w:bottom w:val="single" w:sz="12" w:space="0" w:color="auto"/>
            </w:tcBorders>
            <w:shd w:val="clear" w:color="auto" w:fill="auto"/>
            <w:vAlign w:val="bottom"/>
          </w:tcPr>
          <w:p w:rsidR="002863E9" w:rsidRPr="002863E9" w:rsidRDefault="002863E9" w:rsidP="002863E9">
            <w:pPr>
              <w:pStyle w:val="SingleTxtG"/>
              <w:spacing w:before="81" w:after="81" w:line="160" w:lineRule="exact"/>
              <w:ind w:left="144" w:right="40"/>
              <w:jc w:val="right"/>
              <w:rPr>
                <w:i/>
                <w:sz w:val="14"/>
              </w:rPr>
            </w:pPr>
            <w:r w:rsidRPr="002863E9">
              <w:rPr>
                <w:i/>
                <w:sz w:val="14"/>
              </w:rPr>
              <w:t>Total</w:t>
            </w:r>
          </w:p>
        </w:tc>
        <w:tc>
          <w:tcPr>
            <w:tcW w:w="1138" w:type="dxa"/>
            <w:tcBorders>
              <w:top w:val="single" w:sz="4" w:space="0" w:color="auto"/>
              <w:bottom w:val="single" w:sz="12" w:space="0" w:color="auto"/>
            </w:tcBorders>
            <w:shd w:val="clear" w:color="auto" w:fill="auto"/>
            <w:vAlign w:val="bottom"/>
          </w:tcPr>
          <w:p w:rsidR="002863E9" w:rsidRPr="002863E9" w:rsidRDefault="002863E9" w:rsidP="002863E9">
            <w:pPr>
              <w:pStyle w:val="SingleTxtG"/>
              <w:spacing w:before="81" w:after="81" w:line="160" w:lineRule="exact"/>
              <w:ind w:left="144" w:right="40"/>
              <w:jc w:val="right"/>
              <w:rPr>
                <w:i/>
                <w:sz w:val="14"/>
              </w:rPr>
            </w:pPr>
            <w:r w:rsidRPr="002863E9">
              <w:rPr>
                <w:i/>
                <w:sz w:val="14"/>
              </w:rPr>
              <w:t>% Women</w:t>
            </w:r>
          </w:p>
        </w:tc>
      </w:tr>
      <w:tr w:rsidR="002863E9" w:rsidRPr="002863E9" w:rsidTr="002863E9">
        <w:trPr>
          <w:trHeight w:hRule="exact" w:val="115"/>
          <w:tblHeader/>
        </w:trPr>
        <w:tc>
          <w:tcPr>
            <w:tcW w:w="2692" w:type="dxa"/>
            <w:tcBorders>
              <w:top w:val="single" w:sz="12" w:space="0" w:color="auto"/>
            </w:tcBorders>
            <w:shd w:val="clear" w:color="auto" w:fill="auto"/>
            <w:vAlign w:val="bottom"/>
          </w:tcPr>
          <w:p w:rsidR="002863E9" w:rsidRPr="002863E9" w:rsidRDefault="002863E9" w:rsidP="002863E9">
            <w:pPr>
              <w:pStyle w:val="SingleTxtG"/>
              <w:spacing w:before="40" w:after="40" w:line="210" w:lineRule="exact"/>
              <w:ind w:left="0" w:right="40"/>
              <w:jc w:val="left"/>
              <w:rPr>
                <w:sz w:val="17"/>
              </w:rPr>
            </w:pPr>
          </w:p>
        </w:tc>
        <w:tc>
          <w:tcPr>
            <w:tcW w:w="1138" w:type="dxa"/>
            <w:tcBorders>
              <w:top w:val="single" w:sz="12" w:space="0" w:color="auto"/>
            </w:tcBorders>
            <w:shd w:val="clear" w:color="auto" w:fill="auto"/>
            <w:vAlign w:val="bottom"/>
          </w:tcPr>
          <w:p w:rsidR="002863E9" w:rsidRPr="002863E9" w:rsidRDefault="002863E9" w:rsidP="002863E9">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2863E9" w:rsidRPr="002863E9" w:rsidRDefault="002863E9" w:rsidP="002863E9">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2863E9" w:rsidRPr="002863E9" w:rsidRDefault="002863E9" w:rsidP="002863E9">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2863E9" w:rsidRPr="002863E9" w:rsidRDefault="002863E9" w:rsidP="002863E9">
            <w:pPr>
              <w:pStyle w:val="SingleTxtG"/>
              <w:spacing w:before="40" w:after="40" w:line="210" w:lineRule="exact"/>
              <w:ind w:left="144" w:right="40"/>
              <w:jc w:val="right"/>
              <w:rPr>
                <w:sz w:val="17"/>
              </w:rPr>
            </w:pPr>
          </w:p>
        </w:tc>
      </w:tr>
      <w:tr w:rsidR="002863E9" w:rsidRPr="002863E9" w:rsidTr="002863E9">
        <w:tc>
          <w:tcPr>
            <w:tcW w:w="2692" w:type="dxa"/>
            <w:tcBorders>
              <w:bottom w:val="single" w:sz="12" w:space="0" w:color="auto"/>
            </w:tcBorders>
            <w:shd w:val="clear" w:color="auto" w:fill="auto"/>
            <w:vAlign w:val="bottom"/>
          </w:tcPr>
          <w:p w:rsidR="002863E9" w:rsidRPr="002863E9" w:rsidRDefault="002863E9" w:rsidP="002863E9">
            <w:pPr>
              <w:pStyle w:val="SingleTxtG"/>
              <w:tabs>
                <w:tab w:val="left" w:pos="288"/>
                <w:tab w:val="left" w:pos="576"/>
                <w:tab w:val="left" w:pos="864"/>
                <w:tab w:val="left" w:pos="1152"/>
              </w:tabs>
              <w:spacing w:before="40" w:after="40" w:line="210" w:lineRule="exact"/>
              <w:ind w:left="0" w:right="40"/>
              <w:jc w:val="left"/>
              <w:rPr>
                <w:bCs/>
                <w:sz w:val="17"/>
              </w:rPr>
            </w:pPr>
            <w:r w:rsidRPr="002863E9">
              <w:rPr>
                <w:bCs/>
                <w:sz w:val="17"/>
              </w:rPr>
              <w:t>Household Size &amp; Sex of Head</w:t>
            </w:r>
          </w:p>
        </w:tc>
        <w:tc>
          <w:tcPr>
            <w:tcW w:w="1138" w:type="dxa"/>
            <w:tcBorders>
              <w:bottom w:val="single" w:sz="12" w:space="0" w:color="auto"/>
            </w:tcBorders>
            <w:shd w:val="clear" w:color="auto" w:fill="auto"/>
            <w:vAlign w:val="bottom"/>
          </w:tcPr>
          <w:p w:rsidR="002863E9" w:rsidRPr="002863E9" w:rsidRDefault="002863E9" w:rsidP="002863E9">
            <w:pPr>
              <w:pStyle w:val="SingleTxtG"/>
              <w:tabs>
                <w:tab w:val="left" w:pos="288"/>
                <w:tab w:val="left" w:pos="576"/>
                <w:tab w:val="left" w:pos="864"/>
                <w:tab w:val="left" w:pos="1152"/>
              </w:tabs>
              <w:spacing w:before="40" w:after="40" w:line="210" w:lineRule="exact"/>
              <w:ind w:left="144" w:right="40"/>
              <w:jc w:val="right"/>
              <w:rPr>
                <w:bCs/>
                <w:sz w:val="17"/>
              </w:rPr>
            </w:pPr>
            <w:r w:rsidRPr="002863E9">
              <w:rPr>
                <w:bCs/>
                <w:sz w:val="17"/>
              </w:rPr>
              <w:t>40</w:t>
            </w:r>
            <w:r>
              <w:rPr>
                <w:bCs/>
                <w:sz w:val="17"/>
              </w:rPr>
              <w:t xml:space="preserve"> </w:t>
            </w:r>
            <w:r w:rsidRPr="002863E9">
              <w:rPr>
                <w:bCs/>
                <w:sz w:val="17"/>
              </w:rPr>
              <w:t>007</w:t>
            </w:r>
          </w:p>
        </w:tc>
        <w:tc>
          <w:tcPr>
            <w:tcW w:w="1138" w:type="dxa"/>
            <w:tcBorders>
              <w:bottom w:val="single" w:sz="12" w:space="0" w:color="auto"/>
            </w:tcBorders>
            <w:shd w:val="clear" w:color="auto" w:fill="auto"/>
            <w:vAlign w:val="bottom"/>
          </w:tcPr>
          <w:p w:rsidR="002863E9" w:rsidRPr="002863E9" w:rsidRDefault="002863E9" w:rsidP="002863E9">
            <w:pPr>
              <w:pStyle w:val="SingleTxtG"/>
              <w:tabs>
                <w:tab w:val="left" w:pos="288"/>
                <w:tab w:val="left" w:pos="576"/>
                <w:tab w:val="left" w:pos="864"/>
                <w:tab w:val="left" w:pos="1152"/>
              </w:tabs>
              <w:spacing w:before="40" w:after="40" w:line="210" w:lineRule="exact"/>
              <w:ind w:left="144" w:right="40"/>
              <w:jc w:val="right"/>
              <w:rPr>
                <w:bCs/>
                <w:sz w:val="17"/>
              </w:rPr>
            </w:pPr>
            <w:r w:rsidRPr="002863E9">
              <w:rPr>
                <w:bCs/>
                <w:sz w:val="17"/>
              </w:rPr>
              <w:t>62</w:t>
            </w:r>
            <w:r>
              <w:rPr>
                <w:bCs/>
                <w:sz w:val="17"/>
              </w:rPr>
              <w:t xml:space="preserve"> </w:t>
            </w:r>
            <w:r w:rsidRPr="002863E9">
              <w:rPr>
                <w:bCs/>
                <w:sz w:val="17"/>
              </w:rPr>
              <w:t>751</w:t>
            </w:r>
          </w:p>
        </w:tc>
        <w:tc>
          <w:tcPr>
            <w:tcW w:w="1138" w:type="dxa"/>
            <w:tcBorders>
              <w:bottom w:val="single" w:sz="12" w:space="0" w:color="auto"/>
            </w:tcBorders>
            <w:shd w:val="clear" w:color="auto" w:fill="auto"/>
            <w:vAlign w:val="bottom"/>
          </w:tcPr>
          <w:p w:rsidR="002863E9" w:rsidRPr="002863E9" w:rsidRDefault="002863E9" w:rsidP="002863E9">
            <w:pPr>
              <w:pStyle w:val="SingleTxtG"/>
              <w:tabs>
                <w:tab w:val="left" w:pos="288"/>
                <w:tab w:val="left" w:pos="576"/>
                <w:tab w:val="left" w:pos="864"/>
                <w:tab w:val="left" w:pos="1152"/>
              </w:tabs>
              <w:spacing w:before="40" w:after="40" w:line="210" w:lineRule="exact"/>
              <w:ind w:left="144" w:right="40"/>
              <w:jc w:val="right"/>
              <w:rPr>
                <w:bCs/>
                <w:sz w:val="17"/>
              </w:rPr>
            </w:pPr>
            <w:r w:rsidRPr="002863E9">
              <w:rPr>
                <w:bCs/>
                <w:sz w:val="17"/>
              </w:rPr>
              <w:t>102</w:t>
            </w:r>
            <w:r>
              <w:rPr>
                <w:bCs/>
                <w:sz w:val="17"/>
              </w:rPr>
              <w:t xml:space="preserve"> </w:t>
            </w:r>
            <w:r w:rsidRPr="002863E9">
              <w:rPr>
                <w:bCs/>
                <w:sz w:val="17"/>
              </w:rPr>
              <w:t>758</w:t>
            </w:r>
          </w:p>
        </w:tc>
        <w:tc>
          <w:tcPr>
            <w:tcW w:w="1138" w:type="dxa"/>
            <w:tcBorders>
              <w:bottom w:val="single" w:sz="12" w:space="0" w:color="auto"/>
            </w:tcBorders>
            <w:shd w:val="clear" w:color="auto" w:fill="auto"/>
            <w:vAlign w:val="bottom"/>
          </w:tcPr>
          <w:p w:rsidR="002863E9" w:rsidRPr="002863E9" w:rsidRDefault="002863E9" w:rsidP="002863E9">
            <w:pPr>
              <w:pStyle w:val="SingleTxtG"/>
              <w:tabs>
                <w:tab w:val="left" w:pos="288"/>
                <w:tab w:val="left" w:pos="576"/>
                <w:tab w:val="left" w:pos="864"/>
                <w:tab w:val="left" w:pos="1152"/>
              </w:tabs>
              <w:spacing w:before="40" w:after="40" w:line="210" w:lineRule="exact"/>
              <w:ind w:left="144" w:right="40"/>
              <w:jc w:val="right"/>
              <w:rPr>
                <w:bCs/>
                <w:sz w:val="17"/>
              </w:rPr>
            </w:pPr>
            <w:r w:rsidRPr="002863E9">
              <w:rPr>
                <w:bCs/>
                <w:sz w:val="17"/>
              </w:rPr>
              <w:t>38.9%</w:t>
            </w:r>
          </w:p>
        </w:tc>
      </w:tr>
    </w:tbl>
    <w:p w:rsidR="002863E9" w:rsidRPr="002863E9" w:rsidRDefault="002863E9" w:rsidP="002863E9">
      <w:pPr>
        <w:pStyle w:val="SingleTxt"/>
        <w:spacing w:after="0" w:line="120" w:lineRule="exact"/>
        <w:rPr>
          <w:sz w:val="10"/>
        </w:rPr>
      </w:pPr>
    </w:p>
    <w:p w:rsidR="00626016" w:rsidRDefault="00626016" w:rsidP="002863E9">
      <w:pPr>
        <w:pStyle w:val="FootnoteText"/>
        <w:tabs>
          <w:tab w:val="clear" w:pos="418"/>
          <w:tab w:val="right" w:pos="1476"/>
          <w:tab w:val="left" w:pos="1548"/>
          <w:tab w:val="right" w:pos="1836"/>
          <w:tab w:val="left" w:pos="1908"/>
        </w:tabs>
        <w:ind w:left="1548" w:right="1267" w:hanging="288"/>
      </w:pPr>
      <w:r w:rsidRPr="002863E9">
        <w:rPr>
          <w:i/>
          <w:iCs/>
        </w:rPr>
        <w:t>Source</w:t>
      </w:r>
      <w:r>
        <w:t xml:space="preserve">: </w:t>
      </w:r>
      <w:r w:rsidRPr="00043DD4">
        <w:rPr>
          <w:i/>
          <w:iCs/>
        </w:rPr>
        <w:t>Department of Statistics (2010 Census)</w:t>
      </w:r>
      <w:r w:rsidR="002863E9" w:rsidRPr="00043DD4">
        <w:rPr>
          <w:i/>
          <w:iCs/>
        </w:rPr>
        <w:t>.</w:t>
      </w:r>
    </w:p>
    <w:p w:rsidR="002863E9" w:rsidRPr="00043DD4" w:rsidRDefault="002863E9" w:rsidP="00043DD4">
      <w:pPr>
        <w:pStyle w:val="FootnoteText"/>
        <w:tabs>
          <w:tab w:val="clear" w:pos="418"/>
          <w:tab w:val="right" w:pos="1476"/>
          <w:tab w:val="left" w:pos="1548"/>
          <w:tab w:val="right" w:pos="1836"/>
          <w:tab w:val="left" w:pos="1908"/>
        </w:tabs>
        <w:spacing w:line="120" w:lineRule="exact"/>
        <w:ind w:left="1548" w:right="1267" w:hanging="288"/>
        <w:rPr>
          <w:sz w:val="10"/>
        </w:rPr>
      </w:pPr>
    </w:p>
    <w:p w:rsidR="00043DD4" w:rsidRPr="00043DD4" w:rsidRDefault="00043DD4" w:rsidP="00043DD4">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043D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and Family Life Education </w:t>
      </w:r>
    </w:p>
    <w:p w:rsidR="00043DD4" w:rsidRPr="00043DD4" w:rsidRDefault="00043DD4" w:rsidP="00043DD4">
      <w:pPr>
        <w:pStyle w:val="SingleTxt"/>
        <w:spacing w:after="0" w:line="120" w:lineRule="exact"/>
        <w:rPr>
          <w:sz w:val="10"/>
        </w:rPr>
      </w:pPr>
    </w:p>
    <w:p w:rsidR="00626016" w:rsidRDefault="00626016" w:rsidP="00626016">
      <w:pPr>
        <w:pStyle w:val="SingleTxt"/>
      </w:pPr>
      <w:r>
        <w:t>27.</w:t>
      </w:r>
      <w:r>
        <w:tab/>
        <w:t xml:space="preserve">Information relative to health and family life education remains largely unchanged other than those improvements indicated in the Gender equality access to health and family life section of </w:t>
      </w:r>
      <w:r w:rsidRPr="00A876C1">
        <w:rPr>
          <w:b/>
          <w:bCs/>
        </w:rPr>
        <w:t>Article 10</w:t>
      </w:r>
      <w:r>
        <w:t xml:space="preserve"> of this Report.</w:t>
      </w: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Violent Behaviour between Spouses </w:t>
      </w:r>
    </w:p>
    <w:p w:rsidR="00A876C1" w:rsidRPr="00A876C1" w:rsidRDefault="00A876C1" w:rsidP="00A876C1">
      <w:pPr>
        <w:pStyle w:val="SingleTxt"/>
        <w:spacing w:after="0" w:line="120" w:lineRule="exact"/>
        <w:rPr>
          <w:sz w:val="10"/>
        </w:rPr>
      </w:pPr>
    </w:p>
    <w:p w:rsidR="00626016" w:rsidRDefault="00626016" w:rsidP="00626016">
      <w:pPr>
        <w:pStyle w:val="SingleTxt"/>
      </w:pPr>
      <w:r>
        <w:t>28.</w:t>
      </w:r>
      <w:r>
        <w:tab/>
        <w:t xml:space="preserve">The institution of marriage and the decision to enter there into is still generally highly regarded in The Bahamas. However, the perception regarding the acceptance of violent behaviour between spouses is evolving particularly as more women are educated, have greater access to employment opportunities, and are more aware including through the media. Women now also have greater access to counselling, legal, shelter, and other support services provided by the Government and civil society. </w:t>
      </w:r>
    </w:p>
    <w:p w:rsidR="00626016" w:rsidRDefault="00626016" w:rsidP="00626016">
      <w:pPr>
        <w:pStyle w:val="SingleTxt"/>
      </w:pPr>
      <w:r>
        <w:t>29.</w:t>
      </w:r>
      <w:r>
        <w:tab/>
        <w:t xml:space="preserve">The perceptions of men regarding violence in marriage are varied. It is felt, however, that more men than women perceive violence between married people as acceptable. This perception may be rooted in the tradition of the man as the head of the household and the perception of male and female roles within the family. A recent study conducted by the College of The Bahamas revealed that young men still maintain this perception. It is noteworthy to mention that many men feel that </w:t>
      </w:r>
      <w:r>
        <w:lastRenderedPageBreak/>
        <w:t>the male sex is superior to female and that they have the right, even a responsibility, to dominate the female. Sadly, there are also some women who share these views.</w:t>
      </w:r>
    </w:p>
    <w:p w:rsidR="00626016" w:rsidRDefault="00626016" w:rsidP="00626016">
      <w:pPr>
        <w:pStyle w:val="SingleTxt"/>
      </w:pPr>
      <w:r>
        <w:t>30.</w:t>
      </w:r>
      <w:r>
        <w:tab/>
        <w:t>The Government of The Bahamas, including through the Bureau of Women’s Affairs, continues to address harmful stereotypes. Indeed, it is envisaged that with the upgrade of the Bureau to the Department of Family and Gender Affairs, more emphasis would be placed on awareness-raising on gender stereotyping.</w:t>
      </w: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Conflict Resolution Education for Men and Women</w:t>
      </w:r>
    </w:p>
    <w:p w:rsidR="00A876C1" w:rsidRPr="00A876C1" w:rsidRDefault="00A876C1" w:rsidP="00A876C1">
      <w:pPr>
        <w:pStyle w:val="SingleTxt"/>
        <w:spacing w:after="0" w:line="120" w:lineRule="exact"/>
        <w:rPr>
          <w:sz w:val="10"/>
        </w:rPr>
      </w:pPr>
    </w:p>
    <w:p w:rsidR="00626016" w:rsidRDefault="00626016" w:rsidP="00626016">
      <w:pPr>
        <w:pStyle w:val="SingleTxt"/>
      </w:pPr>
      <w:r>
        <w:t>31.</w:t>
      </w:r>
      <w:r>
        <w:tab/>
        <w:t>Further to information previously submitted, The Department of Social Services, through the establishment of its Domestic Violence and Counselling Unit (DVCU) in 2014, has placed great value on the importance of helping victims of violence and their children through direct intervention and services. The Unit has not embarked on an official campaign to raise public awareness about violence against women, however, in November 2014, the Unit participated in a public exhibition hosted by the Department on the occasion of its 50th anniversary, and used the opportunity to raise awareness about intimate partner violence in the community. In February 2015, a representative from the Unit appeared on a local morning television programme to promote the Unit’s services and to make the public more aware of the laws to protect women from violence.</w:t>
      </w:r>
    </w:p>
    <w:p w:rsidR="00A876C1" w:rsidRPr="00A876C1" w:rsidRDefault="00A876C1" w:rsidP="00A876C1">
      <w:pPr>
        <w:pStyle w:val="SingleTxt"/>
        <w:spacing w:after="0" w:line="120" w:lineRule="exact"/>
        <w:rPr>
          <w:sz w:val="10"/>
        </w:rPr>
      </w:pPr>
    </w:p>
    <w:p w:rsidR="00A876C1" w:rsidRPr="00A876C1" w:rsidRDefault="00A876C1" w:rsidP="00A876C1">
      <w:pPr>
        <w:pStyle w:val="SingleTxt"/>
        <w:spacing w:after="0" w:line="120" w:lineRule="exact"/>
        <w:rPr>
          <w:sz w:val="10"/>
        </w:rPr>
      </w:pPr>
    </w:p>
    <w:p w:rsidR="00626016" w:rsidRDefault="00626016" w:rsidP="00A876C1">
      <w:pPr>
        <w:pStyle w:val="TitleH1"/>
      </w:pPr>
      <w:r>
        <w:tab/>
      </w:r>
      <w:r>
        <w:tab/>
        <w:t>Article 6: Suppression of the Exploitation of Women</w:t>
      </w:r>
    </w:p>
    <w:p w:rsidR="00A876C1" w:rsidRPr="00A876C1" w:rsidRDefault="00A876C1" w:rsidP="00A876C1">
      <w:pPr>
        <w:pStyle w:val="SingleTxt"/>
        <w:spacing w:after="0" w:line="120" w:lineRule="exact"/>
        <w:rPr>
          <w:sz w:val="10"/>
        </w:rPr>
      </w:pP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In Persons (TIP)</w:t>
      </w:r>
    </w:p>
    <w:p w:rsidR="00A876C1" w:rsidRPr="00A876C1" w:rsidRDefault="00A876C1" w:rsidP="00A876C1">
      <w:pPr>
        <w:pStyle w:val="SingleTxt"/>
        <w:spacing w:after="0" w:line="120" w:lineRule="exact"/>
        <w:rPr>
          <w:sz w:val="10"/>
        </w:rPr>
      </w:pPr>
    </w:p>
    <w:p w:rsidR="00626016" w:rsidRDefault="00626016" w:rsidP="00626016">
      <w:pPr>
        <w:pStyle w:val="SingleTxt"/>
      </w:pPr>
      <w:r>
        <w:t>32.</w:t>
      </w:r>
      <w:r>
        <w:tab/>
        <w:t>The national trafficking-in-persons bodies are the Inter-Ministry Committee for Trafficking-in-Persons (TIP Committee) and the Trafficking-in-Persons Task Force.</w:t>
      </w:r>
    </w:p>
    <w:p w:rsidR="00626016" w:rsidRDefault="00626016" w:rsidP="00626016">
      <w:pPr>
        <w:pStyle w:val="SingleTxt"/>
      </w:pPr>
      <w:r>
        <w:t>33.</w:t>
      </w:r>
      <w:r>
        <w:tab/>
        <w:t xml:space="preserve">The Inter-Ministry Committee for Trafficking-in-Persons (TIP Committee) commenced its function in 2011. It is the coordinating body for policy matters relating to trafficking-in-persons. As such, it provides advice on trafficking matters and makes recommendations to strengthen national anti-trafficking initiatives, including through the identification of opportunities for training; dissemination of information; public awareness; and coordinating The Bahamas’ reporting obligations to regional and international organizations such as the United Nations Office on Drugs and Crime (UNODC) and the Organization of American States (OAS), and international cooperation. </w:t>
      </w:r>
    </w:p>
    <w:p w:rsidR="00626016" w:rsidRDefault="00626016" w:rsidP="00626016">
      <w:pPr>
        <w:pStyle w:val="SingleTxt"/>
      </w:pPr>
      <w:r>
        <w:t>34.</w:t>
      </w:r>
      <w:r>
        <w:tab/>
        <w:t xml:space="preserve">The Trafficking-in-Persons Task Force (TIP Task Force) was established in March 2012. It is an operational body that takes matters forward and monitors these matters from the identification of a victim or potential victim to the prosecution of an alleged trafficker. The TIP Task Force is a forum for ensuring coordination between government agencies and nongovernmental organizations on trafficking-in-persons. Task Force members also include designated and specially trained “Victim Interviewers”. </w:t>
      </w:r>
      <w:r>
        <w:tab/>
      </w:r>
    </w:p>
    <w:p w:rsidR="00626016" w:rsidRDefault="00626016" w:rsidP="00626016">
      <w:pPr>
        <w:pStyle w:val="SingleTxt"/>
      </w:pPr>
      <w:r>
        <w:t>35.</w:t>
      </w:r>
      <w:r>
        <w:tab/>
        <w:t xml:space="preserve">The National TIP Task Force and TIP Committee comprises persons from a range of government ministries and agencies, including the Royal Bahamas Police Force, Department of Public Prosecutions, Department of Immigration, Ministry of Health, Department of Social Services, Department of Labour, Ministry of Foreign Affairs, Ministry of Education. It should be noted that the TIP Task Force includes as members, non-governmental organizations (NGOs), civil society, such as The Bahamas Red Cross Society, the Crisis Centre and local faith-based organizations (FBOs) that have the expertise necessary to provide assistance to potential and </w:t>
      </w:r>
      <w:r>
        <w:lastRenderedPageBreak/>
        <w:t>trafficked victims. The TIP Committee is comprised of members from governmental agencies and invites nongovernmental organizations as appropriate.</w:t>
      </w:r>
    </w:p>
    <w:p w:rsidR="00626016" w:rsidRDefault="00626016" w:rsidP="00626016">
      <w:pPr>
        <w:pStyle w:val="SingleTxt"/>
      </w:pPr>
      <w:r>
        <w:t>36.</w:t>
      </w:r>
      <w:r>
        <w:tab/>
        <w:t>In 2012, to ensure the effective implementation of the TIP Act, the TIP Committee and Task Force produced a number of documents, including: “</w:t>
      </w:r>
      <w:r w:rsidRPr="00A876C1">
        <w:rPr>
          <w:i/>
          <w:iCs/>
        </w:rPr>
        <w:t>A Guide to Anti-trafficking in Persons</w:t>
      </w:r>
      <w:r>
        <w:t>”, which provides the protocols for relevant agencies; “</w:t>
      </w:r>
      <w:r w:rsidRPr="00A876C1">
        <w:rPr>
          <w:i/>
          <w:iCs/>
        </w:rPr>
        <w:t>The National Anti-trafficking Strategy and Action Plan</w:t>
      </w:r>
      <w:r>
        <w:t>”, which is a results-based plan with specific strategies and timelines; and “</w:t>
      </w:r>
      <w:r w:rsidRPr="00A876C1">
        <w:rPr>
          <w:i/>
          <w:iCs/>
        </w:rPr>
        <w:t>A Plan to Provide Assistance to Victims of Trafficking in Persons and their Accompanying Dependent Children</w:t>
      </w:r>
      <w:r>
        <w:t>”, which outlines the agencies responsible and the nature of assistance available to victims.</w:t>
      </w:r>
    </w:p>
    <w:p w:rsidR="00626016" w:rsidRDefault="00626016" w:rsidP="00626016">
      <w:pPr>
        <w:pStyle w:val="SingleTxt"/>
      </w:pPr>
      <w:r>
        <w:t>37.</w:t>
      </w:r>
      <w:r>
        <w:tab/>
        <w:t>With respect to international, regional and bilateral cooperation with countries of origin, transit and destination, the TIP Committee and Task Force collaborate with various foreign consuls in an effort to mitigate TIP. A special forum was held in March 2016 with the Filipino Association to raise awareness on initiatives to fight TIP. In March 2016, The Bahamas TIP Committee and Task Force held a video conference with Haitian and USA officials covering these matters to discuss best practices.</w:t>
      </w:r>
    </w:p>
    <w:p w:rsidR="00626016" w:rsidRDefault="00626016" w:rsidP="00626016">
      <w:pPr>
        <w:pStyle w:val="SingleTxt"/>
      </w:pPr>
      <w:r>
        <w:t>38.</w:t>
      </w:r>
      <w:r>
        <w:tab/>
        <w:t>To strengthen the TIP Committee and Task Force, in-house and international trainings are ongoing. From 2013 to 2015, the International Organization for Migration (IOM) conducted a 36 month training to build the capacity of both the TIP Committee and Task Force. In 2014, representatives of the Committee and Task Force participated in special trainings in Kingston, Jamaica on a National Action Plan to prevent TIP. In May 2016, the USA conducted training on victim identification for the TIP Committee and Task Force, including first responders from the major Family Islands. Additionally, both the Police and Defence Forces have ongoing trainings on TIP for new recruits.</w:t>
      </w:r>
    </w:p>
    <w:p w:rsidR="00626016" w:rsidRDefault="00626016" w:rsidP="00A876C1">
      <w:pPr>
        <w:pStyle w:val="SingleTxt"/>
      </w:pPr>
      <w:r>
        <w:t>39.</w:t>
      </w:r>
      <w:r>
        <w:tab/>
        <w:t>In 2014, the TIP Committee and Task Force launched an Education and Awareness Raising Programme to sensitize the population on TIP matters. Information sharing initiatives include (i) TIP brochure distribution, (ii) PSAs, (iii)</w:t>
      </w:r>
      <w:r w:rsidR="00A876C1">
        <w:t> </w:t>
      </w:r>
      <w:r>
        <w:t xml:space="preserve">Facebook presence, (iv) school visitations, (v) door to door visitations in local and vulnerable communities and (vi) sensitization seminars. </w:t>
      </w:r>
    </w:p>
    <w:p w:rsidR="00626016" w:rsidRDefault="00626016" w:rsidP="00A876C1">
      <w:pPr>
        <w:pStyle w:val="SingleTxt"/>
      </w:pPr>
      <w:r>
        <w:t>40.</w:t>
      </w:r>
      <w:r>
        <w:tab/>
        <w:t xml:space="preserve">In July 2015, The Bahamas was ranked as a tier one country in a United States’ State Department Report </w:t>
      </w:r>
      <w:r w:rsidR="00A876C1">
        <w:t>—</w:t>
      </w:r>
      <w:r>
        <w:t xml:space="preserve"> up from the previous tier two ranking. This ranking is seen as an acknowledgement of the Country’s commitment to its anti-trafficking efforts. </w:t>
      </w: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Prostitution</w:t>
      </w:r>
    </w:p>
    <w:p w:rsidR="00A876C1" w:rsidRPr="00A876C1" w:rsidRDefault="00A876C1" w:rsidP="00A876C1">
      <w:pPr>
        <w:pStyle w:val="SingleTxt"/>
        <w:spacing w:after="0" w:line="120" w:lineRule="exact"/>
        <w:rPr>
          <w:sz w:val="10"/>
        </w:rPr>
      </w:pPr>
    </w:p>
    <w:p w:rsidR="00626016" w:rsidRDefault="00626016" w:rsidP="00626016">
      <w:pPr>
        <w:pStyle w:val="SingleTxt"/>
      </w:pPr>
      <w:r>
        <w:t>41.</w:t>
      </w:r>
      <w:r>
        <w:tab/>
        <w:t xml:space="preserve">Prostitution remains a criminal offence in The Bahamas. However, there are NGO’s that work to ensure that sex workers receive essential services. The Bahamas Urban Youth Development Centre (BUYDC) provides services for students engaged in transactional sex and has ramped up efforts to promote safe sex and HIV/AIDS prevention practices among young persons in the profession. </w:t>
      </w:r>
    </w:p>
    <w:p w:rsidR="00626016" w:rsidRDefault="00626016" w:rsidP="00626016">
      <w:pPr>
        <w:pStyle w:val="SingleTxt"/>
      </w:pPr>
      <w:r>
        <w:t>42.</w:t>
      </w:r>
      <w:r>
        <w:tab/>
        <w:t>While the country does not support prostitution, provisions are made in the TIP Act to protect victims. Section 10 of the TIP Act states that “</w:t>
      </w:r>
      <w:r w:rsidRPr="00A876C1">
        <w:rPr>
          <w:i/>
          <w:iCs/>
        </w:rPr>
        <w:t>Where a person provides evidence that he is a victim he shall not be liable to prosecution for any offence against the laws relating to immigration or prostitution, that is a direct result of the offence of trafficking in persons committed against him</w:t>
      </w:r>
      <w:r>
        <w:t>”.</w:t>
      </w: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A876C1" w:rsidRPr="00A876C1" w:rsidRDefault="00A876C1" w:rsidP="00A876C1">
      <w:pPr>
        <w:pStyle w:val="SingleTxt"/>
        <w:spacing w:after="0" w:line="120" w:lineRule="exact"/>
        <w:rPr>
          <w:sz w:val="10"/>
        </w:rPr>
      </w:pPr>
    </w:p>
    <w:p w:rsidR="00626016" w:rsidRDefault="00626016" w:rsidP="00626016">
      <w:pPr>
        <w:pStyle w:val="SingleTxt"/>
      </w:pPr>
      <w:r>
        <w:t>43.</w:t>
      </w:r>
      <w:r>
        <w:tab/>
        <w:t>The Strategic Policy &amp; Planning Branch of the Royal Bahamas Police Force reveal</w:t>
      </w:r>
      <w:r w:rsidR="00A876C1">
        <w:t>s over a 10 year period (2003-</w:t>
      </w:r>
      <w:r>
        <w:t xml:space="preserve">2013) that 6,210 cases of sexual offences were </w:t>
      </w:r>
      <w:r>
        <w:lastRenderedPageBreak/>
        <w:t>reported. The Strategic Plan of the National Task force on Gender-based Violence has collated the available statistical data on violence against women, and has called for a more strategic approach and intention towards collecting such information. Please see Annex I of this report for additional statistical data on rape, sexual assault, sexual harassment, attempted murder, murder, and number of matters prosecuted since 2012, number of complaints since 2012 and number of convictions and types of sentencing.</w:t>
      </w: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Strategic Plan for Addressing Gender-Based Violence </w:t>
      </w:r>
    </w:p>
    <w:p w:rsidR="00A876C1" w:rsidRPr="00A876C1" w:rsidRDefault="00A876C1" w:rsidP="00A876C1">
      <w:pPr>
        <w:pStyle w:val="SingleTxt"/>
        <w:spacing w:after="0" w:line="120" w:lineRule="exact"/>
        <w:rPr>
          <w:sz w:val="10"/>
        </w:rPr>
      </w:pPr>
    </w:p>
    <w:p w:rsidR="00626016" w:rsidRDefault="00626016" w:rsidP="00626016">
      <w:pPr>
        <w:pStyle w:val="SingleTxt"/>
      </w:pPr>
      <w:r>
        <w:t>44.</w:t>
      </w:r>
      <w:r>
        <w:tab/>
        <w:t>In July, 2012, the Government of The Bahamas partnered with the United Nations Entity for Gender Equality and the Empowerment of Women (UN Women) to participate in “Strengthening State Accountability and Community Action for Ending Violence against Women Project”. Building on these efforts, in July 2013, the Government appointed a National Task Force for Gender-Based Violence to oversee the “development, implementation and coordination of a national strategic plan to address gender-based violence”. Comprised of experts from the legal, medical, national security, and non-profit sectors, the Task Force fulfilled the development aspect of its mandate and submitted its “Strategic Plan to Address Gender-Based Violence” in August 2015. The plan was presented to the Prime Minister, the Rt. Hon. Perry Gladstone Christie, and tabled in Parliament in February 2016. In April 2016, officials from the regional UN Women office sponsored a two-day session to, inter alia, familiarize key stakeholders, including senior government administrators, with the proposed results-based framework for the implementation of activities proposed in the plan.</w:t>
      </w: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Domestic Violence Shelters</w:t>
      </w:r>
    </w:p>
    <w:p w:rsidR="00A876C1" w:rsidRPr="00A876C1" w:rsidRDefault="00A876C1" w:rsidP="00A876C1">
      <w:pPr>
        <w:pStyle w:val="SingleTxt"/>
        <w:spacing w:after="0" w:line="120" w:lineRule="exact"/>
        <w:rPr>
          <w:sz w:val="10"/>
        </w:rPr>
      </w:pPr>
    </w:p>
    <w:p w:rsidR="00626016" w:rsidRDefault="00626016" w:rsidP="00626016">
      <w:pPr>
        <w:pStyle w:val="SingleTxt"/>
      </w:pPr>
      <w:r>
        <w:t>45.</w:t>
      </w:r>
      <w:r>
        <w:tab/>
        <w:t xml:space="preserve">Further to information previously submitted, it must be noted that the Royal Bahamas Police Force works with an NGO-managed safe house for women who need a place of refuge from violence. In addition, both the Salvation Army and the Great Commission Ministries operate a shelter for homeless women including battered women. </w:t>
      </w: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Government Funding for NGOs Addressing GBV</w:t>
      </w:r>
    </w:p>
    <w:p w:rsidR="00A876C1" w:rsidRPr="00A876C1" w:rsidRDefault="00A876C1" w:rsidP="00A876C1">
      <w:pPr>
        <w:pStyle w:val="SingleTxt"/>
        <w:spacing w:after="0" w:line="120" w:lineRule="exact"/>
        <w:rPr>
          <w:sz w:val="10"/>
        </w:rPr>
      </w:pPr>
    </w:p>
    <w:p w:rsidR="00626016" w:rsidRDefault="00626016" w:rsidP="00A876C1">
      <w:pPr>
        <w:pStyle w:val="SingleTxt"/>
      </w:pPr>
      <w:r>
        <w:t>46.</w:t>
      </w:r>
      <w:r>
        <w:tab/>
        <w:t>To address gender-based violence, the Government provides grants to non</w:t>
      </w:r>
      <w:r w:rsidR="00A876C1">
        <w:noBreakHyphen/>
      </w:r>
      <w:r>
        <w:t>governmental and religious organizations to facilitate their work in support of victims of violence including through shelters and counselling services. For example, The Crisis Centre receives $30,000 per annum, The Links Safe House receives $75,000 per annum, The Salvation Army receives $75,000 per annum and Great Commission Ministries receives $73,000 per annum. The Bahamas AME Conference receives $20,000 per annum.</w:t>
      </w: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Promoting Awareness of Domestic Violence among Law Enforcement Officers</w:t>
      </w:r>
    </w:p>
    <w:p w:rsidR="00A876C1" w:rsidRPr="00A876C1" w:rsidRDefault="00A876C1" w:rsidP="00A876C1">
      <w:pPr>
        <w:pStyle w:val="SingleTxt"/>
        <w:spacing w:after="0" w:line="120" w:lineRule="exact"/>
        <w:rPr>
          <w:sz w:val="10"/>
        </w:rPr>
      </w:pPr>
    </w:p>
    <w:p w:rsidR="00626016" w:rsidRDefault="00626016" w:rsidP="00626016">
      <w:pPr>
        <w:pStyle w:val="SingleTxt"/>
      </w:pPr>
      <w:r>
        <w:t>47.</w:t>
      </w:r>
      <w:r>
        <w:tab/>
        <w:t>Further to information previously submitted, The Royal Bahamas Police Force has a strong commitment to informing the public and law enforcement officials about violence against women, particularly in the home. The following measures have been taken to make this possible.</w:t>
      </w:r>
    </w:p>
    <w:p w:rsidR="00626016" w:rsidRDefault="00A876C1" w:rsidP="00A876C1">
      <w:pPr>
        <w:pStyle w:val="SingleTxt"/>
        <w:ind w:left="1742" w:hanging="475"/>
      </w:pPr>
      <w:r>
        <w:tab/>
      </w:r>
      <w:r w:rsidR="00626016">
        <w:t>A.</w:t>
      </w:r>
      <w:r w:rsidR="00626016">
        <w:tab/>
        <w:t>Providing comprehensive instruction on domestic violence to every recruit squad that enters the Police Training College.</w:t>
      </w:r>
    </w:p>
    <w:p w:rsidR="00626016" w:rsidRDefault="00A876C1" w:rsidP="00A876C1">
      <w:pPr>
        <w:pStyle w:val="SingleTxt"/>
        <w:ind w:left="1742" w:hanging="475"/>
      </w:pPr>
      <w:r>
        <w:tab/>
      </w:r>
      <w:r w:rsidR="00626016">
        <w:t>B.</w:t>
      </w:r>
      <w:r w:rsidR="00626016">
        <w:tab/>
        <w:t>Engaging in partnership with organizations such as The Bahamas Crisis Centre, PACE (programme for teenage mothers), the College of The Bahamas, and Social Services.</w:t>
      </w:r>
    </w:p>
    <w:p w:rsidR="00626016" w:rsidRDefault="00A876C1" w:rsidP="00A876C1">
      <w:pPr>
        <w:pStyle w:val="SingleTxt"/>
        <w:ind w:left="1742" w:hanging="475"/>
      </w:pPr>
      <w:r>
        <w:lastRenderedPageBreak/>
        <w:tab/>
      </w:r>
      <w:r w:rsidR="00626016">
        <w:t>C.</w:t>
      </w:r>
      <w:r w:rsidR="00626016">
        <w:tab/>
        <w:t>Utilizing the police website to share information and tips on a variety of subjects that could benefit women (see ww.royalbahamaspolice.org)</w:t>
      </w:r>
    </w:p>
    <w:p w:rsidR="00626016" w:rsidRDefault="00A876C1" w:rsidP="00A876C1">
      <w:pPr>
        <w:pStyle w:val="SingleTxt"/>
        <w:ind w:left="1742" w:hanging="475"/>
      </w:pPr>
      <w:r>
        <w:tab/>
      </w:r>
      <w:r w:rsidR="00626016">
        <w:t>D.</w:t>
      </w:r>
      <w:r w:rsidR="00626016">
        <w:tab/>
        <w:t>The appointment of two senior female officers to the National Task Force on Eradicating Gender-Based Violence in the Commonwealth of The Bahamas.</w:t>
      </w:r>
    </w:p>
    <w:p w:rsidR="00626016" w:rsidRDefault="00A876C1" w:rsidP="00A876C1">
      <w:pPr>
        <w:pStyle w:val="SingleTxt"/>
        <w:ind w:left="1742" w:hanging="475"/>
      </w:pPr>
      <w:r>
        <w:tab/>
      </w:r>
      <w:r w:rsidR="00626016">
        <w:t>E.</w:t>
      </w:r>
      <w:r w:rsidR="00626016">
        <w:tab/>
        <w:t>Utilizing the Urban Renewal Centres to interact with community and provide referral services for victims. Utilizing trained officers as trainers in Resistance and Prevention Programme (RAPP) the goal is to teach others social crime prevention strategies. A component of the programme addresses domestic violence.</w:t>
      </w:r>
    </w:p>
    <w:p w:rsidR="00626016" w:rsidRDefault="00A876C1" w:rsidP="00A876C1">
      <w:pPr>
        <w:pStyle w:val="SingleTxt"/>
        <w:ind w:left="1742" w:hanging="475"/>
      </w:pPr>
      <w:r>
        <w:tab/>
      </w:r>
      <w:r w:rsidR="00626016">
        <w:t>F.</w:t>
      </w:r>
      <w:r w:rsidR="00626016">
        <w:tab/>
        <w:t>Utilizing the media to share relevant information compiled by the National Crime Prevention Office (Police Headquarters).</w:t>
      </w:r>
    </w:p>
    <w:p w:rsidR="00A876C1" w:rsidRPr="00A876C1" w:rsidRDefault="00A876C1" w:rsidP="00A876C1">
      <w:pPr>
        <w:pStyle w:val="SingleTxt"/>
        <w:spacing w:after="0" w:line="120" w:lineRule="exact"/>
        <w:ind w:left="1742" w:hanging="475"/>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Law Enforcement Officers’ Treatment of Sexually Assaulted Victims</w:t>
      </w:r>
    </w:p>
    <w:p w:rsidR="00A876C1" w:rsidRPr="00A876C1" w:rsidRDefault="00A876C1" w:rsidP="00A876C1">
      <w:pPr>
        <w:pStyle w:val="SingleTxt"/>
        <w:spacing w:after="0" w:line="120" w:lineRule="exact"/>
        <w:rPr>
          <w:sz w:val="10"/>
        </w:rPr>
      </w:pPr>
    </w:p>
    <w:p w:rsidR="00626016" w:rsidRDefault="00626016" w:rsidP="00A876C1">
      <w:pPr>
        <w:pStyle w:val="SingleTxt"/>
      </w:pPr>
      <w:r>
        <w:t>48.</w:t>
      </w:r>
      <w:r>
        <w:tab/>
        <w:t>Further to information previously submitted, whenever a domestic violence complaint is brought to the Police’s attention, if it is a minor offence such as common assault, threats of harm or causing harm, a local police station is expected to address it according to Force Policies and the law (see the Penal Code Chapter 84, Sections 33</w:t>
      </w:r>
      <w:r w:rsidR="00A876C1">
        <w:t>-</w:t>
      </w:r>
      <w:r>
        <w:t xml:space="preserve">41 in Annex II of this report). These are guiding principles for the Police. However, if the matter is a major offence, it is handled by the Central Detective Unit. The officers in this Unit have received sensitivity training and have facilities that are conducive to good outcomes. The doctor has to write a report determining whether the injury is life-threatening </w:t>
      </w:r>
      <w:r w:rsidR="00A876C1">
        <w:t>—</w:t>
      </w:r>
      <w:r>
        <w:t xml:space="preserve"> degree of harm would determine the category in which the case falls. </w:t>
      </w:r>
    </w:p>
    <w:p w:rsidR="00626016" w:rsidRDefault="00626016" w:rsidP="00626016">
      <w:pPr>
        <w:pStyle w:val="SingleTxt"/>
      </w:pPr>
      <w:r>
        <w:t>49.</w:t>
      </w:r>
      <w:r>
        <w:tab/>
        <w:t>Victims of sexual assault are treated seriously, professionally and with confidentiality. Proper procedures are strictly adhered to according to law (see Chapter 99A Domestic Violence [Protection Order] Sections 27, 28 in Annex II of this report).</w:t>
      </w:r>
    </w:p>
    <w:p w:rsidR="00A876C1" w:rsidRPr="00A876C1" w:rsidRDefault="00A876C1" w:rsidP="00A876C1">
      <w:pPr>
        <w:pStyle w:val="SingleTxt"/>
        <w:spacing w:after="0" w:line="120" w:lineRule="exact"/>
        <w:rPr>
          <w:sz w:val="10"/>
        </w:rPr>
      </w:pPr>
    </w:p>
    <w:p w:rsidR="00626016" w:rsidRDefault="00626016" w:rsidP="00A876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Special Measures to Deal with the Sexual Abuse of Children in The Bahamas </w:t>
      </w:r>
    </w:p>
    <w:p w:rsidR="00A876C1" w:rsidRPr="00A876C1" w:rsidRDefault="00A876C1" w:rsidP="00A876C1">
      <w:pPr>
        <w:pStyle w:val="SingleTxt"/>
        <w:spacing w:after="0" w:line="120" w:lineRule="exact"/>
        <w:rPr>
          <w:sz w:val="10"/>
        </w:rPr>
      </w:pPr>
    </w:p>
    <w:p w:rsidR="00626016" w:rsidRDefault="00626016" w:rsidP="00626016">
      <w:pPr>
        <w:pStyle w:val="SingleTxt"/>
      </w:pPr>
      <w:r>
        <w:t>50.</w:t>
      </w:r>
      <w:r>
        <w:tab/>
        <w:t xml:space="preserve">Further to information previously submitted, the Royal Bahamas Police Force employs special procedures for dealing with children who are sexually abused. Interviews must always be conducted in the presence of a parent, guardian or social worker. School Psychologists are also used when school-aged children are involved. If a child is under 12 years old, the Suspected Child Abuse and Neglect (SCAN) Unit is contacted. This is operated out of the Princess Margaret Hospital (the nation’s main health facility). If the person is over 12 years, the Sexual Assault Follow-up Evaluation (SAFE) Unit is contacted and provides counselling and after care. The area used for such proceedings is away from the general public and suitably furnished. Additionally, a matter that is over 72 hours is classified as cold and under that time frame is considered fresh. In the case of the latter, a sexual assault evidence collection kit is used. </w:t>
      </w:r>
    </w:p>
    <w:p w:rsidR="00626016" w:rsidRDefault="00626016" w:rsidP="00626016">
      <w:pPr>
        <w:pStyle w:val="SingleTxt"/>
      </w:pPr>
      <w:r>
        <w:t>51.</w:t>
      </w:r>
      <w:r>
        <w:tab/>
        <w:t xml:space="preserve">The Children and Family Services Unit of the Department of Social Services is considered the primary section with direct intervention in child maltreatment matters inclusive of sexual abuse. </w:t>
      </w:r>
    </w:p>
    <w:p w:rsidR="00A876C1" w:rsidRPr="00A876C1" w:rsidRDefault="00A876C1" w:rsidP="00A876C1">
      <w:pPr>
        <w:pStyle w:val="SingleTxt"/>
        <w:spacing w:after="0" w:line="120" w:lineRule="exact"/>
        <w:rPr>
          <w:sz w:val="10"/>
        </w:rPr>
      </w:pPr>
    </w:p>
    <w:p w:rsidR="00A876C1" w:rsidRPr="00A876C1" w:rsidRDefault="00A876C1" w:rsidP="00A876C1">
      <w:pPr>
        <w:pStyle w:val="SingleTxt"/>
        <w:spacing w:after="0" w:line="120" w:lineRule="exact"/>
        <w:rPr>
          <w:sz w:val="10"/>
        </w:rPr>
      </w:pPr>
    </w:p>
    <w:p w:rsidR="00626016" w:rsidRDefault="00626016" w:rsidP="00A876C1">
      <w:pPr>
        <w:pStyle w:val="TitleHCH"/>
      </w:pPr>
      <w:r>
        <w:lastRenderedPageBreak/>
        <w:tab/>
      </w:r>
      <w:r>
        <w:tab/>
        <w:t>Article 7: Political and Public Life</w:t>
      </w:r>
    </w:p>
    <w:p w:rsidR="00A876C1" w:rsidRPr="00A876C1" w:rsidRDefault="00A876C1" w:rsidP="00A876C1">
      <w:pPr>
        <w:pStyle w:val="SingleTxt"/>
        <w:keepNext/>
        <w:keepLines/>
        <w:spacing w:after="0" w:line="120" w:lineRule="exact"/>
        <w:rPr>
          <w:sz w:val="10"/>
        </w:rPr>
      </w:pPr>
    </w:p>
    <w:p w:rsidR="00A876C1" w:rsidRPr="00A876C1" w:rsidRDefault="00A876C1" w:rsidP="00A876C1">
      <w:pPr>
        <w:pStyle w:val="SingleTxt"/>
        <w:keepNext/>
        <w:keepLines/>
        <w:spacing w:after="0" w:line="120" w:lineRule="exact"/>
        <w:rPr>
          <w:sz w:val="10"/>
        </w:rPr>
      </w:pPr>
    </w:p>
    <w:p w:rsidR="00626016" w:rsidRDefault="00626016" w:rsidP="00A876C1">
      <w:pPr>
        <w:pStyle w:val="TitleH1"/>
        <w:keepNext/>
        <w:keepLines/>
      </w:pPr>
      <w:r>
        <w:tab/>
      </w:r>
      <w:r>
        <w:tab/>
        <w:t>Equal Rights to Vote and Participation in Elections</w:t>
      </w:r>
    </w:p>
    <w:p w:rsidR="00A876C1" w:rsidRPr="00A876C1" w:rsidRDefault="00A876C1" w:rsidP="00A876C1">
      <w:pPr>
        <w:pStyle w:val="SingleTxt"/>
        <w:keepNext/>
        <w:keepLines/>
        <w:spacing w:after="0" w:line="120" w:lineRule="exact"/>
        <w:rPr>
          <w:sz w:val="10"/>
        </w:rPr>
      </w:pPr>
    </w:p>
    <w:p w:rsidR="00A876C1" w:rsidRPr="00A876C1" w:rsidRDefault="00A876C1" w:rsidP="00A876C1">
      <w:pPr>
        <w:pStyle w:val="SingleTxt"/>
        <w:keepNext/>
        <w:keepLines/>
        <w:spacing w:after="0" w:line="120" w:lineRule="exact"/>
        <w:rPr>
          <w:sz w:val="10"/>
        </w:rPr>
      </w:pPr>
    </w:p>
    <w:p w:rsidR="00626016" w:rsidRDefault="00626016" w:rsidP="00A876C1">
      <w:pPr>
        <w:pStyle w:val="SingleTxt"/>
        <w:keepNext/>
        <w:keepLines/>
      </w:pPr>
      <w:r>
        <w:t>52.</w:t>
      </w:r>
      <w:r>
        <w:tab/>
        <w:t xml:space="preserve">As stated in the previous report, Bahamian women have the right to vote in elections and to participate in the political process on equal terms with men. On February 23, 1961, the Bill titled "An Act to enable women to have and exercise rights of registration as voters and of voting similar to those accorded to men under the provisions of the General Assembly Elections Act 1959” was passed and came into effect on June 30, 1961 thereby women received the right to vote. Full voting rights were exercised on November 26, 1962. As stated in The Bahamas’ 2014 Follow-Up Report to the CEDAW Committee, The Bahamas held general elections on May 7, 2012. </w:t>
      </w:r>
    </w:p>
    <w:p w:rsidR="00A876C1" w:rsidRPr="00A876C1" w:rsidRDefault="00A876C1" w:rsidP="00A876C1">
      <w:pPr>
        <w:pStyle w:val="SingleTxt"/>
        <w:keepNext/>
        <w:keepLines/>
        <w:spacing w:after="0" w:line="120" w:lineRule="exact"/>
        <w:rPr>
          <w:sz w:val="10"/>
        </w:rPr>
      </w:pPr>
    </w:p>
    <w:p w:rsidR="00626016" w:rsidRDefault="00626016" w:rsidP="00BC54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2012 Electorate </w:t>
      </w:r>
      <w:r w:rsidR="00BC54C4">
        <w:t>—</w:t>
      </w:r>
      <w:r>
        <w:t xml:space="preserve"> by sex</w:t>
      </w:r>
    </w:p>
    <w:p w:rsidR="00A876C1" w:rsidRPr="00A876C1" w:rsidRDefault="00A876C1" w:rsidP="00A876C1">
      <w:pPr>
        <w:pStyle w:val="SingleTxt"/>
        <w:spacing w:after="0" w:line="120" w:lineRule="exact"/>
        <w:rPr>
          <w:sz w:val="10"/>
        </w:rPr>
      </w:pPr>
    </w:p>
    <w:p w:rsidR="00626016" w:rsidRDefault="00626016" w:rsidP="00626016">
      <w:pPr>
        <w:pStyle w:val="SingleTxt"/>
      </w:pPr>
      <w:r>
        <w:t>53.</w:t>
      </w:r>
      <w:r>
        <w:tab/>
        <w:t xml:space="preserve">There were 18,574 more women than men registered to vote. Records reflect that of the total number of 172,128 registered voters in the 2012 General Election, 54.2% were women, while 45.8% were men. </w:t>
      </w:r>
    </w:p>
    <w:p w:rsidR="00A876C1" w:rsidRPr="00A876C1" w:rsidRDefault="00A876C1" w:rsidP="00A876C1">
      <w:pPr>
        <w:pStyle w:val="SingleTxt"/>
        <w:spacing w:after="0" w:line="120" w:lineRule="exact"/>
        <w:rPr>
          <w:sz w:val="10"/>
        </w:rPr>
      </w:pPr>
    </w:p>
    <w:p w:rsidR="00626016" w:rsidRDefault="00626016" w:rsidP="00BC54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2012 Candidates </w:t>
      </w:r>
      <w:r w:rsidR="00BC54C4">
        <w:t>—</w:t>
      </w:r>
      <w:r>
        <w:t xml:space="preserve"> by sex</w:t>
      </w:r>
    </w:p>
    <w:p w:rsidR="00A876C1" w:rsidRPr="00A876C1" w:rsidRDefault="00A876C1" w:rsidP="00A876C1">
      <w:pPr>
        <w:pStyle w:val="SingleTxt"/>
        <w:spacing w:after="0" w:line="120" w:lineRule="exact"/>
        <w:rPr>
          <w:sz w:val="10"/>
        </w:rPr>
      </w:pPr>
    </w:p>
    <w:p w:rsidR="00626016" w:rsidRDefault="00626016" w:rsidP="00BC54C4">
      <w:pPr>
        <w:pStyle w:val="SingleTxt"/>
      </w:pPr>
      <w:r>
        <w:t>54.</w:t>
      </w:r>
      <w:r>
        <w:tab/>
        <w:t>According to The Parliamentary Commissioner, those elections comprised one hundred and thirty-three (133) nominated candidates, eighteen (18) of whom were women. Per party, the distribution of females and males who were selected as candidates were as follows: Progressive Liberal Party, 5 women (15%), 33 men; Free National Movement, 9 women (31%), 29 men: Democratic National Alliance, 6</w:t>
      </w:r>
      <w:r w:rsidR="00BC54C4">
        <w:t> </w:t>
      </w:r>
      <w:r>
        <w:t>women (19%); 32 men, Independent candidates, 0 women, 14 men; Bahamas Constitution Party, 2 women (67%). 3 men, Therefore, thirteen per cent (13%) of all elected candidates were women. Subsequently, five women (thirty-one per cent) were appointed to the Honourable Senate (Upper House). 19% served in the Cabinet (See Table 4).</w:t>
      </w:r>
    </w:p>
    <w:p w:rsidR="00BC54C4" w:rsidRPr="00BC54C4" w:rsidRDefault="00BC54C4" w:rsidP="00BC54C4">
      <w:pPr>
        <w:pStyle w:val="SingleTxt"/>
        <w:spacing w:after="0" w:line="120" w:lineRule="exact"/>
        <w:rPr>
          <w:sz w:val="10"/>
        </w:rPr>
      </w:pPr>
    </w:p>
    <w:p w:rsidR="00626016" w:rsidRPr="00BC54C4" w:rsidRDefault="00BC54C4" w:rsidP="00BC54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BC54C4">
        <w:rPr>
          <w:b w:val="0"/>
          <w:bCs/>
        </w:rPr>
        <w:t>Table 2</w:t>
      </w:r>
    </w:p>
    <w:p w:rsidR="00626016" w:rsidRDefault="00BC54C4" w:rsidP="00BC54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 xml:space="preserve">Representation of Women </w:t>
      </w:r>
      <w:r>
        <w:t>—</w:t>
      </w:r>
      <w:r w:rsidR="00626016">
        <w:t xml:space="preserve"> Parliament (2012)</w:t>
      </w:r>
    </w:p>
    <w:p w:rsidR="00BC54C4" w:rsidRPr="00BC54C4" w:rsidRDefault="00BC54C4" w:rsidP="00BC54C4">
      <w:pPr>
        <w:pStyle w:val="SingleTxt"/>
        <w:spacing w:after="0" w:line="120" w:lineRule="exact"/>
        <w:rPr>
          <w:sz w:val="10"/>
        </w:rPr>
      </w:pPr>
    </w:p>
    <w:tbl>
      <w:tblPr>
        <w:tblW w:w="7244" w:type="dxa"/>
        <w:tblInd w:w="1260" w:type="dxa"/>
        <w:tblLayout w:type="fixed"/>
        <w:tblCellMar>
          <w:left w:w="0" w:type="dxa"/>
          <w:right w:w="0" w:type="dxa"/>
        </w:tblCellMar>
        <w:tblLook w:val="0000" w:firstRow="0" w:lastRow="0" w:firstColumn="0" w:lastColumn="0" w:noHBand="0" w:noVBand="0"/>
      </w:tblPr>
      <w:tblGrid>
        <w:gridCol w:w="2692"/>
        <w:gridCol w:w="1138"/>
        <w:gridCol w:w="1138"/>
        <w:gridCol w:w="1138"/>
        <w:gridCol w:w="1138"/>
      </w:tblGrid>
      <w:tr w:rsidR="00BC54C4" w:rsidRPr="00BC54C4" w:rsidTr="00BC54C4">
        <w:trPr>
          <w:tblHeader/>
        </w:trPr>
        <w:tc>
          <w:tcPr>
            <w:tcW w:w="2692"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0" w:right="40"/>
              <w:jc w:val="left"/>
              <w:rPr>
                <w:i/>
                <w:spacing w:val="4"/>
                <w:w w:val="103"/>
                <w:sz w:val="14"/>
              </w:rPr>
            </w:pPr>
            <w:r w:rsidRPr="00BC54C4">
              <w:rPr>
                <w:i/>
                <w:spacing w:val="4"/>
                <w:w w:val="103"/>
                <w:sz w:val="14"/>
              </w:rPr>
              <w:t>Positions</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144" w:right="40"/>
              <w:jc w:val="right"/>
              <w:rPr>
                <w:i/>
                <w:spacing w:val="4"/>
                <w:w w:val="103"/>
                <w:sz w:val="14"/>
              </w:rPr>
            </w:pPr>
            <w:r w:rsidRPr="00BC54C4">
              <w:rPr>
                <w:i/>
                <w:spacing w:val="4"/>
                <w:w w:val="103"/>
                <w:sz w:val="14"/>
              </w:rPr>
              <w:t>Women</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144" w:right="40"/>
              <w:jc w:val="right"/>
              <w:rPr>
                <w:i/>
                <w:spacing w:val="4"/>
                <w:w w:val="103"/>
                <w:sz w:val="14"/>
              </w:rPr>
            </w:pPr>
            <w:r w:rsidRPr="00BC54C4">
              <w:rPr>
                <w:i/>
                <w:spacing w:val="4"/>
                <w:w w:val="103"/>
                <w:sz w:val="14"/>
              </w:rPr>
              <w:t>Men</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144" w:right="40"/>
              <w:jc w:val="right"/>
              <w:rPr>
                <w:i/>
                <w:spacing w:val="4"/>
                <w:w w:val="103"/>
                <w:sz w:val="14"/>
              </w:rPr>
            </w:pPr>
            <w:r w:rsidRPr="00BC54C4">
              <w:rPr>
                <w:i/>
                <w:spacing w:val="4"/>
                <w:w w:val="103"/>
                <w:sz w:val="14"/>
              </w:rPr>
              <w:t>Total</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144" w:right="40"/>
              <w:jc w:val="right"/>
              <w:rPr>
                <w:i/>
                <w:spacing w:val="4"/>
                <w:w w:val="103"/>
                <w:sz w:val="14"/>
              </w:rPr>
            </w:pPr>
            <w:r w:rsidRPr="00BC54C4">
              <w:rPr>
                <w:i/>
                <w:spacing w:val="4"/>
                <w:w w:val="103"/>
                <w:sz w:val="14"/>
              </w:rPr>
              <w:t>% Women</w:t>
            </w:r>
          </w:p>
        </w:tc>
      </w:tr>
      <w:tr w:rsidR="00BC54C4" w:rsidRPr="00BC54C4" w:rsidTr="00BC54C4">
        <w:trPr>
          <w:trHeight w:hRule="exact" w:val="115"/>
          <w:tblHeader/>
        </w:trPr>
        <w:tc>
          <w:tcPr>
            <w:tcW w:w="2692"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0" w:right="40"/>
              <w:jc w:val="left"/>
              <w:rPr>
                <w:spacing w:val="4"/>
                <w:w w:val="103"/>
                <w:sz w:val="17"/>
              </w:rPr>
            </w:pPr>
          </w:p>
        </w:tc>
        <w:tc>
          <w:tcPr>
            <w:tcW w:w="1138"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144" w:right="40"/>
              <w:jc w:val="right"/>
              <w:rPr>
                <w:spacing w:val="4"/>
                <w:w w:val="103"/>
                <w:sz w:val="17"/>
              </w:rPr>
            </w:pPr>
          </w:p>
        </w:tc>
        <w:tc>
          <w:tcPr>
            <w:tcW w:w="1138"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144" w:right="40"/>
              <w:jc w:val="right"/>
              <w:rPr>
                <w:spacing w:val="4"/>
                <w:w w:val="103"/>
                <w:sz w:val="17"/>
              </w:rPr>
            </w:pPr>
          </w:p>
        </w:tc>
        <w:tc>
          <w:tcPr>
            <w:tcW w:w="1138"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144" w:right="40"/>
              <w:jc w:val="right"/>
              <w:rPr>
                <w:spacing w:val="4"/>
                <w:w w:val="103"/>
                <w:sz w:val="17"/>
              </w:rPr>
            </w:pPr>
          </w:p>
        </w:tc>
        <w:tc>
          <w:tcPr>
            <w:tcW w:w="1138"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144" w:right="40"/>
              <w:jc w:val="right"/>
              <w:rPr>
                <w:spacing w:val="4"/>
                <w:w w:val="103"/>
                <w:sz w:val="17"/>
              </w:rPr>
            </w:pPr>
          </w:p>
        </w:tc>
      </w:tr>
      <w:tr w:rsidR="00BC54C4" w:rsidRPr="00BC54C4" w:rsidTr="00BC54C4">
        <w:tc>
          <w:tcPr>
            <w:tcW w:w="2692"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BC54C4">
              <w:rPr>
                <w:spacing w:val="4"/>
                <w:w w:val="103"/>
                <w:sz w:val="17"/>
              </w:rPr>
              <w:t>Members of Parliament</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5</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33</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38</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13%</w:t>
            </w:r>
          </w:p>
        </w:tc>
      </w:tr>
      <w:tr w:rsidR="00BC54C4" w:rsidRPr="00BC54C4" w:rsidTr="00BC54C4">
        <w:tc>
          <w:tcPr>
            <w:tcW w:w="2692"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0" w:right="40"/>
              <w:jc w:val="left"/>
              <w:rPr>
                <w:spacing w:val="4"/>
                <w:w w:val="103"/>
                <w:sz w:val="17"/>
              </w:rPr>
            </w:pPr>
            <w:r w:rsidRPr="00BC54C4">
              <w:rPr>
                <w:spacing w:val="4"/>
                <w:w w:val="103"/>
                <w:sz w:val="17"/>
              </w:rPr>
              <w:t>Senators</w:t>
            </w:r>
          </w:p>
        </w:tc>
        <w:tc>
          <w:tcPr>
            <w:tcW w:w="1138"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BC54C4">
              <w:rPr>
                <w:spacing w:val="4"/>
                <w:w w:val="103"/>
                <w:sz w:val="17"/>
              </w:rPr>
              <w:t>5</w:t>
            </w:r>
          </w:p>
        </w:tc>
        <w:tc>
          <w:tcPr>
            <w:tcW w:w="1138"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BC54C4">
              <w:rPr>
                <w:spacing w:val="4"/>
                <w:w w:val="103"/>
                <w:sz w:val="17"/>
              </w:rPr>
              <w:t>11</w:t>
            </w:r>
          </w:p>
        </w:tc>
        <w:tc>
          <w:tcPr>
            <w:tcW w:w="1138"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BC54C4">
              <w:rPr>
                <w:spacing w:val="4"/>
                <w:w w:val="103"/>
                <w:sz w:val="17"/>
              </w:rPr>
              <w:t>16</w:t>
            </w:r>
          </w:p>
        </w:tc>
        <w:tc>
          <w:tcPr>
            <w:tcW w:w="1138"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BC54C4">
              <w:rPr>
                <w:spacing w:val="4"/>
                <w:w w:val="103"/>
                <w:sz w:val="17"/>
              </w:rPr>
              <w:t>31%</w:t>
            </w:r>
          </w:p>
        </w:tc>
      </w:tr>
      <w:tr w:rsidR="00BC54C4" w:rsidRPr="00BC54C4" w:rsidTr="00BC54C4">
        <w:tc>
          <w:tcPr>
            <w:tcW w:w="2692" w:type="dxa"/>
            <w:tcBorders>
              <w:top w:val="single" w:sz="4" w:space="0" w:color="auto"/>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0" w:right="40"/>
              <w:jc w:val="left"/>
              <w:rPr>
                <w:b/>
                <w:spacing w:val="4"/>
                <w:w w:val="103"/>
                <w:sz w:val="17"/>
              </w:rPr>
            </w:pPr>
            <w:r w:rsidRPr="00BC54C4">
              <w:rPr>
                <w:b/>
                <w:spacing w:val="4"/>
                <w:w w:val="103"/>
                <w:sz w:val="17"/>
              </w:rPr>
              <w:tab/>
              <w:t>Total</w:t>
            </w:r>
          </w:p>
        </w:tc>
        <w:tc>
          <w:tcPr>
            <w:tcW w:w="1138" w:type="dxa"/>
            <w:tcBorders>
              <w:top w:val="single" w:sz="4" w:space="0" w:color="auto"/>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BC54C4">
              <w:rPr>
                <w:b/>
                <w:spacing w:val="4"/>
                <w:w w:val="103"/>
                <w:sz w:val="17"/>
              </w:rPr>
              <w:t>10</w:t>
            </w:r>
          </w:p>
        </w:tc>
        <w:tc>
          <w:tcPr>
            <w:tcW w:w="1138" w:type="dxa"/>
            <w:tcBorders>
              <w:top w:val="single" w:sz="4" w:space="0" w:color="auto"/>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BC54C4">
              <w:rPr>
                <w:b/>
                <w:spacing w:val="4"/>
                <w:w w:val="103"/>
                <w:sz w:val="17"/>
              </w:rPr>
              <w:t>44</w:t>
            </w:r>
          </w:p>
        </w:tc>
        <w:tc>
          <w:tcPr>
            <w:tcW w:w="1138" w:type="dxa"/>
            <w:tcBorders>
              <w:top w:val="single" w:sz="4" w:space="0" w:color="auto"/>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BC54C4">
              <w:rPr>
                <w:b/>
                <w:spacing w:val="4"/>
                <w:w w:val="103"/>
                <w:sz w:val="17"/>
              </w:rPr>
              <w:t>54</w:t>
            </w:r>
          </w:p>
        </w:tc>
        <w:tc>
          <w:tcPr>
            <w:tcW w:w="1138" w:type="dxa"/>
            <w:tcBorders>
              <w:top w:val="single" w:sz="4" w:space="0" w:color="auto"/>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BC54C4">
              <w:rPr>
                <w:b/>
                <w:spacing w:val="4"/>
                <w:w w:val="103"/>
                <w:sz w:val="17"/>
              </w:rPr>
              <w:t>18.5%</w:t>
            </w:r>
          </w:p>
        </w:tc>
      </w:tr>
      <w:tr w:rsidR="00BC54C4" w:rsidRPr="00BC54C4" w:rsidTr="00BC54C4">
        <w:tc>
          <w:tcPr>
            <w:tcW w:w="2692"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40" w:line="210" w:lineRule="exact"/>
              <w:ind w:left="0" w:right="40"/>
              <w:jc w:val="left"/>
              <w:rPr>
                <w:bCs/>
                <w:spacing w:val="4"/>
                <w:w w:val="103"/>
                <w:sz w:val="17"/>
              </w:rPr>
            </w:pPr>
            <w:r w:rsidRPr="00BC54C4">
              <w:rPr>
                <w:bCs/>
                <w:spacing w:val="4"/>
                <w:w w:val="103"/>
                <w:sz w:val="17"/>
              </w:rPr>
              <w:t>Members of Cabinet</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40" w:line="210" w:lineRule="exact"/>
              <w:ind w:left="144" w:right="40"/>
              <w:jc w:val="right"/>
              <w:rPr>
                <w:bCs/>
                <w:spacing w:val="4"/>
                <w:w w:val="103"/>
                <w:sz w:val="17"/>
              </w:rPr>
            </w:pPr>
            <w:r w:rsidRPr="00BC54C4">
              <w:rPr>
                <w:bCs/>
                <w:spacing w:val="4"/>
                <w:w w:val="103"/>
                <w:sz w:val="17"/>
              </w:rPr>
              <w:t>4</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40" w:line="210" w:lineRule="exact"/>
              <w:ind w:left="144" w:right="40"/>
              <w:jc w:val="right"/>
              <w:rPr>
                <w:bCs/>
                <w:spacing w:val="4"/>
                <w:w w:val="103"/>
                <w:sz w:val="17"/>
              </w:rPr>
            </w:pPr>
            <w:r w:rsidRPr="00BC54C4">
              <w:rPr>
                <w:bCs/>
                <w:spacing w:val="4"/>
                <w:w w:val="103"/>
                <w:sz w:val="17"/>
              </w:rPr>
              <w:t>17</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40" w:line="210" w:lineRule="exact"/>
              <w:ind w:left="144" w:right="40"/>
              <w:jc w:val="right"/>
              <w:rPr>
                <w:bCs/>
                <w:spacing w:val="4"/>
                <w:w w:val="103"/>
                <w:sz w:val="17"/>
              </w:rPr>
            </w:pPr>
            <w:r w:rsidRPr="00BC54C4">
              <w:rPr>
                <w:bCs/>
                <w:spacing w:val="4"/>
                <w:w w:val="103"/>
                <w:sz w:val="17"/>
              </w:rPr>
              <w:t>21</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40" w:line="210" w:lineRule="exact"/>
              <w:ind w:left="144" w:right="40"/>
              <w:jc w:val="right"/>
              <w:rPr>
                <w:bCs/>
                <w:spacing w:val="4"/>
                <w:w w:val="103"/>
                <w:sz w:val="17"/>
              </w:rPr>
            </w:pPr>
            <w:r w:rsidRPr="00BC54C4">
              <w:rPr>
                <w:bCs/>
                <w:spacing w:val="4"/>
                <w:w w:val="103"/>
                <w:sz w:val="17"/>
              </w:rPr>
              <w:t>19%</w:t>
            </w:r>
          </w:p>
        </w:tc>
      </w:tr>
    </w:tbl>
    <w:p w:rsidR="00BC54C4" w:rsidRPr="00BC54C4" w:rsidRDefault="00BC54C4" w:rsidP="00BC54C4">
      <w:pPr>
        <w:pStyle w:val="SingleTxt"/>
        <w:spacing w:after="0" w:line="120" w:lineRule="exact"/>
        <w:rPr>
          <w:sz w:val="10"/>
        </w:rPr>
      </w:pPr>
    </w:p>
    <w:p w:rsidR="00BC54C4" w:rsidRPr="00BC54C4" w:rsidRDefault="00BC54C4" w:rsidP="00BC54C4">
      <w:pPr>
        <w:pStyle w:val="SingleTxt"/>
        <w:spacing w:after="0" w:line="120" w:lineRule="exact"/>
        <w:rPr>
          <w:sz w:val="10"/>
        </w:rPr>
      </w:pPr>
    </w:p>
    <w:p w:rsidR="00626016" w:rsidRDefault="00626016" w:rsidP="00BC54C4">
      <w:pPr>
        <w:pStyle w:val="SingleTxt"/>
        <w:spacing w:after="0"/>
      </w:pPr>
      <w:r>
        <w:t>Table 3</w:t>
      </w:r>
    </w:p>
    <w:p w:rsidR="00626016" w:rsidRDefault="00BC54C4" w:rsidP="00BC54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Women in key positions in Parliament (2016)</w:t>
      </w:r>
    </w:p>
    <w:p w:rsidR="00BC54C4" w:rsidRPr="00BC54C4" w:rsidRDefault="00BC54C4" w:rsidP="00BC54C4">
      <w:pPr>
        <w:pStyle w:val="SingleTxt"/>
        <w:spacing w:after="0" w:line="120" w:lineRule="exact"/>
        <w:rPr>
          <w:sz w:val="10"/>
          <w:lang w:val="en-US"/>
        </w:rPr>
      </w:pPr>
    </w:p>
    <w:tbl>
      <w:tblPr>
        <w:tblW w:w="7244" w:type="dxa"/>
        <w:tblInd w:w="1260" w:type="dxa"/>
        <w:tblLayout w:type="fixed"/>
        <w:tblCellMar>
          <w:left w:w="0" w:type="dxa"/>
          <w:right w:w="0" w:type="dxa"/>
        </w:tblCellMar>
        <w:tblLook w:val="0000" w:firstRow="0" w:lastRow="0" w:firstColumn="0" w:lastColumn="0" w:noHBand="0" w:noVBand="0"/>
      </w:tblPr>
      <w:tblGrid>
        <w:gridCol w:w="2692"/>
        <w:gridCol w:w="1138"/>
        <w:gridCol w:w="1138"/>
        <w:gridCol w:w="1138"/>
        <w:gridCol w:w="1138"/>
      </w:tblGrid>
      <w:tr w:rsidR="00BC54C4" w:rsidRPr="00BC54C4" w:rsidTr="00BC54C4">
        <w:trPr>
          <w:tblHeader/>
        </w:trPr>
        <w:tc>
          <w:tcPr>
            <w:tcW w:w="2692"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0" w:right="40"/>
              <w:jc w:val="left"/>
              <w:rPr>
                <w:i/>
                <w:spacing w:val="4"/>
                <w:w w:val="103"/>
                <w:sz w:val="14"/>
              </w:rPr>
            </w:pPr>
            <w:r w:rsidRPr="00BC54C4">
              <w:rPr>
                <w:i/>
                <w:spacing w:val="4"/>
                <w:w w:val="103"/>
                <w:sz w:val="14"/>
              </w:rPr>
              <w:t>Positions</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144" w:right="40"/>
              <w:jc w:val="right"/>
              <w:rPr>
                <w:i/>
                <w:spacing w:val="4"/>
                <w:w w:val="103"/>
                <w:sz w:val="14"/>
              </w:rPr>
            </w:pPr>
            <w:r w:rsidRPr="00BC54C4">
              <w:rPr>
                <w:i/>
                <w:spacing w:val="4"/>
                <w:w w:val="103"/>
                <w:sz w:val="14"/>
              </w:rPr>
              <w:t>Women</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144" w:right="40"/>
              <w:jc w:val="right"/>
              <w:rPr>
                <w:i/>
                <w:spacing w:val="4"/>
                <w:w w:val="103"/>
                <w:sz w:val="14"/>
              </w:rPr>
            </w:pPr>
            <w:r w:rsidRPr="00BC54C4">
              <w:rPr>
                <w:i/>
                <w:spacing w:val="4"/>
                <w:w w:val="103"/>
                <w:sz w:val="14"/>
              </w:rPr>
              <w:t>Men</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144" w:right="40"/>
              <w:jc w:val="right"/>
              <w:rPr>
                <w:i/>
                <w:spacing w:val="4"/>
                <w:w w:val="103"/>
                <w:sz w:val="14"/>
              </w:rPr>
            </w:pPr>
            <w:r w:rsidRPr="00BC54C4">
              <w:rPr>
                <w:i/>
                <w:spacing w:val="4"/>
                <w:w w:val="103"/>
                <w:sz w:val="14"/>
              </w:rPr>
              <w:t>Total</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spacing w:before="81" w:after="81" w:line="160" w:lineRule="exact"/>
              <w:ind w:left="144" w:right="40"/>
              <w:jc w:val="right"/>
              <w:rPr>
                <w:i/>
                <w:spacing w:val="4"/>
                <w:w w:val="103"/>
                <w:sz w:val="14"/>
              </w:rPr>
            </w:pPr>
            <w:r w:rsidRPr="00BC54C4">
              <w:rPr>
                <w:i/>
                <w:spacing w:val="4"/>
                <w:w w:val="103"/>
                <w:sz w:val="14"/>
              </w:rPr>
              <w:t>% Women</w:t>
            </w:r>
          </w:p>
        </w:tc>
      </w:tr>
      <w:tr w:rsidR="00BC54C4" w:rsidRPr="00BC54C4" w:rsidTr="00BC54C4">
        <w:trPr>
          <w:trHeight w:hRule="exact" w:val="115"/>
          <w:tblHeader/>
        </w:trPr>
        <w:tc>
          <w:tcPr>
            <w:tcW w:w="2692"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0" w:right="40"/>
              <w:jc w:val="left"/>
              <w:rPr>
                <w:spacing w:val="4"/>
                <w:w w:val="103"/>
                <w:sz w:val="17"/>
              </w:rPr>
            </w:pPr>
          </w:p>
        </w:tc>
        <w:tc>
          <w:tcPr>
            <w:tcW w:w="1138"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144" w:right="40"/>
              <w:jc w:val="right"/>
              <w:rPr>
                <w:spacing w:val="4"/>
                <w:w w:val="103"/>
                <w:sz w:val="17"/>
              </w:rPr>
            </w:pPr>
          </w:p>
        </w:tc>
        <w:tc>
          <w:tcPr>
            <w:tcW w:w="1138"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144" w:right="40"/>
              <w:jc w:val="right"/>
              <w:rPr>
                <w:spacing w:val="4"/>
                <w:w w:val="103"/>
                <w:sz w:val="17"/>
              </w:rPr>
            </w:pPr>
          </w:p>
        </w:tc>
        <w:tc>
          <w:tcPr>
            <w:tcW w:w="1138"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144" w:right="40"/>
              <w:jc w:val="right"/>
              <w:rPr>
                <w:spacing w:val="4"/>
                <w:w w:val="103"/>
                <w:sz w:val="17"/>
              </w:rPr>
            </w:pPr>
          </w:p>
        </w:tc>
        <w:tc>
          <w:tcPr>
            <w:tcW w:w="1138" w:type="dxa"/>
            <w:tcBorders>
              <w:top w:val="single" w:sz="12" w:space="0" w:color="auto"/>
            </w:tcBorders>
            <w:shd w:val="clear" w:color="auto" w:fill="auto"/>
            <w:vAlign w:val="bottom"/>
          </w:tcPr>
          <w:p w:rsidR="00BC54C4" w:rsidRPr="00BC54C4" w:rsidRDefault="00BC54C4" w:rsidP="00BC54C4">
            <w:pPr>
              <w:pStyle w:val="SingleTxtG"/>
              <w:spacing w:before="40" w:after="40" w:line="210" w:lineRule="exact"/>
              <w:ind w:left="144" w:right="40"/>
              <w:jc w:val="right"/>
              <w:rPr>
                <w:spacing w:val="4"/>
                <w:w w:val="103"/>
                <w:sz w:val="17"/>
              </w:rPr>
            </w:pPr>
          </w:p>
        </w:tc>
      </w:tr>
      <w:tr w:rsidR="00BC54C4" w:rsidRPr="00BC54C4" w:rsidTr="00BC54C4">
        <w:tc>
          <w:tcPr>
            <w:tcW w:w="2692"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BC54C4">
              <w:rPr>
                <w:spacing w:val="4"/>
                <w:w w:val="103"/>
                <w:sz w:val="17"/>
              </w:rPr>
              <w:t>Prime Minister</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0</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0%</w:t>
            </w:r>
          </w:p>
        </w:tc>
      </w:tr>
      <w:tr w:rsidR="00BC54C4" w:rsidRPr="00BC54C4" w:rsidTr="00BC54C4">
        <w:tc>
          <w:tcPr>
            <w:tcW w:w="2692"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BC54C4">
              <w:rPr>
                <w:spacing w:val="4"/>
                <w:w w:val="103"/>
                <w:sz w:val="17"/>
              </w:rPr>
              <w:t>Attorney General</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0</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100%</w:t>
            </w:r>
          </w:p>
        </w:tc>
      </w:tr>
      <w:tr w:rsidR="00BC54C4" w:rsidRPr="00BC54C4" w:rsidTr="00BC54C4">
        <w:tc>
          <w:tcPr>
            <w:tcW w:w="2692"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BC54C4">
              <w:rPr>
                <w:spacing w:val="4"/>
                <w:w w:val="103"/>
                <w:sz w:val="17"/>
              </w:rPr>
              <w:t>Other Ministers</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3</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12</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15</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20%</w:t>
            </w:r>
          </w:p>
        </w:tc>
      </w:tr>
      <w:tr w:rsidR="00BC54C4" w:rsidRPr="00BC54C4" w:rsidTr="00BC54C4">
        <w:tc>
          <w:tcPr>
            <w:tcW w:w="2692"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BC54C4">
              <w:rPr>
                <w:spacing w:val="4"/>
                <w:w w:val="103"/>
                <w:sz w:val="17"/>
              </w:rPr>
              <w:t>Ministers of State</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0</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3</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3</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0%</w:t>
            </w:r>
          </w:p>
        </w:tc>
      </w:tr>
      <w:tr w:rsidR="00BC54C4" w:rsidRPr="00BC54C4" w:rsidTr="00BC54C4">
        <w:tc>
          <w:tcPr>
            <w:tcW w:w="2692"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BC54C4">
              <w:rPr>
                <w:spacing w:val="4"/>
                <w:w w:val="103"/>
                <w:sz w:val="17"/>
              </w:rPr>
              <w:t>Parliamentary Secretaries</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2</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3</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33%</w:t>
            </w:r>
          </w:p>
        </w:tc>
      </w:tr>
      <w:tr w:rsidR="00BC54C4" w:rsidRPr="00BC54C4" w:rsidTr="00BC54C4">
        <w:tc>
          <w:tcPr>
            <w:tcW w:w="2692"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BC54C4">
              <w:rPr>
                <w:spacing w:val="4"/>
                <w:w w:val="103"/>
                <w:sz w:val="17"/>
              </w:rPr>
              <w:t>Opposition Leader</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0</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0%</w:t>
            </w:r>
          </w:p>
        </w:tc>
      </w:tr>
      <w:tr w:rsidR="00BC54C4" w:rsidRPr="00BC54C4" w:rsidTr="00BC54C4">
        <w:tc>
          <w:tcPr>
            <w:tcW w:w="2692"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BC54C4">
              <w:rPr>
                <w:spacing w:val="4"/>
                <w:w w:val="103"/>
                <w:sz w:val="17"/>
              </w:rPr>
              <w:lastRenderedPageBreak/>
              <w:t>Speaker of the House</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0</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1</w:t>
            </w:r>
          </w:p>
        </w:tc>
        <w:tc>
          <w:tcPr>
            <w:tcW w:w="1138" w:type="dxa"/>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BC54C4">
              <w:rPr>
                <w:spacing w:val="4"/>
                <w:w w:val="103"/>
                <w:sz w:val="17"/>
              </w:rPr>
              <w:t>0%</w:t>
            </w:r>
          </w:p>
        </w:tc>
      </w:tr>
      <w:tr w:rsidR="00BC54C4" w:rsidRPr="00BC54C4" w:rsidTr="00BC54C4">
        <w:tc>
          <w:tcPr>
            <w:tcW w:w="2692"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0" w:right="40"/>
              <w:jc w:val="left"/>
              <w:rPr>
                <w:spacing w:val="4"/>
                <w:w w:val="103"/>
                <w:sz w:val="17"/>
              </w:rPr>
            </w:pPr>
            <w:r w:rsidRPr="00BC54C4">
              <w:rPr>
                <w:spacing w:val="4"/>
                <w:w w:val="103"/>
                <w:sz w:val="17"/>
              </w:rPr>
              <w:t>President of the Senate</w:t>
            </w:r>
          </w:p>
        </w:tc>
        <w:tc>
          <w:tcPr>
            <w:tcW w:w="1138"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BC54C4">
              <w:rPr>
                <w:spacing w:val="4"/>
                <w:w w:val="103"/>
                <w:sz w:val="17"/>
              </w:rPr>
              <w:t>1</w:t>
            </w:r>
          </w:p>
        </w:tc>
        <w:tc>
          <w:tcPr>
            <w:tcW w:w="1138"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BC54C4">
              <w:rPr>
                <w:spacing w:val="4"/>
                <w:w w:val="103"/>
                <w:sz w:val="17"/>
              </w:rPr>
              <w:t>0</w:t>
            </w:r>
          </w:p>
        </w:tc>
        <w:tc>
          <w:tcPr>
            <w:tcW w:w="1138"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BC54C4">
              <w:rPr>
                <w:spacing w:val="4"/>
                <w:w w:val="103"/>
                <w:sz w:val="17"/>
              </w:rPr>
              <w:t>1</w:t>
            </w:r>
          </w:p>
        </w:tc>
        <w:tc>
          <w:tcPr>
            <w:tcW w:w="1138" w:type="dxa"/>
            <w:tcBorders>
              <w:bottom w:val="single" w:sz="4"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BC54C4">
              <w:rPr>
                <w:spacing w:val="4"/>
                <w:w w:val="103"/>
                <w:sz w:val="17"/>
              </w:rPr>
              <w:t>100%</w:t>
            </w:r>
          </w:p>
        </w:tc>
      </w:tr>
      <w:tr w:rsidR="00BC54C4" w:rsidRPr="00BC54C4" w:rsidTr="00BC54C4">
        <w:tc>
          <w:tcPr>
            <w:tcW w:w="2692"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0" w:right="40"/>
              <w:jc w:val="left"/>
              <w:rPr>
                <w:b/>
                <w:spacing w:val="4"/>
                <w:w w:val="103"/>
                <w:sz w:val="17"/>
              </w:rPr>
            </w:pPr>
            <w:r>
              <w:rPr>
                <w:b/>
                <w:spacing w:val="4"/>
                <w:w w:val="103"/>
                <w:sz w:val="17"/>
              </w:rPr>
              <w:tab/>
            </w:r>
            <w:r w:rsidRPr="00BC54C4">
              <w:rPr>
                <w:b/>
                <w:spacing w:val="4"/>
                <w:w w:val="103"/>
                <w:sz w:val="17"/>
              </w:rPr>
              <w:t>Total</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BC54C4">
              <w:rPr>
                <w:b/>
                <w:spacing w:val="4"/>
                <w:w w:val="103"/>
                <w:sz w:val="17"/>
              </w:rPr>
              <w:t>6</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BC54C4">
              <w:rPr>
                <w:b/>
                <w:spacing w:val="4"/>
                <w:w w:val="103"/>
                <w:sz w:val="17"/>
              </w:rPr>
              <w:t>20</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BC54C4">
              <w:rPr>
                <w:b/>
                <w:spacing w:val="4"/>
                <w:w w:val="103"/>
                <w:sz w:val="17"/>
              </w:rPr>
              <w:t>26</w:t>
            </w:r>
          </w:p>
        </w:tc>
        <w:tc>
          <w:tcPr>
            <w:tcW w:w="1138" w:type="dxa"/>
            <w:tcBorders>
              <w:top w:val="single" w:sz="4" w:space="0" w:color="auto"/>
              <w:bottom w:val="single" w:sz="12" w:space="0" w:color="auto"/>
            </w:tcBorders>
            <w:shd w:val="clear" w:color="auto" w:fill="auto"/>
            <w:vAlign w:val="bottom"/>
          </w:tcPr>
          <w:p w:rsidR="00BC54C4" w:rsidRPr="00BC54C4" w:rsidRDefault="00BC54C4" w:rsidP="00BC54C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BC54C4">
              <w:rPr>
                <w:b/>
                <w:spacing w:val="4"/>
                <w:w w:val="103"/>
                <w:sz w:val="17"/>
              </w:rPr>
              <w:t>23%</w:t>
            </w:r>
          </w:p>
        </w:tc>
      </w:tr>
    </w:tbl>
    <w:p w:rsidR="001149A2" w:rsidRPr="001149A2" w:rsidRDefault="001149A2" w:rsidP="001149A2">
      <w:pPr>
        <w:pStyle w:val="SingleTxt"/>
        <w:spacing w:after="0" w:line="120" w:lineRule="exact"/>
        <w:rPr>
          <w:sz w:val="10"/>
        </w:rPr>
      </w:pPr>
    </w:p>
    <w:p w:rsidR="001149A2" w:rsidRPr="001149A2" w:rsidRDefault="001149A2" w:rsidP="001149A2">
      <w:pPr>
        <w:pStyle w:val="SingleTxt"/>
        <w:spacing w:after="0" w:line="120" w:lineRule="exact"/>
        <w:rPr>
          <w:sz w:val="10"/>
        </w:rPr>
      </w:pPr>
    </w:p>
    <w:p w:rsidR="00626016" w:rsidRDefault="00626016" w:rsidP="001149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Public Offices Held by Women</w:t>
      </w:r>
    </w:p>
    <w:p w:rsidR="001149A2" w:rsidRPr="001149A2" w:rsidRDefault="001149A2" w:rsidP="001149A2">
      <w:pPr>
        <w:pStyle w:val="SingleTxt"/>
        <w:spacing w:after="0" w:line="120" w:lineRule="exact"/>
        <w:rPr>
          <w:sz w:val="10"/>
        </w:rPr>
      </w:pPr>
    </w:p>
    <w:p w:rsidR="00626016" w:rsidRDefault="00626016" w:rsidP="00626016">
      <w:pPr>
        <w:pStyle w:val="SingleTxt"/>
      </w:pPr>
      <w:r>
        <w:t>55.</w:t>
      </w:r>
      <w:r>
        <w:tab/>
        <w:t>Presently, women hold a number of senior positions in public life, including Governor General, President of the Court of Appeal, Justices of the Supreme Court, Attorney General, President of the Senate, including several permanent secretaries. The Women in Leadership Ten Year Mapping (2004-2014), previously submitted in The Bahamas’ Follow-Up Report of 2014 contains tables outlining key leadership positions held by women in the country during the period.</w:t>
      </w:r>
    </w:p>
    <w:p w:rsidR="001149A2" w:rsidRPr="001149A2" w:rsidRDefault="001149A2" w:rsidP="001149A2">
      <w:pPr>
        <w:pStyle w:val="SingleTxt"/>
        <w:spacing w:after="0" w:line="120" w:lineRule="exact"/>
        <w:rPr>
          <w:sz w:val="10"/>
        </w:rPr>
      </w:pPr>
    </w:p>
    <w:p w:rsidR="00626016" w:rsidRDefault="00626016" w:rsidP="001149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Factors Which Prevent Women’s Political Participation</w:t>
      </w:r>
    </w:p>
    <w:p w:rsidR="001149A2" w:rsidRPr="001149A2" w:rsidRDefault="001149A2" w:rsidP="001149A2">
      <w:pPr>
        <w:pStyle w:val="SingleTxt"/>
        <w:spacing w:after="0" w:line="120" w:lineRule="exact"/>
        <w:rPr>
          <w:sz w:val="10"/>
        </w:rPr>
      </w:pPr>
    </w:p>
    <w:p w:rsidR="00626016" w:rsidRDefault="00626016" w:rsidP="00626016">
      <w:pPr>
        <w:pStyle w:val="SingleTxt"/>
      </w:pPr>
      <w:r>
        <w:t>56.</w:t>
      </w:r>
      <w:r>
        <w:tab/>
        <w:t>As stated in the previous report, there are no legal impediments, relative to the participation of women in the political process.</w:t>
      </w:r>
    </w:p>
    <w:p w:rsidR="001149A2" w:rsidRPr="001149A2" w:rsidRDefault="001149A2" w:rsidP="001149A2">
      <w:pPr>
        <w:pStyle w:val="SingleTxt"/>
        <w:spacing w:after="0" w:line="120" w:lineRule="exact"/>
        <w:rPr>
          <w:sz w:val="10"/>
        </w:rPr>
      </w:pPr>
    </w:p>
    <w:p w:rsidR="00626016" w:rsidRDefault="00626016" w:rsidP="001149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Women’s Participation in the Design and Implementation of Development Planning at All Levels</w:t>
      </w:r>
    </w:p>
    <w:p w:rsidR="001149A2" w:rsidRPr="001149A2" w:rsidRDefault="001149A2" w:rsidP="001149A2">
      <w:pPr>
        <w:pStyle w:val="SingleTxt"/>
        <w:spacing w:after="0" w:line="120" w:lineRule="exact"/>
        <w:rPr>
          <w:sz w:val="10"/>
        </w:rPr>
      </w:pPr>
    </w:p>
    <w:p w:rsidR="00626016" w:rsidRDefault="00626016" w:rsidP="00626016">
      <w:pPr>
        <w:pStyle w:val="SingleTxt"/>
      </w:pPr>
      <w:r>
        <w:t>57.</w:t>
      </w:r>
      <w:r>
        <w:tab/>
        <w:t xml:space="preserve">Women are involved at all levels of development planning. In this context, it is worth mentioning that the Director of the Economic Development and Planning Unit in the Prime Minister’s Office is a female. </w:t>
      </w:r>
    </w:p>
    <w:p w:rsidR="001149A2" w:rsidRPr="001149A2" w:rsidRDefault="001149A2" w:rsidP="001149A2">
      <w:pPr>
        <w:pStyle w:val="SingleTxt"/>
        <w:spacing w:after="0" w:line="120" w:lineRule="exact"/>
        <w:rPr>
          <w:sz w:val="10"/>
        </w:rPr>
      </w:pPr>
    </w:p>
    <w:p w:rsidR="00626016" w:rsidRDefault="00626016" w:rsidP="001149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Women’s Participation in Trade Unions</w:t>
      </w:r>
    </w:p>
    <w:p w:rsidR="001149A2" w:rsidRPr="001149A2" w:rsidRDefault="001149A2" w:rsidP="001149A2">
      <w:pPr>
        <w:pStyle w:val="SingleTxt"/>
        <w:spacing w:after="0" w:line="120" w:lineRule="exact"/>
        <w:rPr>
          <w:sz w:val="10"/>
        </w:rPr>
      </w:pPr>
    </w:p>
    <w:p w:rsidR="00626016" w:rsidRDefault="00626016" w:rsidP="00626016">
      <w:pPr>
        <w:pStyle w:val="SingleTxt"/>
      </w:pPr>
      <w:r>
        <w:t>58.</w:t>
      </w:r>
      <w:r>
        <w:tab/>
        <w:t>Women do participate in Unions in The Bahamas as there are no factors to prevent their participation. According to the Commonwealth of The Bahamas Trade Union Congress, women have made up about 75 per cent of the executives of the Affiliate Unions. During the reporting period, there have been seven female presidents of these Unions. Measures have been taken over the years to increase their participation, particularly in international conferences.</w:t>
      </w:r>
    </w:p>
    <w:p w:rsidR="00626016" w:rsidRDefault="00626016" w:rsidP="001149A2">
      <w:pPr>
        <w:pStyle w:val="SingleTxt"/>
      </w:pPr>
      <w:r>
        <w:t>59.</w:t>
      </w:r>
      <w:r>
        <w:tab/>
        <w:t>According to the Commonwealth of The Bahamas Trade Union Congress (CBTUC), their membership comprises eighteen (18) affiliates and five (5) non</w:t>
      </w:r>
      <w:r w:rsidR="001149A2">
        <w:noBreakHyphen/>
      </w:r>
      <w:r>
        <w:t xml:space="preserve">functioning affiliates. The National Congress of Trade Unions Bahamas (NCTUB) lists sixteen (16) affiliates with five (5) Observer Unions. Analysis of the leadership shows that women accounted for 25 per cent (See Table 6). </w:t>
      </w:r>
    </w:p>
    <w:p w:rsidR="001149A2" w:rsidRPr="001149A2" w:rsidRDefault="001149A2" w:rsidP="001149A2">
      <w:pPr>
        <w:pStyle w:val="SingleTxt"/>
        <w:spacing w:after="0" w:line="120" w:lineRule="exact"/>
        <w:rPr>
          <w:sz w:val="10"/>
        </w:rPr>
      </w:pPr>
    </w:p>
    <w:p w:rsidR="00626016" w:rsidRPr="001149A2" w:rsidRDefault="001149A2" w:rsidP="001149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1149A2">
        <w:rPr>
          <w:b w:val="0"/>
          <w:bCs/>
        </w:rPr>
        <w:t>Table 4</w:t>
      </w:r>
    </w:p>
    <w:p w:rsidR="00626016" w:rsidRDefault="001149A2" w:rsidP="001149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49A2">
        <w:rPr>
          <w:b w:val="0"/>
          <w:bCs/>
        </w:rPr>
        <w:tab/>
      </w:r>
      <w:r w:rsidRPr="001149A2">
        <w:rPr>
          <w:b w:val="0"/>
          <w:bCs/>
        </w:rPr>
        <w:tab/>
      </w:r>
      <w:r w:rsidR="00626016">
        <w:t xml:space="preserve">Representation of Women </w:t>
      </w:r>
      <w:r>
        <w:t>—</w:t>
      </w:r>
      <w:r w:rsidR="00626016">
        <w:t xml:space="preserve"> Trade Unions (2014)</w:t>
      </w:r>
    </w:p>
    <w:p w:rsidR="001149A2" w:rsidRPr="001149A2" w:rsidRDefault="001149A2" w:rsidP="001149A2">
      <w:pPr>
        <w:pStyle w:val="SingleTxt"/>
        <w:spacing w:after="0" w:line="120" w:lineRule="exact"/>
        <w:rPr>
          <w:sz w:val="10"/>
          <w:lang w:val="en-US"/>
        </w:rPr>
      </w:pPr>
    </w:p>
    <w:tbl>
      <w:tblPr>
        <w:tblW w:w="7244" w:type="dxa"/>
        <w:tblInd w:w="1260" w:type="dxa"/>
        <w:tblLayout w:type="fixed"/>
        <w:tblCellMar>
          <w:left w:w="0" w:type="dxa"/>
          <w:right w:w="0" w:type="dxa"/>
        </w:tblCellMar>
        <w:tblLook w:val="0000" w:firstRow="0" w:lastRow="0" w:firstColumn="0" w:lastColumn="0" w:noHBand="0" w:noVBand="0"/>
      </w:tblPr>
      <w:tblGrid>
        <w:gridCol w:w="2695"/>
        <w:gridCol w:w="1138"/>
        <w:gridCol w:w="1137"/>
        <w:gridCol w:w="1137"/>
        <w:gridCol w:w="1137"/>
      </w:tblGrid>
      <w:tr w:rsidR="001149A2" w:rsidRPr="001149A2" w:rsidTr="001149A2">
        <w:trPr>
          <w:tblHeader/>
        </w:trPr>
        <w:tc>
          <w:tcPr>
            <w:tcW w:w="2695" w:type="dxa"/>
            <w:tcBorders>
              <w:top w:val="single" w:sz="4" w:space="0" w:color="auto"/>
              <w:bottom w:val="single" w:sz="12" w:space="0" w:color="auto"/>
            </w:tcBorders>
            <w:shd w:val="clear" w:color="auto" w:fill="auto"/>
            <w:vAlign w:val="bottom"/>
          </w:tcPr>
          <w:p w:rsidR="001149A2" w:rsidRPr="001149A2" w:rsidRDefault="001149A2" w:rsidP="001149A2">
            <w:pPr>
              <w:pStyle w:val="SingleTxtG"/>
              <w:spacing w:before="81" w:after="81" w:line="160" w:lineRule="exact"/>
              <w:ind w:left="0" w:right="40"/>
              <w:jc w:val="left"/>
              <w:rPr>
                <w:i/>
                <w:sz w:val="14"/>
              </w:rPr>
            </w:pPr>
            <w:r w:rsidRPr="001149A2">
              <w:rPr>
                <w:i/>
                <w:sz w:val="14"/>
              </w:rPr>
              <w:t>Positions</w:t>
            </w:r>
          </w:p>
        </w:tc>
        <w:tc>
          <w:tcPr>
            <w:tcW w:w="1138" w:type="dxa"/>
            <w:tcBorders>
              <w:top w:val="single" w:sz="4" w:space="0" w:color="auto"/>
              <w:bottom w:val="single" w:sz="12" w:space="0" w:color="auto"/>
            </w:tcBorders>
            <w:shd w:val="clear" w:color="auto" w:fill="auto"/>
            <w:vAlign w:val="bottom"/>
          </w:tcPr>
          <w:p w:rsidR="001149A2" w:rsidRPr="001149A2" w:rsidRDefault="001149A2" w:rsidP="001149A2">
            <w:pPr>
              <w:pStyle w:val="SingleTxtG"/>
              <w:spacing w:before="81" w:after="81" w:line="160" w:lineRule="exact"/>
              <w:ind w:left="144" w:right="40"/>
              <w:jc w:val="right"/>
              <w:rPr>
                <w:i/>
                <w:sz w:val="14"/>
              </w:rPr>
            </w:pPr>
            <w:r w:rsidRPr="001149A2">
              <w:rPr>
                <w:i/>
                <w:sz w:val="14"/>
              </w:rPr>
              <w:t>Women</w:t>
            </w:r>
          </w:p>
        </w:tc>
        <w:tc>
          <w:tcPr>
            <w:tcW w:w="1137" w:type="dxa"/>
            <w:tcBorders>
              <w:top w:val="single" w:sz="4" w:space="0" w:color="auto"/>
              <w:bottom w:val="single" w:sz="12" w:space="0" w:color="auto"/>
            </w:tcBorders>
            <w:shd w:val="clear" w:color="auto" w:fill="auto"/>
            <w:vAlign w:val="bottom"/>
          </w:tcPr>
          <w:p w:rsidR="001149A2" w:rsidRPr="001149A2" w:rsidRDefault="001149A2" w:rsidP="001149A2">
            <w:pPr>
              <w:pStyle w:val="SingleTxtG"/>
              <w:spacing w:before="81" w:after="81" w:line="160" w:lineRule="exact"/>
              <w:ind w:left="144" w:right="40"/>
              <w:jc w:val="right"/>
              <w:rPr>
                <w:i/>
                <w:sz w:val="14"/>
              </w:rPr>
            </w:pPr>
            <w:r w:rsidRPr="001149A2">
              <w:rPr>
                <w:i/>
                <w:sz w:val="14"/>
              </w:rPr>
              <w:t>Men</w:t>
            </w:r>
          </w:p>
        </w:tc>
        <w:tc>
          <w:tcPr>
            <w:tcW w:w="1137" w:type="dxa"/>
            <w:tcBorders>
              <w:top w:val="single" w:sz="4" w:space="0" w:color="auto"/>
              <w:bottom w:val="single" w:sz="12" w:space="0" w:color="auto"/>
            </w:tcBorders>
            <w:shd w:val="clear" w:color="auto" w:fill="auto"/>
            <w:vAlign w:val="bottom"/>
          </w:tcPr>
          <w:p w:rsidR="001149A2" w:rsidRPr="001149A2" w:rsidRDefault="001149A2" w:rsidP="001149A2">
            <w:pPr>
              <w:pStyle w:val="SingleTxtG"/>
              <w:spacing w:before="81" w:after="81" w:line="160" w:lineRule="exact"/>
              <w:ind w:left="144" w:right="40"/>
              <w:jc w:val="right"/>
              <w:rPr>
                <w:i/>
                <w:sz w:val="14"/>
              </w:rPr>
            </w:pPr>
            <w:r w:rsidRPr="001149A2">
              <w:rPr>
                <w:i/>
                <w:sz w:val="14"/>
              </w:rPr>
              <w:t>Total</w:t>
            </w:r>
          </w:p>
        </w:tc>
        <w:tc>
          <w:tcPr>
            <w:tcW w:w="1137" w:type="dxa"/>
            <w:tcBorders>
              <w:top w:val="single" w:sz="4" w:space="0" w:color="auto"/>
              <w:bottom w:val="single" w:sz="12" w:space="0" w:color="auto"/>
            </w:tcBorders>
            <w:shd w:val="clear" w:color="auto" w:fill="auto"/>
            <w:vAlign w:val="bottom"/>
          </w:tcPr>
          <w:p w:rsidR="001149A2" w:rsidRPr="001149A2" w:rsidRDefault="001149A2" w:rsidP="001149A2">
            <w:pPr>
              <w:pStyle w:val="SingleTxtG"/>
              <w:spacing w:before="81" w:after="81" w:line="160" w:lineRule="exact"/>
              <w:ind w:left="144" w:right="40"/>
              <w:jc w:val="right"/>
              <w:rPr>
                <w:i/>
                <w:sz w:val="14"/>
              </w:rPr>
            </w:pPr>
            <w:r w:rsidRPr="001149A2">
              <w:rPr>
                <w:i/>
                <w:sz w:val="14"/>
              </w:rPr>
              <w:t>% Women</w:t>
            </w:r>
          </w:p>
        </w:tc>
      </w:tr>
      <w:tr w:rsidR="001149A2" w:rsidRPr="001149A2" w:rsidTr="001149A2">
        <w:trPr>
          <w:trHeight w:hRule="exact" w:val="115"/>
          <w:tblHeader/>
        </w:trPr>
        <w:tc>
          <w:tcPr>
            <w:tcW w:w="2695" w:type="dxa"/>
            <w:tcBorders>
              <w:top w:val="single" w:sz="12" w:space="0" w:color="auto"/>
            </w:tcBorders>
            <w:shd w:val="clear" w:color="auto" w:fill="auto"/>
            <w:vAlign w:val="bottom"/>
          </w:tcPr>
          <w:p w:rsidR="001149A2" w:rsidRPr="001149A2" w:rsidRDefault="001149A2" w:rsidP="001149A2">
            <w:pPr>
              <w:pStyle w:val="SingleTxtG"/>
              <w:spacing w:before="40" w:after="40" w:line="210" w:lineRule="exact"/>
              <w:ind w:left="0" w:right="40"/>
              <w:jc w:val="left"/>
              <w:rPr>
                <w:sz w:val="17"/>
              </w:rPr>
            </w:pPr>
          </w:p>
        </w:tc>
        <w:tc>
          <w:tcPr>
            <w:tcW w:w="1138" w:type="dxa"/>
            <w:tcBorders>
              <w:top w:val="single" w:sz="12" w:space="0" w:color="auto"/>
            </w:tcBorders>
            <w:shd w:val="clear" w:color="auto" w:fill="auto"/>
            <w:vAlign w:val="bottom"/>
          </w:tcPr>
          <w:p w:rsidR="001149A2" w:rsidRPr="001149A2" w:rsidRDefault="001149A2" w:rsidP="001149A2">
            <w:pPr>
              <w:pStyle w:val="SingleTxtG"/>
              <w:spacing w:before="40" w:after="40" w:line="210" w:lineRule="exact"/>
              <w:ind w:left="144" w:right="40"/>
              <w:jc w:val="right"/>
              <w:rPr>
                <w:sz w:val="17"/>
              </w:rPr>
            </w:pPr>
          </w:p>
        </w:tc>
        <w:tc>
          <w:tcPr>
            <w:tcW w:w="1137" w:type="dxa"/>
            <w:tcBorders>
              <w:top w:val="single" w:sz="12" w:space="0" w:color="auto"/>
            </w:tcBorders>
            <w:shd w:val="clear" w:color="auto" w:fill="auto"/>
            <w:vAlign w:val="bottom"/>
          </w:tcPr>
          <w:p w:rsidR="001149A2" w:rsidRPr="001149A2" w:rsidRDefault="001149A2" w:rsidP="001149A2">
            <w:pPr>
              <w:pStyle w:val="SingleTxtG"/>
              <w:spacing w:before="40" w:after="40" w:line="210" w:lineRule="exact"/>
              <w:ind w:left="144" w:right="40"/>
              <w:jc w:val="right"/>
              <w:rPr>
                <w:sz w:val="17"/>
              </w:rPr>
            </w:pPr>
          </w:p>
        </w:tc>
        <w:tc>
          <w:tcPr>
            <w:tcW w:w="1137" w:type="dxa"/>
            <w:tcBorders>
              <w:top w:val="single" w:sz="12" w:space="0" w:color="auto"/>
            </w:tcBorders>
            <w:shd w:val="clear" w:color="auto" w:fill="auto"/>
            <w:vAlign w:val="bottom"/>
          </w:tcPr>
          <w:p w:rsidR="001149A2" w:rsidRPr="001149A2" w:rsidRDefault="001149A2" w:rsidP="001149A2">
            <w:pPr>
              <w:pStyle w:val="SingleTxtG"/>
              <w:spacing w:before="40" w:after="40" w:line="210" w:lineRule="exact"/>
              <w:ind w:left="144" w:right="40"/>
              <w:jc w:val="right"/>
              <w:rPr>
                <w:sz w:val="17"/>
              </w:rPr>
            </w:pPr>
          </w:p>
        </w:tc>
        <w:tc>
          <w:tcPr>
            <w:tcW w:w="1137" w:type="dxa"/>
            <w:tcBorders>
              <w:top w:val="single" w:sz="12" w:space="0" w:color="auto"/>
            </w:tcBorders>
            <w:shd w:val="clear" w:color="auto" w:fill="auto"/>
            <w:vAlign w:val="bottom"/>
          </w:tcPr>
          <w:p w:rsidR="001149A2" w:rsidRPr="001149A2" w:rsidRDefault="001149A2" w:rsidP="001149A2">
            <w:pPr>
              <w:pStyle w:val="SingleTxtG"/>
              <w:spacing w:before="40" w:after="40" w:line="210" w:lineRule="exact"/>
              <w:ind w:left="144" w:right="40"/>
              <w:jc w:val="right"/>
              <w:rPr>
                <w:sz w:val="17"/>
              </w:rPr>
            </w:pPr>
          </w:p>
        </w:tc>
      </w:tr>
      <w:tr w:rsidR="001149A2" w:rsidRPr="001149A2" w:rsidTr="001149A2">
        <w:tc>
          <w:tcPr>
            <w:tcW w:w="2695" w:type="dxa"/>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40" w:line="210" w:lineRule="exact"/>
              <w:ind w:left="0" w:right="40"/>
              <w:jc w:val="left"/>
              <w:rPr>
                <w:sz w:val="17"/>
              </w:rPr>
            </w:pPr>
            <w:r w:rsidRPr="001149A2">
              <w:rPr>
                <w:sz w:val="17"/>
              </w:rPr>
              <w:t>National Congress of Trade Unions</w:t>
            </w:r>
          </w:p>
        </w:tc>
        <w:tc>
          <w:tcPr>
            <w:tcW w:w="1138" w:type="dxa"/>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40" w:line="210" w:lineRule="exact"/>
              <w:ind w:left="144" w:right="40"/>
              <w:jc w:val="right"/>
              <w:rPr>
                <w:sz w:val="17"/>
              </w:rPr>
            </w:pPr>
            <w:r w:rsidRPr="001149A2">
              <w:rPr>
                <w:sz w:val="17"/>
              </w:rPr>
              <w:t>7</w:t>
            </w:r>
          </w:p>
        </w:tc>
        <w:tc>
          <w:tcPr>
            <w:tcW w:w="1137" w:type="dxa"/>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40" w:line="210" w:lineRule="exact"/>
              <w:ind w:left="144" w:right="40"/>
              <w:jc w:val="right"/>
              <w:rPr>
                <w:sz w:val="17"/>
              </w:rPr>
            </w:pPr>
            <w:r w:rsidRPr="001149A2">
              <w:rPr>
                <w:sz w:val="17"/>
              </w:rPr>
              <w:t>15</w:t>
            </w:r>
          </w:p>
        </w:tc>
        <w:tc>
          <w:tcPr>
            <w:tcW w:w="1137" w:type="dxa"/>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40" w:line="210" w:lineRule="exact"/>
              <w:ind w:left="144" w:right="40"/>
              <w:jc w:val="right"/>
              <w:rPr>
                <w:sz w:val="17"/>
              </w:rPr>
            </w:pPr>
            <w:r w:rsidRPr="001149A2">
              <w:rPr>
                <w:sz w:val="17"/>
              </w:rPr>
              <w:t>22</w:t>
            </w:r>
          </w:p>
        </w:tc>
        <w:tc>
          <w:tcPr>
            <w:tcW w:w="1137" w:type="dxa"/>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40" w:line="210" w:lineRule="exact"/>
              <w:ind w:left="144" w:right="40"/>
              <w:jc w:val="right"/>
              <w:rPr>
                <w:sz w:val="17"/>
              </w:rPr>
            </w:pPr>
            <w:r w:rsidRPr="001149A2">
              <w:rPr>
                <w:sz w:val="17"/>
              </w:rPr>
              <w:t>32%</w:t>
            </w:r>
          </w:p>
        </w:tc>
      </w:tr>
      <w:tr w:rsidR="001149A2" w:rsidRPr="001149A2" w:rsidTr="001149A2">
        <w:tc>
          <w:tcPr>
            <w:tcW w:w="2695" w:type="dxa"/>
            <w:tcBorders>
              <w:bottom w:val="single" w:sz="4"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81" w:line="210" w:lineRule="exact"/>
              <w:ind w:left="0" w:right="40"/>
              <w:jc w:val="left"/>
              <w:rPr>
                <w:sz w:val="17"/>
              </w:rPr>
            </w:pPr>
            <w:r w:rsidRPr="001149A2">
              <w:rPr>
                <w:sz w:val="17"/>
              </w:rPr>
              <w:t>Trade Union Congress</w:t>
            </w:r>
          </w:p>
        </w:tc>
        <w:tc>
          <w:tcPr>
            <w:tcW w:w="1138" w:type="dxa"/>
            <w:tcBorders>
              <w:bottom w:val="single" w:sz="4"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81" w:line="210" w:lineRule="exact"/>
              <w:ind w:left="144" w:right="40"/>
              <w:jc w:val="right"/>
              <w:rPr>
                <w:sz w:val="17"/>
              </w:rPr>
            </w:pPr>
            <w:r w:rsidRPr="001149A2">
              <w:rPr>
                <w:sz w:val="17"/>
              </w:rPr>
              <w:t>5</w:t>
            </w:r>
          </w:p>
        </w:tc>
        <w:tc>
          <w:tcPr>
            <w:tcW w:w="1137" w:type="dxa"/>
            <w:tcBorders>
              <w:bottom w:val="single" w:sz="4"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81" w:line="210" w:lineRule="exact"/>
              <w:ind w:left="144" w:right="40"/>
              <w:jc w:val="right"/>
              <w:rPr>
                <w:sz w:val="17"/>
              </w:rPr>
            </w:pPr>
            <w:r w:rsidRPr="001149A2">
              <w:rPr>
                <w:sz w:val="17"/>
              </w:rPr>
              <w:t>21</w:t>
            </w:r>
          </w:p>
        </w:tc>
        <w:tc>
          <w:tcPr>
            <w:tcW w:w="1137" w:type="dxa"/>
            <w:tcBorders>
              <w:bottom w:val="single" w:sz="4"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81" w:line="210" w:lineRule="exact"/>
              <w:ind w:left="144" w:right="40"/>
              <w:jc w:val="right"/>
              <w:rPr>
                <w:sz w:val="17"/>
              </w:rPr>
            </w:pPr>
            <w:r w:rsidRPr="001149A2">
              <w:rPr>
                <w:sz w:val="17"/>
              </w:rPr>
              <w:t>26</w:t>
            </w:r>
          </w:p>
        </w:tc>
        <w:tc>
          <w:tcPr>
            <w:tcW w:w="1137" w:type="dxa"/>
            <w:tcBorders>
              <w:bottom w:val="single" w:sz="4"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40" w:after="81" w:line="210" w:lineRule="exact"/>
              <w:ind w:left="144" w:right="40"/>
              <w:jc w:val="right"/>
              <w:rPr>
                <w:sz w:val="17"/>
              </w:rPr>
            </w:pPr>
            <w:r w:rsidRPr="001149A2">
              <w:rPr>
                <w:sz w:val="17"/>
              </w:rPr>
              <w:t>19%</w:t>
            </w:r>
          </w:p>
        </w:tc>
      </w:tr>
      <w:tr w:rsidR="001149A2" w:rsidRPr="001149A2" w:rsidTr="001149A2">
        <w:tc>
          <w:tcPr>
            <w:tcW w:w="2695" w:type="dxa"/>
            <w:tcBorders>
              <w:top w:val="single" w:sz="4" w:space="0" w:color="auto"/>
              <w:bottom w:val="single" w:sz="12"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81" w:after="81" w:line="210" w:lineRule="exact"/>
              <w:ind w:left="0" w:right="40"/>
              <w:jc w:val="left"/>
              <w:rPr>
                <w:b/>
                <w:sz w:val="17"/>
              </w:rPr>
            </w:pPr>
            <w:r>
              <w:rPr>
                <w:b/>
                <w:sz w:val="17"/>
              </w:rPr>
              <w:tab/>
            </w:r>
            <w:r w:rsidRPr="001149A2">
              <w:rPr>
                <w:b/>
                <w:sz w:val="17"/>
              </w:rPr>
              <w:t>Total</w:t>
            </w:r>
          </w:p>
        </w:tc>
        <w:tc>
          <w:tcPr>
            <w:tcW w:w="1138" w:type="dxa"/>
            <w:tcBorders>
              <w:top w:val="single" w:sz="4" w:space="0" w:color="auto"/>
              <w:bottom w:val="single" w:sz="12"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81" w:after="81" w:line="210" w:lineRule="exact"/>
              <w:ind w:left="144" w:right="40"/>
              <w:jc w:val="right"/>
              <w:rPr>
                <w:b/>
                <w:sz w:val="17"/>
              </w:rPr>
            </w:pPr>
            <w:r w:rsidRPr="001149A2">
              <w:rPr>
                <w:b/>
                <w:sz w:val="17"/>
              </w:rPr>
              <w:t>12</w:t>
            </w:r>
          </w:p>
        </w:tc>
        <w:tc>
          <w:tcPr>
            <w:tcW w:w="1137" w:type="dxa"/>
            <w:tcBorders>
              <w:top w:val="single" w:sz="4" w:space="0" w:color="auto"/>
              <w:bottom w:val="single" w:sz="12"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81" w:after="81" w:line="210" w:lineRule="exact"/>
              <w:ind w:left="144" w:right="40"/>
              <w:jc w:val="right"/>
              <w:rPr>
                <w:b/>
                <w:sz w:val="17"/>
              </w:rPr>
            </w:pPr>
            <w:r w:rsidRPr="001149A2">
              <w:rPr>
                <w:b/>
                <w:sz w:val="17"/>
              </w:rPr>
              <w:t>36</w:t>
            </w:r>
          </w:p>
        </w:tc>
        <w:tc>
          <w:tcPr>
            <w:tcW w:w="1137" w:type="dxa"/>
            <w:tcBorders>
              <w:top w:val="single" w:sz="4" w:space="0" w:color="auto"/>
              <w:bottom w:val="single" w:sz="12"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81" w:after="81" w:line="210" w:lineRule="exact"/>
              <w:ind w:left="144" w:right="40"/>
              <w:jc w:val="right"/>
              <w:rPr>
                <w:b/>
                <w:sz w:val="17"/>
              </w:rPr>
            </w:pPr>
            <w:r w:rsidRPr="001149A2">
              <w:rPr>
                <w:b/>
                <w:sz w:val="17"/>
              </w:rPr>
              <w:t>48</w:t>
            </w:r>
          </w:p>
        </w:tc>
        <w:tc>
          <w:tcPr>
            <w:tcW w:w="1137" w:type="dxa"/>
            <w:tcBorders>
              <w:top w:val="single" w:sz="4" w:space="0" w:color="auto"/>
              <w:bottom w:val="single" w:sz="12" w:space="0" w:color="auto"/>
            </w:tcBorders>
            <w:shd w:val="clear" w:color="auto" w:fill="auto"/>
            <w:vAlign w:val="bottom"/>
          </w:tcPr>
          <w:p w:rsidR="001149A2" w:rsidRPr="001149A2" w:rsidRDefault="001149A2" w:rsidP="001149A2">
            <w:pPr>
              <w:pStyle w:val="SingleTxtG"/>
              <w:tabs>
                <w:tab w:val="left" w:pos="288"/>
                <w:tab w:val="left" w:pos="576"/>
                <w:tab w:val="left" w:pos="864"/>
                <w:tab w:val="left" w:pos="1152"/>
              </w:tabs>
              <w:spacing w:before="81" w:after="81" w:line="210" w:lineRule="exact"/>
              <w:ind w:left="144" w:right="40"/>
              <w:jc w:val="right"/>
              <w:rPr>
                <w:b/>
                <w:sz w:val="17"/>
              </w:rPr>
            </w:pPr>
            <w:r w:rsidRPr="001149A2">
              <w:rPr>
                <w:b/>
                <w:sz w:val="17"/>
              </w:rPr>
              <w:t>25%</w:t>
            </w:r>
          </w:p>
        </w:tc>
      </w:tr>
    </w:tbl>
    <w:p w:rsidR="001149A2" w:rsidRPr="001149A2" w:rsidRDefault="001149A2" w:rsidP="001149A2">
      <w:pPr>
        <w:pStyle w:val="SingleTxt"/>
        <w:spacing w:after="0" w:line="120" w:lineRule="exact"/>
        <w:rPr>
          <w:sz w:val="10"/>
          <w:lang w:val="en-US"/>
        </w:rPr>
      </w:pPr>
    </w:p>
    <w:p w:rsidR="00626016" w:rsidRDefault="00626016" w:rsidP="001149A2">
      <w:pPr>
        <w:pStyle w:val="FootnoteText"/>
        <w:tabs>
          <w:tab w:val="clear" w:pos="418"/>
          <w:tab w:val="right" w:pos="1476"/>
          <w:tab w:val="left" w:pos="1548"/>
          <w:tab w:val="right" w:pos="1836"/>
          <w:tab w:val="left" w:pos="1908"/>
        </w:tabs>
        <w:ind w:left="1548" w:right="1267" w:hanging="288"/>
      </w:pPr>
      <w:r w:rsidRPr="001149A2">
        <w:rPr>
          <w:i/>
          <w:iCs/>
        </w:rPr>
        <w:t>Source</w:t>
      </w:r>
      <w:r>
        <w:t xml:space="preserve">: </w:t>
      </w:r>
      <w:r w:rsidRPr="001149A2">
        <w:rPr>
          <w:i/>
          <w:iCs/>
        </w:rPr>
        <w:t>Women in Leadership in the Commonwealth of The Bahamas 10 Year Mapping (2004-2014), Bureau of Women’s Affairs</w:t>
      </w:r>
      <w:r w:rsidR="001149A2">
        <w:t>.</w:t>
      </w:r>
    </w:p>
    <w:p w:rsidR="001149A2" w:rsidRPr="001149A2" w:rsidRDefault="001149A2" w:rsidP="001149A2">
      <w:pPr>
        <w:pStyle w:val="FootnoteText"/>
        <w:tabs>
          <w:tab w:val="clear" w:pos="418"/>
          <w:tab w:val="right" w:pos="1476"/>
          <w:tab w:val="left" w:pos="1548"/>
          <w:tab w:val="right" w:pos="1836"/>
          <w:tab w:val="left" w:pos="1908"/>
        </w:tabs>
        <w:spacing w:line="120" w:lineRule="exact"/>
        <w:ind w:left="1548" w:right="1267" w:hanging="288"/>
        <w:rPr>
          <w:sz w:val="10"/>
        </w:rPr>
      </w:pPr>
    </w:p>
    <w:p w:rsidR="001149A2" w:rsidRPr="001149A2" w:rsidRDefault="001149A2" w:rsidP="001149A2">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1149A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Legislation affecting Trade Unions </w:t>
      </w:r>
      <w:r w:rsidR="001149A2">
        <w:t>—</w:t>
      </w:r>
      <w:r>
        <w:t xml:space="preserve"> National Tripartite Council Act 2014</w:t>
      </w:r>
    </w:p>
    <w:p w:rsidR="001149A2" w:rsidRPr="001149A2" w:rsidRDefault="001149A2" w:rsidP="001149A2">
      <w:pPr>
        <w:pStyle w:val="SingleTxt"/>
        <w:keepNext/>
        <w:keepLines/>
        <w:spacing w:after="0" w:line="120" w:lineRule="exact"/>
        <w:rPr>
          <w:sz w:val="10"/>
          <w:lang w:val="en-US"/>
        </w:rPr>
      </w:pPr>
    </w:p>
    <w:p w:rsidR="00626016" w:rsidRDefault="00626016" w:rsidP="001149A2">
      <w:pPr>
        <w:pStyle w:val="SingleTxt"/>
        <w:keepNext/>
        <w:keepLines/>
      </w:pPr>
      <w:r>
        <w:t>60.</w:t>
      </w:r>
      <w:r>
        <w:tab/>
        <w:t>The House of Assembly passed the National Tripartite Council Act 2014 establishing a tripartite forum on labour and industrial relations. On March 3, 2015, Her Excellency Dame Marguerite Piddling, Governor General of the Commonwealth of The Bahamas, formally signed the National Tripartite Council Act into law. Pursuant to section 9(4) of the National Tripartite Council Act 2014, the social partners formally submitted the persons to be appointed to the National Tripartite Council. The Act 2014 establishes a Council ‘</w:t>
      </w:r>
      <w:r w:rsidRPr="001149A2">
        <w:rPr>
          <w:i/>
          <w:iCs/>
        </w:rPr>
        <w:t>to advise the Government on the formulation of national policies and strategies on all aspects of labour, productivity, quality and competition’ as well as ‘to advise the Government on labour and industrial relations matters</w:t>
      </w:r>
      <w:r>
        <w:t xml:space="preserve">’. On June 1, 2015, the National Tripartite Council held its first official council meeting in accordance with section 9(1) (a) of the National Tripartite Council Act. </w:t>
      </w:r>
    </w:p>
    <w:p w:rsidR="00626016" w:rsidRDefault="00626016" w:rsidP="00626016">
      <w:pPr>
        <w:pStyle w:val="SingleTxt"/>
      </w:pPr>
      <w:r>
        <w:t>61.</w:t>
      </w:r>
      <w:r>
        <w:tab/>
        <w:t>In addition to enacting the aforementioned legislation, The Bahamas has ratified 35 ILO Conventions including eight of the core ones which particularly address protections of the rights of women and children in the workplace. The Bahamas continues to work on the implementation of these rights. Refer to previous reports for labour standards in The Bahamas.</w:t>
      </w:r>
    </w:p>
    <w:p w:rsidR="001149A2" w:rsidRPr="001149A2" w:rsidRDefault="001149A2" w:rsidP="001149A2">
      <w:pPr>
        <w:pStyle w:val="SingleTxt"/>
        <w:spacing w:after="0" w:line="120" w:lineRule="exact"/>
        <w:rPr>
          <w:sz w:val="10"/>
        </w:rPr>
      </w:pPr>
    </w:p>
    <w:p w:rsidR="001149A2" w:rsidRPr="001149A2" w:rsidRDefault="001149A2" w:rsidP="001149A2">
      <w:pPr>
        <w:pStyle w:val="SingleTxt"/>
        <w:spacing w:after="0" w:line="120" w:lineRule="exact"/>
        <w:rPr>
          <w:sz w:val="10"/>
        </w:rPr>
      </w:pPr>
    </w:p>
    <w:p w:rsidR="00626016" w:rsidRDefault="00626016" w:rsidP="001149A2">
      <w:pPr>
        <w:pStyle w:val="TitleH1"/>
      </w:pPr>
      <w:r>
        <w:tab/>
      </w:r>
      <w:r>
        <w:tab/>
        <w:t>Article 8: International Representation and Participation</w:t>
      </w:r>
    </w:p>
    <w:p w:rsidR="001149A2" w:rsidRPr="001149A2" w:rsidRDefault="001149A2" w:rsidP="001149A2">
      <w:pPr>
        <w:pStyle w:val="SingleTxt"/>
        <w:spacing w:after="0" w:line="120" w:lineRule="exact"/>
        <w:rPr>
          <w:sz w:val="10"/>
        </w:rPr>
      </w:pPr>
    </w:p>
    <w:p w:rsidR="001149A2" w:rsidRPr="001149A2" w:rsidRDefault="001149A2" w:rsidP="001149A2">
      <w:pPr>
        <w:pStyle w:val="SingleTxt"/>
        <w:spacing w:after="0" w:line="120" w:lineRule="exact"/>
        <w:rPr>
          <w:sz w:val="10"/>
        </w:rPr>
      </w:pPr>
    </w:p>
    <w:p w:rsidR="00626016" w:rsidRDefault="00626016" w:rsidP="001149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Representation of Women at the International Level</w:t>
      </w:r>
    </w:p>
    <w:p w:rsidR="001149A2" w:rsidRPr="001149A2" w:rsidRDefault="001149A2" w:rsidP="001149A2">
      <w:pPr>
        <w:pStyle w:val="SingleTxt"/>
        <w:spacing w:after="0" w:line="120" w:lineRule="exact"/>
        <w:rPr>
          <w:sz w:val="10"/>
        </w:rPr>
      </w:pPr>
    </w:p>
    <w:p w:rsidR="00626016" w:rsidRDefault="00626016" w:rsidP="00626016">
      <w:pPr>
        <w:pStyle w:val="SingleTxt"/>
      </w:pPr>
      <w:r>
        <w:t>62.</w:t>
      </w:r>
      <w:r>
        <w:tab/>
        <w:t>As stated in previous reports, there are no legal impediments to women representing the Government at the international level. Women do in fact serve as representatives of The Bahamas at the international level. Currently, Her Excellency Alma Adams serves as Ambassador to the Republic of Cuba and Her Excellency Rhoda Jackson serves as Ambassador at the Permanent Mission to the United Nations and other International Organizations in Geneva. Ms Paulette Zonicle serves as Consul General at The Bahamas Consulate General in Washington, DC. Ms. Julie Campbell serves as Counsellor at the Embassy in the People’s Republic of China. Ms. Rosolyn Horton is the Minister Counsellor at the High Commission in Canada. Mrs. Allison Booker serves as the Deputy High Commissioner and Vice Consul at the High Commission in London. Mrs Tishka Fraser-Francis is the Deputy Permanent Representative at the Permanent Mission to the United Nations, New York, U.S.A. Ms. Sandra McLaughlin and Ms. Joy Newbold serve as Consul at the Consulate General in New York, U.S.A. Ms. Sandra Carey serves as Deputy Consul General for The Bahamas Consulate General in Miami, U.S.A. Ms. Bernadette Butler is the Minister Counsellor at the Permanent Mission in Geneva, Switzerland. It must be noted that of the six countries with representatives acting as Honorary Consul for The Bahamas, four are women.</w:t>
      </w:r>
    </w:p>
    <w:p w:rsidR="00056BD9" w:rsidRPr="00056BD9" w:rsidRDefault="00056BD9" w:rsidP="00056BD9">
      <w:pPr>
        <w:pStyle w:val="SingleTxt"/>
        <w:spacing w:after="0" w:line="120" w:lineRule="exact"/>
        <w:rPr>
          <w:sz w:val="10"/>
        </w:rPr>
      </w:pP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International Organizations</w:t>
      </w:r>
    </w:p>
    <w:p w:rsidR="00056BD9" w:rsidRPr="00056BD9" w:rsidRDefault="00056BD9" w:rsidP="00056BD9">
      <w:pPr>
        <w:pStyle w:val="SingleTxt"/>
        <w:spacing w:after="0" w:line="120" w:lineRule="exact"/>
        <w:rPr>
          <w:sz w:val="10"/>
        </w:rPr>
      </w:pPr>
    </w:p>
    <w:p w:rsidR="00626016" w:rsidRDefault="00626016" w:rsidP="00626016">
      <w:pPr>
        <w:pStyle w:val="SingleTxt"/>
      </w:pPr>
      <w:r>
        <w:t>63.</w:t>
      </w:r>
      <w:r>
        <w:tab/>
        <w:t xml:space="preserve">There are no restrictions prohibiting Bahamian women from working in international organizations. In fact, the Government consistently disseminates to both women and men information on employment opportunities and vacancies for international posts. </w:t>
      </w:r>
    </w:p>
    <w:p w:rsidR="00626016" w:rsidRDefault="00626016" w:rsidP="00626016">
      <w:pPr>
        <w:pStyle w:val="SingleTxt"/>
      </w:pPr>
      <w:r>
        <w:t>64.</w:t>
      </w:r>
      <w:r>
        <w:tab/>
        <w:t xml:space="preserve">There are no records to indicate the exact number of Bahamian women working in international organizations. However, the Government is aware that several Bahamian women are employed by the United Nations in a senior capacity in addition to working with regional organizations such as CARICOM and agencies such as the Commonwealth Secretariat. As stated in previous reports, women </w:t>
      </w:r>
      <w:r>
        <w:lastRenderedPageBreak/>
        <w:t xml:space="preserve">regularly represent The Bahamas at various international and regional meetings and continue to serve on regional and international bodies on behalf of the Government. </w:t>
      </w:r>
    </w:p>
    <w:p w:rsidR="00056BD9" w:rsidRPr="00056BD9" w:rsidRDefault="00056BD9" w:rsidP="00056BD9">
      <w:pPr>
        <w:pStyle w:val="SingleTxt"/>
        <w:spacing w:after="0" w:line="120" w:lineRule="exact"/>
        <w:rPr>
          <w:sz w:val="10"/>
        </w:rPr>
      </w:pP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in the Ministry of Foreign Affairs </w:t>
      </w:r>
    </w:p>
    <w:p w:rsidR="00056BD9" w:rsidRPr="00056BD9" w:rsidRDefault="00056BD9" w:rsidP="00056BD9">
      <w:pPr>
        <w:pStyle w:val="SingleTxt"/>
        <w:spacing w:after="0" w:line="120" w:lineRule="exact"/>
        <w:rPr>
          <w:sz w:val="10"/>
        </w:rPr>
      </w:pPr>
    </w:p>
    <w:p w:rsidR="00626016" w:rsidRDefault="00626016" w:rsidP="00626016">
      <w:pPr>
        <w:pStyle w:val="SingleTxt"/>
      </w:pPr>
      <w:r>
        <w:t>65.</w:t>
      </w:r>
      <w:r>
        <w:tab/>
        <w:t>The Permanent Secretary of the Ministry of Foreign Affairs and Immigration serves as the Head of the Foreign Service of the Commonwealth of The Bahamas. This position is currently held by a female, Ms. Sheila Carey, who also holds the title of Ambassador. Additionally, Ms. Sharon Brennen-Haylock holds the position of Director-General of the Ministry of Foreign Affairs and Immigration. Women make up 25 per cent of The Bahamas’ diplomatic and consular missions and men 65 per cent.</w:t>
      </w:r>
    </w:p>
    <w:p w:rsidR="00626016" w:rsidRDefault="00626016" w:rsidP="00626016">
      <w:pPr>
        <w:pStyle w:val="SingleTxt"/>
      </w:pPr>
      <w:r>
        <w:t>66.</w:t>
      </w:r>
      <w:r>
        <w:tab/>
        <w:t xml:space="preserve">As previously reported, women in the Ministry of Foreign Affairs outnumber men. Statistics provided in previous reports indicate that women in The Bahamas and particularly throughout the Ministry of Foreign Affairs have achieved tremendous success. </w:t>
      </w:r>
    </w:p>
    <w:p w:rsidR="00056BD9" w:rsidRPr="00056BD9" w:rsidRDefault="00056BD9" w:rsidP="00056BD9">
      <w:pPr>
        <w:pStyle w:val="SingleTxt"/>
        <w:spacing w:after="0" w:line="120" w:lineRule="exact"/>
        <w:rPr>
          <w:sz w:val="10"/>
        </w:rPr>
      </w:pPr>
    </w:p>
    <w:p w:rsidR="00056BD9" w:rsidRPr="00056BD9" w:rsidRDefault="00056BD9" w:rsidP="00056BD9">
      <w:pPr>
        <w:pStyle w:val="SingleTxt"/>
        <w:spacing w:after="0" w:line="120" w:lineRule="exact"/>
        <w:rPr>
          <w:sz w:val="10"/>
        </w:rPr>
      </w:pPr>
    </w:p>
    <w:p w:rsidR="00626016" w:rsidRDefault="00626016" w:rsidP="00056BD9">
      <w:pPr>
        <w:pStyle w:val="TitleH1"/>
      </w:pPr>
      <w:r>
        <w:tab/>
      </w:r>
      <w:r>
        <w:tab/>
        <w:t>Article 9: Nationality and Citizenship of Wo</w:t>
      </w:r>
      <w:r w:rsidRPr="00056BD9">
        <w:rPr>
          <w:rFonts w:ascii="Times New Roman Bold" w:hAnsi="Times New Roman Bold" w:cs="Times New Roman Bold"/>
          <w:spacing w:val="0"/>
          <w:w w:val="100"/>
        </w:rPr>
        <w:t>men and Their Children</w:t>
      </w:r>
    </w:p>
    <w:p w:rsidR="00056BD9" w:rsidRPr="00056BD9" w:rsidRDefault="00056BD9" w:rsidP="00056BD9">
      <w:pPr>
        <w:pStyle w:val="SingleTxt"/>
        <w:spacing w:after="0" w:line="120" w:lineRule="exact"/>
        <w:rPr>
          <w:sz w:val="10"/>
        </w:rPr>
      </w:pPr>
    </w:p>
    <w:p w:rsidR="00056BD9" w:rsidRPr="00056BD9" w:rsidRDefault="00056BD9" w:rsidP="00056BD9">
      <w:pPr>
        <w:pStyle w:val="SingleTxt"/>
        <w:spacing w:after="0" w:line="120" w:lineRule="exact"/>
        <w:rPr>
          <w:sz w:val="10"/>
        </w:rPr>
      </w:pP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Rights in Nationality</w:t>
      </w:r>
    </w:p>
    <w:p w:rsidR="00056BD9" w:rsidRPr="00056BD9" w:rsidRDefault="00056BD9" w:rsidP="00056BD9">
      <w:pPr>
        <w:pStyle w:val="SingleTxt"/>
        <w:spacing w:after="0" w:line="120" w:lineRule="exact"/>
        <w:rPr>
          <w:sz w:val="10"/>
        </w:rPr>
      </w:pPr>
    </w:p>
    <w:p w:rsidR="00626016" w:rsidRDefault="00626016" w:rsidP="00626016">
      <w:pPr>
        <w:pStyle w:val="SingleTxt"/>
      </w:pPr>
      <w:r>
        <w:t>67.</w:t>
      </w:r>
      <w:r>
        <w:tab/>
        <w:t xml:space="preserve">No change since the last report. For additional information on the constitutional referendum on gender equality and nationality rights in The Bahamas, see Articles 1 and 2 of the present report. </w:t>
      </w:r>
    </w:p>
    <w:p w:rsidR="00056BD9" w:rsidRPr="00056BD9" w:rsidRDefault="00056BD9" w:rsidP="00056BD9">
      <w:pPr>
        <w:pStyle w:val="SingleTxt"/>
        <w:spacing w:after="0" w:line="120" w:lineRule="exact"/>
        <w:rPr>
          <w:sz w:val="10"/>
        </w:rPr>
      </w:pP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Equality in Marriage to Non-Nationals</w:t>
      </w:r>
    </w:p>
    <w:p w:rsidR="00056BD9" w:rsidRPr="00056BD9" w:rsidRDefault="00056BD9" w:rsidP="00056BD9">
      <w:pPr>
        <w:pStyle w:val="SingleTxt"/>
        <w:spacing w:after="0" w:line="120" w:lineRule="exact"/>
        <w:rPr>
          <w:sz w:val="10"/>
        </w:rPr>
      </w:pPr>
    </w:p>
    <w:p w:rsidR="00626016" w:rsidRDefault="00626016" w:rsidP="00626016">
      <w:pPr>
        <w:pStyle w:val="SingleTxt"/>
      </w:pPr>
      <w:r>
        <w:t>68.</w:t>
      </w:r>
      <w:r>
        <w:tab/>
        <w:t xml:space="preserve">Inequality between women and men still exists in this regard as stated in the response under Article 2 of this present report. </w:t>
      </w:r>
    </w:p>
    <w:p w:rsidR="00056BD9" w:rsidRPr="00056BD9" w:rsidRDefault="00056BD9" w:rsidP="00056BD9">
      <w:pPr>
        <w:pStyle w:val="SingleTxt"/>
        <w:spacing w:after="0" w:line="120" w:lineRule="exact"/>
        <w:rPr>
          <w:sz w:val="10"/>
        </w:rPr>
      </w:pP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Residential and Employment Status for Spouses who are Non-Nationals</w:t>
      </w:r>
    </w:p>
    <w:p w:rsidR="00056BD9" w:rsidRPr="00056BD9" w:rsidRDefault="00056BD9" w:rsidP="00056BD9">
      <w:pPr>
        <w:pStyle w:val="SingleTxt"/>
        <w:spacing w:after="0" w:line="120" w:lineRule="exact"/>
        <w:rPr>
          <w:sz w:val="10"/>
        </w:rPr>
      </w:pPr>
    </w:p>
    <w:p w:rsidR="00626016" w:rsidRDefault="00626016" w:rsidP="00626016">
      <w:pPr>
        <w:pStyle w:val="SingleTxt"/>
      </w:pPr>
      <w:r>
        <w:t>69.</w:t>
      </w:r>
      <w:r>
        <w:tab/>
        <w:t xml:space="preserve">Bahamian women and men have the same rights with respect of gaining residence and employment status for their spouse in situations where the spouse is a non-national. The primary permit that was purposely enacted for non-national spouse (of a Bahamian) is the Resident Spouse Permit (RSP) (Immigration Act, Section 30). Application has to be filed at the Department of Immigration for the non-national spouse and furnished with requisite documents as indicated on the form in addition to other information that might become relevant as established by the situation at hand. This permit enables the non-national spouse to reside and work legally in The Bahamas and may be issued for a period of one to five years. The period granted for RSP is decided based upon the outcome of the interview of the couple and whether the processing officer is satisfied that the marriage is genuine. </w:t>
      </w:r>
    </w:p>
    <w:p w:rsidR="00626016" w:rsidRDefault="00626016" w:rsidP="00626016">
      <w:pPr>
        <w:pStyle w:val="SingleTxt"/>
      </w:pPr>
      <w:r>
        <w:t>70.</w:t>
      </w:r>
      <w:r>
        <w:tab/>
        <w:t>If a determination is made that the marriage might not be genuine and is not subsisting, the processing officer will recommend that the non-national spouse be granted a General Worker Permit (GWP) for one year. The fee for GWP is $1,000.00 per annum for the non-national spouse.</w:t>
      </w:r>
    </w:p>
    <w:p w:rsidR="00626016" w:rsidRDefault="00626016" w:rsidP="00626016">
      <w:pPr>
        <w:pStyle w:val="SingleTxt"/>
      </w:pPr>
      <w:r>
        <w:t>71.</w:t>
      </w:r>
      <w:r>
        <w:tab/>
        <w:t>The Bahamian and his/her non-national spouse can elect also for a Permit to Reside only. This type of permit does not allow the non-national spouse to engage in gainful employment; the non-national spouses will have the legal right to reside only. The cost of this permit is $25.00 annually for non-nationals.</w:t>
      </w:r>
    </w:p>
    <w:p w:rsidR="00056BD9" w:rsidRPr="00056BD9" w:rsidRDefault="00056BD9" w:rsidP="00056BD9">
      <w:pPr>
        <w:pStyle w:val="SingleTxt"/>
        <w:spacing w:after="0" w:line="120" w:lineRule="exact"/>
        <w:rPr>
          <w:sz w:val="10"/>
        </w:rPr>
      </w:pPr>
    </w:p>
    <w:p w:rsidR="00626016" w:rsidRDefault="00626016" w:rsidP="00056BD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Administration of Refugee and Asylum Matters</w:t>
      </w:r>
    </w:p>
    <w:p w:rsidR="00056BD9" w:rsidRPr="00056BD9" w:rsidRDefault="00056BD9" w:rsidP="00056BD9">
      <w:pPr>
        <w:pStyle w:val="SingleTxt"/>
        <w:keepNext/>
        <w:keepLines/>
        <w:spacing w:after="0" w:line="120" w:lineRule="exact"/>
        <w:rPr>
          <w:sz w:val="10"/>
          <w:lang w:val="en-US"/>
        </w:rPr>
      </w:pPr>
    </w:p>
    <w:p w:rsidR="00626016" w:rsidRDefault="00626016" w:rsidP="00056BD9">
      <w:pPr>
        <w:pStyle w:val="SingleTxt"/>
        <w:keepNext/>
        <w:keepLines/>
      </w:pPr>
      <w:r>
        <w:t>72.</w:t>
      </w:r>
      <w:r>
        <w:tab/>
        <w:t>There is no penalization of asylum-seekers for illegal entry and stay in The Bahamas. The Department of Immigration (DOI) instituted a section within its organization for the administration of Refugee/Asylum Matters since 2004 and this section has been actively interviewing and processing application for this category of persons from its establishment. The process is performed in collaboration with the United Nations High Commissioner for Refugees (UNHCR) and the International Organization for Migration (IOM). Officers of the DOI are trained and qualified to perform the relevant interviews and to make determinations and recommendations based on the interviews. All DOI recommendations regarding Refugee/Asylum status are submitted to UNHCR through the Ministry of Foreign Affairs and Immigration.</w:t>
      </w:r>
    </w:p>
    <w:p w:rsidR="00626016" w:rsidRDefault="00626016" w:rsidP="00626016">
      <w:pPr>
        <w:pStyle w:val="SingleTxt"/>
      </w:pPr>
      <w:r>
        <w:t>73.</w:t>
      </w:r>
      <w:r>
        <w:tab/>
        <w:t>In instances where UNHCR and DOI Refugee/Asylum do not agree, a recommendation is put forward for the placement of asylum-seekers in another country. The seeking and finalization of the placement of asylum-seekers is conducted by UNHCR and IOM.</w:t>
      </w:r>
    </w:p>
    <w:p w:rsidR="00626016" w:rsidRDefault="00626016" w:rsidP="00626016">
      <w:pPr>
        <w:pStyle w:val="SingleTxt"/>
      </w:pPr>
      <w:r>
        <w:t>74.</w:t>
      </w:r>
      <w:r>
        <w:tab/>
        <w:t>DOI never engages in the forcible return or refoulment of refugees or asylum-seekers to a country where they are liable to be subjected to persecution. DOI cooperates fully with UNHCR and IOM. In accordance with international laws and standards, the asylum-seekers are not detained for lengthy periods. Immediately following the awareness that an application is made for Refugee/Asylum, officers from DOI Refugee/Asylum Section are directed to meet asylum-seekers and relocate them temporarily to the Detention Centre for the conduct of the interview process. Asylum-seekers are almost immediately released from detention after the conclusion of the interview and issued with an Asylum/Refugee Certificate from DOI on which their photo is affixed, which permits asylum-seekers to move about freely within The Commonwealth of The Bahamas The asylum-seekers are supported socially and financially by the Department of Social Services (DOSS) and The Bahamas Red Cross (BRC) including with regards to, housing, food, water and personal effects.</w:t>
      </w:r>
    </w:p>
    <w:p w:rsidR="00626016" w:rsidRDefault="00626016" w:rsidP="00626016">
      <w:pPr>
        <w:pStyle w:val="SingleTxt"/>
      </w:pPr>
      <w:r>
        <w:t>75.</w:t>
      </w:r>
      <w:r>
        <w:tab/>
        <w:t>UNHCR, IOM and DOI Refugee/Asylum Section remains in constant communication with one another to ensure quality assurance and compliance with the 1951 Refugee Convention and the 1967 Protocol. Officers of DOI Refugee/Asylum Section obtain ongoing training and relevant tools to remain up-to-date with respect to international expectations and requirements.</w:t>
      </w:r>
    </w:p>
    <w:p w:rsidR="00626016" w:rsidRDefault="00626016" w:rsidP="00626016">
      <w:pPr>
        <w:pStyle w:val="SingleTxt"/>
      </w:pPr>
      <w:r>
        <w:t>76.</w:t>
      </w:r>
      <w:r>
        <w:tab/>
        <w:t>It is notable that the Office of the United Nations High Commissioner for Refugees UNHCR held a Training Session on Refugee Protection and Statelessness in June 2014. The following Government agencies were represented in this exercise: Royal Bahamas Defence Force (RBDF), Bureau of Women’s Affairs (BWA), Ministry of Foreign Affairs and Immigration (MFAI) and the Department of Immigration.</w:t>
      </w:r>
    </w:p>
    <w:p w:rsidR="00056BD9" w:rsidRPr="00056BD9" w:rsidRDefault="00056BD9" w:rsidP="00056BD9">
      <w:pPr>
        <w:pStyle w:val="SingleTxt"/>
        <w:spacing w:after="0" w:line="120" w:lineRule="exact"/>
        <w:rPr>
          <w:sz w:val="10"/>
        </w:rPr>
      </w:pP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Detention of Women and Children</w:t>
      </w:r>
    </w:p>
    <w:p w:rsidR="00056BD9" w:rsidRPr="00056BD9" w:rsidRDefault="00056BD9" w:rsidP="00056BD9">
      <w:pPr>
        <w:pStyle w:val="SingleTxt"/>
        <w:spacing w:after="0" w:line="120" w:lineRule="exact"/>
        <w:rPr>
          <w:sz w:val="10"/>
        </w:rPr>
      </w:pPr>
    </w:p>
    <w:p w:rsidR="00626016" w:rsidRDefault="00626016" w:rsidP="00626016">
      <w:pPr>
        <w:pStyle w:val="SingleTxt"/>
      </w:pPr>
      <w:r>
        <w:t>77.</w:t>
      </w:r>
      <w:r>
        <w:tab/>
        <w:t>Women detainees with children are kept in separate accommodations, in keeping with international standards. In 2014, DOI established a safe house for this purpose outside the Carmichael Rd. Detention Centre. There is a fully-equipped multi-family accommodation with adequate outdoor recreation space for children. The facility is administered by DOI and twenty-four hour security is provided by the Royal Bahamas Defence Force. There is a full-time social worker, cook, and janitor. The Bahamas Red Cross assists with donations of clothing, blankets, toiletries and miscellaneous items as necessary for the women and children.</w:t>
      </w:r>
    </w:p>
    <w:p w:rsidR="00626016" w:rsidRDefault="00626016" w:rsidP="00056BD9">
      <w:pPr>
        <w:pStyle w:val="TitleH1"/>
      </w:pPr>
      <w:r>
        <w:lastRenderedPageBreak/>
        <w:tab/>
      </w:r>
      <w:r>
        <w:tab/>
        <w:t>Article 10: Ensuring Equal Access for Women in Education</w:t>
      </w:r>
    </w:p>
    <w:p w:rsidR="00056BD9" w:rsidRPr="00056BD9" w:rsidRDefault="00056BD9" w:rsidP="00056BD9">
      <w:pPr>
        <w:pStyle w:val="SingleTxt"/>
        <w:spacing w:after="0" w:line="120" w:lineRule="exact"/>
        <w:rPr>
          <w:sz w:val="10"/>
        </w:rPr>
      </w:pPr>
    </w:p>
    <w:p w:rsidR="00056BD9" w:rsidRPr="00056BD9" w:rsidRDefault="00056BD9" w:rsidP="00056BD9">
      <w:pPr>
        <w:pStyle w:val="SingleTxt"/>
        <w:spacing w:after="0" w:line="120" w:lineRule="exact"/>
        <w:rPr>
          <w:sz w:val="10"/>
        </w:rPr>
      </w:pPr>
    </w:p>
    <w:p w:rsidR="00626016" w:rsidRDefault="00626016" w:rsidP="00626016">
      <w:pPr>
        <w:pStyle w:val="SingleTxt"/>
      </w:pPr>
      <w:r>
        <w:t>78.</w:t>
      </w:r>
      <w:r>
        <w:tab/>
        <w:t xml:space="preserve">The information on Access to Education and Literacy Rates remains unchanged since the last report. </w:t>
      </w:r>
    </w:p>
    <w:p w:rsidR="00056BD9" w:rsidRPr="00056BD9" w:rsidRDefault="00056BD9" w:rsidP="00056BD9">
      <w:pPr>
        <w:pStyle w:val="SingleTxt"/>
        <w:spacing w:after="0" w:line="120" w:lineRule="exact"/>
        <w:rPr>
          <w:sz w:val="10"/>
        </w:rPr>
      </w:pP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Trends in Academic Achievement for Boys and Girls</w:t>
      </w:r>
    </w:p>
    <w:p w:rsidR="00056BD9" w:rsidRPr="00056BD9" w:rsidRDefault="00056BD9" w:rsidP="00056BD9">
      <w:pPr>
        <w:pStyle w:val="SingleTxt"/>
        <w:spacing w:after="0" w:line="120" w:lineRule="exact"/>
        <w:rPr>
          <w:sz w:val="10"/>
        </w:rPr>
      </w:pPr>
    </w:p>
    <w:p w:rsidR="00626016" w:rsidRDefault="00626016" w:rsidP="00626016">
      <w:pPr>
        <w:pStyle w:val="SingleTxt"/>
      </w:pPr>
      <w:r>
        <w:t>79.</w:t>
      </w:r>
      <w:r>
        <w:tab/>
        <w:t>The Department of Education has seen notable improvements in educational achievements since 2011 with 50.5% of students achieving grades of C or above in 2015 compared to 44.38% in 2011. The 2015 results represent a turning point in the education systems as for the first time, the average grade was a C. Further, there was evidence of the closing of the gender gap. While in absolute terms in 2015 more females received high grades, a larger percentage of males that sat exams achieved more favourable outcomes than females (53% and 47.1% respectively).</w:t>
      </w:r>
    </w:p>
    <w:p w:rsidR="00056BD9" w:rsidRPr="00056BD9" w:rsidRDefault="00056BD9" w:rsidP="00056BD9">
      <w:pPr>
        <w:pStyle w:val="SingleTxt"/>
        <w:spacing w:after="0" w:line="120" w:lineRule="exact"/>
        <w:rPr>
          <w:sz w:val="10"/>
        </w:rPr>
      </w:pP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National Training Agency</w:t>
      </w:r>
    </w:p>
    <w:p w:rsidR="00056BD9" w:rsidRPr="00056BD9" w:rsidRDefault="00056BD9" w:rsidP="00056BD9">
      <w:pPr>
        <w:pStyle w:val="SingleTxt"/>
        <w:spacing w:after="0" w:line="120" w:lineRule="exact"/>
        <w:rPr>
          <w:sz w:val="10"/>
        </w:rPr>
      </w:pPr>
    </w:p>
    <w:p w:rsidR="00626016" w:rsidRDefault="00626016" w:rsidP="00626016">
      <w:pPr>
        <w:pStyle w:val="SingleTxt"/>
      </w:pPr>
      <w:r>
        <w:t>80.</w:t>
      </w:r>
      <w:r>
        <w:tab/>
        <w:t xml:space="preserve">The Fifth Periodic Report mentioned the implementation of a technical and vocational education and training (TVET) body. Such an entity was created by virtue of the National Training Agency Act of 2013. Though Part V, Section 24 of the Act states that “A person who makes application to the Board in the prescribed form and satisfies the Board that he possesses the prescribed qualifications may be eligible for selection as a trainee”, it is understood that females would not be discriminated against. To this end, it should be noted that the Executive Director of the Agency is female. </w:t>
      </w:r>
    </w:p>
    <w:p w:rsidR="00626016" w:rsidRDefault="00626016" w:rsidP="00794974">
      <w:pPr>
        <w:pStyle w:val="SingleTxt"/>
      </w:pPr>
      <w:r>
        <w:t>81.</w:t>
      </w:r>
      <w:r>
        <w:tab/>
        <w:t xml:space="preserve">Targeting young persons aged 16-26 years; the Agency has graduated 6 cohorts since its inception. The programme is designed to equip youth with skills to render them employable. For this effort, the Government of The Bahamas has established relationships with the private sector </w:t>
      </w:r>
      <w:r w:rsidR="00794974">
        <w:t xml:space="preserve">— </w:t>
      </w:r>
      <w:r>
        <w:t>wherein individuals in the programme receive practical training within a variety of fields. The majority of individuals enrolled in, and placed for employment as a result of, the training programme are female.</w:t>
      </w:r>
    </w:p>
    <w:p w:rsidR="00056BD9" w:rsidRPr="00056BD9" w:rsidRDefault="00056BD9" w:rsidP="00056BD9">
      <w:pPr>
        <w:pStyle w:val="SingleTxt"/>
        <w:spacing w:after="0" w:line="120" w:lineRule="exact"/>
        <w:rPr>
          <w:sz w:val="10"/>
        </w:rPr>
      </w:pP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Grants and Scholarships</w:t>
      </w:r>
    </w:p>
    <w:p w:rsidR="00056BD9" w:rsidRPr="00056BD9" w:rsidRDefault="00056BD9" w:rsidP="00056BD9">
      <w:pPr>
        <w:pStyle w:val="SingleTxt"/>
        <w:spacing w:after="0" w:line="120" w:lineRule="exact"/>
        <w:rPr>
          <w:sz w:val="10"/>
        </w:rPr>
      </w:pPr>
    </w:p>
    <w:p w:rsidR="00626016" w:rsidRDefault="00626016" w:rsidP="00626016">
      <w:pPr>
        <w:pStyle w:val="SingleTxt"/>
      </w:pPr>
      <w:r>
        <w:t>82.</w:t>
      </w:r>
      <w:r>
        <w:tab/>
        <w:t>The Ministry of Education, Science, and Technology continues its mission to provide opportunities to access quality education, “equipping students with the knowledge, beliefs, skills, and attitudes required to live and work in an interdependent changing world”. One means of making provisions for this to happen is to facilitate access to education at the tertiary level. From 2012 to 2015, the Government awarded a total of 2,319 scholarships to Bahamian students with 1,521 recipients being female, forming 65.6% of the total awardees (See Table 7).</w:t>
      </w:r>
      <w:r>
        <w:tab/>
      </w:r>
    </w:p>
    <w:p w:rsidR="00056BD9" w:rsidRPr="00056BD9" w:rsidRDefault="00056BD9" w:rsidP="00056BD9">
      <w:pPr>
        <w:pStyle w:val="SingleTxt"/>
        <w:spacing w:after="0" w:line="120" w:lineRule="exact"/>
        <w:rPr>
          <w:sz w:val="10"/>
        </w:rPr>
      </w:pPr>
    </w:p>
    <w:p w:rsidR="00626016" w:rsidRPr="00056BD9" w:rsidRDefault="00056BD9"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056BD9">
        <w:rPr>
          <w:b w:val="0"/>
          <w:bCs/>
        </w:rPr>
        <w:t>Table 5</w:t>
      </w:r>
    </w:p>
    <w:p w:rsidR="00626016" w:rsidRDefault="00056BD9"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Government Scholarships Awarded by Sex (2012</w:t>
      </w:r>
      <w:r>
        <w:t>-</w:t>
      </w:r>
      <w:r w:rsidR="00626016">
        <w:t>2015)</w:t>
      </w:r>
    </w:p>
    <w:p w:rsidR="00056BD9" w:rsidRPr="00056BD9" w:rsidRDefault="00056BD9" w:rsidP="00056BD9">
      <w:pPr>
        <w:pStyle w:val="SingleTxt"/>
        <w:spacing w:after="0" w:line="120" w:lineRule="exact"/>
        <w:rPr>
          <w:sz w:val="10"/>
          <w:lang w:val="en-US"/>
        </w:rPr>
      </w:pPr>
    </w:p>
    <w:tbl>
      <w:tblPr>
        <w:tblW w:w="7244" w:type="dxa"/>
        <w:tblInd w:w="1260" w:type="dxa"/>
        <w:tblLayout w:type="fixed"/>
        <w:tblCellMar>
          <w:left w:w="0" w:type="dxa"/>
          <w:right w:w="0" w:type="dxa"/>
        </w:tblCellMar>
        <w:tblLook w:val="0000" w:firstRow="0" w:lastRow="0" w:firstColumn="0" w:lastColumn="0" w:noHBand="0" w:noVBand="0"/>
      </w:tblPr>
      <w:tblGrid>
        <w:gridCol w:w="2692"/>
        <w:gridCol w:w="1138"/>
        <w:gridCol w:w="1138"/>
        <w:gridCol w:w="1138"/>
        <w:gridCol w:w="1138"/>
      </w:tblGrid>
      <w:tr w:rsidR="00056BD9" w:rsidRPr="00056BD9" w:rsidTr="00056BD9">
        <w:trPr>
          <w:tblHeader/>
        </w:trPr>
        <w:tc>
          <w:tcPr>
            <w:tcW w:w="2692" w:type="dxa"/>
            <w:tcBorders>
              <w:top w:val="single" w:sz="4" w:space="0" w:color="auto"/>
              <w:bottom w:val="single" w:sz="12" w:space="0" w:color="auto"/>
            </w:tcBorders>
            <w:shd w:val="clear" w:color="auto" w:fill="auto"/>
            <w:vAlign w:val="bottom"/>
          </w:tcPr>
          <w:p w:rsidR="00056BD9" w:rsidRPr="00056BD9" w:rsidRDefault="00056BD9" w:rsidP="00056BD9">
            <w:pPr>
              <w:pStyle w:val="SingleTxtG"/>
              <w:spacing w:before="81" w:after="81" w:line="160" w:lineRule="exact"/>
              <w:ind w:left="0" w:right="40"/>
              <w:jc w:val="left"/>
              <w:rPr>
                <w:i/>
                <w:sz w:val="14"/>
              </w:rPr>
            </w:pPr>
            <w:r w:rsidRPr="00056BD9">
              <w:rPr>
                <w:i/>
                <w:sz w:val="14"/>
              </w:rPr>
              <w:t>Year</w:t>
            </w:r>
          </w:p>
        </w:tc>
        <w:tc>
          <w:tcPr>
            <w:tcW w:w="1138" w:type="dxa"/>
            <w:tcBorders>
              <w:top w:val="single" w:sz="4" w:space="0" w:color="auto"/>
              <w:bottom w:val="single" w:sz="12" w:space="0" w:color="auto"/>
            </w:tcBorders>
            <w:shd w:val="clear" w:color="auto" w:fill="auto"/>
            <w:vAlign w:val="bottom"/>
          </w:tcPr>
          <w:p w:rsidR="00056BD9" w:rsidRPr="00056BD9" w:rsidRDefault="00056BD9" w:rsidP="00056BD9">
            <w:pPr>
              <w:pStyle w:val="SingleTxtG"/>
              <w:spacing w:before="81" w:after="81" w:line="160" w:lineRule="exact"/>
              <w:ind w:left="144" w:right="40"/>
              <w:jc w:val="right"/>
              <w:rPr>
                <w:i/>
                <w:sz w:val="14"/>
              </w:rPr>
            </w:pPr>
            <w:r w:rsidRPr="00056BD9">
              <w:rPr>
                <w:i/>
                <w:sz w:val="14"/>
              </w:rPr>
              <w:t>Female</w:t>
            </w:r>
          </w:p>
        </w:tc>
        <w:tc>
          <w:tcPr>
            <w:tcW w:w="1138" w:type="dxa"/>
            <w:tcBorders>
              <w:top w:val="single" w:sz="4" w:space="0" w:color="auto"/>
              <w:bottom w:val="single" w:sz="12" w:space="0" w:color="auto"/>
            </w:tcBorders>
            <w:shd w:val="clear" w:color="auto" w:fill="auto"/>
            <w:vAlign w:val="bottom"/>
          </w:tcPr>
          <w:p w:rsidR="00056BD9" w:rsidRPr="00056BD9" w:rsidRDefault="00056BD9" w:rsidP="00056BD9">
            <w:pPr>
              <w:pStyle w:val="SingleTxtG"/>
              <w:spacing w:before="81" w:after="81" w:line="160" w:lineRule="exact"/>
              <w:ind w:left="144" w:right="40"/>
              <w:jc w:val="right"/>
              <w:rPr>
                <w:i/>
                <w:sz w:val="14"/>
              </w:rPr>
            </w:pPr>
            <w:r w:rsidRPr="00056BD9">
              <w:rPr>
                <w:i/>
                <w:sz w:val="14"/>
              </w:rPr>
              <w:t>Male</w:t>
            </w:r>
          </w:p>
        </w:tc>
        <w:tc>
          <w:tcPr>
            <w:tcW w:w="1138" w:type="dxa"/>
            <w:tcBorders>
              <w:top w:val="single" w:sz="4" w:space="0" w:color="auto"/>
              <w:bottom w:val="single" w:sz="12" w:space="0" w:color="auto"/>
            </w:tcBorders>
            <w:shd w:val="clear" w:color="auto" w:fill="auto"/>
            <w:vAlign w:val="bottom"/>
          </w:tcPr>
          <w:p w:rsidR="00056BD9" w:rsidRPr="00056BD9" w:rsidRDefault="00056BD9" w:rsidP="00056BD9">
            <w:pPr>
              <w:pStyle w:val="SingleTxtG"/>
              <w:spacing w:before="81" w:after="81" w:line="160" w:lineRule="exact"/>
              <w:ind w:left="144" w:right="40"/>
              <w:jc w:val="right"/>
              <w:rPr>
                <w:i/>
                <w:sz w:val="14"/>
              </w:rPr>
            </w:pPr>
            <w:r w:rsidRPr="00056BD9">
              <w:rPr>
                <w:i/>
                <w:sz w:val="14"/>
              </w:rPr>
              <w:t>Total</w:t>
            </w:r>
          </w:p>
        </w:tc>
        <w:tc>
          <w:tcPr>
            <w:tcW w:w="1138" w:type="dxa"/>
            <w:tcBorders>
              <w:top w:val="single" w:sz="4" w:space="0" w:color="auto"/>
              <w:bottom w:val="single" w:sz="12" w:space="0" w:color="auto"/>
            </w:tcBorders>
            <w:shd w:val="clear" w:color="auto" w:fill="auto"/>
            <w:vAlign w:val="bottom"/>
          </w:tcPr>
          <w:p w:rsidR="00056BD9" w:rsidRPr="00056BD9" w:rsidRDefault="00056BD9" w:rsidP="00056BD9">
            <w:pPr>
              <w:pStyle w:val="SingleTxtG"/>
              <w:spacing w:before="81" w:after="81" w:line="160" w:lineRule="exact"/>
              <w:ind w:left="144" w:right="40"/>
              <w:jc w:val="right"/>
              <w:rPr>
                <w:i/>
                <w:sz w:val="14"/>
              </w:rPr>
            </w:pPr>
            <w:r w:rsidRPr="00056BD9">
              <w:rPr>
                <w:i/>
                <w:sz w:val="14"/>
              </w:rPr>
              <w:t>% Females</w:t>
            </w:r>
          </w:p>
        </w:tc>
      </w:tr>
      <w:tr w:rsidR="00056BD9" w:rsidRPr="00056BD9" w:rsidTr="00056BD9">
        <w:trPr>
          <w:trHeight w:hRule="exact" w:val="115"/>
          <w:tblHeader/>
        </w:trPr>
        <w:tc>
          <w:tcPr>
            <w:tcW w:w="2692" w:type="dxa"/>
            <w:tcBorders>
              <w:top w:val="single" w:sz="12" w:space="0" w:color="auto"/>
            </w:tcBorders>
            <w:shd w:val="clear" w:color="auto" w:fill="auto"/>
            <w:vAlign w:val="bottom"/>
          </w:tcPr>
          <w:p w:rsidR="00056BD9" w:rsidRPr="00056BD9" w:rsidRDefault="00056BD9" w:rsidP="00056BD9">
            <w:pPr>
              <w:pStyle w:val="SingleTxtG"/>
              <w:spacing w:before="40" w:after="40" w:line="210" w:lineRule="exact"/>
              <w:ind w:left="0" w:right="40"/>
              <w:jc w:val="left"/>
              <w:rPr>
                <w:sz w:val="17"/>
              </w:rPr>
            </w:pPr>
          </w:p>
        </w:tc>
        <w:tc>
          <w:tcPr>
            <w:tcW w:w="1138" w:type="dxa"/>
            <w:tcBorders>
              <w:top w:val="single" w:sz="12" w:space="0" w:color="auto"/>
            </w:tcBorders>
            <w:shd w:val="clear" w:color="auto" w:fill="auto"/>
            <w:vAlign w:val="bottom"/>
          </w:tcPr>
          <w:p w:rsidR="00056BD9" w:rsidRPr="00056BD9" w:rsidRDefault="00056BD9" w:rsidP="00056BD9">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056BD9" w:rsidRPr="00056BD9" w:rsidRDefault="00056BD9" w:rsidP="00056BD9">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056BD9" w:rsidRPr="00056BD9" w:rsidRDefault="00056BD9" w:rsidP="00056BD9">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056BD9" w:rsidRPr="00056BD9" w:rsidRDefault="00056BD9" w:rsidP="00056BD9">
            <w:pPr>
              <w:pStyle w:val="SingleTxtG"/>
              <w:spacing w:before="40" w:after="40" w:line="210" w:lineRule="exact"/>
              <w:ind w:left="144" w:right="40"/>
              <w:jc w:val="right"/>
              <w:rPr>
                <w:sz w:val="17"/>
              </w:rPr>
            </w:pPr>
          </w:p>
        </w:tc>
      </w:tr>
      <w:tr w:rsidR="00056BD9" w:rsidRPr="00056BD9" w:rsidTr="00056BD9">
        <w:tc>
          <w:tcPr>
            <w:tcW w:w="2692"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0" w:right="40"/>
              <w:jc w:val="left"/>
              <w:rPr>
                <w:sz w:val="17"/>
              </w:rPr>
            </w:pPr>
            <w:r w:rsidRPr="00056BD9">
              <w:rPr>
                <w:sz w:val="17"/>
              </w:rPr>
              <w:t>2012</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352</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190</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542</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64.9%</w:t>
            </w:r>
          </w:p>
        </w:tc>
      </w:tr>
      <w:tr w:rsidR="00056BD9" w:rsidRPr="00056BD9" w:rsidTr="00056BD9">
        <w:tc>
          <w:tcPr>
            <w:tcW w:w="2692"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0" w:right="40"/>
              <w:jc w:val="left"/>
              <w:rPr>
                <w:sz w:val="17"/>
              </w:rPr>
            </w:pPr>
            <w:r w:rsidRPr="00056BD9">
              <w:rPr>
                <w:sz w:val="17"/>
              </w:rPr>
              <w:t>2013</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396</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196</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592</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66.8%</w:t>
            </w:r>
          </w:p>
        </w:tc>
      </w:tr>
      <w:tr w:rsidR="00056BD9" w:rsidRPr="00056BD9" w:rsidTr="00056BD9">
        <w:tc>
          <w:tcPr>
            <w:tcW w:w="2692"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0" w:right="40"/>
              <w:jc w:val="left"/>
              <w:rPr>
                <w:sz w:val="17"/>
              </w:rPr>
            </w:pPr>
            <w:r w:rsidRPr="00056BD9">
              <w:rPr>
                <w:sz w:val="17"/>
              </w:rPr>
              <w:t>2014</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352</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180</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532</w:t>
            </w:r>
          </w:p>
        </w:tc>
        <w:tc>
          <w:tcPr>
            <w:tcW w:w="1138" w:type="dxa"/>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40" w:line="210" w:lineRule="exact"/>
              <w:ind w:left="144" w:right="40"/>
              <w:jc w:val="right"/>
              <w:rPr>
                <w:sz w:val="17"/>
              </w:rPr>
            </w:pPr>
            <w:r w:rsidRPr="00056BD9">
              <w:rPr>
                <w:sz w:val="17"/>
              </w:rPr>
              <w:t>66.1%</w:t>
            </w:r>
          </w:p>
        </w:tc>
      </w:tr>
      <w:tr w:rsidR="00056BD9" w:rsidRPr="00056BD9" w:rsidTr="00056BD9">
        <w:tc>
          <w:tcPr>
            <w:tcW w:w="2692" w:type="dxa"/>
            <w:tcBorders>
              <w:bottom w:val="single" w:sz="4"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81" w:line="210" w:lineRule="exact"/>
              <w:ind w:left="0" w:right="40"/>
              <w:jc w:val="left"/>
              <w:rPr>
                <w:sz w:val="17"/>
              </w:rPr>
            </w:pPr>
            <w:r w:rsidRPr="00056BD9">
              <w:rPr>
                <w:sz w:val="17"/>
              </w:rPr>
              <w:t>2015</w:t>
            </w:r>
          </w:p>
        </w:tc>
        <w:tc>
          <w:tcPr>
            <w:tcW w:w="1138" w:type="dxa"/>
            <w:tcBorders>
              <w:bottom w:val="single" w:sz="4"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81" w:line="210" w:lineRule="exact"/>
              <w:ind w:left="144" w:right="40"/>
              <w:jc w:val="right"/>
              <w:rPr>
                <w:sz w:val="17"/>
              </w:rPr>
            </w:pPr>
            <w:r w:rsidRPr="00056BD9">
              <w:rPr>
                <w:sz w:val="17"/>
              </w:rPr>
              <w:t>421</w:t>
            </w:r>
          </w:p>
        </w:tc>
        <w:tc>
          <w:tcPr>
            <w:tcW w:w="1138" w:type="dxa"/>
            <w:tcBorders>
              <w:bottom w:val="single" w:sz="4"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81" w:line="210" w:lineRule="exact"/>
              <w:ind w:left="144" w:right="40"/>
              <w:jc w:val="right"/>
              <w:rPr>
                <w:sz w:val="17"/>
              </w:rPr>
            </w:pPr>
            <w:r w:rsidRPr="00056BD9">
              <w:rPr>
                <w:sz w:val="17"/>
              </w:rPr>
              <w:t>232</w:t>
            </w:r>
          </w:p>
        </w:tc>
        <w:tc>
          <w:tcPr>
            <w:tcW w:w="1138" w:type="dxa"/>
            <w:tcBorders>
              <w:bottom w:val="single" w:sz="4"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81" w:line="210" w:lineRule="exact"/>
              <w:ind w:left="144" w:right="40"/>
              <w:jc w:val="right"/>
              <w:rPr>
                <w:sz w:val="17"/>
              </w:rPr>
            </w:pPr>
            <w:r w:rsidRPr="00056BD9">
              <w:rPr>
                <w:sz w:val="17"/>
              </w:rPr>
              <w:t>653</w:t>
            </w:r>
          </w:p>
        </w:tc>
        <w:tc>
          <w:tcPr>
            <w:tcW w:w="1138" w:type="dxa"/>
            <w:tcBorders>
              <w:bottom w:val="single" w:sz="4"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40" w:after="81" w:line="210" w:lineRule="exact"/>
              <w:ind w:left="144" w:right="40"/>
              <w:jc w:val="right"/>
              <w:rPr>
                <w:sz w:val="17"/>
              </w:rPr>
            </w:pPr>
            <w:r w:rsidRPr="00056BD9">
              <w:rPr>
                <w:sz w:val="17"/>
              </w:rPr>
              <w:t>64.5%</w:t>
            </w:r>
          </w:p>
        </w:tc>
      </w:tr>
      <w:tr w:rsidR="00056BD9" w:rsidRPr="00056BD9" w:rsidTr="00056BD9">
        <w:tc>
          <w:tcPr>
            <w:tcW w:w="2692" w:type="dxa"/>
            <w:tcBorders>
              <w:top w:val="single" w:sz="4" w:space="0" w:color="auto"/>
              <w:bottom w:val="single" w:sz="12"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81" w:after="81" w:line="210" w:lineRule="exact"/>
              <w:ind w:left="0" w:right="40"/>
              <w:jc w:val="left"/>
              <w:rPr>
                <w:b/>
                <w:sz w:val="17"/>
              </w:rPr>
            </w:pPr>
            <w:r>
              <w:rPr>
                <w:b/>
                <w:sz w:val="17"/>
              </w:rPr>
              <w:tab/>
            </w:r>
            <w:r w:rsidRPr="00056BD9">
              <w:rPr>
                <w:b/>
                <w:sz w:val="17"/>
              </w:rPr>
              <w:t>Total</w:t>
            </w:r>
          </w:p>
        </w:tc>
        <w:tc>
          <w:tcPr>
            <w:tcW w:w="1138" w:type="dxa"/>
            <w:tcBorders>
              <w:top w:val="single" w:sz="4" w:space="0" w:color="auto"/>
              <w:bottom w:val="single" w:sz="12"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81" w:after="81" w:line="210" w:lineRule="exact"/>
              <w:ind w:left="144" w:right="40"/>
              <w:jc w:val="right"/>
              <w:rPr>
                <w:b/>
                <w:sz w:val="17"/>
              </w:rPr>
            </w:pPr>
            <w:r w:rsidRPr="00056BD9">
              <w:rPr>
                <w:b/>
                <w:sz w:val="17"/>
              </w:rPr>
              <w:t>1</w:t>
            </w:r>
            <w:r w:rsidR="007B0E78">
              <w:rPr>
                <w:b/>
                <w:sz w:val="17"/>
              </w:rPr>
              <w:t xml:space="preserve"> </w:t>
            </w:r>
            <w:r w:rsidRPr="00056BD9">
              <w:rPr>
                <w:b/>
                <w:sz w:val="17"/>
              </w:rPr>
              <w:t>521</w:t>
            </w:r>
          </w:p>
        </w:tc>
        <w:tc>
          <w:tcPr>
            <w:tcW w:w="1138" w:type="dxa"/>
            <w:tcBorders>
              <w:top w:val="single" w:sz="4" w:space="0" w:color="auto"/>
              <w:bottom w:val="single" w:sz="12"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81" w:after="81" w:line="210" w:lineRule="exact"/>
              <w:ind w:left="144" w:right="40"/>
              <w:jc w:val="right"/>
              <w:rPr>
                <w:b/>
                <w:sz w:val="17"/>
              </w:rPr>
            </w:pPr>
            <w:r w:rsidRPr="00056BD9">
              <w:rPr>
                <w:b/>
                <w:sz w:val="17"/>
              </w:rPr>
              <w:t>798</w:t>
            </w:r>
          </w:p>
        </w:tc>
        <w:tc>
          <w:tcPr>
            <w:tcW w:w="1138" w:type="dxa"/>
            <w:tcBorders>
              <w:top w:val="single" w:sz="4" w:space="0" w:color="auto"/>
              <w:bottom w:val="single" w:sz="12"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81" w:after="81" w:line="210" w:lineRule="exact"/>
              <w:ind w:left="144" w:right="40"/>
              <w:jc w:val="right"/>
              <w:rPr>
                <w:b/>
                <w:sz w:val="17"/>
              </w:rPr>
            </w:pPr>
            <w:r w:rsidRPr="00056BD9">
              <w:rPr>
                <w:b/>
                <w:sz w:val="17"/>
              </w:rPr>
              <w:t>2</w:t>
            </w:r>
            <w:r w:rsidR="007B0E78">
              <w:rPr>
                <w:b/>
                <w:sz w:val="17"/>
              </w:rPr>
              <w:t xml:space="preserve"> </w:t>
            </w:r>
            <w:r w:rsidRPr="00056BD9">
              <w:rPr>
                <w:b/>
                <w:sz w:val="17"/>
              </w:rPr>
              <w:t>319</w:t>
            </w:r>
          </w:p>
        </w:tc>
        <w:tc>
          <w:tcPr>
            <w:tcW w:w="1138" w:type="dxa"/>
            <w:tcBorders>
              <w:top w:val="single" w:sz="4" w:space="0" w:color="auto"/>
              <w:bottom w:val="single" w:sz="12" w:space="0" w:color="auto"/>
            </w:tcBorders>
            <w:shd w:val="clear" w:color="auto" w:fill="auto"/>
            <w:vAlign w:val="bottom"/>
          </w:tcPr>
          <w:p w:rsidR="00056BD9" w:rsidRPr="00056BD9" w:rsidRDefault="00056BD9" w:rsidP="00056BD9">
            <w:pPr>
              <w:pStyle w:val="SingleTxtG"/>
              <w:tabs>
                <w:tab w:val="left" w:pos="288"/>
                <w:tab w:val="left" w:pos="576"/>
                <w:tab w:val="left" w:pos="864"/>
                <w:tab w:val="left" w:pos="1152"/>
              </w:tabs>
              <w:spacing w:before="81" w:after="81" w:line="210" w:lineRule="exact"/>
              <w:ind w:left="144" w:right="40"/>
              <w:jc w:val="right"/>
              <w:rPr>
                <w:b/>
                <w:sz w:val="17"/>
              </w:rPr>
            </w:pPr>
            <w:r w:rsidRPr="00056BD9">
              <w:rPr>
                <w:b/>
                <w:sz w:val="17"/>
              </w:rPr>
              <w:t>65.6%</w:t>
            </w:r>
          </w:p>
        </w:tc>
      </w:tr>
    </w:tbl>
    <w:p w:rsidR="00626016" w:rsidRPr="00056BD9" w:rsidRDefault="00626016" w:rsidP="00056BD9">
      <w:pPr>
        <w:pStyle w:val="SingleTxt"/>
        <w:spacing w:after="0" w:line="120" w:lineRule="exact"/>
        <w:rPr>
          <w:sz w:val="10"/>
        </w:rPr>
      </w:pPr>
    </w:p>
    <w:p w:rsidR="00626016" w:rsidRDefault="00626016" w:rsidP="00056BD9">
      <w:pPr>
        <w:pStyle w:val="FootnoteText"/>
        <w:tabs>
          <w:tab w:val="clear" w:pos="418"/>
          <w:tab w:val="right" w:pos="1476"/>
          <w:tab w:val="left" w:pos="1548"/>
          <w:tab w:val="right" w:pos="1836"/>
          <w:tab w:val="left" w:pos="1908"/>
        </w:tabs>
        <w:ind w:left="1548" w:right="1267" w:hanging="288"/>
      </w:pPr>
      <w:r w:rsidRPr="00056BD9">
        <w:rPr>
          <w:i/>
          <w:iCs/>
        </w:rPr>
        <w:t>Source</w:t>
      </w:r>
      <w:r>
        <w:t xml:space="preserve">: </w:t>
      </w:r>
      <w:r w:rsidRPr="006178D4">
        <w:rPr>
          <w:i/>
          <w:iCs/>
        </w:rPr>
        <w:t>Department of Education</w:t>
      </w:r>
      <w:r w:rsidR="00056BD9">
        <w:t>.</w:t>
      </w:r>
    </w:p>
    <w:p w:rsidR="00626016" w:rsidRDefault="00626016" w:rsidP="0005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Financial Aid Available to Students at the College of The Bahamas</w:t>
      </w:r>
    </w:p>
    <w:p w:rsidR="00056BD9" w:rsidRPr="00056BD9" w:rsidRDefault="00056BD9" w:rsidP="00056BD9">
      <w:pPr>
        <w:pStyle w:val="SingleTxt"/>
        <w:spacing w:after="0" w:line="120" w:lineRule="exact"/>
        <w:rPr>
          <w:sz w:val="10"/>
          <w:lang w:val="en-US"/>
        </w:rPr>
      </w:pPr>
    </w:p>
    <w:p w:rsidR="00626016" w:rsidRDefault="00626016" w:rsidP="00626016">
      <w:pPr>
        <w:pStyle w:val="SingleTxt"/>
      </w:pPr>
      <w:r>
        <w:t>83.</w:t>
      </w:r>
      <w:r>
        <w:tab/>
        <w:t>As indicated in the table below, financial aid is available specifically for the students at the College of The Bahamas. In relation to the distribution of grants and scholarships for the year 2015, the breakdown by sex is 754 males and 2144 females.</w:t>
      </w:r>
    </w:p>
    <w:p w:rsidR="002B2E00" w:rsidRPr="002B2E00" w:rsidRDefault="002B2E00" w:rsidP="002B2E00">
      <w:pPr>
        <w:pStyle w:val="SingleTxt"/>
        <w:spacing w:after="0" w:line="120" w:lineRule="exact"/>
        <w:rPr>
          <w:sz w:val="10"/>
        </w:rPr>
      </w:pPr>
    </w:p>
    <w:p w:rsidR="00626016" w:rsidRPr="002B2E00" w:rsidRDefault="002B2E00" w:rsidP="002B2E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2B2E00">
        <w:rPr>
          <w:b w:val="0"/>
          <w:bCs/>
        </w:rPr>
        <w:t>Table 6</w:t>
      </w:r>
    </w:p>
    <w:p w:rsidR="00626016" w:rsidRDefault="002B2E00" w:rsidP="002B2E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2E00">
        <w:rPr>
          <w:b w:val="0"/>
          <w:bCs/>
        </w:rPr>
        <w:tab/>
      </w:r>
      <w:r w:rsidRPr="002B2E00">
        <w:rPr>
          <w:b w:val="0"/>
          <w:bCs/>
        </w:rPr>
        <w:tab/>
      </w:r>
      <w:r w:rsidR="00626016">
        <w:t>Scholarships, Grants &amp; Other Awards (Public &amp; Private) available to students at the College of The</w:t>
      </w:r>
      <w:r w:rsidR="007B0E78">
        <w:t xml:space="preserve"> Bahamas Awarded by Sex (2012-</w:t>
      </w:r>
      <w:r w:rsidR="00626016">
        <w:t>2015)</w:t>
      </w:r>
    </w:p>
    <w:p w:rsidR="002B2E00" w:rsidRPr="002B2E00" w:rsidRDefault="002B2E00" w:rsidP="002B2E00">
      <w:pPr>
        <w:pStyle w:val="SingleTxt"/>
        <w:spacing w:after="0" w:line="120" w:lineRule="exact"/>
        <w:rPr>
          <w:sz w:val="10"/>
        </w:rPr>
      </w:pPr>
    </w:p>
    <w:tbl>
      <w:tblPr>
        <w:tblW w:w="7244" w:type="dxa"/>
        <w:tblInd w:w="1260" w:type="dxa"/>
        <w:tblLayout w:type="fixed"/>
        <w:tblCellMar>
          <w:left w:w="0" w:type="dxa"/>
          <w:right w:w="0" w:type="dxa"/>
        </w:tblCellMar>
        <w:tblLook w:val="0000" w:firstRow="0" w:lastRow="0" w:firstColumn="0" w:lastColumn="0" w:noHBand="0" w:noVBand="0"/>
      </w:tblPr>
      <w:tblGrid>
        <w:gridCol w:w="2692"/>
        <w:gridCol w:w="1138"/>
        <w:gridCol w:w="1138"/>
        <w:gridCol w:w="1138"/>
        <w:gridCol w:w="1138"/>
      </w:tblGrid>
      <w:tr w:rsidR="002B2E00" w:rsidRPr="002B2E00" w:rsidTr="002B2E00">
        <w:trPr>
          <w:tblHeader/>
        </w:trPr>
        <w:tc>
          <w:tcPr>
            <w:tcW w:w="2692"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0" w:right="40"/>
              <w:jc w:val="left"/>
              <w:rPr>
                <w:i/>
                <w:sz w:val="14"/>
              </w:rPr>
            </w:pPr>
            <w:r w:rsidRPr="002B2E00">
              <w:rPr>
                <w:i/>
                <w:sz w:val="14"/>
              </w:rPr>
              <w:t>Period</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144" w:right="40"/>
              <w:jc w:val="right"/>
              <w:rPr>
                <w:i/>
                <w:sz w:val="14"/>
              </w:rPr>
            </w:pPr>
            <w:r w:rsidRPr="002B2E00">
              <w:rPr>
                <w:i/>
                <w:sz w:val="14"/>
              </w:rPr>
              <w:t>Female</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144" w:right="40"/>
              <w:jc w:val="right"/>
              <w:rPr>
                <w:i/>
                <w:sz w:val="14"/>
              </w:rPr>
            </w:pPr>
            <w:r w:rsidRPr="002B2E00">
              <w:rPr>
                <w:i/>
                <w:sz w:val="14"/>
              </w:rPr>
              <w:t>Male</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144" w:right="40"/>
              <w:jc w:val="right"/>
              <w:rPr>
                <w:i/>
                <w:sz w:val="14"/>
              </w:rPr>
            </w:pPr>
            <w:r w:rsidRPr="002B2E00">
              <w:rPr>
                <w:i/>
                <w:sz w:val="14"/>
              </w:rPr>
              <w:t>Total</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144" w:right="40"/>
              <w:jc w:val="right"/>
              <w:rPr>
                <w:i/>
                <w:sz w:val="14"/>
              </w:rPr>
            </w:pPr>
            <w:r w:rsidRPr="002B2E00">
              <w:rPr>
                <w:i/>
                <w:sz w:val="14"/>
              </w:rPr>
              <w:t>% Females</w:t>
            </w:r>
          </w:p>
        </w:tc>
      </w:tr>
      <w:tr w:rsidR="002B2E00" w:rsidRPr="002B2E00" w:rsidTr="002B2E00">
        <w:trPr>
          <w:trHeight w:hRule="exact" w:val="115"/>
          <w:tblHeader/>
        </w:trPr>
        <w:tc>
          <w:tcPr>
            <w:tcW w:w="2692"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0" w:right="40"/>
              <w:jc w:val="left"/>
              <w:rPr>
                <w:sz w:val="17"/>
              </w:rPr>
            </w:pPr>
          </w:p>
        </w:tc>
        <w:tc>
          <w:tcPr>
            <w:tcW w:w="1138"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144" w:right="40"/>
              <w:jc w:val="right"/>
              <w:rPr>
                <w:sz w:val="17"/>
              </w:rPr>
            </w:pPr>
          </w:p>
        </w:tc>
      </w:tr>
      <w:tr w:rsidR="002B2E00" w:rsidRPr="002B2E00" w:rsidTr="002B2E00">
        <w:tc>
          <w:tcPr>
            <w:tcW w:w="2692"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0" w:right="40"/>
              <w:jc w:val="left"/>
              <w:rPr>
                <w:sz w:val="17"/>
              </w:rPr>
            </w:pPr>
            <w:r w:rsidRPr="002B2E00">
              <w:rPr>
                <w:sz w:val="17"/>
              </w:rPr>
              <w:t>2011</w:t>
            </w:r>
            <w:r>
              <w:rPr>
                <w:sz w:val="17"/>
              </w:rPr>
              <w:t>-</w:t>
            </w:r>
            <w:r w:rsidRPr="002B2E00">
              <w:rPr>
                <w:sz w:val="17"/>
              </w:rPr>
              <w:t>2012</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1</w:t>
            </w:r>
            <w:r w:rsidR="0079688F">
              <w:rPr>
                <w:sz w:val="17"/>
              </w:rPr>
              <w:t xml:space="preserve"> </w:t>
            </w:r>
            <w:r w:rsidRPr="002B2E00">
              <w:rPr>
                <w:sz w:val="17"/>
              </w:rPr>
              <w:t>836</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592</w:t>
            </w:r>
          </w:p>
        </w:tc>
        <w:tc>
          <w:tcPr>
            <w:tcW w:w="1138" w:type="dxa"/>
            <w:shd w:val="clear" w:color="auto" w:fill="auto"/>
            <w:vAlign w:val="bottom"/>
          </w:tcPr>
          <w:p w:rsidR="002B2E00" w:rsidRPr="002B2E00" w:rsidRDefault="002B2E00" w:rsidP="0079688F">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2</w:t>
            </w:r>
            <w:r w:rsidR="0079688F">
              <w:rPr>
                <w:sz w:val="17"/>
              </w:rPr>
              <w:t xml:space="preserve"> </w:t>
            </w:r>
            <w:r w:rsidRPr="002B2E00">
              <w:rPr>
                <w:sz w:val="17"/>
              </w:rPr>
              <w:t>428</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75.61%</w:t>
            </w:r>
          </w:p>
        </w:tc>
      </w:tr>
      <w:tr w:rsidR="002B2E00" w:rsidRPr="002B2E00" w:rsidTr="002B2E00">
        <w:tc>
          <w:tcPr>
            <w:tcW w:w="2692"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0" w:right="40"/>
              <w:jc w:val="left"/>
              <w:rPr>
                <w:sz w:val="17"/>
              </w:rPr>
            </w:pPr>
            <w:r w:rsidRPr="002B2E00">
              <w:rPr>
                <w:sz w:val="17"/>
              </w:rPr>
              <w:t>2012</w:t>
            </w:r>
            <w:r>
              <w:rPr>
                <w:sz w:val="17"/>
              </w:rPr>
              <w:t>-</w:t>
            </w:r>
            <w:r w:rsidRPr="002B2E00">
              <w:rPr>
                <w:sz w:val="17"/>
              </w:rPr>
              <w:t>2013</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1</w:t>
            </w:r>
            <w:r w:rsidR="0079688F">
              <w:rPr>
                <w:sz w:val="17"/>
              </w:rPr>
              <w:t xml:space="preserve"> </w:t>
            </w:r>
            <w:r w:rsidRPr="002B2E00">
              <w:rPr>
                <w:sz w:val="17"/>
              </w:rPr>
              <w:t>826</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622</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2</w:t>
            </w:r>
            <w:r w:rsidR="0079688F">
              <w:rPr>
                <w:sz w:val="17"/>
              </w:rPr>
              <w:t xml:space="preserve"> </w:t>
            </w:r>
            <w:r w:rsidRPr="002B2E00">
              <w:rPr>
                <w:sz w:val="17"/>
              </w:rPr>
              <w:t>448</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74.59%</w:t>
            </w:r>
          </w:p>
        </w:tc>
      </w:tr>
      <w:tr w:rsidR="002B2E00" w:rsidRPr="002B2E00" w:rsidTr="002B2E00">
        <w:tc>
          <w:tcPr>
            <w:tcW w:w="2692"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0" w:right="40"/>
              <w:jc w:val="left"/>
              <w:rPr>
                <w:sz w:val="17"/>
              </w:rPr>
            </w:pPr>
            <w:r w:rsidRPr="002B2E00">
              <w:rPr>
                <w:sz w:val="17"/>
              </w:rPr>
              <w:t>2013</w:t>
            </w:r>
            <w:r>
              <w:rPr>
                <w:sz w:val="17"/>
              </w:rPr>
              <w:t>-</w:t>
            </w:r>
            <w:r w:rsidRPr="002B2E00">
              <w:rPr>
                <w:sz w:val="17"/>
              </w:rPr>
              <w:t>2014</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1</w:t>
            </w:r>
            <w:r w:rsidR="0079688F">
              <w:rPr>
                <w:sz w:val="17"/>
              </w:rPr>
              <w:t xml:space="preserve"> </w:t>
            </w:r>
            <w:r w:rsidRPr="002B2E00">
              <w:rPr>
                <w:sz w:val="17"/>
              </w:rPr>
              <w:t>975</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666</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2</w:t>
            </w:r>
            <w:r w:rsidR="0079688F">
              <w:rPr>
                <w:sz w:val="17"/>
              </w:rPr>
              <w:t xml:space="preserve"> </w:t>
            </w:r>
            <w:r w:rsidRPr="002B2E00">
              <w:rPr>
                <w:sz w:val="17"/>
              </w:rPr>
              <w:t>641</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74.78%</w:t>
            </w:r>
          </w:p>
        </w:tc>
      </w:tr>
      <w:tr w:rsidR="002B2E00" w:rsidRPr="002B2E00" w:rsidTr="002B2E00">
        <w:tc>
          <w:tcPr>
            <w:tcW w:w="2692"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0" w:right="40"/>
              <w:jc w:val="left"/>
              <w:rPr>
                <w:sz w:val="17"/>
              </w:rPr>
            </w:pPr>
            <w:r w:rsidRPr="002B2E00">
              <w:rPr>
                <w:sz w:val="17"/>
              </w:rPr>
              <w:t>2014</w:t>
            </w:r>
            <w:r>
              <w:rPr>
                <w:sz w:val="17"/>
              </w:rPr>
              <w:t>-</w:t>
            </w:r>
            <w:r w:rsidRPr="002B2E00">
              <w:rPr>
                <w:sz w:val="17"/>
              </w:rPr>
              <w:t>2015</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1</w:t>
            </w:r>
            <w:r w:rsidR="0079688F">
              <w:rPr>
                <w:sz w:val="17"/>
              </w:rPr>
              <w:t xml:space="preserve"> </w:t>
            </w:r>
            <w:r w:rsidRPr="002B2E00">
              <w:rPr>
                <w:sz w:val="17"/>
              </w:rPr>
              <w:t>986</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681</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2</w:t>
            </w:r>
            <w:r w:rsidR="0079688F">
              <w:rPr>
                <w:sz w:val="17"/>
              </w:rPr>
              <w:t xml:space="preserve"> </w:t>
            </w:r>
            <w:r w:rsidRPr="002B2E00">
              <w:rPr>
                <w:sz w:val="17"/>
              </w:rPr>
              <w:t>667</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74.46%</w:t>
            </w:r>
          </w:p>
        </w:tc>
      </w:tr>
      <w:tr w:rsidR="002B2E00" w:rsidRPr="002B2E00" w:rsidTr="002B2E00">
        <w:tc>
          <w:tcPr>
            <w:tcW w:w="2692"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0" w:right="40"/>
              <w:jc w:val="left"/>
              <w:rPr>
                <w:sz w:val="17"/>
              </w:rPr>
            </w:pPr>
            <w:r w:rsidRPr="002B2E00">
              <w:rPr>
                <w:sz w:val="17"/>
              </w:rPr>
              <w:t>2015</w:t>
            </w:r>
            <w:r>
              <w:rPr>
                <w:sz w:val="17"/>
              </w:rPr>
              <w:t>-</w:t>
            </w:r>
            <w:r w:rsidRPr="002B2E00">
              <w:rPr>
                <w:sz w:val="17"/>
              </w:rPr>
              <w:t>2016</w:t>
            </w:r>
          </w:p>
        </w:tc>
        <w:tc>
          <w:tcPr>
            <w:tcW w:w="1138"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144" w:right="40"/>
              <w:jc w:val="right"/>
              <w:rPr>
                <w:sz w:val="17"/>
              </w:rPr>
            </w:pPr>
            <w:r w:rsidRPr="002B2E00">
              <w:rPr>
                <w:sz w:val="17"/>
              </w:rPr>
              <w:t>2</w:t>
            </w:r>
            <w:r w:rsidR="0079688F">
              <w:rPr>
                <w:sz w:val="17"/>
              </w:rPr>
              <w:t xml:space="preserve"> </w:t>
            </w:r>
            <w:r w:rsidRPr="002B2E00">
              <w:rPr>
                <w:sz w:val="17"/>
              </w:rPr>
              <w:t>144</w:t>
            </w:r>
          </w:p>
        </w:tc>
        <w:tc>
          <w:tcPr>
            <w:tcW w:w="1138"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144" w:right="40"/>
              <w:jc w:val="right"/>
              <w:rPr>
                <w:sz w:val="17"/>
              </w:rPr>
            </w:pPr>
            <w:r w:rsidRPr="002B2E00">
              <w:rPr>
                <w:sz w:val="17"/>
              </w:rPr>
              <w:t>754</w:t>
            </w:r>
          </w:p>
        </w:tc>
        <w:tc>
          <w:tcPr>
            <w:tcW w:w="1138"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144" w:right="40"/>
              <w:jc w:val="right"/>
              <w:rPr>
                <w:sz w:val="17"/>
              </w:rPr>
            </w:pPr>
            <w:r w:rsidRPr="002B2E00">
              <w:rPr>
                <w:sz w:val="17"/>
              </w:rPr>
              <w:t>2</w:t>
            </w:r>
            <w:r w:rsidR="0079688F">
              <w:rPr>
                <w:sz w:val="17"/>
              </w:rPr>
              <w:t xml:space="preserve"> </w:t>
            </w:r>
            <w:r w:rsidRPr="002B2E00">
              <w:rPr>
                <w:sz w:val="17"/>
              </w:rPr>
              <w:t>898</w:t>
            </w:r>
          </w:p>
        </w:tc>
        <w:tc>
          <w:tcPr>
            <w:tcW w:w="1138"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144" w:right="40"/>
              <w:jc w:val="right"/>
              <w:rPr>
                <w:sz w:val="17"/>
              </w:rPr>
            </w:pPr>
            <w:r w:rsidRPr="002B2E00">
              <w:rPr>
                <w:sz w:val="17"/>
              </w:rPr>
              <w:t>73.98%</w:t>
            </w:r>
          </w:p>
        </w:tc>
      </w:tr>
      <w:tr w:rsidR="002B2E00" w:rsidRPr="002B2E00" w:rsidTr="002B2E00">
        <w:tc>
          <w:tcPr>
            <w:tcW w:w="2692"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0" w:right="40"/>
              <w:jc w:val="left"/>
              <w:rPr>
                <w:b/>
                <w:sz w:val="17"/>
              </w:rPr>
            </w:pPr>
            <w:r>
              <w:rPr>
                <w:b/>
                <w:sz w:val="17"/>
              </w:rPr>
              <w:tab/>
            </w:r>
            <w:r w:rsidRPr="002B2E00">
              <w:rPr>
                <w:b/>
                <w:sz w:val="17"/>
              </w:rPr>
              <w:t>Total</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144" w:right="40"/>
              <w:jc w:val="right"/>
              <w:rPr>
                <w:b/>
                <w:sz w:val="17"/>
              </w:rPr>
            </w:pPr>
            <w:r w:rsidRPr="002B2E00">
              <w:rPr>
                <w:b/>
                <w:sz w:val="17"/>
              </w:rPr>
              <w:t>9</w:t>
            </w:r>
            <w:r w:rsidR="007B0E78">
              <w:rPr>
                <w:b/>
                <w:sz w:val="17"/>
              </w:rPr>
              <w:t xml:space="preserve"> </w:t>
            </w:r>
            <w:r w:rsidRPr="002B2E00">
              <w:rPr>
                <w:b/>
                <w:sz w:val="17"/>
              </w:rPr>
              <w:t>767</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144" w:right="40"/>
              <w:jc w:val="right"/>
              <w:rPr>
                <w:b/>
                <w:sz w:val="17"/>
              </w:rPr>
            </w:pPr>
            <w:r w:rsidRPr="002B2E00">
              <w:rPr>
                <w:b/>
                <w:sz w:val="17"/>
              </w:rPr>
              <w:t>3</w:t>
            </w:r>
            <w:r w:rsidR="007B0E78">
              <w:rPr>
                <w:b/>
                <w:sz w:val="17"/>
              </w:rPr>
              <w:t xml:space="preserve"> </w:t>
            </w:r>
            <w:r w:rsidRPr="002B2E00">
              <w:rPr>
                <w:b/>
                <w:sz w:val="17"/>
              </w:rPr>
              <w:t>315</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144" w:right="40"/>
              <w:jc w:val="right"/>
              <w:rPr>
                <w:b/>
                <w:sz w:val="17"/>
              </w:rPr>
            </w:pPr>
            <w:r w:rsidRPr="002B2E00">
              <w:rPr>
                <w:b/>
                <w:sz w:val="17"/>
              </w:rPr>
              <w:t>13</w:t>
            </w:r>
            <w:r w:rsidR="007B0E78">
              <w:rPr>
                <w:b/>
                <w:sz w:val="17"/>
              </w:rPr>
              <w:t xml:space="preserve"> </w:t>
            </w:r>
            <w:r w:rsidRPr="002B2E00">
              <w:rPr>
                <w:b/>
                <w:sz w:val="17"/>
              </w:rPr>
              <w:t>082</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144" w:right="40"/>
              <w:jc w:val="right"/>
              <w:rPr>
                <w:b/>
                <w:sz w:val="17"/>
              </w:rPr>
            </w:pPr>
            <w:r w:rsidRPr="002B2E00">
              <w:rPr>
                <w:b/>
                <w:sz w:val="17"/>
              </w:rPr>
              <w:t>74.68%</w:t>
            </w:r>
          </w:p>
        </w:tc>
      </w:tr>
    </w:tbl>
    <w:p w:rsidR="002B2E00" w:rsidRPr="002B2E00" w:rsidRDefault="002B2E00" w:rsidP="002B2E00">
      <w:pPr>
        <w:pStyle w:val="SingleTxt"/>
        <w:spacing w:after="0" w:line="120" w:lineRule="exact"/>
        <w:rPr>
          <w:sz w:val="10"/>
        </w:rPr>
      </w:pPr>
    </w:p>
    <w:p w:rsidR="00626016" w:rsidRDefault="00626016" w:rsidP="002B2E00">
      <w:pPr>
        <w:pStyle w:val="FootnoteText"/>
        <w:tabs>
          <w:tab w:val="clear" w:pos="418"/>
          <w:tab w:val="right" w:pos="1476"/>
          <w:tab w:val="left" w:pos="1548"/>
          <w:tab w:val="right" w:pos="1836"/>
          <w:tab w:val="left" w:pos="1908"/>
        </w:tabs>
        <w:ind w:left="1548" w:right="1267" w:hanging="288"/>
      </w:pPr>
      <w:r w:rsidRPr="002B2E00">
        <w:rPr>
          <w:i/>
          <w:iCs/>
        </w:rPr>
        <w:t>Source</w:t>
      </w:r>
      <w:r>
        <w:t xml:space="preserve">: </w:t>
      </w:r>
      <w:r w:rsidRPr="006178D4">
        <w:rPr>
          <w:i/>
          <w:iCs/>
        </w:rPr>
        <w:t>College of The Bahamas</w:t>
      </w:r>
      <w:r w:rsidR="002B2E00">
        <w:t>.</w:t>
      </w:r>
    </w:p>
    <w:p w:rsidR="002B2E00" w:rsidRPr="002B2E00" w:rsidRDefault="002B2E00" w:rsidP="002B2E00">
      <w:pPr>
        <w:pStyle w:val="FootnoteText"/>
        <w:tabs>
          <w:tab w:val="clear" w:pos="418"/>
          <w:tab w:val="right" w:pos="1476"/>
          <w:tab w:val="left" w:pos="1548"/>
          <w:tab w:val="right" w:pos="1836"/>
          <w:tab w:val="left" w:pos="1908"/>
        </w:tabs>
        <w:spacing w:line="120" w:lineRule="exact"/>
        <w:ind w:left="1548" w:right="1267" w:hanging="288"/>
        <w:rPr>
          <w:sz w:val="10"/>
        </w:rPr>
      </w:pPr>
    </w:p>
    <w:p w:rsidR="002B2E00" w:rsidRPr="002B2E00" w:rsidRDefault="002B2E00" w:rsidP="002B2E00">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2B2E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Public Schools Scholar Program</w:t>
      </w:r>
    </w:p>
    <w:p w:rsidR="002B2E00" w:rsidRPr="002B2E00" w:rsidRDefault="002B2E00" w:rsidP="002B2E00">
      <w:pPr>
        <w:pStyle w:val="SingleTxt"/>
        <w:spacing w:after="0" w:line="120" w:lineRule="exact"/>
        <w:rPr>
          <w:sz w:val="10"/>
          <w:lang w:val="en-US"/>
        </w:rPr>
      </w:pPr>
    </w:p>
    <w:p w:rsidR="00626016" w:rsidRDefault="00626016" w:rsidP="00626016">
      <w:pPr>
        <w:pStyle w:val="SingleTxt"/>
      </w:pPr>
      <w:r>
        <w:t>84.</w:t>
      </w:r>
      <w:r>
        <w:tab/>
        <w:t>Since the Fifth Periodic Report, The Government implemented the Public Schools Scholar Program in 2015. This program seeks to send public school students to college with the help of partner international colleges and universities. The students must meet the requirements of the education institutions. Priority is given to students who will be the first in their families to attend college. In 2015, eighteen students were selected to receive this grant which ranged from $7,500 to $10,000 per year. The partnering international institutions are required to offer a grant of equal or greater value. Of the eighteen recipients of 2015, twelve were females.</w:t>
      </w:r>
    </w:p>
    <w:p w:rsidR="002B2E00" w:rsidRPr="002B2E00" w:rsidRDefault="002B2E00" w:rsidP="002B2E00">
      <w:pPr>
        <w:pStyle w:val="SingleTxt"/>
        <w:spacing w:after="0" w:line="120" w:lineRule="exact"/>
        <w:rPr>
          <w:sz w:val="10"/>
        </w:rPr>
      </w:pPr>
    </w:p>
    <w:p w:rsidR="00626016" w:rsidRDefault="00626016" w:rsidP="002B2E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All Bahamas Merit Scholarship</w:t>
      </w:r>
    </w:p>
    <w:p w:rsidR="002B2E00" w:rsidRPr="002B2E00" w:rsidRDefault="002B2E00" w:rsidP="002B2E00">
      <w:pPr>
        <w:pStyle w:val="SingleTxt"/>
        <w:spacing w:after="0" w:line="120" w:lineRule="exact"/>
        <w:rPr>
          <w:sz w:val="10"/>
        </w:rPr>
      </w:pPr>
    </w:p>
    <w:p w:rsidR="00626016" w:rsidRDefault="00626016" w:rsidP="00626016">
      <w:pPr>
        <w:pStyle w:val="SingleTxt"/>
      </w:pPr>
      <w:r>
        <w:t>85.</w:t>
      </w:r>
      <w:r>
        <w:tab/>
        <w:t>The Bahamas also has The All Bahamas Merit Scholarship. This award is given to outstanding students who not only display academic excellence throughout their high school career but also are considered to be students who have achieved in several areas of life including community service, athletics, and extracurricular activities. Within the reporting period, one female student has received the All Bahamas Merit Scholarship.</w:t>
      </w:r>
    </w:p>
    <w:p w:rsidR="002B2E00" w:rsidRPr="002B2E00" w:rsidRDefault="002B2E00" w:rsidP="002B2E00">
      <w:pPr>
        <w:pStyle w:val="SingleTxt"/>
        <w:spacing w:after="0" w:line="120" w:lineRule="exact"/>
        <w:rPr>
          <w:sz w:val="10"/>
        </w:rPr>
      </w:pPr>
    </w:p>
    <w:p w:rsidR="00626016" w:rsidRDefault="00626016" w:rsidP="002B2E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Gerace Scholarship</w:t>
      </w:r>
    </w:p>
    <w:p w:rsidR="002B2E00" w:rsidRPr="002B2E00" w:rsidRDefault="002B2E00" w:rsidP="002B2E00">
      <w:pPr>
        <w:pStyle w:val="SingleTxt"/>
        <w:spacing w:after="0" w:line="120" w:lineRule="exact"/>
        <w:rPr>
          <w:sz w:val="10"/>
        </w:rPr>
      </w:pPr>
    </w:p>
    <w:p w:rsidR="00626016" w:rsidRDefault="00626016" w:rsidP="002B2E00">
      <w:pPr>
        <w:pStyle w:val="SingleTxt"/>
      </w:pPr>
      <w:r>
        <w:t>86.</w:t>
      </w:r>
      <w:r>
        <w:tab/>
        <w:t xml:space="preserve">The Gerace Scholarship is another award given as a result of an agreement between the Government of The Bahamas, the Gerace Research Centre and several post-secondary institutions. The College of The Bahamas’ Gerace Research Centre is a natural science research and education facility located on San Salvador </w:t>
      </w:r>
      <w:r w:rsidR="002B2E00">
        <w:t>—</w:t>
      </w:r>
      <w:r>
        <w:t xml:space="preserve"> one of the Family Islands. Costs of attendance for scholarship recipients are shared by the participating institutions. During the reporting period, 56% of the scholarship recipients were female.</w:t>
      </w:r>
    </w:p>
    <w:p w:rsidR="002B2E00" w:rsidRPr="002B2E00" w:rsidRDefault="002B2E00" w:rsidP="002B2E00">
      <w:pPr>
        <w:pStyle w:val="SingleTxt"/>
        <w:spacing w:after="0" w:line="120" w:lineRule="exact"/>
        <w:rPr>
          <w:sz w:val="10"/>
        </w:rPr>
      </w:pPr>
    </w:p>
    <w:p w:rsidR="00626016" w:rsidRPr="002B2E00" w:rsidRDefault="002B2E00" w:rsidP="002B2E0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lastRenderedPageBreak/>
        <w:tab/>
      </w:r>
      <w:r w:rsidRPr="002B2E00">
        <w:rPr>
          <w:b w:val="0"/>
          <w:bCs/>
        </w:rPr>
        <w:tab/>
      </w:r>
      <w:r w:rsidR="00626016" w:rsidRPr="002B2E00">
        <w:rPr>
          <w:b w:val="0"/>
          <w:bCs/>
        </w:rPr>
        <w:t>Table 7</w:t>
      </w:r>
    </w:p>
    <w:p w:rsidR="00626016" w:rsidRDefault="002B2E00" w:rsidP="002B2E0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Gerace Scho</w:t>
      </w:r>
      <w:r>
        <w:t>larships awarded by Sex (2012-</w:t>
      </w:r>
      <w:r w:rsidR="00626016">
        <w:t>2015)</w:t>
      </w:r>
    </w:p>
    <w:p w:rsidR="002B2E00" w:rsidRPr="002B2E00" w:rsidRDefault="002B2E00" w:rsidP="002B2E00">
      <w:pPr>
        <w:pStyle w:val="SingleTxt"/>
        <w:keepNext/>
        <w:keepLines/>
        <w:spacing w:after="0" w:line="120" w:lineRule="exact"/>
        <w:rPr>
          <w:sz w:val="10"/>
          <w:lang w:val="en-US"/>
        </w:rPr>
      </w:pPr>
    </w:p>
    <w:tbl>
      <w:tblPr>
        <w:tblW w:w="7244" w:type="dxa"/>
        <w:tblInd w:w="1260" w:type="dxa"/>
        <w:tblLayout w:type="fixed"/>
        <w:tblCellMar>
          <w:left w:w="0" w:type="dxa"/>
          <w:right w:w="0" w:type="dxa"/>
        </w:tblCellMar>
        <w:tblLook w:val="0000" w:firstRow="0" w:lastRow="0" w:firstColumn="0" w:lastColumn="0" w:noHBand="0" w:noVBand="0"/>
      </w:tblPr>
      <w:tblGrid>
        <w:gridCol w:w="2692"/>
        <w:gridCol w:w="1138"/>
        <w:gridCol w:w="1138"/>
        <w:gridCol w:w="1138"/>
        <w:gridCol w:w="1138"/>
      </w:tblGrid>
      <w:tr w:rsidR="002B2E00" w:rsidRPr="002B2E00" w:rsidTr="002B2E00">
        <w:trPr>
          <w:tblHeader/>
        </w:trPr>
        <w:tc>
          <w:tcPr>
            <w:tcW w:w="2692"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0" w:right="40"/>
              <w:jc w:val="left"/>
              <w:rPr>
                <w:i/>
                <w:sz w:val="14"/>
              </w:rPr>
            </w:pPr>
            <w:r w:rsidRPr="002B2E00">
              <w:rPr>
                <w:i/>
                <w:sz w:val="14"/>
              </w:rPr>
              <w:t>Year</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144" w:right="40"/>
              <w:jc w:val="right"/>
              <w:rPr>
                <w:i/>
                <w:sz w:val="14"/>
              </w:rPr>
            </w:pPr>
            <w:r w:rsidRPr="002B2E00">
              <w:rPr>
                <w:i/>
                <w:sz w:val="14"/>
              </w:rPr>
              <w:t>Female</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144" w:right="40"/>
              <w:jc w:val="right"/>
              <w:rPr>
                <w:i/>
                <w:sz w:val="14"/>
              </w:rPr>
            </w:pPr>
            <w:r w:rsidRPr="002B2E00">
              <w:rPr>
                <w:i/>
                <w:sz w:val="14"/>
              </w:rPr>
              <w:t>Male</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144" w:right="40"/>
              <w:jc w:val="right"/>
              <w:rPr>
                <w:i/>
                <w:sz w:val="14"/>
              </w:rPr>
            </w:pPr>
            <w:r w:rsidRPr="002B2E00">
              <w:rPr>
                <w:i/>
                <w:sz w:val="14"/>
              </w:rPr>
              <w:t>Total</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spacing w:before="81" w:after="81" w:line="160" w:lineRule="exact"/>
              <w:ind w:left="144" w:right="40"/>
              <w:jc w:val="right"/>
              <w:rPr>
                <w:i/>
                <w:sz w:val="14"/>
              </w:rPr>
            </w:pPr>
            <w:r w:rsidRPr="002B2E00">
              <w:rPr>
                <w:i/>
                <w:sz w:val="14"/>
              </w:rPr>
              <w:t>% Females</w:t>
            </w:r>
          </w:p>
        </w:tc>
      </w:tr>
      <w:tr w:rsidR="002B2E00" w:rsidRPr="002B2E00" w:rsidTr="002B2E00">
        <w:trPr>
          <w:trHeight w:hRule="exact" w:val="115"/>
          <w:tblHeader/>
        </w:trPr>
        <w:tc>
          <w:tcPr>
            <w:tcW w:w="2692"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0" w:right="40"/>
              <w:jc w:val="left"/>
              <w:rPr>
                <w:sz w:val="17"/>
              </w:rPr>
            </w:pPr>
          </w:p>
        </w:tc>
        <w:tc>
          <w:tcPr>
            <w:tcW w:w="1138"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144" w:right="40"/>
              <w:jc w:val="right"/>
              <w:rPr>
                <w:sz w:val="17"/>
              </w:rPr>
            </w:pPr>
          </w:p>
        </w:tc>
        <w:tc>
          <w:tcPr>
            <w:tcW w:w="1138" w:type="dxa"/>
            <w:tcBorders>
              <w:top w:val="single" w:sz="12" w:space="0" w:color="auto"/>
            </w:tcBorders>
            <w:shd w:val="clear" w:color="auto" w:fill="auto"/>
            <w:vAlign w:val="bottom"/>
          </w:tcPr>
          <w:p w:rsidR="002B2E00" w:rsidRPr="002B2E00" w:rsidRDefault="002B2E00" w:rsidP="002B2E00">
            <w:pPr>
              <w:pStyle w:val="SingleTxtG"/>
              <w:spacing w:before="40" w:after="40" w:line="210" w:lineRule="exact"/>
              <w:ind w:left="144" w:right="40"/>
              <w:jc w:val="right"/>
              <w:rPr>
                <w:sz w:val="17"/>
              </w:rPr>
            </w:pPr>
          </w:p>
        </w:tc>
      </w:tr>
      <w:tr w:rsidR="002B2E00" w:rsidRPr="002B2E00" w:rsidTr="002B2E00">
        <w:tc>
          <w:tcPr>
            <w:tcW w:w="2692"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0" w:right="40"/>
              <w:jc w:val="left"/>
              <w:rPr>
                <w:sz w:val="17"/>
              </w:rPr>
            </w:pPr>
            <w:r w:rsidRPr="002B2E00">
              <w:rPr>
                <w:sz w:val="17"/>
              </w:rPr>
              <w:t>2012</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3</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5</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8</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37.5%</w:t>
            </w:r>
          </w:p>
        </w:tc>
      </w:tr>
      <w:tr w:rsidR="002B2E00" w:rsidRPr="002B2E00" w:rsidTr="002B2E00">
        <w:tc>
          <w:tcPr>
            <w:tcW w:w="2692"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0" w:right="40"/>
              <w:jc w:val="left"/>
              <w:rPr>
                <w:sz w:val="17"/>
              </w:rPr>
            </w:pPr>
            <w:r w:rsidRPr="002B2E00">
              <w:rPr>
                <w:sz w:val="17"/>
              </w:rPr>
              <w:t>2013</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3</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3</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6</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50%</w:t>
            </w:r>
          </w:p>
        </w:tc>
      </w:tr>
      <w:tr w:rsidR="002B2E00" w:rsidRPr="002B2E00" w:rsidTr="002B2E00">
        <w:tc>
          <w:tcPr>
            <w:tcW w:w="2692"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0" w:right="40"/>
              <w:jc w:val="left"/>
              <w:rPr>
                <w:sz w:val="17"/>
              </w:rPr>
            </w:pPr>
            <w:r w:rsidRPr="002B2E00">
              <w:rPr>
                <w:sz w:val="17"/>
              </w:rPr>
              <w:t>2014</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4</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1</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5</w:t>
            </w:r>
          </w:p>
        </w:tc>
        <w:tc>
          <w:tcPr>
            <w:tcW w:w="1138" w:type="dxa"/>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40" w:line="210" w:lineRule="exact"/>
              <w:ind w:left="144" w:right="40"/>
              <w:jc w:val="right"/>
              <w:rPr>
                <w:sz w:val="17"/>
              </w:rPr>
            </w:pPr>
            <w:r w:rsidRPr="002B2E00">
              <w:rPr>
                <w:sz w:val="17"/>
              </w:rPr>
              <w:t>80%</w:t>
            </w:r>
          </w:p>
        </w:tc>
      </w:tr>
      <w:tr w:rsidR="002B2E00" w:rsidRPr="002B2E00" w:rsidTr="002B2E00">
        <w:tc>
          <w:tcPr>
            <w:tcW w:w="2692"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0" w:right="40"/>
              <w:jc w:val="left"/>
              <w:rPr>
                <w:sz w:val="17"/>
              </w:rPr>
            </w:pPr>
            <w:r w:rsidRPr="002B2E00">
              <w:rPr>
                <w:sz w:val="17"/>
              </w:rPr>
              <w:t>2015</w:t>
            </w:r>
          </w:p>
        </w:tc>
        <w:tc>
          <w:tcPr>
            <w:tcW w:w="1138"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144" w:right="40"/>
              <w:jc w:val="right"/>
              <w:rPr>
                <w:sz w:val="17"/>
              </w:rPr>
            </w:pPr>
            <w:r w:rsidRPr="002B2E00">
              <w:rPr>
                <w:sz w:val="17"/>
              </w:rPr>
              <w:t>4</w:t>
            </w:r>
          </w:p>
        </w:tc>
        <w:tc>
          <w:tcPr>
            <w:tcW w:w="1138"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144" w:right="40"/>
              <w:jc w:val="right"/>
              <w:rPr>
                <w:sz w:val="17"/>
              </w:rPr>
            </w:pPr>
            <w:r w:rsidRPr="002B2E00">
              <w:rPr>
                <w:sz w:val="17"/>
              </w:rPr>
              <w:t>2</w:t>
            </w:r>
          </w:p>
        </w:tc>
        <w:tc>
          <w:tcPr>
            <w:tcW w:w="1138"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144" w:right="40"/>
              <w:jc w:val="right"/>
              <w:rPr>
                <w:sz w:val="17"/>
              </w:rPr>
            </w:pPr>
            <w:r w:rsidRPr="002B2E00">
              <w:rPr>
                <w:sz w:val="17"/>
              </w:rPr>
              <w:t>6</w:t>
            </w:r>
          </w:p>
        </w:tc>
        <w:tc>
          <w:tcPr>
            <w:tcW w:w="1138" w:type="dxa"/>
            <w:tcBorders>
              <w:bottom w:val="single" w:sz="4"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40" w:after="81" w:line="210" w:lineRule="exact"/>
              <w:ind w:left="144" w:right="40"/>
              <w:jc w:val="right"/>
              <w:rPr>
                <w:sz w:val="17"/>
              </w:rPr>
            </w:pPr>
            <w:r w:rsidRPr="002B2E00">
              <w:rPr>
                <w:sz w:val="17"/>
              </w:rPr>
              <w:t>66.7%</w:t>
            </w:r>
          </w:p>
        </w:tc>
      </w:tr>
      <w:tr w:rsidR="002B2E00" w:rsidRPr="002B2E00" w:rsidTr="002B2E00">
        <w:tc>
          <w:tcPr>
            <w:tcW w:w="2692"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0" w:right="40"/>
              <w:jc w:val="left"/>
              <w:rPr>
                <w:b/>
                <w:sz w:val="17"/>
              </w:rPr>
            </w:pPr>
            <w:r>
              <w:rPr>
                <w:b/>
                <w:sz w:val="17"/>
              </w:rPr>
              <w:tab/>
            </w:r>
            <w:r w:rsidRPr="002B2E00">
              <w:rPr>
                <w:b/>
                <w:sz w:val="17"/>
              </w:rPr>
              <w:t>Total</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144" w:right="40"/>
              <w:jc w:val="right"/>
              <w:rPr>
                <w:b/>
                <w:sz w:val="17"/>
              </w:rPr>
            </w:pPr>
            <w:r w:rsidRPr="002B2E00">
              <w:rPr>
                <w:b/>
                <w:sz w:val="17"/>
              </w:rPr>
              <w:t>14</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144" w:right="40"/>
              <w:jc w:val="right"/>
              <w:rPr>
                <w:b/>
                <w:sz w:val="17"/>
              </w:rPr>
            </w:pPr>
            <w:r w:rsidRPr="002B2E00">
              <w:rPr>
                <w:b/>
                <w:sz w:val="17"/>
              </w:rPr>
              <w:t>11</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144" w:right="40"/>
              <w:jc w:val="right"/>
              <w:rPr>
                <w:b/>
                <w:sz w:val="17"/>
              </w:rPr>
            </w:pPr>
            <w:r w:rsidRPr="002B2E00">
              <w:rPr>
                <w:b/>
                <w:sz w:val="17"/>
              </w:rPr>
              <w:t>25</w:t>
            </w:r>
          </w:p>
        </w:tc>
        <w:tc>
          <w:tcPr>
            <w:tcW w:w="1138" w:type="dxa"/>
            <w:tcBorders>
              <w:top w:val="single" w:sz="4" w:space="0" w:color="auto"/>
              <w:bottom w:val="single" w:sz="12" w:space="0" w:color="auto"/>
            </w:tcBorders>
            <w:shd w:val="clear" w:color="auto" w:fill="auto"/>
            <w:vAlign w:val="bottom"/>
          </w:tcPr>
          <w:p w:rsidR="002B2E00" w:rsidRPr="002B2E00" w:rsidRDefault="002B2E00" w:rsidP="002B2E00">
            <w:pPr>
              <w:pStyle w:val="SingleTxtG"/>
              <w:tabs>
                <w:tab w:val="left" w:pos="288"/>
                <w:tab w:val="left" w:pos="576"/>
                <w:tab w:val="left" w:pos="864"/>
                <w:tab w:val="left" w:pos="1152"/>
              </w:tabs>
              <w:spacing w:before="81" w:after="81" w:line="210" w:lineRule="exact"/>
              <w:ind w:left="144" w:right="40"/>
              <w:jc w:val="right"/>
              <w:rPr>
                <w:b/>
                <w:sz w:val="17"/>
              </w:rPr>
            </w:pPr>
            <w:r w:rsidRPr="002B2E00">
              <w:rPr>
                <w:b/>
                <w:sz w:val="17"/>
              </w:rPr>
              <w:t>56%</w:t>
            </w:r>
          </w:p>
        </w:tc>
      </w:tr>
    </w:tbl>
    <w:p w:rsidR="002B2E00" w:rsidRPr="002B2E00" w:rsidRDefault="002B2E00" w:rsidP="002B2E00">
      <w:pPr>
        <w:pStyle w:val="SingleTxt"/>
        <w:keepNext/>
        <w:keepLines/>
        <w:spacing w:after="0" w:line="120" w:lineRule="exact"/>
        <w:rPr>
          <w:sz w:val="10"/>
          <w:lang w:val="en-US"/>
        </w:rPr>
      </w:pPr>
    </w:p>
    <w:p w:rsidR="00626016" w:rsidRDefault="002B2E00" w:rsidP="002B2E00">
      <w:pPr>
        <w:pStyle w:val="FootnoteText"/>
        <w:tabs>
          <w:tab w:val="clear" w:pos="418"/>
          <w:tab w:val="right" w:pos="1476"/>
          <w:tab w:val="left" w:pos="1548"/>
          <w:tab w:val="right" w:pos="1836"/>
          <w:tab w:val="left" w:pos="1908"/>
        </w:tabs>
        <w:ind w:left="1548" w:right="1267" w:hanging="288"/>
      </w:pPr>
      <w:r>
        <w:tab/>
      </w:r>
      <w:r w:rsidR="00626016" w:rsidRPr="006178D4">
        <w:rPr>
          <w:i/>
          <w:iCs/>
        </w:rPr>
        <w:t>Source</w:t>
      </w:r>
      <w:r w:rsidR="00626016">
        <w:t xml:space="preserve">: </w:t>
      </w:r>
      <w:r w:rsidR="00626016" w:rsidRPr="006178D4">
        <w:rPr>
          <w:i/>
          <w:iCs/>
        </w:rPr>
        <w:t>Department of Education</w:t>
      </w:r>
      <w:r w:rsidR="006178D4">
        <w:t>.</w:t>
      </w:r>
    </w:p>
    <w:p w:rsidR="002B2E00" w:rsidRPr="002B2E00" w:rsidRDefault="002B2E00" w:rsidP="002B2E00">
      <w:pPr>
        <w:pStyle w:val="SingleTxt"/>
        <w:spacing w:after="0" w:line="120" w:lineRule="exact"/>
        <w:rPr>
          <w:sz w:val="10"/>
        </w:rPr>
      </w:pPr>
    </w:p>
    <w:p w:rsidR="002B2E00" w:rsidRPr="002B2E00" w:rsidRDefault="002B2E00" w:rsidP="002B2E00">
      <w:pPr>
        <w:pStyle w:val="SingleTxt"/>
        <w:spacing w:after="0" w:line="120" w:lineRule="exact"/>
        <w:rPr>
          <w:sz w:val="10"/>
        </w:rPr>
      </w:pPr>
    </w:p>
    <w:p w:rsidR="00626016" w:rsidRDefault="00626016" w:rsidP="006178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Cadet Corp Programme</w:t>
      </w:r>
    </w:p>
    <w:p w:rsidR="006178D4" w:rsidRPr="006178D4" w:rsidRDefault="006178D4" w:rsidP="006178D4">
      <w:pPr>
        <w:pStyle w:val="SingleTxt"/>
        <w:spacing w:after="0" w:line="120" w:lineRule="exact"/>
        <w:rPr>
          <w:sz w:val="10"/>
        </w:rPr>
      </w:pPr>
    </w:p>
    <w:p w:rsidR="00626016" w:rsidRDefault="00626016" w:rsidP="00626016">
      <w:pPr>
        <w:pStyle w:val="SingleTxt"/>
      </w:pPr>
      <w:r>
        <w:t>87.</w:t>
      </w:r>
      <w:r>
        <w:tab/>
        <w:t xml:space="preserve">The Technical Cadet Corp Programme (TCCP) is a three year programme facilitated by the Government in which students are offered technical and vocational hands-on-experience in high school, beginning from the tenth grade. All of the students have an opportunity to be exposed to various technical subjects so as to assist them in acquiring the necessary skills to succeed in a technologically advanced society. Additionally, all of the students have the opportunity to explore and take advantage of various additional educational services. Over the course of a three year period, students who demonstrate some degree of interest and proficiency in the technical areas are provided an opportunity to learn the necessary behaviours, attitudes and discipline needed to work in such environments. These agencies included (BTC), (BEC), (WSC) and the Ministry of Education. Although the TCCP has been in existence for 28 years, the statistical review over a four year period displays a clear disparity among the enrolled students in the programme. There is need for the further advancement of female participation in this programme in order to reduce the gender gap. </w:t>
      </w:r>
    </w:p>
    <w:p w:rsidR="006178D4" w:rsidRPr="006178D4" w:rsidRDefault="006178D4" w:rsidP="006178D4">
      <w:pPr>
        <w:pStyle w:val="SingleTxt"/>
        <w:spacing w:after="0" w:line="120" w:lineRule="exact"/>
        <w:rPr>
          <w:sz w:val="10"/>
        </w:rPr>
      </w:pPr>
    </w:p>
    <w:p w:rsidR="00626016" w:rsidRPr="006178D4" w:rsidRDefault="006178D4" w:rsidP="006178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6178D4">
        <w:rPr>
          <w:b w:val="0"/>
          <w:bCs/>
        </w:rPr>
        <w:t>Table 8</w:t>
      </w:r>
    </w:p>
    <w:p w:rsidR="00626016" w:rsidRDefault="006178D4" w:rsidP="006178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Technical Cadets Corps Programme (TCCP) Scholarships Awards Review (2011</w:t>
      </w:r>
      <w:r>
        <w:t>-</w:t>
      </w:r>
      <w:r w:rsidR="00626016">
        <w:t xml:space="preserve">2015) </w:t>
      </w:r>
    </w:p>
    <w:p w:rsidR="006178D4" w:rsidRPr="006178D4" w:rsidRDefault="006178D4" w:rsidP="006178D4">
      <w:pPr>
        <w:pStyle w:val="SingleTxt"/>
        <w:spacing w:after="0" w:line="120" w:lineRule="exact"/>
        <w:rPr>
          <w:sz w:val="10"/>
          <w:lang w:val="en-US"/>
        </w:rPr>
      </w:pPr>
    </w:p>
    <w:tbl>
      <w:tblPr>
        <w:tblW w:w="7244" w:type="dxa"/>
        <w:tblInd w:w="1260" w:type="dxa"/>
        <w:tblLayout w:type="fixed"/>
        <w:tblCellMar>
          <w:left w:w="0" w:type="dxa"/>
          <w:right w:w="0" w:type="dxa"/>
        </w:tblCellMar>
        <w:tblLook w:val="0000" w:firstRow="0" w:lastRow="0" w:firstColumn="0" w:lastColumn="0" w:noHBand="0" w:noVBand="0"/>
      </w:tblPr>
      <w:tblGrid>
        <w:gridCol w:w="2430"/>
        <w:gridCol w:w="870"/>
        <w:gridCol w:w="986"/>
        <w:gridCol w:w="986"/>
        <w:gridCol w:w="986"/>
        <w:gridCol w:w="986"/>
      </w:tblGrid>
      <w:tr w:rsidR="006178D4" w:rsidRPr="006178D4" w:rsidTr="006178D4">
        <w:trPr>
          <w:tblHeader/>
        </w:trPr>
        <w:tc>
          <w:tcPr>
            <w:tcW w:w="2430" w:type="dxa"/>
            <w:tcBorders>
              <w:top w:val="single" w:sz="4" w:space="0" w:color="auto"/>
              <w:bottom w:val="single" w:sz="12" w:space="0" w:color="auto"/>
            </w:tcBorders>
            <w:shd w:val="clear" w:color="auto" w:fill="auto"/>
            <w:vAlign w:val="bottom"/>
          </w:tcPr>
          <w:p w:rsidR="006178D4" w:rsidRPr="006178D4" w:rsidRDefault="006178D4" w:rsidP="006178D4">
            <w:pPr>
              <w:pStyle w:val="SingleTxtG"/>
              <w:spacing w:before="81" w:after="81" w:line="160" w:lineRule="exact"/>
              <w:ind w:left="0" w:right="40"/>
              <w:jc w:val="left"/>
              <w:rPr>
                <w:i/>
                <w:spacing w:val="4"/>
                <w:w w:val="103"/>
                <w:sz w:val="14"/>
              </w:rPr>
            </w:pPr>
            <w:r w:rsidRPr="006178D4">
              <w:rPr>
                <w:i/>
                <w:spacing w:val="4"/>
                <w:w w:val="103"/>
                <w:sz w:val="14"/>
              </w:rPr>
              <w:t>Scholarships Awarded</w:t>
            </w:r>
          </w:p>
        </w:tc>
        <w:tc>
          <w:tcPr>
            <w:tcW w:w="870" w:type="dxa"/>
            <w:tcBorders>
              <w:top w:val="single" w:sz="4" w:space="0" w:color="auto"/>
              <w:bottom w:val="single" w:sz="12" w:space="0" w:color="auto"/>
            </w:tcBorders>
            <w:shd w:val="clear" w:color="auto" w:fill="auto"/>
            <w:vAlign w:val="bottom"/>
          </w:tcPr>
          <w:p w:rsidR="006178D4" w:rsidRPr="006178D4" w:rsidRDefault="006178D4" w:rsidP="006178D4">
            <w:pPr>
              <w:pStyle w:val="SingleTxtG"/>
              <w:spacing w:before="81" w:after="81" w:line="160" w:lineRule="exact"/>
              <w:ind w:left="144" w:right="40"/>
              <w:jc w:val="right"/>
              <w:rPr>
                <w:i/>
                <w:spacing w:val="4"/>
                <w:w w:val="103"/>
                <w:sz w:val="14"/>
              </w:rPr>
            </w:pPr>
            <w:r w:rsidRPr="006178D4">
              <w:rPr>
                <w:i/>
                <w:spacing w:val="4"/>
                <w:w w:val="103"/>
                <w:sz w:val="14"/>
              </w:rPr>
              <w:t>2011-2012</w:t>
            </w:r>
          </w:p>
        </w:tc>
        <w:tc>
          <w:tcPr>
            <w:tcW w:w="986" w:type="dxa"/>
            <w:tcBorders>
              <w:top w:val="single" w:sz="4" w:space="0" w:color="auto"/>
              <w:bottom w:val="single" w:sz="12" w:space="0" w:color="auto"/>
            </w:tcBorders>
            <w:shd w:val="clear" w:color="auto" w:fill="auto"/>
            <w:vAlign w:val="bottom"/>
          </w:tcPr>
          <w:p w:rsidR="006178D4" w:rsidRPr="006178D4" w:rsidRDefault="006178D4" w:rsidP="006178D4">
            <w:pPr>
              <w:pStyle w:val="SingleTxtG"/>
              <w:spacing w:before="81" w:after="81" w:line="160" w:lineRule="exact"/>
              <w:ind w:left="144" w:right="40"/>
              <w:jc w:val="right"/>
              <w:rPr>
                <w:i/>
                <w:spacing w:val="4"/>
                <w:w w:val="103"/>
                <w:sz w:val="14"/>
              </w:rPr>
            </w:pPr>
            <w:r w:rsidRPr="006178D4">
              <w:rPr>
                <w:i/>
                <w:spacing w:val="4"/>
                <w:w w:val="103"/>
                <w:sz w:val="14"/>
              </w:rPr>
              <w:t>2012-2013</w:t>
            </w:r>
          </w:p>
        </w:tc>
        <w:tc>
          <w:tcPr>
            <w:tcW w:w="986" w:type="dxa"/>
            <w:tcBorders>
              <w:top w:val="single" w:sz="4" w:space="0" w:color="auto"/>
              <w:bottom w:val="single" w:sz="12" w:space="0" w:color="auto"/>
            </w:tcBorders>
            <w:shd w:val="clear" w:color="auto" w:fill="auto"/>
            <w:vAlign w:val="bottom"/>
          </w:tcPr>
          <w:p w:rsidR="006178D4" w:rsidRPr="006178D4" w:rsidRDefault="006178D4" w:rsidP="006178D4">
            <w:pPr>
              <w:pStyle w:val="SingleTxtG"/>
              <w:spacing w:before="81" w:after="81" w:line="160" w:lineRule="exact"/>
              <w:ind w:left="144" w:right="40"/>
              <w:jc w:val="right"/>
              <w:rPr>
                <w:i/>
                <w:spacing w:val="4"/>
                <w:w w:val="103"/>
                <w:sz w:val="14"/>
              </w:rPr>
            </w:pPr>
            <w:r w:rsidRPr="006178D4">
              <w:rPr>
                <w:i/>
                <w:spacing w:val="4"/>
                <w:w w:val="103"/>
                <w:sz w:val="14"/>
              </w:rPr>
              <w:t>2013-2014</w:t>
            </w:r>
          </w:p>
        </w:tc>
        <w:tc>
          <w:tcPr>
            <w:tcW w:w="986" w:type="dxa"/>
            <w:tcBorders>
              <w:top w:val="single" w:sz="4" w:space="0" w:color="auto"/>
              <w:bottom w:val="single" w:sz="12" w:space="0" w:color="auto"/>
            </w:tcBorders>
            <w:shd w:val="clear" w:color="auto" w:fill="auto"/>
            <w:vAlign w:val="bottom"/>
          </w:tcPr>
          <w:p w:rsidR="006178D4" w:rsidRPr="006178D4" w:rsidRDefault="006178D4" w:rsidP="006178D4">
            <w:pPr>
              <w:pStyle w:val="SingleTxtG"/>
              <w:spacing w:before="81" w:after="81" w:line="160" w:lineRule="exact"/>
              <w:ind w:left="144" w:right="40"/>
              <w:jc w:val="right"/>
              <w:rPr>
                <w:i/>
                <w:spacing w:val="4"/>
                <w:w w:val="103"/>
                <w:sz w:val="14"/>
              </w:rPr>
            </w:pPr>
            <w:r w:rsidRPr="006178D4">
              <w:rPr>
                <w:i/>
                <w:spacing w:val="4"/>
                <w:w w:val="103"/>
                <w:sz w:val="14"/>
              </w:rPr>
              <w:t>2014-2015</w:t>
            </w:r>
          </w:p>
        </w:tc>
        <w:tc>
          <w:tcPr>
            <w:tcW w:w="986" w:type="dxa"/>
            <w:tcBorders>
              <w:top w:val="single" w:sz="4" w:space="0" w:color="auto"/>
              <w:bottom w:val="single" w:sz="12" w:space="0" w:color="auto"/>
            </w:tcBorders>
            <w:shd w:val="clear" w:color="auto" w:fill="auto"/>
            <w:vAlign w:val="bottom"/>
          </w:tcPr>
          <w:p w:rsidR="006178D4" w:rsidRPr="006178D4" w:rsidRDefault="006178D4" w:rsidP="006178D4">
            <w:pPr>
              <w:pStyle w:val="SingleTxtG"/>
              <w:spacing w:before="81" w:after="81" w:line="160" w:lineRule="exact"/>
              <w:ind w:left="144" w:right="40"/>
              <w:jc w:val="right"/>
              <w:rPr>
                <w:i/>
                <w:spacing w:val="4"/>
                <w:w w:val="103"/>
                <w:sz w:val="14"/>
              </w:rPr>
            </w:pPr>
            <w:r w:rsidRPr="006178D4">
              <w:rPr>
                <w:i/>
                <w:spacing w:val="4"/>
                <w:w w:val="103"/>
                <w:sz w:val="14"/>
              </w:rPr>
              <w:t>2015-2016</w:t>
            </w:r>
          </w:p>
        </w:tc>
      </w:tr>
      <w:tr w:rsidR="006178D4" w:rsidRPr="006178D4" w:rsidTr="006178D4">
        <w:trPr>
          <w:trHeight w:hRule="exact" w:val="115"/>
          <w:tblHeader/>
        </w:trPr>
        <w:tc>
          <w:tcPr>
            <w:tcW w:w="2430" w:type="dxa"/>
            <w:tcBorders>
              <w:top w:val="single" w:sz="12" w:space="0" w:color="auto"/>
            </w:tcBorders>
            <w:shd w:val="clear" w:color="auto" w:fill="auto"/>
            <w:vAlign w:val="bottom"/>
          </w:tcPr>
          <w:p w:rsidR="006178D4" w:rsidRPr="006178D4" w:rsidRDefault="006178D4" w:rsidP="006178D4">
            <w:pPr>
              <w:pStyle w:val="SingleTxtG"/>
              <w:spacing w:before="40" w:after="40" w:line="210" w:lineRule="exact"/>
              <w:ind w:left="0" w:right="40"/>
              <w:jc w:val="left"/>
              <w:rPr>
                <w:spacing w:val="4"/>
                <w:w w:val="103"/>
                <w:sz w:val="17"/>
              </w:rPr>
            </w:pPr>
          </w:p>
        </w:tc>
        <w:tc>
          <w:tcPr>
            <w:tcW w:w="870" w:type="dxa"/>
            <w:tcBorders>
              <w:top w:val="single" w:sz="12" w:space="0" w:color="auto"/>
            </w:tcBorders>
            <w:shd w:val="clear" w:color="auto" w:fill="auto"/>
            <w:vAlign w:val="bottom"/>
          </w:tcPr>
          <w:p w:rsidR="006178D4" w:rsidRPr="006178D4" w:rsidRDefault="006178D4" w:rsidP="006178D4">
            <w:pPr>
              <w:pStyle w:val="SingleTxtG"/>
              <w:spacing w:before="40" w:after="40" w:line="210" w:lineRule="exact"/>
              <w:ind w:left="144" w:right="40"/>
              <w:jc w:val="right"/>
              <w:rPr>
                <w:spacing w:val="4"/>
                <w:w w:val="103"/>
                <w:sz w:val="17"/>
              </w:rPr>
            </w:pPr>
          </w:p>
        </w:tc>
        <w:tc>
          <w:tcPr>
            <w:tcW w:w="986" w:type="dxa"/>
            <w:tcBorders>
              <w:top w:val="single" w:sz="12" w:space="0" w:color="auto"/>
            </w:tcBorders>
            <w:shd w:val="clear" w:color="auto" w:fill="auto"/>
            <w:vAlign w:val="bottom"/>
          </w:tcPr>
          <w:p w:rsidR="006178D4" w:rsidRPr="006178D4" w:rsidRDefault="006178D4" w:rsidP="006178D4">
            <w:pPr>
              <w:pStyle w:val="SingleTxtG"/>
              <w:spacing w:before="40" w:after="40" w:line="210" w:lineRule="exact"/>
              <w:ind w:left="144" w:right="40"/>
              <w:jc w:val="right"/>
              <w:rPr>
                <w:spacing w:val="4"/>
                <w:w w:val="103"/>
                <w:sz w:val="17"/>
              </w:rPr>
            </w:pPr>
          </w:p>
        </w:tc>
        <w:tc>
          <w:tcPr>
            <w:tcW w:w="986" w:type="dxa"/>
            <w:tcBorders>
              <w:top w:val="single" w:sz="12" w:space="0" w:color="auto"/>
            </w:tcBorders>
            <w:shd w:val="clear" w:color="auto" w:fill="auto"/>
            <w:vAlign w:val="bottom"/>
          </w:tcPr>
          <w:p w:rsidR="006178D4" w:rsidRPr="006178D4" w:rsidRDefault="006178D4" w:rsidP="006178D4">
            <w:pPr>
              <w:pStyle w:val="SingleTxtG"/>
              <w:spacing w:before="40" w:after="40" w:line="210" w:lineRule="exact"/>
              <w:ind w:left="144" w:right="40"/>
              <w:jc w:val="right"/>
              <w:rPr>
                <w:spacing w:val="4"/>
                <w:w w:val="103"/>
                <w:sz w:val="17"/>
              </w:rPr>
            </w:pPr>
          </w:p>
        </w:tc>
        <w:tc>
          <w:tcPr>
            <w:tcW w:w="986" w:type="dxa"/>
            <w:tcBorders>
              <w:top w:val="single" w:sz="12" w:space="0" w:color="auto"/>
            </w:tcBorders>
            <w:shd w:val="clear" w:color="auto" w:fill="auto"/>
            <w:vAlign w:val="bottom"/>
          </w:tcPr>
          <w:p w:rsidR="006178D4" w:rsidRPr="006178D4" w:rsidRDefault="006178D4" w:rsidP="006178D4">
            <w:pPr>
              <w:pStyle w:val="SingleTxtG"/>
              <w:spacing w:before="40" w:after="40" w:line="210" w:lineRule="exact"/>
              <w:ind w:left="144" w:right="40"/>
              <w:jc w:val="right"/>
              <w:rPr>
                <w:spacing w:val="4"/>
                <w:w w:val="103"/>
                <w:sz w:val="17"/>
              </w:rPr>
            </w:pPr>
          </w:p>
        </w:tc>
        <w:tc>
          <w:tcPr>
            <w:tcW w:w="986" w:type="dxa"/>
            <w:tcBorders>
              <w:top w:val="single" w:sz="12" w:space="0" w:color="auto"/>
            </w:tcBorders>
            <w:shd w:val="clear" w:color="auto" w:fill="auto"/>
            <w:vAlign w:val="bottom"/>
          </w:tcPr>
          <w:p w:rsidR="006178D4" w:rsidRPr="006178D4" w:rsidRDefault="006178D4" w:rsidP="006178D4">
            <w:pPr>
              <w:pStyle w:val="SingleTxtG"/>
              <w:spacing w:before="40" w:after="40" w:line="210" w:lineRule="exact"/>
              <w:ind w:left="144" w:right="40"/>
              <w:jc w:val="right"/>
              <w:rPr>
                <w:spacing w:val="4"/>
                <w:w w:val="103"/>
                <w:sz w:val="17"/>
              </w:rPr>
            </w:pP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b/>
                <w:spacing w:val="4"/>
                <w:w w:val="103"/>
                <w:sz w:val="17"/>
              </w:rPr>
            </w:pPr>
            <w:r w:rsidRPr="006178D4">
              <w:rPr>
                <w:b/>
                <w:spacing w:val="4"/>
                <w:w w:val="103"/>
                <w:sz w:val="17"/>
              </w:rPr>
              <w:t>Bahamas Electricity Corporation (BEC)</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178D4">
              <w:rPr>
                <w:spacing w:val="4"/>
                <w:w w:val="103"/>
                <w:sz w:val="17"/>
              </w:rPr>
              <w:t>Males</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0</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2</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2</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2</w:t>
            </w: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178D4">
              <w:rPr>
                <w:spacing w:val="4"/>
                <w:w w:val="103"/>
                <w:sz w:val="17"/>
              </w:rPr>
              <w:t>Females</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2</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0</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0</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0</w:t>
            </w: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b/>
                <w:spacing w:val="4"/>
                <w:w w:val="103"/>
                <w:sz w:val="17"/>
              </w:rPr>
            </w:pPr>
            <w:r w:rsidRPr="006178D4">
              <w:rPr>
                <w:b/>
                <w:spacing w:val="4"/>
                <w:w w:val="103"/>
                <w:sz w:val="17"/>
              </w:rPr>
              <w:t>Bahamas Telecommunications Company (BTC)</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178D4">
              <w:rPr>
                <w:spacing w:val="4"/>
                <w:w w:val="103"/>
                <w:sz w:val="17"/>
              </w:rPr>
              <w:t>Males</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2</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2</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0</w:t>
            </w: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178D4">
              <w:rPr>
                <w:spacing w:val="4"/>
                <w:w w:val="103"/>
                <w:sz w:val="17"/>
              </w:rPr>
              <w:t>Females</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0</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0</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b/>
                <w:spacing w:val="4"/>
                <w:w w:val="103"/>
                <w:sz w:val="17"/>
              </w:rPr>
            </w:pPr>
            <w:r w:rsidRPr="006178D4">
              <w:rPr>
                <w:b/>
                <w:spacing w:val="4"/>
                <w:w w:val="103"/>
                <w:sz w:val="17"/>
              </w:rPr>
              <w:t>Water &amp; Sewage (WSC)</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178D4">
              <w:rPr>
                <w:spacing w:val="4"/>
                <w:w w:val="103"/>
                <w:sz w:val="17"/>
              </w:rPr>
              <w:t>Males</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178D4">
              <w:rPr>
                <w:spacing w:val="4"/>
                <w:w w:val="103"/>
                <w:sz w:val="17"/>
              </w:rPr>
              <w:t>Females</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0</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0</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b/>
                <w:spacing w:val="4"/>
                <w:w w:val="103"/>
                <w:sz w:val="17"/>
              </w:rPr>
            </w:pPr>
            <w:r w:rsidRPr="006178D4">
              <w:rPr>
                <w:b/>
                <w:spacing w:val="4"/>
                <w:w w:val="103"/>
                <w:sz w:val="17"/>
              </w:rPr>
              <w:t>Ministry of Education</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p>
        </w:tc>
      </w:tr>
      <w:tr w:rsidR="006178D4" w:rsidRPr="006178D4" w:rsidTr="006178D4">
        <w:tc>
          <w:tcPr>
            <w:tcW w:w="243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178D4">
              <w:rPr>
                <w:spacing w:val="4"/>
                <w:w w:val="103"/>
                <w:sz w:val="17"/>
              </w:rPr>
              <w:t>Males</w:t>
            </w:r>
          </w:p>
        </w:tc>
        <w:tc>
          <w:tcPr>
            <w:tcW w:w="870"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1</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2</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2</w:t>
            </w:r>
          </w:p>
        </w:tc>
        <w:tc>
          <w:tcPr>
            <w:tcW w:w="986" w:type="dxa"/>
            <w:shd w:val="clear" w:color="auto" w:fill="auto"/>
            <w:vAlign w:val="bottom"/>
          </w:tcPr>
          <w:p w:rsidR="006178D4" w:rsidRPr="006178D4" w:rsidRDefault="006178D4" w:rsidP="006178D4">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178D4">
              <w:rPr>
                <w:spacing w:val="4"/>
                <w:w w:val="103"/>
                <w:sz w:val="17"/>
              </w:rPr>
              <w:t>4</w:t>
            </w:r>
          </w:p>
        </w:tc>
      </w:tr>
      <w:tr w:rsidR="006178D4" w:rsidRPr="006178D4" w:rsidTr="006178D4">
        <w:tc>
          <w:tcPr>
            <w:tcW w:w="2430" w:type="dxa"/>
            <w:tcBorders>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40" w:after="81" w:line="210" w:lineRule="exact"/>
              <w:ind w:left="0" w:right="43"/>
              <w:jc w:val="left"/>
              <w:rPr>
                <w:spacing w:val="4"/>
                <w:w w:val="103"/>
                <w:sz w:val="17"/>
              </w:rPr>
            </w:pPr>
            <w:r w:rsidRPr="006178D4">
              <w:rPr>
                <w:spacing w:val="4"/>
                <w:w w:val="103"/>
                <w:sz w:val="17"/>
              </w:rPr>
              <w:lastRenderedPageBreak/>
              <w:t>Females</w:t>
            </w:r>
          </w:p>
        </w:tc>
        <w:tc>
          <w:tcPr>
            <w:tcW w:w="870" w:type="dxa"/>
            <w:tcBorders>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40" w:after="81" w:line="210" w:lineRule="exact"/>
              <w:ind w:left="144" w:right="43"/>
              <w:jc w:val="right"/>
              <w:rPr>
                <w:spacing w:val="4"/>
                <w:w w:val="103"/>
                <w:sz w:val="17"/>
              </w:rPr>
            </w:pPr>
            <w:r w:rsidRPr="006178D4">
              <w:rPr>
                <w:spacing w:val="4"/>
                <w:w w:val="103"/>
                <w:sz w:val="17"/>
              </w:rPr>
              <w:t>1</w:t>
            </w:r>
          </w:p>
        </w:tc>
        <w:tc>
          <w:tcPr>
            <w:tcW w:w="986" w:type="dxa"/>
            <w:tcBorders>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40" w:after="81" w:line="210" w:lineRule="exact"/>
              <w:ind w:left="144" w:right="43"/>
              <w:jc w:val="right"/>
              <w:rPr>
                <w:spacing w:val="4"/>
                <w:w w:val="103"/>
                <w:sz w:val="17"/>
              </w:rPr>
            </w:pPr>
            <w:r w:rsidRPr="006178D4">
              <w:rPr>
                <w:spacing w:val="4"/>
                <w:w w:val="103"/>
                <w:sz w:val="17"/>
              </w:rPr>
              <w:t>1</w:t>
            </w:r>
          </w:p>
        </w:tc>
        <w:tc>
          <w:tcPr>
            <w:tcW w:w="986" w:type="dxa"/>
            <w:tcBorders>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40" w:after="81" w:line="210" w:lineRule="exact"/>
              <w:ind w:left="144" w:right="43"/>
              <w:jc w:val="right"/>
              <w:rPr>
                <w:spacing w:val="4"/>
                <w:w w:val="103"/>
                <w:sz w:val="17"/>
              </w:rPr>
            </w:pPr>
            <w:r w:rsidRPr="006178D4">
              <w:rPr>
                <w:spacing w:val="4"/>
                <w:w w:val="103"/>
                <w:sz w:val="17"/>
              </w:rPr>
              <w:t>0</w:t>
            </w:r>
          </w:p>
        </w:tc>
        <w:tc>
          <w:tcPr>
            <w:tcW w:w="986" w:type="dxa"/>
            <w:tcBorders>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40" w:after="81" w:line="210" w:lineRule="exact"/>
              <w:ind w:left="144" w:right="43"/>
              <w:jc w:val="right"/>
              <w:rPr>
                <w:spacing w:val="4"/>
                <w:w w:val="103"/>
                <w:sz w:val="17"/>
              </w:rPr>
            </w:pPr>
            <w:r w:rsidRPr="006178D4">
              <w:rPr>
                <w:spacing w:val="4"/>
                <w:w w:val="103"/>
                <w:sz w:val="17"/>
              </w:rPr>
              <w:t>0</w:t>
            </w:r>
          </w:p>
        </w:tc>
        <w:tc>
          <w:tcPr>
            <w:tcW w:w="986" w:type="dxa"/>
            <w:tcBorders>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40" w:after="81" w:line="210" w:lineRule="exact"/>
              <w:ind w:left="144" w:right="43"/>
              <w:jc w:val="right"/>
              <w:rPr>
                <w:spacing w:val="4"/>
                <w:w w:val="103"/>
                <w:sz w:val="17"/>
              </w:rPr>
            </w:pPr>
            <w:r w:rsidRPr="006178D4">
              <w:rPr>
                <w:spacing w:val="4"/>
                <w:w w:val="103"/>
                <w:sz w:val="17"/>
              </w:rPr>
              <w:t>0</w:t>
            </w:r>
          </w:p>
        </w:tc>
      </w:tr>
      <w:tr w:rsidR="006178D4" w:rsidRPr="006178D4" w:rsidTr="006178D4">
        <w:tc>
          <w:tcPr>
            <w:tcW w:w="2430"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0" w:right="43"/>
              <w:jc w:val="left"/>
              <w:rPr>
                <w:b/>
                <w:spacing w:val="4"/>
                <w:w w:val="103"/>
                <w:sz w:val="17"/>
              </w:rPr>
            </w:pPr>
            <w:r>
              <w:rPr>
                <w:b/>
                <w:spacing w:val="4"/>
                <w:w w:val="103"/>
                <w:sz w:val="17"/>
              </w:rPr>
              <w:tab/>
            </w:r>
            <w:r w:rsidRPr="006178D4">
              <w:rPr>
                <w:b/>
                <w:spacing w:val="4"/>
                <w:w w:val="103"/>
                <w:sz w:val="17"/>
              </w:rPr>
              <w:t>Total Awards</w:t>
            </w:r>
          </w:p>
        </w:tc>
        <w:tc>
          <w:tcPr>
            <w:tcW w:w="870"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8</w:t>
            </w:r>
          </w:p>
        </w:tc>
        <w:tc>
          <w:tcPr>
            <w:tcW w:w="986"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7</w:t>
            </w:r>
          </w:p>
        </w:tc>
        <w:tc>
          <w:tcPr>
            <w:tcW w:w="986"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8</w:t>
            </w:r>
          </w:p>
        </w:tc>
        <w:tc>
          <w:tcPr>
            <w:tcW w:w="986"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7</w:t>
            </w:r>
          </w:p>
        </w:tc>
        <w:tc>
          <w:tcPr>
            <w:tcW w:w="986"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9</w:t>
            </w:r>
          </w:p>
        </w:tc>
      </w:tr>
      <w:tr w:rsidR="006178D4" w:rsidRPr="006178D4" w:rsidTr="006178D4">
        <w:tc>
          <w:tcPr>
            <w:tcW w:w="2430"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0" w:right="43"/>
              <w:jc w:val="left"/>
              <w:rPr>
                <w:b/>
                <w:spacing w:val="4"/>
                <w:w w:val="103"/>
                <w:sz w:val="17"/>
              </w:rPr>
            </w:pPr>
            <w:r>
              <w:rPr>
                <w:b/>
                <w:spacing w:val="4"/>
                <w:w w:val="103"/>
                <w:sz w:val="17"/>
              </w:rPr>
              <w:tab/>
            </w:r>
            <w:r w:rsidRPr="006178D4">
              <w:rPr>
                <w:b/>
                <w:spacing w:val="4"/>
                <w:w w:val="103"/>
                <w:sz w:val="17"/>
              </w:rPr>
              <w:t>Total Male</w:t>
            </w:r>
          </w:p>
        </w:tc>
        <w:tc>
          <w:tcPr>
            <w:tcW w:w="870"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3</w:t>
            </w:r>
          </w:p>
        </w:tc>
        <w:tc>
          <w:tcPr>
            <w:tcW w:w="986"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6</w:t>
            </w:r>
          </w:p>
        </w:tc>
        <w:tc>
          <w:tcPr>
            <w:tcW w:w="986"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6</w:t>
            </w:r>
          </w:p>
        </w:tc>
        <w:tc>
          <w:tcPr>
            <w:tcW w:w="986"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6</w:t>
            </w:r>
          </w:p>
        </w:tc>
        <w:tc>
          <w:tcPr>
            <w:tcW w:w="986" w:type="dxa"/>
            <w:tcBorders>
              <w:top w:val="single" w:sz="4" w:space="0" w:color="auto"/>
              <w:bottom w:val="single" w:sz="4" w:space="0" w:color="auto"/>
            </w:tcBorders>
            <w:shd w:val="clear" w:color="auto" w:fill="auto"/>
            <w:vAlign w:val="bottom"/>
          </w:tcPr>
          <w:p w:rsidR="006178D4" w:rsidRPr="006178D4" w:rsidRDefault="006178D4" w:rsidP="007B0E78">
            <w:pPr>
              <w:pStyle w:val="SingleTxtG"/>
              <w:keepNext/>
              <w:keepLines/>
              <w:tabs>
                <w:tab w:val="left" w:pos="288"/>
                <w:tab w:val="left" w:pos="576"/>
                <w:tab w:val="left" w:pos="864"/>
                <w:tab w:val="left" w:pos="1152"/>
              </w:tabs>
              <w:spacing w:before="81" w:after="81" w:line="210" w:lineRule="exact"/>
              <w:ind w:left="144" w:right="43"/>
              <w:jc w:val="right"/>
              <w:rPr>
                <w:b/>
                <w:spacing w:val="4"/>
                <w:w w:val="103"/>
                <w:sz w:val="17"/>
              </w:rPr>
            </w:pPr>
            <w:r w:rsidRPr="006178D4">
              <w:rPr>
                <w:b/>
                <w:spacing w:val="4"/>
                <w:w w:val="103"/>
                <w:sz w:val="17"/>
              </w:rPr>
              <w:t>7</w:t>
            </w:r>
          </w:p>
        </w:tc>
      </w:tr>
      <w:tr w:rsidR="006178D4" w:rsidRPr="006178D4" w:rsidTr="006178D4">
        <w:tc>
          <w:tcPr>
            <w:tcW w:w="2430" w:type="dxa"/>
            <w:tcBorders>
              <w:top w:val="single" w:sz="4" w:space="0" w:color="auto"/>
              <w:bottom w:val="single" w:sz="12" w:space="0" w:color="auto"/>
            </w:tcBorders>
            <w:shd w:val="clear" w:color="auto" w:fill="auto"/>
            <w:vAlign w:val="bottom"/>
          </w:tcPr>
          <w:p w:rsidR="006178D4" w:rsidRPr="006178D4" w:rsidRDefault="006178D4" w:rsidP="006178D4">
            <w:pPr>
              <w:pStyle w:val="SingleTxtG"/>
              <w:tabs>
                <w:tab w:val="left" w:pos="288"/>
                <w:tab w:val="left" w:pos="576"/>
                <w:tab w:val="left" w:pos="864"/>
                <w:tab w:val="left" w:pos="1152"/>
              </w:tabs>
              <w:spacing w:before="81" w:after="81" w:line="210" w:lineRule="exact"/>
              <w:ind w:left="0" w:right="40"/>
              <w:jc w:val="left"/>
              <w:rPr>
                <w:b/>
                <w:spacing w:val="4"/>
                <w:w w:val="103"/>
                <w:sz w:val="17"/>
              </w:rPr>
            </w:pPr>
            <w:r>
              <w:rPr>
                <w:b/>
                <w:spacing w:val="4"/>
                <w:w w:val="103"/>
                <w:sz w:val="17"/>
              </w:rPr>
              <w:tab/>
            </w:r>
            <w:r w:rsidRPr="006178D4">
              <w:rPr>
                <w:b/>
                <w:spacing w:val="4"/>
                <w:w w:val="103"/>
                <w:sz w:val="17"/>
              </w:rPr>
              <w:t>Total Female</w:t>
            </w:r>
          </w:p>
        </w:tc>
        <w:tc>
          <w:tcPr>
            <w:tcW w:w="870" w:type="dxa"/>
            <w:tcBorders>
              <w:top w:val="single" w:sz="4" w:space="0" w:color="auto"/>
              <w:bottom w:val="single" w:sz="12" w:space="0" w:color="auto"/>
            </w:tcBorders>
            <w:shd w:val="clear" w:color="auto" w:fill="auto"/>
            <w:vAlign w:val="bottom"/>
          </w:tcPr>
          <w:p w:rsidR="006178D4" w:rsidRPr="006178D4" w:rsidRDefault="006178D4" w:rsidP="006178D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6178D4">
              <w:rPr>
                <w:b/>
                <w:spacing w:val="4"/>
                <w:w w:val="103"/>
                <w:sz w:val="17"/>
              </w:rPr>
              <w:t>5</w:t>
            </w:r>
          </w:p>
        </w:tc>
        <w:tc>
          <w:tcPr>
            <w:tcW w:w="986" w:type="dxa"/>
            <w:tcBorders>
              <w:top w:val="single" w:sz="4" w:space="0" w:color="auto"/>
              <w:bottom w:val="single" w:sz="12" w:space="0" w:color="auto"/>
            </w:tcBorders>
            <w:shd w:val="clear" w:color="auto" w:fill="auto"/>
            <w:vAlign w:val="bottom"/>
          </w:tcPr>
          <w:p w:rsidR="006178D4" w:rsidRPr="006178D4" w:rsidRDefault="006178D4" w:rsidP="006178D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6178D4">
              <w:rPr>
                <w:b/>
                <w:spacing w:val="4"/>
                <w:w w:val="103"/>
                <w:sz w:val="17"/>
              </w:rPr>
              <w:t>1</w:t>
            </w:r>
          </w:p>
        </w:tc>
        <w:tc>
          <w:tcPr>
            <w:tcW w:w="986" w:type="dxa"/>
            <w:tcBorders>
              <w:top w:val="single" w:sz="4" w:space="0" w:color="auto"/>
              <w:bottom w:val="single" w:sz="12" w:space="0" w:color="auto"/>
            </w:tcBorders>
            <w:shd w:val="clear" w:color="auto" w:fill="auto"/>
            <w:vAlign w:val="bottom"/>
          </w:tcPr>
          <w:p w:rsidR="006178D4" w:rsidRPr="006178D4" w:rsidRDefault="006178D4" w:rsidP="006178D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6178D4">
              <w:rPr>
                <w:b/>
                <w:spacing w:val="4"/>
                <w:w w:val="103"/>
                <w:sz w:val="17"/>
              </w:rPr>
              <w:t>2</w:t>
            </w:r>
          </w:p>
        </w:tc>
        <w:tc>
          <w:tcPr>
            <w:tcW w:w="986" w:type="dxa"/>
            <w:tcBorders>
              <w:top w:val="single" w:sz="4" w:space="0" w:color="auto"/>
              <w:bottom w:val="single" w:sz="12" w:space="0" w:color="auto"/>
            </w:tcBorders>
            <w:shd w:val="clear" w:color="auto" w:fill="auto"/>
            <w:vAlign w:val="bottom"/>
          </w:tcPr>
          <w:p w:rsidR="006178D4" w:rsidRPr="006178D4" w:rsidRDefault="006178D4" w:rsidP="006178D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6178D4">
              <w:rPr>
                <w:b/>
                <w:spacing w:val="4"/>
                <w:w w:val="103"/>
                <w:sz w:val="17"/>
              </w:rPr>
              <w:t>1</w:t>
            </w:r>
          </w:p>
        </w:tc>
        <w:tc>
          <w:tcPr>
            <w:tcW w:w="986" w:type="dxa"/>
            <w:tcBorders>
              <w:top w:val="single" w:sz="4" w:space="0" w:color="auto"/>
              <w:bottom w:val="single" w:sz="12" w:space="0" w:color="auto"/>
            </w:tcBorders>
            <w:shd w:val="clear" w:color="auto" w:fill="auto"/>
            <w:vAlign w:val="bottom"/>
          </w:tcPr>
          <w:p w:rsidR="006178D4" w:rsidRPr="006178D4" w:rsidRDefault="006178D4" w:rsidP="006178D4">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6178D4">
              <w:rPr>
                <w:b/>
                <w:spacing w:val="4"/>
                <w:w w:val="103"/>
                <w:sz w:val="17"/>
              </w:rPr>
              <w:t>2</w:t>
            </w:r>
          </w:p>
        </w:tc>
      </w:tr>
    </w:tbl>
    <w:p w:rsidR="00626016" w:rsidRPr="006178D4" w:rsidRDefault="00626016" w:rsidP="006178D4">
      <w:pPr>
        <w:pStyle w:val="SingleTxt"/>
        <w:spacing w:after="0" w:line="120" w:lineRule="exact"/>
        <w:rPr>
          <w:sz w:val="10"/>
        </w:rPr>
      </w:pPr>
    </w:p>
    <w:p w:rsidR="00626016" w:rsidRDefault="00626016" w:rsidP="006178D4">
      <w:pPr>
        <w:pStyle w:val="FootnoteText"/>
        <w:tabs>
          <w:tab w:val="clear" w:pos="418"/>
          <w:tab w:val="right" w:pos="1476"/>
          <w:tab w:val="left" w:pos="1548"/>
          <w:tab w:val="right" w:pos="1836"/>
          <w:tab w:val="left" w:pos="1908"/>
        </w:tabs>
        <w:ind w:left="1548" w:right="1267" w:hanging="288"/>
      </w:pPr>
      <w:r w:rsidRPr="006178D4">
        <w:rPr>
          <w:i/>
          <w:iCs/>
        </w:rPr>
        <w:t>Source</w:t>
      </w:r>
      <w:r>
        <w:t xml:space="preserve">: </w:t>
      </w:r>
      <w:r w:rsidRPr="006178D4">
        <w:rPr>
          <w:i/>
          <w:iCs/>
        </w:rPr>
        <w:t>Department of Education</w:t>
      </w:r>
      <w:r w:rsidR="006178D4">
        <w:t>.</w:t>
      </w:r>
    </w:p>
    <w:p w:rsidR="006178D4" w:rsidRPr="006178D4" w:rsidRDefault="006178D4" w:rsidP="006178D4">
      <w:pPr>
        <w:pStyle w:val="FootnoteText"/>
        <w:tabs>
          <w:tab w:val="clear" w:pos="418"/>
          <w:tab w:val="right" w:pos="1476"/>
          <w:tab w:val="left" w:pos="1548"/>
          <w:tab w:val="right" w:pos="1836"/>
          <w:tab w:val="left" w:pos="1908"/>
        </w:tabs>
        <w:spacing w:line="120" w:lineRule="exact"/>
        <w:ind w:left="1548" w:right="1267" w:hanging="288"/>
        <w:rPr>
          <w:sz w:val="10"/>
        </w:rPr>
      </w:pPr>
    </w:p>
    <w:p w:rsidR="006178D4" w:rsidRPr="006178D4" w:rsidRDefault="006178D4" w:rsidP="006178D4">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7B0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Public Teachers in The Bahamas by Sex</w:t>
      </w:r>
    </w:p>
    <w:p w:rsidR="007B0E78" w:rsidRPr="007B0E78" w:rsidRDefault="007B0E78" w:rsidP="007B0E78">
      <w:pPr>
        <w:pStyle w:val="SingleTxt"/>
        <w:spacing w:after="0" w:line="120" w:lineRule="exact"/>
        <w:rPr>
          <w:sz w:val="10"/>
          <w:lang w:val="en-US"/>
        </w:rPr>
      </w:pPr>
    </w:p>
    <w:p w:rsidR="00626016" w:rsidRDefault="00626016" w:rsidP="00626016">
      <w:pPr>
        <w:pStyle w:val="SingleTxt"/>
      </w:pPr>
      <w:r>
        <w:t>88.</w:t>
      </w:r>
      <w:r>
        <w:tab/>
        <w:t xml:space="preserve">Though there are no legal barriers preventing men from joining the public school system as teachers, the profession remains female-dominant (See Table 11 below). </w:t>
      </w:r>
    </w:p>
    <w:p w:rsidR="007B0E78" w:rsidRPr="007B0E78" w:rsidRDefault="007B0E78" w:rsidP="007B0E78">
      <w:pPr>
        <w:pStyle w:val="SingleTxt"/>
        <w:spacing w:after="0" w:line="120" w:lineRule="exact"/>
        <w:rPr>
          <w:sz w:val="10"/>
        </w:rPr>
      </w:pPr>
    </w:p>
    <w:p w:rsidR="00626016" w:rsidRPr="007B0E78" w:rsidRDefault="007B0E78" w:rsidP="007B0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7B0E78">
        <w:rPr>
          <w:b w:val="0"/>
          <w:bCs/>
        </w:rPr>
        <w:t>Table 9</w:t>
      </w:r>
    </w:p>
    <w:p w:rsidR="00626016" w:rsidRDefault="007B0E78" w:rsidP="007B0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Public Teache</w:t>
      </w:r>
      <w:r>
        <w:t>rs in The Bahamas by Sex (2010-</w:t>
      </w:r>
      <w:r w:rsidR="00626016">
        <w:t>2013)</w:t>
      </w:r>
    </w:p>
    <w:p w:rsidR="007B0E78" w:rsidRPr="007B0E78" w:rsidRDefault="007B0E78" w:rsidP="007B0E78">
      <w:pPr>
        <w:pStyle w:val="SingleTxt"/>
        <w:spacing w:after="0" w:line="120" w:lineRule="exact"/>
        <w:rPr>
          <w:sz w:val="10"/>
        </w:rPr>
      </w:pPr>
    </w:p>
    <w:tbl>
      <w:tblPr>
        <w:tblW w:w="7244" w:type="dxa"/>
        <w:tblInd w:w="1260" w:type="dxa"/>
        <w:tblLayout w:type="fixed"/>
        <w:tblCellMar>
          <w:left w:w="0" w:type="dxa"/>
          <w:right w:w="0" w:type="dxa"/>
        </w:tblCellMar>
        <w:tblLook w:val="0000" w:firstRow="0" w:lastRow="0" w:firstColumn="0" w:lastColumn="0" w:noHBand="0" w:noVBand="0"/>
      </w:tblPr>
      <w:tblGrid>
        <w:gridCol w:w="3209"/>
        <w:gridCol w:w="1345"/>
        <w:gridCol w:w="1345"/>
        <w:gridCol w:w="1345"/>
      </w:tblGrid>
      <w:tr w:rsidR="007B0E78" w:rsidRPr="006068B8" w:rsidTr="007B0E78">
        <w:trPr>
          <w:tblHeader/>
        </w:trPr>
        <w:tc>
          <w:tcPr>
            <w:tcW w:w="3209" w:type="dxa"/>
            <w:tcBorders>
              <w:top w:val="single" w:sz="4" w:space="0" w:color="auto"/>
              <w:bottom w:val="single" w:sz="12" w:space="0" w:color="auto"/>
            </w:tcBorders>
            <w:shd w:val="clear" w:color="auto" w:fill="auto"/>
            <w:vAlign w:val="bottom"/>
          </w:tcPr>
          <w:p w:rsidR="007B0E78" w:rsidRPr="006068B8" w:rsidRDefault="007B0E78" w:rsidP="003D4241">
            <w:pPr>
              <w:pStyle w:val="SingleTxtG"/>
              <w:suppressAutoHyphens w:val="0"/>
              <w:spacing w:before="80" w:after="80" w:line="200" w:lineRule="exact"/>
              <w:ind w:left="0" w:right="0"/>
              <w:jc w:val="left"/>
              <w:rPr>
                <w:i/>
                <w:sz w:val="16"/>
              </w:rPr>
            </w:pPr>
            <w:r w:rsidRPr="006068B8">
              <w:rPr>
                <w:i/>
                <w:sz w:val="16"/>
              </w:rPr>
              <w:t>Sex</w:t>
            </w:r>
          </w:p>
        </w:tc>
        <w:tc>
          <w:tcPr>
            <w:tcW w:w="1345" w:type="dxa"/>
            <w:tcBorders>
              <w:top w:val="single" w:sz="4" w:space="0" w:color="auto"/>
              <w:bottom w:val="single" w:sz="12" w:space="0" w:color="auto"/>
            </w:tcBorders>
            <w:shd w:val="clear" w:color="auto" w:fill="auto"/>
            <w:vAlign w:val="bottom"/>
          </w:tcPr>
          <w:p w:rsidR="007B0E78" w:rsidRPr="006068B8" w:rsidRDefault="007B0E78" w:rsidP="005D6016">
            <w:pPr>
              <w:pStyle w:val="SingleTxtG"/>
              <w:suppressAutoHyphens w:val="0"/>
              <w:spacing w:before="80" w:after="80" w:line="200" w:lineRule="exact"/>
              <w:ind w:left="0" w:right="43"/>
              <w:jc w:val="right"/>
              <w:rPr>
                <w:i/>
                <w:sz w:val="16"/>
              </w:rPr>
            </w:pPr>
            <w:r w:rsidRPr="006068B8">
              <w:rPr>
                <w:i/>
                <w:sz w:val="16"/>
              </w:rPr>
              <w:t>2010/11</w:t>
            </w:r>
          </w:p>
        </w:tc>
        <w:tc>
          <w:tcPr>
            <w:tcW w:w="1345" w:type="dxa"/>
            <w:tcBorders>
              <w:top w:val="single" w:sz="4" w:space="0" w:color="auto"/>
              <w:bottom w:val="single" w:sz="12" w:space="0" w:color="auto"/>
            </w:tcBorders>
            <w:shd w:val="clear" w:color="auto" w:fill="auto"/>
            <w:vAlign w:val="bottom"/>
          </w:tcPr>
          <w:p w:rsidR="007B0E78" w:rsidRPr="006068B8" w:rsidRDefault="007B0E78" w:rsidP="005D6016">
            <w:pPr>
              <w:pStyle w:val="SingleTxtG"/>
              <w:suppressAutoHyphens w:val="0"/>
              <w:spacing w:before="80" w:after="80" w:line="200" w:lineRule="exact"/>
              <w:ind w:left="0" w:right="43"/>
              <w:jc w:val="right"/>
              <w:rPr>
                <w:i/>
                <w:sz w:val="16"/>
              </w:rPr>
            </w:pPr>
            <w:r w:rsidRPr="006068B8">
              <w:rPr>
                <w:i/>
                <w:sz w:val="16"/>
              </w:rPr>
              <w:t>2011/12</w:t>
            </w:r>
          </w:p>
        </w:tc>
        <w:tc>
          <w:tcPr>
            <w:tcW w:w="1345" w:type="dxa"/>
            <w:tcBorders>
              <w:top w:val="single" w:sz="4" w:space="0" w:color="auto"/>
              <w:bottom w:val="single" w:sz="12" w:space="0" w:color="auto"/>
            </w:tcBorders>
            <w:shd w:val="clear" w:color="auto" w:fill="auto"/>
            <w:vAlign w:val="bottom"/>
          </w:tcPr>
          <w:p w:rsidR="007B0E78" w:rsidRPr="006068B8" w:rsidRDefault="007B0E78" w:rsidP="005D6016">
            <w:pPr>
              <w:pStyle w:val="SingleTxtG"/>
              <w:suppressAutoHyphens w:val="0"/>
              <w:spacing w:before="80" w:after="80" w:line="200" w:lineRule="exact"/>
              <w:ind w:left="0" w:right="43"/>
              <w:jc w:val="right"/>
              <w:rPr>
                <w:i/>
                <w:sz w:val="16"/>
              </w:rPr>
            </w:pPr>
            <w:r w:rsidRPr="006068B8">
              <w:rPr>
                <w:i/>
                <w:sz w:val="16"/>
              </w:rPr>
              <w:t>2012/13</w:t>
            </w:r>
          </w:p>
        </w:tc>
      </w:tr>
      <w:tr w:rsidR="007B0E78" w:rsidRPr="006068B8" w:rsidTr="007B0E78">
        <w:trPr>
          <w:tblHeader/>
        </w:trPr>
        <w:tc>
          <w:tcPr>
            <w:tcW w:w="3209" w:type="dxa"/>
            <w:tcBorders>
              <w:top w:val="single" w:sz="12" w:space="0" w:color="auto"/>
            </w:tcBorders>
            <w:shd w:val="clear" w:color="auto" w:fill="auto"/>
          </w:tcPr>
          <w:p w:rsidR="007B0E78" w:rsidRPr="006068B8" w:rsidRDefault="007B0E78" w:rsidP="003D4241">
            <w:pPr>
              <w:pStyle w:val="SingleTxtG"/>
              <w:suppressAutoHyphens w:val="0"/>
              <w:spacing w:before="40" w:after="40" w:line="220" w:lineRule="exact"/>
              <w:ind w:left="0" w:right="0"/>
              <w:jc w:val="left"/>
              <w:rPr>
                <w:sz w:val="18"/>
              </w:rPr>
            </w:pPr>
          </w:p>
        </w:tc>
        <w:tc>
          <w:tcPr>
            <w:tcW w:w="1345" w:type="dxa"/>
            <w:tcBorders>
              <w:top w:val="single" w:sz="12" w:space="0" w:color="auto"/>
            </w:tcBorders>
            <w:shd w:val="clear" w:color="auto" w:fill="auto"/>
            <w:vAlign w:val="bottom"/>
          </w:tcPr>
          <w:p w:rsidR="007B0E78" w:rsidRPr="006068B8" w:rsidRDefault="007B0E78" w:rsidP="005D6016">
            <w:pPr>
              <w:pStyle w:val="SingleTxtG"/>
              <w:suppressAutoHyphens w:val="0"/>
              <w:spacing w:before="40" w:after="40" w:line="220" w:lineRule="exact"/>
              <w:ind w:left="0" w:right="43"/>
              <w:jc w:val="right"/>
              <w:rPr>
                <w:sz w:val="18"/>
              </w:rPr>
            </w:pPr>
          </w:p>
        </w:tc>
        <w:tc>
          <w:tcPr>
            <w:tcW w:w="1345" w:type="dxa"/>
            <w:tcBorders>
              <w:top w:val="single" w:sz="12" w:space="0" w:color="auto"/>
            </w:tcBorders>
            <w:shd w:val="clear" w:color="auto" w:fill="auto"/>
            <w:vAlign w:val="bottom"/>
          </w:tcPr>
          <w:p w:rsidR="007B0E78" w:rsidRPr="006068B8" w:rsidRDefault="007B0E78" w:rsidP="005D6016">
            <w:pPr>
              <w:pStyle w:val="SingleTxtG"/>
              <w:suppressAutoHyphens w:val="0"/>
              <w:spacing w:before="40" w:after="40" w:line="220" w:lineRule="exact"/>
              <w:ind w:left="0" w:right="43"/>
              <w:jc w:val="right"/>
              <w:rPr>
                <w:sz w:val="18"/>
              </w:rPr>
            </w:pPr>
          </w:p>
        </w:tc>
        <w:tc>
          <w:tcPr>
            <w:tcW w:w="1345" w:type="dxa"/>
            <w:tcBorders>
              <w:top w:val="single" w:sz="12" w:space="0" w:color="auto"/>
            </w:tcBorders>
            <w:shd w:val="clear" w:color="auto" w:fill="auto"/>
            <w:vAlign w:val="bottom"/>
          </w:tcPr>
          <w:p w:rsidR="007B0E78" w:rsidRPr="006068B8" w:rsidRDefault="007B0E78" w:rsidP="005D6016">
            <w:pPr>
              <w:pStyle w:val="SingleTxtG"/>
              <w:suppressAutoHyphens w:val="0"/>
              <w:spacing w:before="40" w:after="40" w:line="220" w:lineRule="exact"/>
              <w:ind w:left="0" w:right="43"/>
              <w:jc w:val="right"/>
              <w:rPr>
                <w:sz w:val="18"/>
              </w:rPr>
            </w:pPr>
          </w:p>
        </w:tc>
      </w:tr>
      <w:tr w:rsidR="007B0E78" w:rsidRPr="006068B8" w:rsidTr="007B0E78">
        <w:tc>
          <w:tcPr>
            <w:tcW w:w="3209" w:type="dxa"/>
            <w:shd w:val="clear" w:color="auto" w:fill="auto"/>
          </w:tcPr>
          <w:p w:rsidR="007B0E78" w:rsidRPr="006068B8" w:rsidRDefault="007B0E78" w:rsidP="003D4241">
            <w:pPr>
              <w:pStyle w:val="SingleTxtG"/>
              <w:suppressAutoHyphens w:val="0"/>
              <w:spacing w:before="40" w:after="40" w:line="220" w:lineRule="exact"/>
              <w:ind w:left="0" w:right="0"/>
              <w:jc w:val="left"/>
              <w:rPr>
                <w:sz w:val="18"/>
              </w:rPr>
            </w:pPr>
            <w:r w:rsidRPr="006068B8">
              <w:rPr>
                <w:sz w:val="18"/>
              </w:rPr>
              <w:t>Male</w:t>
            </w:r>
          </w:p>
        </w:tc>
        <w:tc>
          <w:tcPr>
            <w:tcW w:w="1345" w:type="dxa"/>
            <w:shd w:val="clear" w:color="auto" w:fill="auto"/>
            <w:vAlign w:val="bottom"/>
          </w:tcPr>
          <w:p w:rsidR="007B0E78" w:rsidRPr="006068B8" w:rsidRDefault="007B0E78" w:rsidP="005D6016">
            <w:pPr>
              <w:pStyle w:val="SingleTxtG"/>
              <w:suppressAutoHyphens w:val="0"/>
              <w:spacing w:before="40" w:after="40" w:line="220" w:lineRule="exact"/>
              <w:ind w:left="0" w:right="43"/>
              <w:jc w:val="right"/>
              <w:rPr>
                <w:sz w:val="18"/>
              </w:rPr>
            </w:pPr>
            <w:r w:rsidRPr="006068B8">
              <w:rPr>
                <w:sz w:val="18"/>
              </w:rPr>
              <w:t>579 (18%)</w:t>
            </w:r>
          </w:p>
        </w:tc>
        <w:tc>
          <w:tcPr>
            <w:tcW w:w="1345" w:type="dxa"/>
            <w:shd w:val="clear" w:color="auto" w:fill="auto"/>
            <w:vAlign w:val="bottom"/>
          </w:tcPr>
          <w:p w:rsidR="007B0E78" w:rsidRPr="006068B8" w:rsidRDefault="007B0E78" w:rsidP="005D6016">
            <w:pPr>
              <w:pStyle w:val="SingleTxtG"/>
              <w:suppressAutoHyphens w:val="0"/>
              <w:spacing w:before="40" w:after="40" w:line="220" w:lineRule="exact"/>
              <w:ind w:left="0" w:right="43"/>
              <w:jc w:val="right"/>
              <w:rPr>
                <w:sz w:val="18"/>
              </w:rPr>
            </w:pPr>
            <w:r w:rsidRPr="006068B8">
              <w:rPr>
                <w:sz w:val="18"/>
              </w:rPr>
              <w:t>495 (17%)</w:t>
            </w:r>
          </w:p>
        </w:tc>
        <w:tc>
          <w:tcPr>
            <w:tcW w:w="1345" w:type="dxa"/>
            <w:shd w:val="clear" w:color="auto" w:fill="auto"/>
            <w:vAlign w:val="bottom"/>
          </w:tcPr>
          <w:p w:rsidR="007B0E78" w:rsidRPr="006068B8" w:rsidRDefault="007B0E78" w:rsidP="005D6016">
            <w:pPr>
              <w:pStyle w:val="SingleTxtG"/>
              <w:suppressAutoHyphens w:val="0"/>
              <w:spacing w:before="40" w:after="40" w:line="220" w:lineRule="exact"/>
              <w:ind w:left="0" w:right="43"/>
              <w:jc w:val="right"/>
              <w:rPr>
                <w:sz w:val="18"/>
              </w:rPr>
            </w:pPr>
            <w:r w:rsidRPr="006068B8">
              <w:rPr>
                <w:sz w:val="18"/>
              </w:rPr>
              <w:t>542 (17%)</w:t>
            </w:r>
          </w:p>
        </w:tc>
      </w:tr>
      <w:tr w:rsidR="007B0E78" w:rsidRPr="006068B8" w:rsidTr="007B0E78">
        <w:tc>
          <w:tcPr>
            <w:tcW w:w="3209" w:type="dxa"/>
            <w:tcBorders>
              <w:bottom w:val="single" w:sz="4" w:space="0" w:color="auto"/>
            </w:tcBorders>
            <w:shd w:val="clear" w:color="auto" w:fill="auto"/>
          </w:tcPr>
          <w:p w:rsidR="007B0E78" w:rsidRPr="006068B8" w:rsidRDefault="007B0E78" w:rsidP="007B0E78">
            <w:pPr>
              <w:pStyle w:val="SingleTxtG"/>
              <w:suppressAutoHyphens w:val="0"/>
              <w:spacing w:before="40" w:after="81" w:line="220" w:lineRule="exact"/>
              <w:ind w:left="0" w:right="0"/>
              <w:jc w:val="left"/>
              <w:rPr>
                <w:sz w:val="18"/>
              </w:rPr>
            </w:pPr>
            <w:r w:rsidRPr="006068B8">
              <w:rPr>
                <w:sz w:val="18"/>
              </w:rPr>
              <w:t>Female</w:t>
            </w:r>
          </w:p>
        </w:tc>
        <w:tc>
          <w:tcPr>
            <w:tcW w:w="1345" w:type="dxa"/>
            <w:tcBorders>
              <w:bottom w:val="single" w:sz="4" w:space="0" w:color="auto"/>
            </w:tcBorders>
            <w:shd w:val="clear" w:color="auto" w:fill="auto"/>
            <w:vAlign w:val="bottom"/>
          </w:tcPr>
          <w:p w:rsidR="007B0E78" w:rsidRPr="006068B8" w:rsidRDefault="007B0E78" w:rsidP="005D6016">
            <w:pPr>
              <w:pStyle w:val="SingleTxtG"/>
              <w:suppressAutoHyphens w:val="0"/>
              <w:spacing w:before="40" w:after="81" w:line="220" w:lineRule="exact"/>
              <w:ind w:left="0" w:right="43"/>
              <w:jc w:val="right"/>
              <w:rPr>
                <w:sz w:val="18"/>
              </w:rPr>
            </w:pPr>
            <w:r w:rsidRPr="006068B8">
              <w:rPr>
                <w:sz w:val="18"/>
              </w:rPr>
              <w:t>2</w:t>
            </w:r>
            <w:r>
              <w:rPr>
                <w:sz w:val="18"/>
              </w:rPr>
              <w:t xml:space="preserve"> </w:t>
            </w:r>
            <w:r w:rsidRPr="006068B8">
              <w:rPr>
                <w:sz w:val="18"/>
              </w:rPr>
              <w:t>651 (82%)</w:t>
            </w:r>
          </w:p>
        </w:tc>
        <w:tc>
          <w:tcPr>
            <w:tcW w:w="1345" w:type="dxa"/>
            <w:tcBorders>
              <w:bottom w:val="single" w:sz="4" w:space="0" w:color="auto"/>
            </w:tcBorders>
            <w:shd w:val="clear" w:color="auto" w:fill="auto"/>
            <w:vAlign w:val="bottom"/>
          </w:tcPr>
          <w:p w:rsidR="007B0E78" w:rsidRPr="006068B8" w:rsidRDefault="007B0E78" w:rsidP="005D6016">
            <w:pPr>
              <w:pStyle w:val="SingleTxtG"/>
              <w:suppressAutoHyphens w:val="0"/>
              <w:spacing w:before="40" w:after="81" w:line="220" w:lineRule="exact"/>
              <w:ind w:left="0" w:right="43"/>
              <w:jc w:val="right"/>
              <w:rPr>
                <w:sz w:val="18"/>
              </w:rPr>
            </w:pPr>
            <w:r w:rsidRPr="006068B8">
              <w:rPr>
                <w:sz w:val="18"/>
              </w:rPr>
              <w:t>2</w:t>
            </w:r>
            <w:r>
              <w:rPr>
                <w:sz w:val="18"/>
              </w:rPr>
              <w:t xml:space="preserve"> </w:t>
            </w:r>
            <w:r w:rsidRPr="006068B8">
              <w:rPr>
                <w:sz w:val="18"/>
              </w:rPr>
              <w:t>351 (83%)</w:t>
            </w:r>
          </w:p>
        </w:tc>
        <w:tc>
          <w:tcPr>
            <w:tcW w:w="1345" w:type="dxa"/>
            <w:tcBorders>
              <w:bottom w:val="single" w:sz="4" w:space="0" w:color="auto"/>
            </w:tcBorders>
            <w:shd w:val="clear" w:color="auto" w:fill="auto"/>
            <w:vAlign w:val="bottom"/>
          </w:tcPr>
          <w:p w:rsidR="007B0E78" w:rsidRPr="006068B8" w:rsidRDefault="007B0E78" w:rsidP="005D6016">
            <w:pPr>
              <w:pStyle w:val="SingleTxtG"/>
              <w:suppressAutoHyphens w:val="0"/>
              <w:spacing w:before="40" w:after="81" w:line="220" w:lineRule="exact"/>
              <w:ind w:left="0" w:right="43"/>
              <w:jc w:val="right"/>
              <w:rPr>
                <w:sz w:val="18"/>
              </w:rPr>
            </w:pPr>
            <w:r w:rsidRPr="006068B8">
              <w:rPr>
                <w:sz w:val="18"/>
              </w:rPr>
              <w:t>2</w:t>
            </w:r>
            <w:r>
              <w:rPr>
                <w:sz w:val="18"/>
              </w:rPr>
              <w:t xml:space="preserve"> </w:t>
            </w:r>
            <w:r w:rsidRPr="006068B8">
              <w:rPr>
                <w:sz w:val="18"/>
              </w:rPr>
              <w:t>569 (83%)</w:t>
            </w:r>
          </w:p>
        </w:tc>
      </w:tr>
      <w:tr w:rsidR="007B0E78" w:rsidRPr="007B0E78" w:rsidTr="007B0E78">
        <w:tc>
          <w:tcPr>
            <w:tcW w:w="3209" w:type="dxa"/>
            <w:tcBorders>
              <w:top w:val="single" w:sz="4" w:space="0" w:color="auto"/>
              <w:bottom w:val="single" w:sz="12" w:space="0" w:color="auto"/>
            </w:tcBorders>
            <w:shd w:val="clear" w:color="auto" w:fill="auto"/>
          </w:tcPr>
          <w:p w:rsidR="007B0E78" w:rsidRPr="007B0E78" w:rsidRDefault="00F95D00" w:rsidP="005D6016">
            <w:pPr>
              <w:pStyle w:val="SingleTxtG"/>
              <w:tabs>
                <w:tab w:val="left" w:pos="288"/>
                <w:tab w:val="left" w:pos="576"/>
                <w:tab w:val="left" w:pos="864"/>
                <w:tab w:val="left" w:pos="1152"/>
              </w:tabs>
              <w:spacing w:before="81" w:after="81" w:line="210" w:lineRule="exact"/>
              <w:ind w:left="0" w:right="40"/>
              <w:jc w:val="left"/>
              <w:rPr>
                <w:b/>
                <w:sz w:val="18"/>
              </w:rPr>
            </w:pPr>
            <w:r w:rsidRPr="005D6016">
              <w:rPr>
                <w:b/>
                <w:spacing w:val="4"/>
                <w:w w:val="103"/>
                <w:sz w:val="17"/>
              </w:rPr>
              <w:tab/>
            </w:r>
            <w:r w:rsidR="007B0E78" w:rsidRPr="005D6016">
              <w:rPr>
                <w:b/>
                <w:spacing w:val="4"/>
                <w:w w:val="103"/>
                <w:sz w:val="17"/>
              </w:rPr>
              <w:t>Total</w:t>
            </w:r>
          </w:p>
        </w:tc>
        <w:tc>
          <w:tcPr>
            <w:tcW w:w="1345" w:type="dxa"/>
            <w:tcBorders>
              <w:top w:val="single" w:sz="4" w:space="0" w:color="auto"/>
              <w:bottom w:val="single" w:sz="12" w:space="0" w:color="auto"/>
            </w:tcBorders>
            <w:shd w:val="clear" w:color="auto" w:fill="auto"/>
            <w:vAlign w:val="bottom"/>
          </w:tcPr>
          <w:p w:rsidR="007B0E78" w:rsidRPr="007B0E78" w:rsidRDefault="007B0E78" w:rsidP="005D6016">
            <w:pPr>
              <w:pStyle w:val="SingleTxtG"/>
              <w:suppressAutoHyphens w:val="0"/>
              <w:spacing w:before="81" w:after="81" w:line="220" w:lineRule="exact"/>
              <w:ind w:left="0" w:right="43"/>
              <w:jc w:val="right"/>
              <w:rPr>
                <w:b/>
                <w:sz w:val="18"/>
              </w:rPr>
            </w:pPr>
            <w:r w:rsidRPr="007B0E78">
              <w:rPr>
                <w:b/>
                <w:sz w:val="18"/>
              </w:rPr>
              <w:t>3</w:t>
            </w:r>
            <w:r>
              <w:rPr>
                <w:b/>
                <w:sz w:val="18"/>
              </w:rPr>
              <w:t xml:space="preserve"> </w:t>
            </w:r>
            <w:r w:rsidRPr="007B0E78">
              <w:rPr>
                <w:b/>
                <w:sz w:val="18"/>
              </w:rPr>
              <w:t>230</w:t>
            </w:r>
          </w:p>
        </w:tc>
        <w:tc>
          <w:tcPr>
            <w:tcW w:w="1345" w:type="dxa"/>
            <w:tcBorders>
              <w:top w:val="single" w:sz="4" w:space="0" w:color="auto"/>
              <w:bottom w:val="single" w:sz="12" w:space="0" w:color="auto"/>
            </w:tcBorders>
            <w:shd w:val="clear" w:color="auto" w:fill="auto"/>
            <w:vAlign w:val="bottom"/>
          </w:tcPr>
          <w:p w:rsidR="007B0E78" w:rsidRPr="007B0E78" w:rsidRDefault="007B0E78" w:rsidP="005D6016">
            <w:pPr>
              <w:pStyle w:val="SingleTxtG"/>
              <w:suppressAutoHyphens w:val="0"/>
              <w:spacing w:before="81" w:after="81" w:line="220" w:lineRule="exact"/>
              <w:ind w:left="0" w:right="43"/>
              <w:jc w:val="right"/>
              <w:rPr>
                <w:b/>
                <w:sz w:val="18"/>
              </w:rPr>
            </w:pPr>
            <w:r w:rsidRPr="007B0E78">
              <w:rPr>
                <w:b/>
                <w:sz w:val="18"/>
              </w:rPr>
              <w:t>2</w:t>
            </w:r>
            <w:r>
              <w:rPr>
                <w:b/>
                <w:sz w:val="18"/>
              </w:rPr>
              <w:t xml:space="preserve"> </w:t>
            </w:r>
            <w:r w:rsidRPr="007B0E78">
              <w:rPr>
                <w:b/>
                <w:sz w:val="18"/>
              </w:rPr>
              <w:t>846</w:t>
            </w:r>
          </w:p>
        </w:tc>
        <w:tc>
          <w:tcPr>
            <w:tcW w:w="1345" w:type="dxa"/>
            <w:tcBorders>
              <w:top w:val="single" w:sz="4" w:space="0" w:color="auto"/>
              <w:bottom w:val="single" w:sz="12" w:space="0" w:color="auto"/>
            </w:tcBorders>
            <w:shd w:val="clear" w:color="auto" w:fill="auto"/>
            <w:vAlign w:val="bottom"/>
          </w:tcPr>
          <w:p w:rsidR="007B0E78" w:rsidRPr="007B0E78" w:rsidRDefault="007B0E78" w:rsidP="005D6016">
            <w:pPr>
              <w:pStyle w:val="SingleTxtG"/>
              <w:suppressAutoHyphens w:val="0"/>
              <w:spacing w:before="81" w:after="81" w:line="220" w:lineRule="exact"/>
              <w:ind w:left="0" w:right="43"/>
              <w:jc w:val="right"/>
              <w:rPr>
                <w:b/>
                <w:sz w:val="18"/>
              </w:rPr>
            </w:pPr>
            <w:r w:rsidRPr="007B0E78">
              <w:rPr>
                <w:b/>
                <w:sz w:val="18"/>
              </w:rPr>
              <w:t>3</w:t>
            </w:r>
            <w:r>
              <w:rPr>
                <w:b/>
                <w:sz w:val="18"/>
              </w:rPr>
              <w:t xml:space="preserve"> </w:t>
            </w:r>
            <w:r w:rsidRPr="007B0E78">
              <w:rPr>
                <w:b/>
                <w:sz w:val="18"/>
              </w:rPr>
              <w:t>111</w:t>
            </w:r>
          </w:p>
        </w:tc>
      </w:tr>
    </w:tbl>
    <w:p w:rsidR="007B0E78" w:rsidRPr="007B0E78" w:rsidRDefault="007B0E78" w:rsidP="007B0E78">
      <w:pPr>
        <w:pStyle w:val="SingleTxt"/>
        <w:spacing w:after="0" w:line="120" w:lineRule="exact"/>
        <w:rPr>
          <w:sz w:val="10"/>
        </w:rPr>
      </w:pPr>
    </w:p>
    <w:p w:rsidR="00626016" w:rsidRDefault="00626016" w:rsidP="007B0E78">
      <w:pPr>
        <w:pStyle w:val="FootnoteText"/>
        <w:tabs>
          <w:tab w:val="clear" w:pos="418"/>
          <w:tab w:val="right" w:pos="1476"/>
          <w:tab w:val="left" w:pos="1548"/>
          <w:tab w:val="right" w:pos="1836"/>
          <w:tab w:val="left" w:pos="1908"/>
        </w:tabs>
        <w:ind w:left="1548" w:right="1267" w:hanging="288"/>
      </w:pPr>
      <w:r w:rsidRPr="007B0E78">
        <w:rPr>
          <w:i/>
          <w:iCs/>
        </w:rPr>
        <w:t>Source</w:t>
      </w:r>
      <w:r>
        <w:t xml:space="preserve">: </w:t>
      </w:r>
      <w:r w:rsidRPr="007B0E78">
        <w:rPr>
          <w:i/>
          <w:iCs/>
        </w:rPr>
        <w:t>Department of Education</w:t>
      </w:r>
      <w:r w:rsidR="007B0E78">
        <w:t>.</w:t>
      </w:r>
    </w:p>
    <w:p w:rsidR="007B0E78" w:rsidRPr="007B0E78" w:rsidRDefault="007B0E78" w:rsidP="007B0E78">
      <w:pPr>
        <w:pStyle w:val="FootnoteText"/>
        <w:tabs>
          <w:tab w:val="clear" w:pos="418"/>
          <w:tab w:val="right" w:pos="1476"/>
          <w:tab w:val="left" w:pos="1548"/>
          <w:tab w:val="right" w:pos="1836"/>
          <w:tab w:val="left" w:pos="1908"/>
        </w:tabs>
        <w:spacing w:line="120" w:lineRule="exact"/>
        <w:ind w:left="1548" w:right="1267" w:hanging="288"/>
        <w:rPr>
          <w:sz w:val="10"/>
        </w:rPr>
      </w:pPr>
    </w:p>
    <w:p w:rsidR="007B0E78" w:rsidRPr="007B0E78" w:rsidRDefault="007B0E78" w:rsidP="007B0E78">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7B0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School Principals and Heads of Departments who are Women</w:t>
      </w:r>
    </w:p>
    <w:p w:rsidR="007B0E78" w:rsidRPr="007B0E78" w:rsidRDefault="007B0E78" w:rsidP="007B0E78">
      <w:pPr>
        <w:pStyle w:val="SingleTxt"/>
        <w:spacing w:after="0" w:line="120" w:lineRule="exact"/>
        <w:rPr>
          <w:sz w:val="10"/>
          <w:lang w:val="en-US"/>
        </w:rPr>
      </w:pPr>
    </w:p>
    <w:p w:rsidR="00626016" w:rsidRDefault="00626016" w:rsidP="00626016">
      <w:pPr>
        <w:pStyle w:val="SingleTxt"/>
      </w:pPr>
      <w:r>
        <w:t>89.</w:t>
      </w:r>
      <w:r>
        <w:tab/>
        <w:t xml:space="preserve">There are a total of 605 school administrators in The Bahamas. A school administrator in The Bahamas refers to a Principal, Vice-Principal and Senior Master or Mistress. Of this number, 383 are females (63.3% of public school administrators). </w:t>
      </w:r>
    </w:p>
    <w:p w:rsidR="007B0E78" w:rsidRPr="007B0E78" w:rsidRDefault="007B0E78" w:rsidP="007B0E78">
      <w:pPr>
        <w:pStyle w:val="SingleTxt"/>
        <w:spacing w:after="0" w:line="120" w:lineRule="exact"/>
        <w:rPr>
          <w:sz w:val="10"/>
        </w:rPr>
      </w:pPr>
    </w:p>
    <w:p w:rsidR="00626016" w:rsidRDefault="00626016" w:rsidP="007B0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Equal Access to Health and Family Life</w:t>
      </w:r>
    </w:p>
    <w:p w:rsidR="007B0E78" w:rsidRPr="007B0E78" w:rsidRDefault="007B0E78" w:rsidP="007B0E78">
      <w:pPr>
        <w:pStyle w:val="SingleTxt"/>
        <w:spacing w:after="0" w:line="120" w:lineRule="exact"/>
        <w:rPr>
          <w:sz w:val="10"/>
          <w:lang w:val="en-US"/>
        </w:rPr>
      </w:pPr>
    </w:p>
    <w:p w:rsidR="00626016" w:rsidRDefault="00626016" w:rsidP="004310A3">
      <w:pPr>
        <w:pStyle w:val="SingleTxt"/>
      </w:pPr>
      <w:r>
        <w:t>90.</w:t>
      </w:r>
      <w:r>
        <w:tab/>
        <w:t xml:space="preserve">The information contained in paragraphs 99-113 of the Fifth Report remains largely unchanged with the exception of the revision of Family Life and Health Education (FLHE) Curriculum, in primary school, which was completed in 2012. The revised version of the curriculum was approved and posted on the Ministry of Education, Science and Technology’s website in 2013 </w:t>
      </w:r>
      <w:r w:rsidR="004310A3">
        <w:t>—</w:t>
      </w:r>
      <w:r>
        <w:t xml:space="preserve"> hard copies and CDs of the curriculum were also distributed. Gender stereotypes and gender equality were addressed in content of the FLHE curriculum.</w:t>
      </w:r>
    </w:p>
    <w:p w:rsidR="004310A3" w:rsidRPr="004310A3" w:rsidRDefault="004310A3" w:rsidP="004310A3">
      <w:pPr>
        <w:pStyle w:val="SingleTxt"/>
        <w:spacing w:after="0" w:line="120" w:lineRule="exact"/>
        <w:rPr>
          <w:sz w:val="10"/>
        </w:rPr>
      </w:pPr>
    </w:p>
    <w:p w:rsidR="00626016" w:rsidRDefault="00626016" w:rsidP="004310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Girls in ICT</w:t>
      </w:r>
    </w:p>
    <w:p w:rsidR="004310A3" w:rsidRPr="004310A3" w:rsidRDefault="004310A3" w:rsidP="004310A3">
      <w:pPr>
        <w:pStyle w:val="SingleTxt"/>
        <w:spacing w:after="0" w:line="120" w:lineRule="exact"/>
        <w:rPr>
          <w:sz w:val="10"/>
        </w:rPr>
      </w:pPr>
    </w:p>
    <w:p w:rsidR="00626016" w:rsidRDefault="00626016" w:rsidP="00626016">
      <w:pPr>
        <w:pStyle w:val="SingleTxt"/>
      </w:pPr>
      <w:r>
        <w:t>91.</w:t>
      </w:r>
      <w:r>
        <w:tab/>
        <w:t>Though girls are generally outperforming boys in school, it is thought that fewer girls are in ICT than boys (no data was available to confirm this). In an effort to address this perceived disparity, the country now commemorates Girls in ICT Day. The Utilities Regulation and Competition Authority (URCA), Cable Bahamas and Bahamas Telecommunications Company (BTC) and other sector licensees facilitated a one-day ‘Girls in Information and Communications Technology (ICT) Day’ Forum and Mini-Fair during April 2015. The purpose of the event is to:</w:t>
      </w:r>
    </w:p>
    <w:p w:rsidR="00626016" w:rsidRDefault="004310A3" w:rsidP="00626016">
      <w:pPr>
        <w:pStyle w:val="SingleTxt"/>
      </w:pPr>
      <w:r>
        <w:tab/>
      </w:r>
      <w:r w:rsidR="00626016">
        <w:t>1.</w:t>
      </w:r>
      <w:r w:rsidR="00626016">
        <w:tab/>
        <w:t>Equip young girls with knowledge about the ICT sector;</w:t>
      </w:r>
    </w:p>
    <w:p w:rsidR="00626016" w:rsidRDefault="004310A3" w:rsidP="004310A3">
      <w:pPr>
        <w:pStyle w:val="SingleTxt"/>
        <w:ind w:left="2218" w:hanging="951"/>
      </w:pPr>
      <w:r>
        <w:lastRenderedPageBreak/>
        <w:tab/>
      </w:r>
      <w:r w:rsidR="00626016">
        <w:t>2.</w:t>
      </w:r>
      <w:r w:rsidR="00626016">
        <w:tab/>
        <w:t xml:space="preserve">To promote confidence about the potential role of women in the ICT sector; as well as </w:t>
      </w:r>
    </w:p>
    <w:p w:rsidR="00626016" w:rsidRDefault="004310A3" w:rsidP="00626016">
      <w:pPr>
        <w:pStyle w:val="SingleTxt"/>
      </w:pPr>
      <w:r>
        <w:tab/>
      </w:r>
      <w:r w:rsidR="00626016">
        <w:t>3.</w:t>
      </w:r>
      <w:r w:rsidR="00626016">
        <w:tab/>
        <w:t xml:space="preserve">To expose them to a myriad of career opportunities. </w:t>
      </w:r>
    </w:p>
    <w:p w:rsidR="00626016" w:rsidRDefault="00626016" w:rsidP="00626016">
      <w:pPr>
        <w:pStyle w:val="SingleTxt"/>
      </w:pPr>
      <w:r>
        <w:t>92.</w:t>
      </w:r>
      <w:r>
        <w:tab/>
        <w:t>In the 2016 commemoration of Girls in ICT, the program included Family Island female students in its celebrations. At the Forum and Mini-Fair, the Attorney General urged female students to ‘get into the ICT field’ and noted that the ICT curriculum in Bahamian schools is currently under review to ensure that what is offered locally to students is relative to the global approach to ICT.</w:t>
      </w:r>
    </w:p>
    <w:p w:rsidR="004310A3" w:rsidRPr="004310A3" w:rsidRDefault="004310A3" w:rsidP="004310A3">
      <w:pPr>
        <w:pStyle w:val="SingleTxt"/>
        <w:spacing w:after="0" w:line="120" w:lineRule="exact"/>
        <w:rPr>
          <w:sz w:val="10"/>
        </w:rPr>
      </w:pPr>
    </w:p>
    <w:p w:rsidR="00626016" w:rsidRDefault="00626016" w:rsidP="004310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 Segregation in Higher Education</w:t>
      </w:r>
    </w:p>
    <w:p w:rsidR="004310A3" w:rsidRPr="004310A3" w:rsidRDefault="004310A3" w:rsidP="004310A3">
      <w:pPr>
        <w:pStyle w:val="SingleTxt"/>
        <w:spacing w:after="0" w:line="120" w:lineRule="exact"/>
        <w:rPr>
          <w:sz w:val="10"/>
        </w:rPr>
      </w:pPr>
    </w:p>
    <w:p w:rsidR="00626016" w:rsidRDefault="00626016" w:rsidP="004310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Professors at the College of The Bahamas by Sex (2016)</w:t>
      </w:r>
    </w:p>
    <w:p w:rsidR="004310A3" w:rsidRPr="004310A3" w:rsidRDefault="004310A3" w:rsidP="004310A3">
      <w:pPr>
        <w:pStyle w:val="SingleTxt"/>
        <w:spacing w:after="0" w:line="120" w:lineRule="exact"/>
        <w:rPr>
          <w:sz w:val="10"/>
        </w:rPr>
      </w:pPr>
    </w:p>
    <w:p w:rsidR="00626016" w:rsidRDefault="00626016" w:rsidP="00626016">
      <w:pPr>
        <w:pStyle w:val="SingleTxt"/>
      </w:pPr>
      <w:r>
        <w:t>93.</w:t>
      </w:r>
      <w:r>
        <w:tab/>
        <w:t>Of the 207 university professors at the College of The Bahamas in 2016, 132 were female and 75 were male.</w:t>
      </w:r>
    </w:p>
    <w:p w:rsidR="004310A3" w:rsidRPr="004310A3" w:rsidRDefault="004310A3" w:rsidP="004310A3">
      <w:pPr>
        <w:pStyle w:val="SingleTxt"/>
        <w:spacing w:after="0" w:line="120" w:lineRule="exact"/>
        <w:rPr>
          <w:sz w:val="10"/>
        </w:rPr>
      </w:pPr>
    </w:p>
    <w:p w:rsidR="00626016" w:rsidRPr="004310A3" w:rsidRDefault="004310A3" w:rsidP="004310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4310A3">
        <w:rPr>
          <w:b w:val="0"/>
          <w:bCs/>
        </w:rPr>
        <w:t>Table 10</w:t>
      </w:r>
    </w:p>
    <w:p w:rsidR="00626016" w:rsidRDefault="004310A3" w:rsidP="004310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Percentage of Women Graduating from the College of The Bahamas (January</w:t>
      </w:r>
      <w:r>
        <w:t> </w:t>
      </w:r>
      <w:r w:rsidR="00626016">
        <w:t>1, 2011</w:t>
      </w:r>
      <w:r>
        <w:t>-</w:t>
      </w:r>
      <w:r w:rsidR="00626016">
        <w:t>March 31, 2016)</w:t>
      </w:r>
    </w:p>
    <w:p w:rsidR="004310A3" w:rsidRPr="004310A3" w:rsidRDefault="004310A3" w:rsidP="004310A3">
      <w:pPr>
        <w:pStyle w:val="SingleTxt"/>
        <w:spacing w:after="0" w:line="120" w:lineRule="exact"/>
        <w:rPr>
          <w:sz w:val="10"/>
        </w:rPr>
      </w:pPr>
    </w:p>
    <w:tbl>
      <w:tblPr>
        <w:tblW w:w="7244" w:type="dxa"/>
        <w:tblInd w:w="1260" w:type="dxa"/>
        <w:tblLayout w:type="fixed"/>
        <w:tblCellMar>
          <w:left w:w="0" w:type="dxa"/>
          <w:right w:w="0" w:type="dxa"/>
        </w:tblCellMar>
        <w:tblLook w:val="0000" w:firstRow="0" w:lastRow="0" w:firstColumn="0" w:lastColumn="0" w:noHBand="0" w:noVBand="0"/>
      </w:tblPr>
      <w:tblGrid>
        <w:gridCol w:w="1440"/>
        <w:gridCol w:w="1160"/>
        <w:gridCol w:w="1161"/>
        <w:gridCol w:w="1161"/>
        <w:gridCol w:w="1161"/>
        <w:gridCol w:w="1161"/>
      </w:tblGrid>
      <w:tr w:rsidR="004310A3" w:rsidRPr="004310A3" w:rsidTr="004310A3">
        <w:trPr>
          <w:tblHeader/>
        </w:trPr>
        <w:tc>
          <w:tcPr>
            <w:tcW w:w="1440" w:type="dxa"/>
            <w:tcBorders>
              <w:top w:val="single" w:sz="4" w:space="0" w:color="auto"/>
              <w:bottom w:val="single" w:sz="12" w:space="0" w:color="auto"/>
            </w:tcBorders>
            <w:shd w:val="clear" w:color="auto" w:fill="auto"/>
            <w:vAlign w:val="bottom"/>
          </w:tcPr>
          <w:p w:rsidR="004310A3" w:rsidRPr="004310A3" w:rsidRDefault="004310A3" w:rsidP="004310A3">
            <w:pPr>
              <w:pStyle w:val="SingleTxtG"/>
              <w:spacing w:before="81" w:after="81" w:line="160" w:lineRule="exact"/>
              <w:ind w:left="0" w:right="40"/>
              <w:jc w:val="left"/>
              <w:rPr>
                <w:i/>
                <w:sz w:val="14"/>
              </w:rPr>
            </w:pPr>
            <w:r w:rsidRPr="004310A3">
              <w:rPr>
                <w:i/>
                <w:sz w:val="14"/>
              </w:rPr>
              <w:t>Graduating Fields</w:t>
            </w:r>
          </w:p>
        </w:tc>
        <w:tc>
          <w:tcPr>
            <w:tcW w:w="1160" w:type="dxa"/>
            <w:tcBorders>
              <w:top w:val="single" w:sz="4" w:space="0" w:color="auto"/>
              <w:bottom w:val="single" w:sz="12" w:space="0" w:color="auto"/>
            </w:tcBorders>
            <w:shd w:val="clear" w:color="auto" w:fill="auto"/>
            <w:vAlign w:val="bottom"/>
          </w:tcPr>
          <w:p w:rsidR="004310A3" w:rsidRPr="004310A3" w:rsidRDefault="004310A3" w:rsidP="004310A3">
            <w:pPr>
              <w:pStyle w:val="SingleTxtG"/>
              <w:spacing w:before="81" w:after="81" w:line="160" w:lineRule="exact"/>
              <w:ind w:left="144" w:right="40"/>
              <w:jc w:val="right"/>
              <w:rPr>
                <w:i/>
                <w:sz w:val="14"/>
              </w:rPr>
            </w:pPr>
            <w:r w:rsidRPr="004310A3">
              <w:rPr>
                <w:i/>
                <w:sz w:val="14"/>
              </w:rPr>
              <w:t>2011</w:t>
            </w:r>
          </w:p>
        </w:tc>
        <w:tc>
          <w:tcPr>
            <w:tcW w:w="1161" w:type="dxa"/>
            <w:tcBorders>
              <w:top w:val="single" w:sz="4" w:space="0" w:color="auto"/>
              <w:bottom w:val="single" w:sz="12" w:space="0" w:color="auto"/>
            </w:tcBorders>
            <w:shd w:val="clear" w:color="auto" w:fill="auto"/>
            <w:vAlign w:val="bottom"/>
          </w:tcPr>
          <w:p w:rsidR="004310A3" w:rsidRPr="004310A3" w:rsidRDefault="004310A3" w:rsidP="004310A3">
            <w:pPr>
              <w:pStyle w:val="SingleTxtG"/>
              <w:spacing w:before="81" w:after="81" w:line="160" w:lineRule="exact"/>
              <w:ind w:left="144" w:right="40"/>
              <w:jc w:val="right"/>
              <w:rPr>
                <w:i/>
                <w:sz w:val="14"/>
              </w:rPr>
            </w:pPr>
            <w:r w:rsidRPr="004310A3">
              <w:rPr>
                <w:i/>
                <w:sz w:val="14"/>
              </w:rPr>
              <w:t>2012</w:t>
            </w:r>
          </w:p>
        </w:tc>
        <w:tc>
          <w:tcPr>
            <w:tcW w:w="1161" w:type="dxa"/>
            <w:tcBorders>
              <w:top w:val="single" w:sz="4" w:space="0" w:color="auto"/>
              <w:bottom w:val="single" w:sz="12" w:space="0" w:color="auto"/>
            </w:tcBorders>
            <w:shd w:val="clear" w:color="auto" w:fill="auto"/>
            <w:vAlign w:val="bottom"/>
          </w:tcPr>
          <w:p w:rsidR="004310A3" w:rsidRPr="004310A3" w:rsidRDefault="004310A3" w:rsidP="004310A3">
            <w:pPr>
              <w:pStyle w:val="SingleTxtG"/>
              <w:spacing w:before="81" w:after="81" w:line="160" w:lineRule="exact"/>
              <w:ind w:left="144" w:right="40"/>
              <w:jc w:val="right"/>
              <w:rPr>
                <w:i/>
                <w:sz w:val="14"/>
              </w:rPr>
            </w:pPr>
            <w:r w:rsidRPr="004310A3">
              <w:rPr>
                <w:i/>
                <w:sz w:val="14"/>
              </w:rPr>
              <w:t>2013</w:t>
            </w:r>
          </w:p>
        </w:tc>
        <w:tc>
          <w:tcPr>
            <w:tcW w:w="1161" w:type="dxa"/>
            <w:tcBorders>
              <w:top w:val="single" w:sz="4" w:space="0" w:color="auto"/>
              <w:bottom w:val="single" w:sz="12" w:space="0" w:color="auto"/>
            </w:tcBorders>
            <w:shd w:val="clear" w:color="auto" w:fill="auto"/>
            <w:vAlign w:val="bottom"/>
          </w:tcPr>
          <w:p w:rsidR="004310A3" w:rsidRPr="004310A3" w:rsidRDefault="004310A3" w:rsidP="004310A3">
            <w:pPr>
              <w:pStyle w:val="SingleTxtG"/>
              <w:spacing w:before="81" w:after="81" w:line="160" w:lineRule="exact"/>
              <w:ind w:left="144" w:right="40"/>
              <w:jc w:val="right"/>
              <w:rPr>
                <w:i/>
                <w:sz w:val="14"/>
              </w:rPr>
            </w:pPr>
            <w:r w:rsidRPr="004310A3">
              <w:rPr>
                <w:i/>
                <w:sz w:val="14"/>
              </w:rPr>
              <w:t>2014</w:t>
            </w:r>
          </w:p>
        </w:tc>
        <w:tc>
          <w:tcPr>
            <w:tcW w:w="1161" w:type="dxa"/>
            <w:tcBorders>
              <w:top w:val="single" w:sz="4" w:space="0" w:color="auto"/>
              <w:bottom w:val="single" w:sz="12" w:space="0" w:color="auto"/>
            </w:tcBorders>
            <w:shd w:val="clear" w:color="auto" w:fill="auto"/>
            <w:vAlign w:val="bottom"/>
          </w:tcPr>
          <w:p w:rsidR="004310A3" w:rsidRPr="004310A3" w:rsidRDefault="004310A3" w:rsidP="004310A3">
            <w:pPr>
              <w:pStyle w:val="SingleTxtG"/>
              <w:spacing w:before="81" w:after="81" w:line="160" w:lineRule="exact"/>
              <w:ind w:left="144" w:right="40"/>
              <w:jc w:val="right"/>
              <w:rPr>
                <w:i/>
                <w:sz w:val="14"/>
              </w:rPr>
            </w:pPr>
            <w:r w:rsidRPr="004310A3">
              <w:rPr>
                <w:i/>
                <w:sz w:val="14"/>
              </w:rPr>
              <w:t>2015</w:t>
            </w:r>
          </w:p>
        </w:tc>
      </w:tr>
      <w:tr w:rsidR="004310A3" w:rsidRPr="004310A3" w:rsidTr="004310A3">
        <w:trPr>
          <w:trHeight w:hRule="exact" w:val="115"/>
          <w:tblHeader/>
        </w:trPr>
        <w:tc>
          <w:tcPr>
            <w:tcW w:w="1440" w:type="dxa"/>
            <w:tcBorders>
              <w:top w:val="single" w:sz="12" w:space="0" w:color="auto"/>
            </w:tcBorders>
            <w:shd w:val="clear" w:color="auto" w:fill="auto"/>
            <w:vAlign w:val="bottom"/>
          </w:tcPr>
          <w:p w:rsidR="004310A3" w:rsidRPr="004310A3" w:rsidRDefault="004310A3" w:rsidP="004310A3">
            <w:pPr>
              <w:pStyle w:val="SingleTxtG"/>
              <w:spacing w:before="40" w:after="40" w:line="210" w:lineRule="exact"/>
              <w:ind w:left="0" w:right="40"/>
              <w:jc w:val="left"/>
              <w:rPr>
                <w:sz w:val="17"/>
              </w:rPr>
            </w:pPr>
          </w:p>
        </w:tc>
        <w:tc>
          <w:tcPr>
            <w:tcW w:w="1160" w:type="dxa"/>
            <w:tcBorders>
              <w:top w:val="single" w:sz="12" w:space="0" w:color="auto"/>
            </w:tcBorders>
            <w:shd w:val="clear" w:color="auto" w:fill="auto"/>
            <w:vAlign w:val="bottom"/>
          </w:tcPr>
          <w:p w:rsidR="004310A3" w:rsidRPr="004310A3" w:rsidRDefault="004310A3" w:rsidP="004310A3">
            <w:pPr>
              <w:pStyle w:val="SingleTxtG"/>
              <w:spacing w:before="40" w:after="40" w:line="210" w:lineRule="exact"/>
              <w:ind w:left="144" w:right="40"/>
              <w:jc w:val="right"/>
              <w:rPr>
                <w:sz w:val="17"/>
              </w:rPr>
            </w:pPr>
          </w:p>
        </w:tc>
        <w:tc>
          <w:tcPr>
            <w:tcW w:w="1161" w:type="dxa"/>
            <w:tcBorders>
              <w:top w:val="single" w:sz="12" w:space="0" w:color="auto"/>
            </w:tcBorders>
            <w:shd w:val="clear" w:color="auto" w:fill="auto"/>
            <w:vAlign w:val="bottom"/>
          </w:tcPr>
          <w:p w:rsidR="004310A3" w:rsidRPr="004310A3" w:rsidRDefault="004310A3" w:rsidP="004310A3">
            <w:pPr>
              <w:pStyle w:val="SingleTxtG"/>
              <w:spacing w:before="40" w:after="40" w:line="210" w:lineRule="exact"/>
              <w:ind w:left="144" w:right="40"/>
              <w:jc w:val="right"/>
              <w:rPr>
                <w:sz w:val="17"/>
              </w:rPr>
            </w:pPr>
          </w:p>
        </w:tc>
        <w:tc>
          <w:tcPr>
            <w:tcW w:w="1161" w:type="dxa"/>
            <w:tcBorders>
              <w:top w:val="single" w:sz="12" w:space="0" w:color="auto"/>
            </w:tcBorders>
            <w:shd w:val="clear" w:color="auto" w:fill="auto"/>
            <w:vAlign w:val="bottom"/>
          </w:tcPr>
          <w:p w:rsidR="004310A3" w:rsidRPr="004310A3" w:rsidRDefault="004310A3" w:rsidP="004310A3">
            <w:pPr>
              <w:pStyle w:val="SingleTxtG"/>
              <w:spacing w:before="40" w:after="40" w:line="210" w:lineRule="exact"/>
              <w:ind w:left="144" w:right="40"/>
              <w:jc w:val="right"/>
              <w:rPr>
                <w:sz w:val="17"/>
              </w:rPr>
            </w:pPr>
          </w:p>
        </w:tc>
        <w:tc>
          <w:tcPr>
            <w:tcW w:w="1161" w:type="dxa"/>
            <w:tcBorders>
              <w:top w:val="single" w:sz="12" w:space="0" w:color="auto"/>
            </w:tcBorders>
            <w:shd w:val="clear" w:color="auto" w:fill="auto"/>
            <w:vAlign w:val="bottom"/>
          </w:tcPr>
          <w:p w:rsidR="004310A3" w:rsidRPr="004310A3" w:rsidRDefault="004310A3" w:rsidP="004310A3">
            <w:pPr>
              <w:pStyle w:val="SingleTxtG"/>
              <w:spacing w:before="40" w:after="40" w:line="210" w:lineRule="exact"/>
              <w:ind w:left="144" w:right="40"/>
              <w:jc w:val="right"/>
              <w:rPr>
                <w:sz w:val="17"/>
              </w:rPr>
            </w:pPr>
          </w:p>
        </w:tc>
        <w:tc>
          <w:tcPr>
            <w:tcW w:w="1161" w:type="dxa"/>
            <w:tcBorders>
              <w:top w:val="single" w:sz="12" w:space="0" w:color="auto"/>
            </w:tcBorders>
            <w:shd w:val="clear" w:color="auto" w:fill="auto"/>
            <w:vAlign w:val="bottom"/>
          </w:tcPr>
          <w:p w:rsidR="004310A3" w:rsidRPr="004310A3" w:rsidRDefault="004310A3" w:rsidP="004310A3">
            <w:pPr>
              <w:pStyle w:val="SingleTxtG"/>
              <w:spacing w:before="40" w:after="40" w:line="210" w:lineRule="exact"/>
              <w:ind w:left="144" w:right="40"/>
              <w:jc w:val="right"/>
              <w:rPr>
                <w:sz w:val="17"/>
              </w:rPr>
            </w:pPr>
          </w:p>
        </w:tc>
      </w:tr>
      <w:tr w:rsidR="004310A3" w:rsidRPr="004310A3" w:rsidTr="004310A3">
        <w:tc>
          <w:tcPr>
            <w:tcW w:w="1440"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4310A3">
              <w:rPr>
                <w:spacing w:val="4"/>
                <w:w w:val="103"/>
                <w:sz w:val="17"/>
              </w:rPr>
              <w:t>Medicine</w:t>
            </w:r>
          </w:p>
        </w:tc>
        <w:tc>
          <w:tcPr>
            <w:tcW w:w="1160"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r>
      <w:tr w:rsidR="004310A3" w:rsidRPr="004310A3" w:rsidTr="004310A3">
        <w:tc>
          <w:tcPr>
            <w:tcW w:w="1440"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4310A3">
              <w:rPr>
                <w:spacing w:val="4"/>
                <w:w w:val="103"/>
                <w:sz w:val="17"/>
              </w:rPr>
              <w:t>Law</w:t>
            </w:r>
          </w:p>
        </w:tc>
        <w:tc>
          <w:tcPr>
            <w:tcW w:w="1160"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13 (2.78%)</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38 (6.67%)</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23 (3.90%)</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24 (5.13%)</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29 (5.79%)</w:t>
            </w:r>
          </w:p>
        </w:tc>
      </w:tr>
      <w:tr w:rsidR="004310A3" w:rsidRPr="004310A3" w:rsidTr="004310A3">
        <w:tc>
          <w:tcPr>
            <w:tcW w:w="1440"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4310A3">
              <w:rPr>
                <w:spacing w:val="4"/>
                <w:w w:val="103"/>
                <w:sz w:val="17"/>
              </w:rPr>
              <w:t>Engineering</w:t>
            </w:r>
          </w:p>
        </w:tc>
        <w:tc>
          <w:tcPr>
            <w:tcW w:w="1160"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1 (0.021%)</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4 (0.70%)</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1 (0.17%)</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4 (0.21%)</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1 (0.20%)</w:t>
            </w:r>
          </w:p>
        </w:tc>
      </w:tr>
      <w:tr w:rsidR="004310A3" w:rsidRPr="004310A3" w:rsidTr="004310A3">
        <w:tc>
          <w:tcPr>
            <w:tcW w:w="1440"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4310A3">
              <w:rPr>
                <w:spacing w:val="4"/>
                <w:w w:val="103"/>
                <w:sz w:val="17"/>
              </w:rPr>
              <w:t>Sciences</w:t>
            </w:r>
          </w:p>
        </w:tc>
        <w:tc>
          <w:tcPr>
            <w:tcW w:w="1160"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24 (5.13%)</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48 (8.42%)</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44 (7.47%)</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39 (8.33%)</w:t>
            </w:r>
          </w:p>
        </w:tc>
        <w:tc>
          <w:tcPr>
            <w:tcW w:w="1161" w:type="dxa"/>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59 (11.78%)</w:t>
            </w:r>
          </w:p>
        </w:tc>
      </w:tr>
      <w:tr w:rsidR="004310A3" w:rsidRPr="004310A3" w:rsidTr="004310A3">
        <w:tc>
          <w:tcPr>
            <w:tcW w:w="1440" w:type="dxa"/>
            <w:tcBorders>
              <w:bottom w:val="single" w:sz="12" w:space="0" w:color="auto"/>
            </w:tcBorders>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4310A3">
              <w:rPr>
                <w:spacing w:val="4"/>
                <w:w w:val="103"/>
                <w:sz w:val="17"/>
              </w:rPr>
              <w:t>Agriculture</w:t>
            </w:r>
          </w:p>
        </w:tc>
        <w:tc>
          <w:tcPr>
            <w:tcW w:w="1160" w:type="dxa"/>
            <w:tcBorders>
              <w:bottom w:val="single" w:sz="12" w:space="0" w:color="auto"/>
            </w:tcBorders>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c>
          <w:tcPr>
            <w:tcW w:w="1161" w:type="dxa"/>
            <w:tcBorders>
              <w:bottom w:val="single" w:sz="12" w:space="0" w:color="auto"/>
            </w:tcBorders>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c>
          <w:tcPr>
            <w:tcW w:w="1161" w:type="dxa"/>
            <w:tcBorders>
              <w:bottom w:val="single" w:sz="12" w:space="0" w:color="auto"/>
            </w:tcBorders>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c>
          <w:tcPr>
            <w:tcW w:w="1161" w:type="dxa"/>
            <w:tcBorders>
              <w:bottom w:val="single" w:sz="12" w:space="0" w:color="auto"/>
            </w:tcBorders>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c>
          <w:tcPr>
            <w:tcW w:w="1161" w:type="dxa"/>
            <w:tcBorders>
              <w:bottom w:val="single" w:sz="12" w:space="0" w:color="auto"/>
            </w:tcBorders>
            <w:shd w:val="clear" w:color="auto" w:fill="auto"/>
            <w:vAlign w:val="bottom"/>
          </w:tcPr>
          <w:p w:rsidR="004310A3" w:rsidRPr="004310A3" w:rsidRDefault="004310A3" w:rsidP="004310A3">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4310A3">
              <w:rPr>
                <w:spacing w:val="4"/>
                <w:w w:val="103"/>
                <w:sz w:val="17"/>
              </w:rPr>
              <w:t>0%</w:t>
            </w:r>
          </w:p>
        </w:tc>
      </w:tr>
    </w:tbl>
    <w:p w:rsidR="00626016" w:rsidRPr="004310A3" w:rsidRDefault="00626016" w:rsidP="004310A3">
      <w:pPr>
        <w:pStyle w:val="SingleTxt"/>
        <w:spacing w:after="0" w:line="120" w:lineRule="exact"/>
        <w:rPr>
          <w:sz w:val="10"/>
        </w:rPr>
      </w:pPr>
    </w:p>
    <w:p w:rsidR="00626016" w:rsidRDefault="00626016" w:rsidP="004310A3">
      <w:pPr>
        <w:pStyle w:val="FootnoteText"/>
        <w:tabs>
          <w:tab w:val="clear" w:pos="418"/>
          <w:tab w:val="right" w:pos="1476"/>
          <w:tab w:val="left" w:pos="1548"/>
          <w:tab w:val="right" w:pos="1836"/>
          <w:tab w:val="left" w:pos="1908"/>
        </w:tabs>
        <w:ind w:left="1548" w:right="1267" w:hanging="288"/>
      </w:pPr>
      <w:r w:rsidRPr="004310A3">
        <w:rPr>
          <w:i/>
          <w:iCs/>
        </w:rPr>
        <w:t>Source</w:t>
      </w:r>
      <w:r>
        <w:t xml:space="preserve">: </w:t>
      </w:r>
      <w:r w:rsidRPr="004310A3">
        <w:rPr>
          <w:i/>
          <w:iCs/>
        </w:rPr>
        <w:t>Office of the Registrar of the College of The Bahamas</w:t>
      </w:r>
      <w:r w:rsidR="004310A3">
        <w:t>.</w:t>
      </w:r>
    </w:p>
    <w:p w:rsidR="004310A3" w:rsidRPr="004310A3" w:rsidRDefault="004310A3" w:rsidP="004310A3">
      <w:pPr>
        <w:pStyle w:val="FootnoteText"/>
        <w:tabs>
          <w:tab w:val="clear" w:pos="418"/>
          <w:tab w:val="right" w:pos="1476"/>
          <w:tab w:val="left" w:pos="1548"/>
          <w:tab w:val="right" w:pos="1836"/>
          <w:tab w:val="left" w:pos="1908"/>
        </w:tabs>
        <w:spacing w:line="120" w:lineRule="exact"/>
        <w:ind w:left="1548" w:right="1267" w:hanging="288"/>
        <w:rPr>
          <w:sz w:val="10"/>
        </w:rPr>
      </w:pPr>
    </w:p>
    <w:p w:rsidR="004310A3" w:rsidRPr="004310A3" w:rsidRDefault="004310A3" w:rsidP="004310A3">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626016">
      <w:pPr>
        <w:pStyle w:val="SingleTxt"/>
      </w:pPr>
      <w:r>
        <w:t>94.</w:t>
      </w:r>
      <w:r>
        <w:tab/>
        <w:t xml:space="preserve">The information in this table depicts the percentage of women who have graduated from The College of The Bahamas in the fields of Medicine, Law, Engineering, Science and Agriculture. While The College of The Bahamas offers a programme in Agriculture, no women have graduated with the degree in this discipline during this period. Please note that the College of The Bahamas does not offer a degree in medicine. When compared to the percentage of women to men in the country, the percentage of women who graduated in the relevant fields is significantly low. </w:t>
      </w:r>
    </w:p>
    <w:p w:rsidR="00282A88" w:rsidRPr="00282A88" w:rsidRDefault="00282A88" w:rsidP="00282A88">
      <w:pPr>
        <w:pStyle w:val="SingleTxt"/>
        <w:spacing w:after="0" w:line="120" w:lineRule="exact"/>
        <w:rPr>
          <w:sz w:val="10"/>
        </w:rPr>
      </w:pPr>
    </w:p>
    <w:p w:rsidR="00626016" w:rsidRPr="00282A88" w:rsidRDefault="00282A88" w:rsidP="00282A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282A88">
        <w:rPr>
          <w:b w:val="0"/>
          <w:bCs/>
        </w:rPr>
        <w:t>Table 11</w:t>
      </w:r>
    </w:p>
    <w:p w:rsidR="00626016" w:rsidRDefault="00282A88" w:rsidP="00282A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 xml:space="preserve">Percentage of Women Graduating from The Bahamas Technical &amp; Vocational Institute (BTVI) </w:t>
      </w:r>
    </w:p>
    <w:p w:rsidR="00282A88" w:rsidRPr="00282A88" w:rsidRDefault="00282A88" w:rsidP="00282A88">
      <w:pPr>
        <w:pStyle w:val="SingleTxt"/>
        <w:spacing w:after="0" w:line="120" w:lineRule="exact"/>
        <w:rPr>
          <w:sz w:val="10"/>
        </w:rPr>
      </w:pPr>
    </w:p>
    <w:p w:rsidR="00626016" w:rsidRDefault="00282A88" w:rsidP="00282A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(School Year: 2013-2014) Degrees, Diplomas and Certificate Programmes</w:t>
      </w:r>
    </w:p>
    <w:p w:rsidR="00282A88" w:rsidRPr="00282A88" w:rsidRDefault="00282A88" w:rsidP="00282A88">
      <w:pPr>
        <w:pStyle w:val="SingleTxt"/>
        <w:spacing w:after="0" w:line="120" w:lineRule="exact"/>
        <w:rPr>
          <w:sz w:val="10"/>
          <w:lang w:val="en-US"/>
        </w:rPr>
      </w:pPr>
    </w:p>
    <w:tbl>
      <w:tblPr>
        <w:tblW w:w="7244" w:type="dxa"/>
        <w:tblInd w:w="1260" w:type="dxa"/>
        <w:tblLayout w:type="fixed"/>
        <w:tblCellMar>
          <w:left w:w="0" w:type="dxa"/>
          <w:right w:w="0" w:type="dxa"/>
        </w:tblCellMar>
        <w:tblLook w:val="0000" w:firstRow="0" w:lastRow="0" w:firstColumn="0" w:lastColumn="0" w:noHBand="0" w:noVBand="0"/>
      </w:tblPr>
      <w:tblGrid>
        <w:gridCol w:w="2340"/>
        <w:gridCol w:w="2700"/>
        <w:gridCol w:w="734"/>
        <w:gridCol w:w="735"/>
        <w:gridCol w:w="735"/>
      </w:tblGrid>
      <w:tr w:rsidR="00282A88" w:rsidRPr="006068B8" w:rsidTr="00282A88">
        <w:trPr>
          <w:tblHeader/>
        </w:trPr>
        <w:tc>
          <w:tcPr>
            <w:tcW w:w="2340" w:type="dxa"/>
            <w:tcBorders>
              <w:top w:val="single" w:sz="4" w:space="0" w:color="auto"/>
              <w:bottom w:val="single" w:sz="12" w:space="0" w:color="auto"/>
            </w:tcBorders>
            <w:shd w:val="clear" w:color="auto" w:fill="auto"/>
            <w:vAlign w:val="bottom"/>
          </w:tcPr>
          <w:p w:rsidR="00282A88" w:rsidRPr="00282A88" w:rsidRDefault="00282A88" w:rsidP="003D4241">
            <w:pPr>
              <w:pStyle w:val="SingleTxtG"/>
              <w:suppressAutoHyphens w:val="0"/>
              <w:spacing w:before="80" w:after="80" w:line="200" w:lineRule="exact"/>
              <w:ind w:left="0" w:right="0"/>
              <w:jc w:val="left"/>
              <w:rPr>
                <w:i/>
                <w:snapToGrid w:val="0"/>
                <w:spacing w:val="4"/>
                <w:w w:val="103"/>
                <w:sz w:val="16"/>
              </w:rPr>
            </w:pPr>
            <w:r w:rsidRPr="00282A88">
              <w:rPr>
                <w:i/>
                <w:snapToGrid w:val="0"/>
                <w:spacing w:val="4"/>
                <w:w w:val="103"/>
                <w:sz w:val="16"/>
              </w:rPr>
              <w:t>Programme</w:t>
            </w:r>
          </w:p>
        </w:tc>
        <w:tc>
          <w:tcPr>
            <w:tcW w:w="2700" w:type="dxa"/>
            <w:tcBorders>
              <w:top w:val="single" w:sz="4" w:space="0" w:color="auto"/>
              <w:bottom w:val="single" w:sz="12" w:space="0" w:color="auto"/>
            </w:tcBorders>
            <w:shd w:val="clear" w:color="auto" w:fill="auto"/>
            <w:vAlign w:val="bottom"/>
          </w:tcPr>
          <w:p w:rsidR="00282A88" w:rsidRPr="00282A88" w:rsidRDefault="00282A88" w:rsidP="00282A88">
            <w:pPr>
              <w:pStyle w:val="SingleTxtG"/>
              <w:suppressAutoHyphens w:val="0"/>
              <w:spacing w:before="80" w:after="80" w:line="200" w:lineRule="exact"/>
              <w:ind w:left="144" w:right="0"/>
              <w:jc w:val="left"/>
              <w:rPr>
                <w:i/>
                <w:snapToGrid w:val="0"/>
                <w:spacing w:val="4"/>
                <w:w w:val="103"/>
                <w:sz w:val="16"/>
              </w:rPr>
            </w:pPr>
            <w:r w:rsidRPr="00282A88">
              <w:rPr>
                <w:i/>
                <w:snapToGrid w:val="0"/>
                <w:spacing w:val="4"/>
                <w:w w:val="103"/>
                <w:sz w:val="16"/>
              </w:rPr>
              <w:t>Graduating Field</w:t>
            </w:r>
          </w:p>
        </w:tc>
        <w:tc>
          <w:tcPr>
            <w:tcW w:w="734" w:type="dxa"/>
            <w:tcBorders>
              <w:top w:val="single" w:sz="4" w:space="0" w:color="auto"/>
              <w:bottom w:val="single" w:sz="12" w:space="0" w:color="auto"/>
            </w:tcBorders>
            <w:shd w:val="clear" w:color="auto" w:fill="auto"/>
            <w:vAlign w:val="bottom"/>
          </w:tcPr>
          <w:p w:rsidR="00282A88" w:rsidRPr="00282A88" w:rsidRDefault="00282A88" w:rsidP="00282A88">
            <w:pPr>
              <w:pStyle w:val="SingleTxtG"/>
              <w:suppressAutoHyphens w:val="0"/>
              <w:spacing w:before="80" w:after="80" w:line="200" w:lineRule="exact"/>
              <w:ind w:left="0" w:right="43"/>
              <w:jc w:val="right"/>
              <w:rPr>
                <w:i/>
                <w:snapToGrid w:val="0"/>
                <w:spacing w:val="4"/>
                <w:w w:val="103"/>
                <w:sz w:val="16"/>
              </w:rPr>
            </w:pPr>
            <w:r w:rsidRPr="00282A88">
              <w:rPr>
                <w:i/>
                <w:snapToGrid w:val="0"/>
                <w:spacing w:val="4"/>
                <w:w w:val="103"/>
                <w:sz w:val="16"/>
              </w:rPr>
              <w:t>Male</w:t>
            </w:r>
          </w:p>
        </w:tc>
        <w:tc>
          <w:tcPr>
            <w:tcW w:w="735" w:type="dxa"/>
            <w:tcBorders>
              <w:top w:val="single" w:sz="4" w:space="0" w:color="auto"/>
              <w:bottom w:val="single" w:sz="12" w:space="0" w:color="auto"/>
            </w:tcBorders>
            <w:shd w:val="clear" w:color="auto" w:fill="auto"/>
            <w:vAlign w:val="bottom"/>
          </w:tcPr>
          <w:p w:rsidR="00282A88" w:rsidRPr="00282A88" w:rsidRDefault="00282A88" w:rsidP="00282A88">
            <w:pPr>
              <w:pStyle w:val="SingleTxtG"/>
              <w:suppressAutoHyphens w:val="0"/>
              <w:spacing w:before="80" w:after="80" w:line="200" w:lineRule="exact"/>
              <w:ind w:left="0" w:right="43"/>
              <w:jc w:val="right"/>
              <w:rPr>
                <w:i/>
                <w:snapToGrid w:val="0"/>
                <w:spacing w:val="4"/>
                <w:w w:val="103"/>
                <w:sz w:val="16"/>
              </w:rPr>
            </w:pPr>
            <w:r w:rsidRPr="00282A88">
              <w:rPr>
                <w:i/>
                <w:snapToGrid w:val="0"/>
                <w:spacing w:val="4"/>
                <w:w w:val="103"/>
                <w:sz w:val="16"/>
              </w:rPr>
              <w:t>Female</w:t>
            </w:r>
          </w:p>
        </w:tc>
        <w:tc>
          <w:tcPr>
            <w:tcW w:w="735" w:type="dxa"/>
            <w:tcBorders>
              <w:top w:val="single" w:sz="4" w:space="0" w:color="auto"/>
              <w:bottom w:val="single" w:sz="12" w:space="0" w:color="auto"/>
            </w:tcBorders>
            <w:shd w:val="clear" w:color="auto" w:fill="auto"/>
            <w:vAlign w:val="bottom"/>
          </w:tcPr>
          <w:p w:rsidR="00282A88" w:rsidRPr="00282A88" w:rsidRDefault="00282A88" w:rsidP="00282A88">
            <w:pPr>
              <w:pStyle w:val="SingleTxtG"/>
              <w:suppressAutoHyphens w:val="0"/>
              <w:spacing w:before="80" w:after="80" w:line="200" w:lineRule="exact"/>
              <w:ind w:left="0" w:right="43"/>
              <w:jc w:val="right"/>
              <w:rPr>
                <w:i/>
                <w:snapToGrid w:val="0"/>
                <w:spacing w:val="4"/>
                <w:w w:val="103"/>
                <w:sz w:val="16"/>
              </w:rPr>
            </w:pPr>
            <w:r w:rsidRPr="00282A88">
              <w:rPr>
                <w:i/>
                <w:snapToGrid w:val="0"/>
                <w:spacing w:val="4"/>
                <w:w w:val="103"/>
                <w:sz w:val="16"/>
              </w:rPr>
              <w:t>Total</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r w:rsidRPr="00282A88">
              <w:rPr>
                <w:snapToGrid w:val="0"/>
                <w:spacing w:val="4"/>
                <w:w w:val="103"/>
                <w:sz w:val="18"/>
              </w:rPr>
              <w:t>Associate of Applied Science</w:t>
            </w: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Office Administration</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9</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16</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26</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Business Office Technology</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5</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9</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Construction Technology</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2</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2</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Information Technology Management</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r w:rsidRPr="00282A88">
              <w:rPr>
                <w:snapToGrid w:val="0"/>
                <w:spacing w:val="4"/>
                <w:w w:val="103"/>
                <w:sz w:val="18"/>
              </w:rPr>
              <w:t>Diploma</w:t>
            </w: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Cosmetology</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27</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27</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Fashion Design Production II</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5</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5</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r w:rsidRPr="00282A88">
              <w:rPr>
                <w:snapToGrid w:val="0"/>
                <w:spacing w:val="4"/>
                <w:w w:val="103"/>
                <w:sz w:val="18"/>
              </w:rPr>
              <w:lastRenderedPageBreak/>
              <w:t>Certificate</w:t>
            </w: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Auto Collision</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7</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7</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Auto Mechanics</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8</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8</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Barbering</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5</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5</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Carpentry</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2</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Computer Repair</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6</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7</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Electronics &amp; Cable Installation</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Electrical Installation</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32</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3</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35</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Aesthetics</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6</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6</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Fashion Design Production I</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Heating Ventilation &amp; Air Conditioning</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8</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8</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Information Technology Entry Level</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3</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Information Technology Support Specialist</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5</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5</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Natural Hair Styling</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11</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Nail Technology</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16</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17</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Office Assistant</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19</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23</w:t>
            </w:r>
          </w:p>
        </w:tc>
      </w:tr>
      <w:tr w:rsidR="00282A88" w:rsidRPr="006068B8" w:rsidTr="00282A88">
        <w:tc>
          <w:tcPr>
            <w:tcW w:w="2340" w:type="dxa"/>
            <w:shd w:val="clear" w:color="auto" w:fill="auto"/>
          </w:tcPr>
          <w:p w:rsidR="00282A88" w:rsidRPr="00282A88" w:rsidRDefault="00282A88" w:rsidP="003D4241">
            <w:pPr>
              <w:pStyle w:val="SingleTxtG"/>
              <w:suppressAutoHyphens w:val="0"/>
              <w:spacing w:before="40" w:after="40" w:line="220" w:lineRule="exact"/>
              <w:ind w:left="0" w:right="0"/>
              <w:jc w:val="left"/>
              <w:rPr>
                <w:snapToGrid w:val="0"/>
                <w:spacing w:val="4"/>
                <w:w w:val="103"/>
                <w:sz w:val="18"/>
              </w:rPr>
            </w:pPr>
          </w:p>
        </w:tc>
        <w:tc>
          <w:tcPr>
            <w:tcW w:w="2700" w:type="dxa"/>
            <w:shd w:val="clear" w:color="auto" w:fill="auto"/>
            <w:vAlign w:val="bottom"/>
          </w:tcPr>
          <w:p w:rsidR="00282A88" w:rsidRPr="00282A88" w:rsidRDefault="00282A88" w:rsidP="00282A88">
            <w:pPr>
              <w:pStyle w:val="SingleTxtG"/>
              <w:suppressAutoHyphens w:val="0"/>
              <w:spacing w:before="40" w:after="40" w:line="220" w:lineRule="exact"/>
              <w:ind w:left="144" w:right="0"/>
              <w:jc w:val="left"/>
              <w:rPr>
                <w:snapToGrid w:val="0"/>
                <w:spacing w:val="4"/>
                <w:w w:val="103"/>
                <w:sz w:val="18"/>
              </w:rPr>
            </w:pPr>
            <w:r w:rsidRPr="00282A88">
              <w:rPr>
                <w:snapToGrid w:val="0"/>
                <w:spacing w:val="4"/>
                <w:w w:val="103"/>
                <w:sz w:val="18"/>
              </w:rPr>
              <w:t>Plumbing</w:t>
            </w:r>
          </w:p>
        </w:tc>
        <w:tc>
          <w:tcPr>
            <w:tcW w:w="734"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0</w:t>
            </w:r>
          </w:p>
        </w:tc>
        <w:tc>
          <w:tcPr>
            <w:tcW w:w="735" w:type="dxa"/>
            <w:shd w:val="clear" w:color="auto" w:fill="auto"/>
            <w:vAlign w:val="bottom"/>
          </w:tcPr>
          <w:p w:rsidR="00282A88" w:rsidRPr="00282A88" w:rsidRDefault="00282A88" w:rsidP="00282A88">
            <w:pPr>
              <w:pStyle w:val="SingleTxtG"/>
              <w:suppressAutoHyphens w:val="0"/>
              <w:spacing w:before="40" w:after="40" w:line="220" w:lineRule="exact"/>
              <w:ind w:left="0" w:right="43"/>
              <w:jc w:val="right"/>
              <w:rPr>
                <w:snapToGrid w:val="0"/>
                <w:spacing w:val="4"/>
                <w:w w:val="103"/>
                <w:sz w:val="18"/>
              </w:rPr>
            </w:pPr>
            <w:r w:rsidRPr="00282A88">
              <w:rPr>
                <w:snapToGrid w:val="0"/>
                <w:spacing w:val="4"/>
                <w:w w:val="103"/>
                <w:sz w:val="18"/>
              </w:rPr>
              <w:t>4</w:t>
            </w:r>
          </w:p>
        </w:tc>
      </w:tr>
      <w:tr w:rsidR="00282A88" w:rsidRPr="006068B8" w:rsidTr="00282A88">
        <w:tc>
          <w:tcPr>
            <w:tcW w:w="2340" w:type="dxa"/>
            <w:tcBorders>
              <w:bottom w:val="single" w:sz="4" w:space="0" w:color="auto"/>
            </w:tcBorders>
            <w:shd w:val="clear" w:color="auto" w:fill="auto"/>
          </w:tcPr>
          <w:p w:rsidR="00282A88" w:rsidRPr="00282A88" w:rsidRDefault="00282A88" w:rsidP="00282A88">
            <w:pPr>
              <w:pStyle w:val="SingleTxtG"/>
              <w:suppressAutoHyphens w:val="0"/>
              <w:spacing w:before="40" w:after="81" w:line="220" w:lineRule="exact"/>
              <w:ind w:left="0" w:right="0"/>
              <w:jc w:val="left"/>
              <w:rPr>
                <w:snapToGrid w:val="0"/>
                <w:spacing w:val="4"/>
                <w:w w:val="103"/>
                <w:sz w:val="18"/>
              </w:rPr>
            </w:pPr>
          </w:p>
        </w:tc>
        <w:tc>
          <w:tcPr>
            <w:tcW w:w="2700" w:type="dxa"/>
            <w:tcBorders>
              <w:bottom w:val="single" w:sz="4" w:space="0" w:color="auto"/>
            </w:tcBorders>
            <w:shd w:val="clear" w:color="auto" w:fill="auto"/>
            <w:vAlign w:val="bottom"/>
          </w:tcPr>
          <w:p w:rsidR="00282A88" w:rsidRPr="00282A88" w:rsidRDefault="00282A88" w:rsidP="00282A88">
            <w:pPr>
              <w:pStyle w:val="SingleTxtG"/>
              <w:suppressAutoHyphens w:val="0"/>
              <w:spacing w:before="40" w:after="81" w:line="220" w:lineRule="exact"/>
              <w:ind w:left="144" w:right="0"/>
              <w:jc w:val="left"/>
              <w:rPr>
                <w:snapToGrid w:val="0"/>
                <w:spacing w:val="4"/>
                <w:w w:val="103"/>
                <w:sz w:val="18"/>
              </w:rPr>
            </w:pPr>
            <w:r w:rsidRPr="00282A88">
              <w:rPr>
                <w:snapToGrid w:val="0"/>
                <w:spacing w:val="4"/>
                <w:w w:val="103"/>
                <w:sz w:val="18"/>
              </w:rPr>
              <w:t xml:space="preserve">Welding </w:t>
            </w:r>
          </w:p>
        </w:tc>
        <w:tc>
          <w:tcPr>
            <w:tcW w:w="734" w:type="dxa"/>
            <w:tcBorders>
              <w:bottom w:val="single" w:sz="4" w:space="0" w:color="auto"/>
            </w:tcBorders>
            <w:shd w:val="clear" w:color="auto" w:fill="auto"/>
            <w:vAlign w:val="bottom"/>
          </w:tcPr>
          <w:p w:rsidR="00282A88" w:rsidRPr="00282A88" w:rsidRDefault="00282A88" w:rsidP="00282A88">
            <w:pPr>
              <w:pStyle w:val="SingleTxtG"/>
              <w:suppressAutoHyphens w:val="0"/>
              <w:spacing w:before="40" w:after="81" w:line="220" w:lineRule="exact"/>
              <w:ind w:left="0" w:right="43"/>
              <w:jc w:val="right"/>
              <w:rPr>
                <w:snapToGrid w:val="0"/>
                <w:spacing w:val="4"/>
                <w:w w:val="103"/>
                <w:sz w:val="18"/>
              </w:rPr>
            </w:pPr>
            <w:r w:rsidRPr="00282A88">
              <w:rPr>
                <w:snapToGrid w:val="0"/>
                <w:spacing w:val="4"/>
                <w:w w:val="103"/>
                <w:sz w:val="18"/>
              </w:rPr>
              <w:t>2</w:t>
            </w:r>
          </w:p>
        </w:tc>
        <w:tc>
          <w:tcPr>
            <w:tcW w:w="735" w:type="dxa"/>
            <w:tcBorders>
              <w:bottom w:val="single" w:sz="4" w:space="0" w:color="auto"/>
            </w:tcBorders>
            <w:shd w:val="clear" w:color="auto" w:fill="auto"/>
            <w:vAlign w:val="bottom"/>
          </w:tcPr>
          <w:p w:rsidR="00282A88" w:rsidRPr="00282A88" w:rsidRDefault="00282A88" w:rsidP="00282A88">
            <w:pPr>
              <w:pStyle w:val="SingleTxtG"/>
              <w:suppressAutoHyphens w:val="0"/>
              <w:spacing w:before="40" w:after="81" w:line="220" w:lineRule="exact"/>
              <w:ind w:left="0" w:right="43"/>
              <w:jc w:val="right"/>
              <w:rPr>
                <w:snapToGrid w:val="0"/>
                <w:spacing w:val="4"/>
                <w:w w:val="103"/>
                <w:sz w:val="18"/>
              </w:rPr>
            </w:pPr>
            <w:r w:rsidRPr="00282A88">
              <w:rPr>
                <w:snapToGrid w:val="0"/>
                <w:spacing w:val="4"/>
                <w:w w:val="103"/>
                <w:sz w:val="18"/>
              </w:rPr>
              <w:t>1</w:t>
            </w:r>
          </w:p>
        </w:tc>
        <w:tc>
          <w:tcPr>
            <w:tcW w:w="735" w:type="dxa"/>
            <w:tcBorders>
              <w:bottom w:val="single" w:sz="4" w:space="0" w:color="auto"/>
            </w:tcBorders>
            <w:shd w:val="clear" w:color="auto" w:fill="auto"/>
            <w:vAlign w:val="bottom"/>
          </w:tcPr>
          <w:p w:rsidR="00282A88" w:rsidRPr="00282A88" w:rsidRDefault="00282A88" w:rsidP="00282A88">
            <w:pPr>
              <w:pStyle w:val="SingleTxtG"/>
              <w:suppressAutoHyphens w:val="0"/>
              <w:spacing w:before="40" w:after="81" w:line="220" w:lineRule="exact"/>
              <w:ind w:left="0" w:right="43"/>
              <w:jc w:val="right"/>
              <w:rPr>
                <w:snapToGrid w:val="0"/>
                <w:spacing w:val="4"/>
                <w:w w:val="103"/>
                <w:sz w:val="18"/>
              </w:rPr>
            </w:pPr>
            <w:r w:rsidRPr="00282A88">
              <w:rPr>
                <w:snapToGrid w:val="0"/>
                <w:spacing w:val="4"/>
                <w:w w:val="103"/>
                <w:sz w:val="18"/>
              </w:rPr>
              <w:t>3</w:t>
            </w:r>
          </w:p>
        </w:tc>
      </w:tr>
      <w:tr w:rsidR="00282A88" w:rsidRPr="00282A88" w:rsidTr="00282A88">
        <w:tc>
          <w:tcPr>
            <w:tcW w:w="2340" w:type="dxa"/>
            <w:tcBorders>
              <w:top w:val="single" w:sz="4" w:space="0" w:color="auto"/>
              <w:bottom w:val="single" w:sz="12" w:space="0" w:color="auto"/>
            </w:tcBorders>
            <w:shd w:val="clear" w:color="auto" w:fill="auto"/>
          </w:tcPr>
          <w:p w:rsidR="00282A88" w:rsidRPr="00282A88" w:rsidRDefault="00282A88" w:rsidP="00282A88">
            <w:pPr>
              <w:pStyle w:val="SingleTxtG"/>
              <w:suppressAutoHyphens w:val="0"/>
              <w:spacing w:before="81" w:after="81" w:line="220" w:lineRule="exact"/>
              <w:ind w:left="0" w:right="0"/>
              <w:jc w:val="left"/>
              <w:rPr>
                <w:b/>
                <w:snapToGrid w:val="0"/>
                <w:spacing w:val="4"/>
                <w:w w:val="103"/>
                <w:sz w:val="18"/>
              </w:rPr>
            </w:pPr>
          </w:p>
        </w:tc>
        <w:tc>
          <w:tcPr>
            <w:tcW w:w="2700" w:type="dxa"/>
            <w:tcBorders>
              <w:top w:val="single" w:sz="4" w:space="0" w:color="auto"/>
              <w:bottom w:val="single" w:sz="12" w:space="0" w:color="auto"/>
            </w:tcBorders>
            <w:shd w:val="clear" w:color="auto" w:fill="auto"/>
            <w:vAlign w:val="bottom"/>
          </w:tcPr>
          <w:p w:rsidR="00282A88" w:rsidRPr="00282A88" w:rsidRDefault="00282A88" w:rsidP="00282A88">
            <w:pPr>
              <w:pStyle w:val="SingleTxtG"/>
              <w:suppressAutoHyphens w:val="0"/>
              <w:spacing w:before="81" w:after="81" w:line="220" w:lineRule="exact"/>
              <w:ind w:left="144" w:right="0"/>
              <w:jc w:val="left"/>
              <w:rPr>
                <w:b/>
                <w:snapToGrid w:val="0"/>
                <w:spacing w:val="4"/>
                <w:w w:val="103"/>
                <w:sz w:val="18"/>
              </w:rPr>
            </w:pPr>
            <w:r w:rsidRPr="00282A88">
              <w:rPr>
                <w:b/>
                <w:snapToGrid w:val="0"/>
                <w:spacing w:val="4"/>
                <w:w w:val="103"/>
                <w:sz w:val="18"/>
              </w:rPr>
              <w:t>Total</w:t>
            </w:r>
          </w:p>
        </w:tc>
        <w:tc>
          <w:tcPr>
            <w:tcW w:w="734" w:type="dxa"/>
            <w:tcBorders>
              <w:top w:val="single" w:sz="4" w:space="0" w:color="auto"/>
              <w:bottom w:val="single" w:sz="12" w:space="0" w:color="auto"/>
            </w:tcBorders>
            <w:shd w:val="clear" w:color="auto" w:fill="auto"/>
            <w:vAlign w:val="bottom"/>
          </w:tcPr>
          <w:p w:rsidR="00282A88" w:rsidRPr="00282A88" w:rsidRDefault="00282A88" w:rsidP="00282A88">
            <w:pPr>
              <w:pStyle w:val="SingleTxtG"/>
              <w:suppressAutoHyphens w:val="0"/>
              <w:spacing w:before="81" w:after="81" w:line="220" w:lineRule="exact"/>
              <w:ind w:left="0" w:right="43"/>
              <w:jc w:val="right"/>
              <w:rPr>
                <w:b/>
                <w:snapToGrid w:val="0"/>
                <w:spacing w:val="4"/>
                <w:w w:val="103"/>
                <w:sz w:val="18"/>
              </w:rPr>
            </w:pPr>
            <w:r w:rsidRPr="00282A88">
              <w:rPr>
                <w:b/>
                <w:snapToGrid w:val="0"/>
                <w:spacing w:val="4"/>
                <w:w w:val="103"/>
                <w:sz w:val="18"/>
              </w:rPr>
              <w:t>110</w:t>
            </w:r>
          </w:p>
        </w:tc>
        <w:tc>
          <w:tcPr>
            <w:tcW w:w="735" w:type="dxa"/>
            <w:tcBorders>
              <w:top w:val="single" w:sz="4" w:space="0" w:color="auto"/>
              <w:bottom w:val="single" w:sz="12" w:space="0" w:color="auto"/>
            </w:tcBorders>
            <w:shd w:val="clear" w:color="auto" w:fill="auto"/>
            <w:vAlign w:val="bottom"/>
          </w:tcPr>
          <w:p w:rsidR="00282A88" w:rsidRPr="00282A88" w:rsidRDefault="00282A88" w:rsidP="00282A88">
            <w:pPr>
              <w:pStyle w:val="SingleTxtG"/>
              <w:suppressAutoHyphens w:val="0"/>
              <w:spacing w:before="81" w:after="81" w:line="220" w:lineRule="exact"/>
              <w:ind w:left="0" w:right="43"/>
              <w:jc w:val="right"/>
              <w:rPr>
                <w:b/>
                <w:snapToGrid w:val="0"/>
                <w:spacing w:val="4"/>
                <w:w w:val="103"/>
                <w:sz w:val="18"/>
              </w:rPr>
            </w:pPr>
            <w:r w:rsidRPr="00282A88">
              <w:rPr>
                <w:b/>
                <w:snapToGrid w:val="0"/>
                <w:spacing w:val="4"/>
                <w:w w:val="103"/>
                <w:sz w:val="18"/>
              </w:rPr>
              <w:t>115</w:t>
            </w:r>
          </w:p>
        </w:tc>
        <w:tc>
          <w:tcPr>
            <w:tcW w:w="735" w:type="dxa"/>
            <w:tcBorders>
              <w:top w:val="single" w:sz="4" w:space="0" w:color="auto"/>
              <w:bottom w:val="single" w:sz="12" w:space="0" w:color="auto"/>
            </w:tcBorders>
            <w:shd w:val="clear" w:color="auto" w:fill="auto"/>
            <w:vAlign w:val="bottom"/>
          </w:tcPr>
          <w:p w:rsidR="00282A88" w:rsidRPr="00282A88" w:rsidRDefault="00282A88" w:rsidP="00282A88">
            <w:pPr>
              <w:pStyle w:val="SingleTxtG"/>
              <w:suppressAutoHyphens w:val="0"/>
              <w:spacing w:before="81" w:after="81" w:line="220" w:lineRule="exact"/>
              <w:ind w:left="0" w:right="43"/>
              <w:jc w:val="right"/>
              <w:rPr>
                <w:b/>
                <w:snapToGrid w:val="0"/>
                <w:spacing w:val="4"/>
                <w:w w:val="103"/>
                <w:sz w:val="18"/>
              </w:rPr>
            </w:pPr>
            <w:r w:rsidRPr="00282A88">
              <w:rPr>
                <w:b/>
                <w:snapToGrid w:val="0"/>
                <w:spacing w:val="4"/>
                <w:w w:val="103"/>
                <w:sz w:val="18"/>
              </w:rPr>
              <w:t>225</w:t>
            </w:r>
          </w:p>
        </w:tc>
      </w:tr>
    </w:tbl>
    <w:p w:rsidR="00282A88" w:rsidRPr="00282A88" w:rsidRDefault="00282A88" w:rsidP="00282A88">
      <w:pPr>
        <w:pStyle w:val="SingleTxt"/>
        <w:spacing w:after="0" w:line="120" w:lineRule="exact"/>
        <w:rPr>
          <w:sz w:val="10"/>
        </w:rPr>
      </w:pPr>
    </w:p>
    <w:p w:rsidR="00626016" w:rsidRDefault="00626016" w:rsidP="00282A88">
      <w:pPr>
        <w:pStyle w:val="FootnoteText"/>
        <w:tabs>
          <w:tab w:val="clear" w:pos="418"/>
          <w:tab w:val="right" w:pos="1476"/>
          <w:tab w:val="left" w:pos="1548"/>
          <w:tab w:val="right" w:pos="1836"/>
          <w:tab w:val="left" w:pos="1908"/>
        </w:tabs>
        <w:ind w:left="1548" w:right="1267" w:hanging="288"/>
        <w:rPr>
          <w:i/>
          <w:iCs/>
        </w:rPr>
      </w:pPr>
      <w:r w:rsidRPr="00282A88">
        <w:rPr>
          <w:i/>
          <w:iCs/>
        </w:rPr>
        <w:t>Source</w:t>
      </w:r>
      <w:r>
        <w:t xml:space="preserve">: </w:t>
      </w:r>
      <w:r w:rsidRPr="00282A88">
        <w:rPr>
          <w:i/>
          <w:iCs/>
        </w:rPr>
        <w:t>Bahamas Technical &amp; Vocational Institute (BTVI)</w:t>
      </w:r>
      <w:r w:rsidR="00282A88">
        <w:rPr>
          <w:i/>
          <w:iCs/>
        </w:rPr>
        <w:t>.</w:t>
      </w:r>
    </w:p>
    <w:p w:rsidR="00282A88" w:rsidRPr="00282A88" w:rsidRDefault="00282A88" w:rsidP="00282A88">
      <w:pPr>
        <w:pStyle w:val="FootnoteText"/>
        <w:tabs>
          <w:tab w:val="clear" w:pos="418"/>
          <w:tab w:val="right" w:pos="1476"/>
          <w:tab w:val="left" w:pos="1548"/>
          <w:tab w:val="right" w:pos="1836"/>
          <w:tab w:val="left" w:pos="1908"/>
        </w:tabs>
        <w:spacing w:line="120" w:lineRule="exact"/>
        <w:ind w:left="1548" w:right="1267" w:hanging="288"/>
        <w:rPr>
          <w:i/>
          <w:iCs/>
          <w:sz w:val="10"/>
        </w:rPr>
      </w:pPr>
    </w:p>
    <w:p w:rsidR="00282A88" w:rsidRPr="00282A88" w:rsidRDefault="00282A88" w:rsidP="00282A88">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DD0DB4">
      <w:pPr>
        <w:pStyle w:val="TitleH1"/>
      </w:pPr>
      <w:r>
        <w:tab/>
      </w:r>
      <w:r>
        <w:tab/>
        <w:t>Article 11: Employment</w:t>
      </w:r>
    </w:p>
    <w:p w:rsidR="00DD0DB4" w:rsidRPr="00DD0DB4" w:rsidRDefault="00DD0DB4" w:rsidP="00DD0DB4">
      <w:pPr>
        <w:pStyle w:val="SingleTxt"/>
        <w:spacing w:after="0" w:line="120" w:lineRule="exact"/>
        <w:rPr>
          <w:sz w:val="10"/>
        </w:rPr>
      </w:pPr>
    </w:p>
    <w:p w:rsidR="00DD0DB4" w:rsidRPr="00DD0DB4" w:rsidRDefault="00DD0DB4" w:rsidP="00DD0DB4">
      <w:pPr>
        <w:pStyle w:val="SingleTxt"/>
        <w:spacing w:after="0" w:line="120" w:lineRule="exact"/>
        <w:rPr>
          <w:sz w:val="10"/>
        </w:rPr>
      </w:pPr>
    </w:p>
    <w:p w:rsidR="00626016" w:rsidRDefault="00626016" w:rsidP="00DD0D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Legislation to Eliminate Discrimination in Employment and Wages</w:t>
      </w:r>
    </w:p>
    <w:p w:rsidR="00DD0DB4" w:rsidRPr="00DD0DB4" w:rsidRDefault="00DD0DB4" w:rsidP="00DD0DB4">
      <w:pPr>
        <w:pStyle w:val="SingleTxt"/>
        <w:spacing w:after="0" w:line="120" w:lineRule="exact"/>
        <w:rPr>
          <w:sz w:val="10"/>
          <w:lang w:val="en-US"/>
        </w:rPr>
      </w:pPr>
    </w:p>
    <w:p w:rsidR="00626016" w:rsidRDefault="00626016" w:rsidP="00626016">
      <w:pPr>
        <w:pStyle w:val="SingleTxt"/>
      </w:pPr>
      <w:r>
        <w:t>95.</w:t>
      </w:r>
      <w:r>
        <w:tab/>
        <w:t xml:space="preserve">The provisions of the Employment Act 2001 (as amended) make it illegal for any employer to discriminate in recruitment and employment practices between men and women. Therefore, men and women have the right to the same employment opportunities including the application of the same criteria for selection in matters of employment in law. </w:t>
      </w:r>
    </w:p>
    <w:p w:rsidR="00DD0DB4" w:rsidRPr="00DD0DB4" w:rsidRDefault="00DD0DB4" w:rsidP="00DD0DB4">
      <w:pPr>
        <w:pStyle w:val="SingleTxt"/>
        <w:spacing w:after="0" w:line="120" w:lineRule="exact"/>
        <w:rPr>
          <w:sz w:val="10"/>
        </w:rPr>
      </w:pPr>
    </w:p>
    <w:p w:rsidR="00626016" w:rsidRDefault="00626016" w:rsidP="00DD0D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Recruitment and Employment Practices</w:t>
      </w:r>
    </w:p>
    <w:p w:rsidR="00DD0DB4" w:rsidRPr="00DD0DB4" w:rsidRDefault="00DD0DB4" w:rsidP="00DD0DB4">
      <w:pPr>
        <w:pStyle w:val="SingleTxt"/>
        <w:spacing w:after="0" w:line="120" w:lineRule="exact"/>
        <w:rPr>
          <w:sz w:val="10"/>
        </w:rPr>
      </w:pPr>
    </w:p>
    <w:p w:rsidR="00626016" w:rsidRDefault="00626016" w:rsidP="00626016">
      <w:pPr>
        <w:pStyle w:val="SingleTxt"/>
      </w:pPr>
      <w:r>
        <w:t>96.</w:t>
      </w:r>
      <w:r>
        <w:tab/>
        <w:t>As stated in the previous report, there is no discrimination in recruitment and employment practices between women and men in The Bahamas.</w:t>
      </w:r>
    </w:p>
    <w:p w:rsidR="00DD0DB4" w:rsidRPr="00DD0DB4" w:rsidRDefault="00DD0DB4" w:rsidP="00DD0DB4">
      <w:pPr>
        <w:pStyle w:val="SingleTxt"/>
        <w:spacing w:after="0" w:line="120" w:lineRule="exact"/>
        <w:rPr>
          <w:sz w:val="10"/>
        </w:rPr>
      </w:pPr>
    </w:p>
    <w:p w:rsidR="00626016" w:rsidRDefault="00626016" w:rsidP="00DD0D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Employment-Related Information</w:t>
      </w:r>
    </w:p>
    <w:p w:rsidR="00DD0DB4" w:rsidRPr="00DD0DB4" w:rsidRDefault="00DD0DB4" w:rsidP="00DD0DB4">
      <w:pPr>
        <w:pStyle w:val="SingleTxt"/>
        <w:spacing w:after="0" w:line="120" w:lineRule="exact"/>
        <w:rPr>
          <w:sz w:val="10"/>
        </w:rPr>
      </w:pPr>
    </w:p>
    <w:p w:rsidR="00626016" w:rsidRDefault="00626016" w:rsidP="00626016">
      <w:pPr>
        <w:pStyle w:val="SingleTxt"/>
      </w:pPr>
      <w:r>
        <w:t>97.</w:t>
      </w:r>
      <w:r>
        <w:tab/>
        <w:t xml:space="preserve">Information on the following matters has not changed since the previous periodic report: Apprenticeships Equal pay legislation; Work-related benefits; Employment security; Apprenticeships; Parental leave; Dismissal of women for pregnancy; Paid leave; Provisions for flexible working patterns; Marital status and job security; Health and safety laws; Restrictions on women’s employment; Childcare facilities; Legal measures regulating the operation of early childhood facilities; Percentage of employers providing childcare; and After-school care and Breastfeeding policy for the workplace. </w:t>
      </w:r>
    </w:p>
    <w:p w:rsidR="00626016" w:rsidRDefault="00626016" w:rsidP="00DD0D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Unemployment</w:t>
      </w:r>
    </w:p>
    <w:p w:rsidR="00DD0DB4" w:rsidRPr="00DD0DB4" w:rsidRDefault="00DD0DB4" w:rsidP="00DD0DB4">
      <w:pPr>
        <w:pStyle w:val="SingleTxt"/>
        <w:spacing w:after="0" w:line="120" w:lineRule="exact"/>
        <w:rPr>
          <w:sz w:val="10"/>
        </w:rPr>
      </w:pPr>
    </w:p>
    <w:p w:rsidR="00626016" w:rsidRDefault="00626016" w:rsidP="00626016">
      <w:pPr>
        <w:pStyle w:val="SingleTxt"/>
      </w:pPr>
      <w:r>
        <w:t>98.</w:t>
      </w:r>
      <w:r>
        <w:tab/>
        <w:t xml:space="preserve">The unemployment rate for The Bahamas in 2015 was 14.8 per cent: for women, 17.0 per cent; and for men, 12.7 per cent. </w:t>
      </w:r>
    </w:p>
    <w:p w:rsidR="00DD0DB4" w:rsidRPr="00DD0DB4" w:rsidRDefault="00DD0DB4" w:rsidP="00DD0DB4">
      <w:pPr>
        <w:pStyle w:val="SingleTxt"/>
        <w:spacing w:after="0" w:line="120" w:lineRule="exact"/>
        <w:rPr>
          <w:sz w:val="10"/>
        </w:rPr>
      </w:pPr>
    </w:p>
    <w:p w:rsidR="00626016" w:rsidRDefault="00626016" w:rsidP="00DD0D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Labour Force Participation</w:t>
      </w:r>
    </w:p>
    <w:p w:rsidR="00DD0DB4" w:rsidRPr="00DD0DB4" w:rsidRDefault="00DD0DB4" w:rsidP="00DD0DB4">
      <w:pPr>
        <w:pStyle w:val="SingleTxt"/>
        <w:spacing w:after="0" w:line="120" w:lineRule="exact"/>
        <w:rPr>
          <w:sz w:val="10"/>
        </w:rPr>
      </w:pPr>
    </w:p>
    <w:p w:rsidR="00626016" w:rsidRDefault="00626016" w:rsidP="00372FE7">
      <w:pPr>
        <w:pStyle w:val="SingleTxt"/>
      </w:pPr>
      <w:r>
        <w:t>99.</w:t>
      </w:r>
      <w:r>
        <w:tab/>
        <w:t xml:space="preserve">The labour force participation rate for that year was 75.6 per cent </w:t>
      </w:r>
      <w:r w:rsidR="00372FE7">
        <w:t xml:space="preserve">— </w:t>
      </w:r>
      <w:r>
        <w:t xml:space="preserve">a marginal increase from the 73.4 per cent reported in the previous periodic report. The labour force participation rate for males and females were 80.5 per cent and 71.9 per cent, respectively. </w:t>
      </w:r>
    </w:p>
    <w:p w:rsidR="00626016" w:rsidRDefault="00626016" w:rsidP="00626016">
      <w:pPr>
        <w:pStyle w:val="SingleTxt"/>
      </w:pPr>
      <w:r>
        <w:t>100.</w:t>
      </w:r>
      <w:r>
        <w:tab/>
        <w:t>The Department of Statistics’ Labour Force Survey (November 2015) indicated that:</w:t>
      </w:r>
    </w:p>
    <w:p w:rsidR="00626016" w:rsidRDefault="00DD0DB4" w:rsidP="00DD0DB4">
      <w:pPr>
        <w:pStyle w:val="SingleTxt"/>
        <w:tabs>
          <w:tab w:val="right" w:pos="1685"/>
        </w:tabs>
        <w:ind w:left="1742" w:hanging="475"/>
      </w:pPr>
      <w:r>
        <w:tab/>
      </w:r>
      <w:r w:rsidR="00626016">
        <w:t>•</w:t>
      </w:r>
      <w:r w:rsidR="00626016">
        <w:tab/>
        <w:t>20 percent of all employed persons were employed by Government or Government Corporations;</w:t>
      </w:r>
    </w:p>
    <w:p w:rsidR="00626016" w:rsidRDefault="00DD0DB4" w:rsidP="00DD0DB4">
      <w:pPr>
        <w:pStyle w:val="SingleTxt"/>
        <w:tabs>
          <w:tab w:val="right" w:pos="1685"/>
        </w:tabs>
        <w:ind w:left="1742" w:hanging="475"/>
      </w:pPr>
      <w:r>
        <w:tab/>
      </w:r>
      <w:r w:rsidR="00626016">
        <w:t>•</w:t>
      </w:r>
      <w:r w:rsidR="00626016">
        <w:tab/>
        <w:t>65 percent were employed by Private Business/Apprentice;</w:t>
      </w:r>
    </w:p>
    <w:p w:rsidR="00626016" w:rsidRDefault="00DD0DB4" w:rsidP="00DD0DB4">
      <w:pPr>
        <w:pStyle w:val="SingleTxt"/>
        <w:tabs>
          <w:tab w:val="right" w:pos="1685"/>
        </w:tabs>
        <w:ind w:left="1742" w:hanging="475"/>
      </w:pPr>
      <w:r>
        <w:tab/>
      </w:r>
      <w:r w:rsidR="00626016">
        <w:t>•</w:t>
      </w:r>
      <w:r w:rsidR="00626016">
        <w:tab/>
        <w:t>15 percent were self-employed;</w:t>
      </w:r>
    </w:p>
    <w:p w:rsidR="00626016" w:rsidRDefault="00DD0DB4" w:rsidP="00DD0DB4">
      <w:pPr>
        <w:pStyle w:val="SingleTxt"/>
        <w:tabs>
          <w:tab w:val="right" w:pos="1685"/>
        </w:tabs>
        <w:ind w:left="1742" w:hanging="475"/>
      </w:pPr>
      <w:r>
        <w:tab/>
      </w:r>
      <w:r w:rsidR="00626016">
        <w:t>•</w:t>
      </w:r>
      <w:r w:rsidR="00626016">
        <w:tab/>
        <w:t>Less than 1 percent of these employed persons were unpaid family workers; and</w:t>
      </w:r>
    </w:p>
    <w:p w:rsidR="00626016" w:rsidRDefault="00DD0DB4" w:rsidP="00DD0DB4">
      <w:pPr>
        <w:pStyle w:val="SingleTxt"/>
        <w:tabs>
          <w:tab w:val="right" w:pos="1685"/>
        </w:tabs>
        <w:ind w:left="1742" w:hanging="475"/>
      </w:pPr>
      <w:r>
        <w:tab/>
      </w:r>
      <w:r w:rsidR="00626016">
        <w:t>•</w:t>
      </w:r>
      <w:r w:rsidR="00626016">
        <w:tab/>
        <w:t>Less than 1 percent did not state their employment status.</w:t>
      </w:r>
    </w:p>
    <w:p w:rsidR="00626016" w:rsidRDefault="00DD0DB4" w:rsidP="00DD0DB4">
      <w:pPr>
        <w:pStyle w:val="SingleTxt"/>
        <w:tabs>
          <w:tab w:val="right" w:pos="1685"/>
        </w:tabs>
        <w:ind w:left="1742" w:hanging="475"/>
      </w:pPr>
      <w:r>
        <w:tab/>
      </w:r>
      <w:r w:rsidR="00626016">
        <w:t>•</w:t>
      </w:r>
      <w:r w:rsidR="00626016">
        <w:tab/>
        <w:t>When disaggregated by sex:</w:t>
      </w:r>
    </w:p>
    <w:p w:rsidR="00626016" w:rsidRDefault="00DD0DB4" w:rsidP="00DD0DB4">
      <w:pPr>
        <w:pStyle w:val="SingleTxt"/>
        <w:tabs>
          <w:tab w:val="right" w:pos="1685"/>
        </w:tabs>
        <w:ind w:left="1742" w:hanging="475"/>
      </w:pPr>
      <w:r>
        <w:tab/>
      </w:r>
      <w:r w:rsidR="00626016">
        <w:t>•</w:t>
      </w:r>
      <w:r w:rsidR="00626016">
        <w:tab/>
        <w:t>25 percent of females were employed by Government or Government Corporations, compared to 15 percent males;</w:t>
      </w:r>
    </w:p>
    <w:p w:rsidR="00626016" w:rsidRDefault="00DD0DB4" w:rsidP="00DD0DB4">
      <w:pPr>
        <w:pStyle w:val="SingleTxt"/>
        <w:tabs>
          <w:tab w:val="right" w:pos="1685"/>
        </w:tabs>
        <w:ind w:left="1742" w:hanging="475"/>
      </w:pPr>
      <w:r>
        <w:tab/>
      </w:r>
      <w:r w:rsidR="00626016">
        <w:t>•</w:t>
      </w:r>
      <w:r w:rsidR="00626016">
        <w:tab/>
        <w:t>64 percent of the females were employed by Private Business/Apprentice, compared to 65 percent males;</w:t>
      </w:r>
    </w:p>
    <w:p w:rsidR="00626016" w:rsidRDefault="00DD0DB4" w:rsidP="00DD0DB4">
      <w:pPr>
        <w:pStyle w:val="SingleTxt"/>
        <w:tabs>
          <w:tab w:val="right" w:pos="1685"/>
        </w:tabs>
        <w:ind w:left="1742" w:hanging="475"/>
      </w:pPr>
      <w:r>
        <w:tab/>
      </w:r>
      <w:r w:rsidR="00626016">
        <w:t>•</w:t>
      </w:r>
      <w:r w:rsidR="00626016">
        <w:tab/>
        <w:t xml:space="preserve">10 percent of the females were self-employed compared to 20 percent of the males; and </w:t>
      </w:r>
    </w:p>
    <w:p w:rsidR="00626016" w:rsidRDefault="00DD0DB4" w:rsidP="00DD0DB4">
      <w:pPr>
        <w:pStyle w:val="SingleTxt"/>
        <w:tabs>
          <w:tab w:val="right" w:pos="1685"/>
        </w:tabs>
        <w:ind w:left="1742" w:hanging="475"/>
      </w:pPr>
      <w:r>
        <w:tab/>
      </w:r>
      <w:r w:rsidR="00626016">
        <w:t>•</w:t>
      </w:r>
      <w:r w:rsidR="00626016">
        <w:tab/>
        <w:t>370 females were unpaid family workers, compared to 0 males.</w:t>
      </w:r>
    </w:p>
    <w:p w:rsidR="00626016" w:rsidRDefault="00626016" w:rsidP="00626016">
      <w:pPr>
        <w:pStyle w:val="SingleTxt"/>
      </w:pPr>
      <w:r>
        <w:t>101.</w:t>
      </w:r>
      <w:r>
        <w:tab/>
        <w:t xml:space="preserve">Further, data from the Department of Statistics shows that men dominated most industrial groups while women dominated in Hotels and Restaurants; Financing, Insurance, Real Estate &amp; Other Business; and Community, Social &amp; Personal Services. Men dominated in Agriculture, Hunting, Forestry &amp; Fisheries; Mining, Quarrying, Electricity, Gas, Water; Construction and Transport, Storage &amp; Communication (See Table 14 in below). </w:t>
      </w:r>
    </w:p>
    <w:p w:rsidR="00DD0DB4" w:rsidRPr="00DD0DB4" w:rsidRDefault="00DD0DB4" w:rsidP="00DD0DB4">
      <w:pPr>
        <w:pStyle w:val="SingleTxt"/>
        <w:spacing w:after="0" w:line="120" w:lineRule="exact"/>
        <w:rPr>
          <w:sz w:val="10"/>
        </w:rPr>
      </w:pPr>
    </w:p>
    <w:p w:rsidR="00626016" w:rsidRPr="00DD0DB4" w:rsidRDefault="00DD0DB4" w:rsidP="00DD0D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DD0DB4">
        <w:rPr>
          <w:b w:val="0"/>
          <w:bCs/>
        </w:rPr>
        <w:t>Table 12</w:t>
      </w:r>
    </w:p>
    <w:p w:rsidR="00626016" w:rsidRDefault="00DD0DB4" w:rsidP="00DD0D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D0DB4">
        <w:rPr>
          <w:b w:val="0"/>
          <w:bCs/>
        </w:rPr>
        <w:tab/>
      </w:r>
      <w:r w:rsidRPr="00DD0DB4">
        <w:rPr>
          <w:b w:val="0"/>
          <w:bCs/>
        </w:rPr>
        <w:tab/>
      </w:r>
      <w:r w:rsidR="00626016">
        <w:t xml:space="preserve">Employed Persons by Sex and Industrial Group November 2015 </w:t>
      </w:r>
      <w:r>
        <w:t>—</w:t>
      </w:r>
      <w:r w:rsidR="00626016">
        <w:t xml:space="preserve"> All</w:t>
      </w:r>
      <w:r>
        <w:t> </w:t>
      </w:r>
      <w:r w:rsidR="00626016">
        <w:t>Bahamas</w:t>
      </w:r>
    </w:p>
    <w:p w:rsidR="00DD0DB4" w:rsidRPr="00DD0DB4" w:rsidRDefault="00DD0DB4" w:rsidP="00DD0DB4">
      <w:pPr>
        <w:pStyle w:val="SingleTxt"/>
        <w:spacing w:after="0" w:line="120" w:lineRule="exact"/>
        <w:rPr>
          <w:sz w:val="10"/>
          <w:lang w:val="en-US"/>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801"/>
        <w:gridCol w:w="802"/>
        <w:gridCol w:w="80"/>
        <w:gridCol w:w="723"/>
        <w:gridCol w:w="803"/>
        <w:gridCol w:w="76"/>
        <w:gridCol w:w="724"/>
        <w:gridCol w:w="806"/>
      </w:tblGrid>
      <w:tr w:rsidR="008A7C7D" w:rsidRPr="008A7C7D" w:rsidTr="008A7C7D">
        <w:trPr>
          <w:tblHeader/>
        </w:trPr>
        <w:tc>
          <w:tcPr>
            <w:tcW w:w="2520" w:type="dxa"/>
            <w:tcBorders>
              <w:top w:val="single" w:sz="4"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81" w:after="81" w:line="160" w:lineRule="exact"/>
              <w:ind w:right="40"/>
              <w:rPr>
                <w:i/>
                <w:sz w:val="14"/>
              </w:rPr>
            </w:pPr>
          </w:p>
        </w:tc>
        <w:tc>
          <w:tcPr>
            <w:tcW w:w="1603" w:type="dxa"/>
            <w:gridSpan w:val="2"/>
            <w:tcBorders>
              <w:top w:val="single" w:sz="4" w:space="0" w:color="auto"/>
              <w:bottom w:val="single" w:sz="4"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81" w:after="81" w:line="160" w:lineRule="exact"/>
              <w:ind w:left="144" w:right="40"/>
              <w:jc w:val="center"/>
              <w:rPr>
                <w:i/>
                <w:sz w:val="14"/>
              </w:rPr>
            </w:pPr>
            <w:r w:rsidRPr="008A7C7D">
              <w:rPr>
                <w:i/>
                <w:sz w:val="14"/>
              </w:rPr>
              <w:t>Total</w:t>
            </w:r>
          </w:p>
        </w:tc>
        <w:tc>
          <w:tcPr>
            <w:tcW w:w="1606" w:type="dxa"/>
            <w:gridSpan w:val="3"/>
            <w:tcBorders>
              <w:top w:val="single" w:sz="4"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81" w:after="81" w:line="160" w:lineRule="exact"/>
              <w:ind w:left="144" w:right="40"/>
              <w:jc w:val="center"/>
              <w:rPr>
                <w:i/>
                <w:sz w:val="14"/>
              </w:rPr>
            </w:pPr>
            <w:r w:rsidRPr="008A7C7D">
              <w:rPr>
                <w:i/>
                <w:sz w:val="14"/>
              </w:rPr>
              <w:t>Women</w:t>
            </w:r>
          </w:p>
        </w:tc>
        <w:tc>
          <w:tcPr>
            <w:tcW w:w="1606" w:type="dxa"/>
            <w:gridSpan w:val="3"/>
            <w:tcBorders>
              <w:top w:val="single" w:sz="4"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81" w:after="81" w:line="160" w:lineRule="exact"/>
              <w:ind w:left="144" w:right="40"/>
              <w:jc w:val="center"/>
              <w:rPr>
                <w:i/>
                <w:sz w:val="14"/>
              </w:rPr>
            </w:pPr>
            <w:r w:rsidRPr="008A7C7D">
              <w:rPr>
                <w:i/>
                <w:sz w:val="14"/>
              </w:rPr>
              <w:t>Men</w:t>
            </w:r>
          </w:p>
        </w:tc>
      </w:tr>
      <w:tr w:rsidR="008A7C7D" w:rsidRPr="008A7C7D" w:rsidTr="008A7C7D">
        <w:trPr>
          <w:tblHeader/>
        </w:trPr>
        <w:tc>
          <w:tcPr>
            <w:tcW w:w="2520" w:type="dxa"/>
            <w:tcBorders>
              <w:bottom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81" w:after="81" w:line="160" w:lineRule="exact"/>
              <w:ind w:right="40"/>
              <w:rPr>
                <w:i/>
                <w:sz w:val="14"/>
              </w:rPr>
            </w:pPr>
            <w:r w:rsidRPr="008A7C7D">
              <w:rPr>
                <w:i/>
                <w:sz w:val="14"/>
              </w:rPr>
              <w:t>Industrial Group</w:t>
            </w:r>
          </w:p>
        </w:tc>
        <w:tc>
          <w:tcPr>
            <w:tcW w:w="801" w:type="dxa"/>
            <w:tcBorders>
              <w:top w:val="single" w:sz="4" w:space="0" w:color="auto"/>
              <w:bottom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81" w:after="81" w:line="160" w:lineRule="exact"/>
              <w:ind w:left="144" w:right="40"/>
              <w:jc w:val="right"/>
              <w:rPr>
                <w:i/>
                <w:sz w:val="14"/>
              </w:rPr>
            </w:pPr>
            <w:r w:rsidRPr="008A7C7D">
              <w:rPr>
                <w:i/>
                <w:sz w:val="14"/>
              </w:rPr>
              <w:t>N</w:t>
            </w:r>
          </w:p>
        </w:tc>
        <w:tc>
          <w:tcPr>
            <w:tcW w:w="802" w:type="dxa"/>
            <w:tcBorders>
              <w:top w:val="single" w:sz="4" w:space="0" w:color="auto"/>
              <w:bottom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81" w:after="81" w:line="160" w:lineRule="exact"/>
              <w:ind w:left="144" w:right="40"/>
              <w:jc w:val="right"/>
              <w:rPr>
                <w:i/>
                <w:sz w:val="14"/>
              </w:rPr>
            </w:pPr>
            <w:r w:rsidRPr="008A7C7D">
              <w:rPr>
                <w:i/>
                <w:sz w:val="14"/>
              </w:rPr>
              <w:t>%</w:t>
            </w:r>
          </w:p>
        </w:tc>
        <w:tc>
          <w:tcPr>
            <w:tcW w:w="80" w:type="dxa"/>
            <w:tcBorders>
              <w:bottom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81" w:after="81" w:line="160" w:lineRule="exact"/>
              <w:ind w:left="144" w:right="40"/>
              <w:jc w:val="right"/>
              <w:rPr>
                <w:i/>
                <w:sz w:val="14"/>
              </w:rPr>
            </w:pPr>
          </w:p>
        </w:tc>
        <w:tc>
          <w:tcPr>
            <w:tcW w:w="723" w:type="dxa"/>
            <w:tcBorders>
              <w:top w:val="single" w:sz="4" w:space="0" w:color="auto"/>
              <w:bottom w:val="single" w:sz="12" w:space="0" w:color="auto"/>
            </w:tcBorders>
            <w:shd w:val="clear" w:color="auto" w:fill="auto"/>
            <w:vAlign w:val="bottom"/>
          </w:tcPr>
          <w:p w:rsidR="008A7C7D" w:rsidRPr="008A7C7D" w:rsidRDefault="008A7C7D" w:rsidP="003D4241">
            <w:pPr>
              <w:tabs>
                <w:tab w:val="left" w:pos="288"/>
                <w:tab w:val="left" w:pos="576"/>
                <w:tab w:val="left" w:pos="864"/>
                <w:tab w:val="left" w:pos="1152"/>
              </w:tabs>
              <w:spacing w:before="81" w:after="81" w:line="160" w:lineRule="exact"/>
              <w:ind w:left="144" w:right="40"/>
              <w:jc w:val="right"/>
              <w:rPr>
                <w:i/>
                <w:sz w:val="14"/>
              </w:rPr>
            </w:pPr>
            <w:r w:rsidRPr="008A7C7D">
              <w:rPr>
                <w:i/>
                <w:sz w:val="14"/>
              </w:rPr>
              <w:t>N</w:t>
            </w:r>
          </w:p>
        </w:tc>
        <w:tc>
          <w:tcPr>
            <w:tcW w:w="803" w:type="dxa"/>
            <w:tcBorders>
              <w:top w:val="single" w:sz="4" w:space="0" w:color="auto"/>
              <w:bottom w:val="single" w:sz="12" w:space="0" w:color="auto"/>
            </w:tcBorders>
            <w:shd w:val="clear" w:color="auto" w:fill="auto"/>
            <w:vAlign w:val="bottom"/>
          </w:tcPr>
          <w:p w:rsidR="008A7C7D" w:rsidRPr="008A7C7D" w:rsidRDefault="008A7C7D" w:rsidP="003D4241">
            <w:pPr>
              <w:tabs>
                <w:tab w:val="left" w:pos="288"/>
                <w:tab w:val="left" w:pos="576"/>
                <w:tab w:val="left" w:pos="864"/>
                <w:tab w:val="left" w:pos="1152"/>
              </w:tabs>
              <w:spacing w:before="81" w:after="81" w:line="160" w:lineRule="exact"/>
              <w:ind w:left="144" w:right="40"/>
              <w:jc w:val="right"/>
              <w:rPr>
                <w:i/>
                <w:sz w:val="14"/>
              </w:rPr>
            </w:pPr>
            <w:r w:rsidRPr="008A7C7D">
              <w:rPr>
                <w:i/>
                <w:sz w:val="14"/>
              </w:rPr>
              <w:t>%</w:t>
            </w:r>
          </w:p>
        </w:tc>
        <w:tc>
          <w:tcPr>
            <w:tcW w:w="76" w:type="dxa"/>
            <w:tcBorders>
              <w:bottom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81" w:after="81" w:line="160" w:lineRule="exact"/>
              <w:ind w:left="144" w:right="40"/>
              <w:jc w:val="right"/>
              <w:rPr>
                <w:i/>
                <w:sz w:val="14"/>
              </w:rPr>
            </w:pPr>
          </w:p>
        </w:tc>
        <w:tc>
          <w:tcPr>
            <w:tcW w:w="724" w:type="dxa"/>
            <w:tcBorders>
              <w:top w:val="single" w:sz="4" w:space="0" w:color="auto"/>
              <w:bottom w:val="single" w:sz="12" w:space="0" w:color="auto"/>
            </w:tcBorders>
            <w:shd w:val="clear" w:color="auto" w:fill="auto"/>
            <w:vAlign w:val="bottom"/>
          </w:tcPr>
          <w:p w:rsidR="008A7C7D" w:rsidRPr="008A7C7D" w:rsidRDefault="008A7C7D" w:rsidP="003D4241">
            <w:pPr>
              <w:tabs>
                <w:tab w:val="left" w:pos="288"/>
                <w:tab w:val="left" w:pos="576"/>
                <w:tab w:val="left" w:pos="864"/>
                <w:tab w:val="left" w:pos="1152"/>
              </w:tabs>
              <w:spacing w:before="81" w:after="81" w:line="160" w:lineRule="exact"/>
              <w:ind w:left="144" w:right="40"/>
              <w:jc w:val="right"/>
              <w:rPr>
                <w:i/>
                <w:sz w:val="14"/>
              </w:rPr>
            </w:pPr>
            <w:r w:rsidRPr="008A7C7D">
              <w:rPr>
                <w:i/>
                <w:sz w:val="14"/>
              </w:rPr>
              <w:t>N</w:t>
            </w:r>
          </w:p>
        </w:tc>
        <w:tc>
          <w:tcPr>
            <w:tcW w:w="806" w:type="dxa"/>
            <w:tcBorders>
              <w:top w:val="single" w:sz="4" w:space="0" w:color="auto"/>
              <w:bottom w:val="single" w:sz="12" w:space="0" w:color="auto"/>
            </w:tcBorders>
            <w:shd w:val="clear" w:color="auto" w:fill="auto"/>
            <w:vAlign w:val="bottom"/>
          </w:tcPr>
          <w:p w:rsidR="008A7C7D" w:rsidRPr="008A7C7D" w:rsidRDefault="008A7C7D" w:rsidP="003D4241">
            <w:pPr>
              <w:tabs>
                <w:tab w:val="left" w:pos="288"/>
                <w:tab w:val="left" w:pos="576"/>
                <w:tab w:val="left" w:pos="864"/>
                <w:tab w:val="left" w:pos="1152"/>
              </w:tabs>
              <w:spacing w:before="81" w:after="81" w:line="160" w:lineRule="exact"/>
              <w:ind w:left="144" w:right="40"/>
              <w:jc w:val="right"/>
              <w:rPr>
                <w:i/>
                <w:sz w:val="14"/>
              </w:rPr>
            </w:pPr>
            <w:r w:rsidRPr="008A7C7D">
              <w:rPr>
                <w:i/>
                <w:sz w:val="14"/>
              </w:rPr>
              <w:t>%</w:t>
            </w:r>
          </w:p>
        </w:tc>
      </w:tr>
      <w:tr w:rsidR="008A7C7D" w:rsidRPr="008A7C7D" w:rsidTr="008A7C7D">
        <w:trPr>
          <w:trHeight w:hRule="exact" w:val="115"/>
          <w:tblHeader/>
        </w:trPr>
        <w:tc>
          <w:tcPr>
            <w:tcW w:w="2520" w:type="dxa"/>
            <w:tcBorders>
              <w:top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40" w:after="40" w:line="210" w:lineRule="exact"/>
              <w:ind w:right="40"/>
              <w:rPr>
                <w:sz w:val="17"/>
              </w:rPr>
            </w:pPr>
          </w:p>
        </w:tc>
        <w:tc>
          <w:tcPr>
            <w:tcW w:w="801" w:type="dxa"/>
            <w:tcBorders>
              <w:top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40" w:after="40" w:line="210" w:lineRule="exact"/>
              <w:ind w:left="144" w:right="40"/>
              <w:jc w:val="right"/>
              <w:rPr>
                <w:sz w:val="17"/>
              </w:rPr>
            </w:pPr>
          </w:p>
        </w:tc>
        <w:tc>
          <w:tcPr>
            <w:tcW w:w="803" w:type="dxa"/>
            <w:gridSpan w:val="2"/>
            <w:tcBorders>
              <w:top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40" w:after="40" w:line="210" w:lineRule="exact"/>
              <w:ind w:left="144" w:right="40"/>
              <w:jc w:val="right"/>
              <w:rPr>
                <w:sz w:val="17"/>
              </w:rPr>
            </w:pPr>
          </w:p>
        </w:tc>
        <w:tc>
          <w:tcPr>
            <w:tcW w:w="803" w:type="dxa"/>
            <w:tcBorders>
              <w:top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40" w:after="40" w:line="210" w:lineRule="exact"/>
              <w:ind w:left="144" w:right="40"/>
              <w:jc w:val="right"/>
              <w:rPr>
                <w:sz w:val="17"/>
              </w:rPr>
            </w:pPr>
          </w:p>
        </w:tc>
        <w:tc>
          <w:tcPr>
            <w:tcW w:w="800" w:type="dxa"/>
            <w:gridSpan w:val="2"/>
            <w:tcBorders>
              <w:top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40" w:after="40" w:line="210" w:lineRule="exact"/>
              <w:ind w:left="144" w:right="40"/>
              <w:jc w:val="right"/>
              <w:rPr>
                <w:sz w:val="17"/>
              </w:rPr>
            </w:pPr>
          </w:p>
        </w:tc>
        <w:tc>
          <w:tcPr>
            <w:tcW w:w="806" w:type="dxa"/>
            <w:tcBorders>
              <w:top w:val="single" w:sz="12" w:space="0" w:color="auto"/>
            </w:tcBorders>
            <w:shd w:val="clear" w:color="auto" w:fill="auto"/>
            <w:vAlign w:val="bottom"/>
          </w:tcPr>
          <w:p w:rsidR="008A7C7D" w:rsidRPr="008A7C7D" w:rsidRDefault="008A7C7D" w:rsidP="008A7C7D">
            <w:pPr>
              <w:tabs>
                <w:tab w:val="left" w:pos="288"/>
                <w:tab w:val="left" w:pos="576"/>
                <w:tab w:val="left" w:pos="864"/>
                <w:tab w:val="left" w:pos="1152"/>
              </w:tabs>
              <w:spacing w:before="40" w:after="40" w:line="210" w:lineRule="exact"/>
              <w:ind w:left="144" w:right="40"/>
              <w:jc w:val="right"/>
              <w:rPr>
                <w:sz w:val="17"/>
              </w:rPr>
            </w:pPr>
          </w:p>
        </w:tc>
      </w:tr>
      <w:tr w:rsidR="008A7C7D" w:rsidRPr="008A7C7D" w:rsidTr="008A7C7D">
        <w:tc>
          <w:tcPr>
            <w:tcW w:w="2520" w:type="dxa"/>
            <w:shd w:val="clear" w:color="auto" w:fill="auto"/>
          </w:tcPr>
          <w:p w:rsidR="008A7C7D" w:rsidRPr="008A7C7D" w:rsidRDefault="008A7C7D" w:rsidP="003D4241">
            <w:pPr>
              <w:pStyle w:val="SingleTxtG"/>
              <w:suppressAutoHyphens w:val="0"/>
              <w:spacing w:before="40" w:after="40" w:line="220" w:lineRule="exact"/>
              <w:ind w:left="0" w:right="0"/>
              <w:jc w:val="left"/>
              <w:rPr>
                <w:spacing w:val="4"/>
                <w:w w:val="103"/>
                <w:sz w:val="18"/>
              </w:rPr>
            </w:pPr>
            <w:r w:rsidRPr="008A7C7D">
              <w:rPr>
                <w:spacing w:val="4"/>
                <w:w w:val="103"/>
                <w:sz w:val="18"/>
              </w:rPr>
              <w:t>Agriculture, Hunting, Forestry &amp; Fisheries</w:t>
            </w:r>
          </w:p>
        </w:tc>
        <w:tc>
          <w:tcPr>
            <w:tcW w:w="801"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3</w:t>
            </w:r>
            <w:r>
              <w:rPr>
                <w:spacing w:val="4"/>
                <w:w w:val="103"/>
                <w:sz w:val="18"/>
              </w:rPr>
              <w:t xml:space="preserve"> </w:t>
            </w:r>
            <w:r w:rsidRPr="008A7C7D">
              <w:rPr>
                <w:spacing w:val="4"/>
                <w:w w:val="103"/>
                <w:sz w:val="18"/>
              </w:rPr>
              <w:t>010</w:t>
            </w:r>
          </w:p>
        </w:tc>
        <w:tc>
          <w:tcPr>
            <w:tcW w:w="802"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w:t>
            </w:r>
          </w:p>
        </w:tc>
        <w:tc>
          <w:tcPr>
            <w:tcW w:w="803"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145</w:t>
            </w:r>
          </w:p>
        </w:tc>
        <w:tc>
          <w:tcPr>
            <w:tcW w:w="803"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0</w:t>
            </w:r>
          </w:p>
        </w:tc>
        <w:tc>
          <w:tcPr>
            <w:tcW w:w="800"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w:t>
            </w:r>
            <w:r>
              <w:rPr>
                <w:spacing w:val="4"/>
                <w:w w:val="103"/>
                <w:sz w:val="18"/>
              </w:rPr>
              <w:t xml:space="preserve"> </w:t>
            </w:r>
            <w:r w:rsidRPr="008A7C7D">
              <w:rPr>
                <w:spacing w:val="4"/>
                <w:w w:val="103"/>
                <w:sz w:val="18"/>
              </w:rPr>
              <w:t>865</w:t>
            </w:r>
          </w:p>
        </w:tc>
        <w:tc>
          <w:tcPr>
            <w:tcW w:w="806"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3</w:t>
            </w:r>
          </w:p>
        </w:tc>
      </w:tr>
      <w:tr w:rsidR="008A7C7D" w:rsidRPr="008A7C7D" w:rsidTr="008A7C7D">
        <w:tc>
          <w:tcPr>
            <w:tcW w:w="2520" w:type="dxa"/>
            <w:shd w:val="clear" w:color="auto" w:fill="auto"/>
          </w:tcPr>
          <w:p w:rsidR="008A7C7D" w:rsidRPr="008A7C7D" w:rsidRDefault="008A7C7D" w:rsidP="003D4241">
            <w:pPr>
              <w:pStyle w:val="SingleTxtG"/>
              <w:suppressAutoHyphens w:val="0"/>
              <w:spacing w:before="40" w:after="40" w:line="220" w:lineRule="exact"/>
              <w:ind w:left="0" w:right="0"/>
              <w:jc w:val="left"/>
              <w:rPr>
                <w:spacing w:val="4"/>
                <w:w w:val="103"/>
                <w:sz w:val="18"/>
              </w:rPr>
            </w:pPr>
            <w:r w:rsidRPr="008A7C7D">
              <w:rPr>
                <w:spacing w:val="4"/>
                <w:w w:val="103"/>
                <w:sz w:val="18"/>
              </w:rPr>
              <w:t>Mining, Quarrying, Electricity, Gas, Water</w:t>
            </w:r>
          </w:p>
        </w:tc>
        <w:tc>
          <w:tcPr>
            <w:tcW w:w="801"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w:t>
            </w:r>
            <w:r>
              <w:rPr>
                <w:spacing w:val="4"/>
                <w:w w:val="103"/>
                <w:sz w:val="18"/>
              </w:rPr>
              <w:t xml:space="preserve"> </w:t>
            </w:r>
            <w:r w:rsidRPr="008A7C7D">
              <w:rPr>
                <w:spacing w:val="4"/>
                <w:w w:val="103"/>
                <w:sz w:val="18"/>
              </w:rPr>
              <w:t>850</w:t>
            </w:r>
          </w:p>
        </w:tc>
        <w:tc>
          <w:tcPr>
            <w:tcW w:w="802"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w:t>
            </w:r>
          </w:p>
        </w:tc>
        <w:tc>
          <w:tcPr>
            <w:tcW w:w="803"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640</w:t>
            </w:r>
          </w:p>
        </w:tc>
        <w:tc>
          <w:tcPr>
            <w:tcW w:w="803"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w:t>
            </w:r>
          </w:p>
        </w:tc>
        <w:tc>
          <w:tcPr>
            <w:tcW w:w="800"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w:t>
            </w:r>
            <w:r>
              <w:rPr>
                <w:spacing w:val="4"/>
                <w:w w:val="103"/>
                <w:sz w:val="18"/>
              </w:rPr>
              <w:t xml:space="preserve"> </w:t>
            </w:r>
            <w:r w:rsidRPr="008A7C7D">
              <w:rPr>
                <w:spacing w:val="4"/>
                <w:w w:val="103"/>
                <w:sz w:val="18"/>
              </w:rPr>
              <w:t>210</w:t>
            </w:r>
          </w:p>
        </w:tc>
        <w:tc>
          <w:tcPr>
            <w:tcW w:w="806"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w:t>
            </w:r>
          </w:p>
        </w:tc>
      </w:tr>
      <w:tr w:rsidR="008A7C7D" w:rsidRPr="008A7C7D" w:rsidTr="008A7C7D">
        <w:tc>
          <w:tcPr>
            <w:tcW w:w="2520" w:type="dxa"/>
            <w:shd w:val="clear" w:color="auto" w:fill="auto"/>
          </w:tcPr>
          <w:p w:rsidR="008A7C7D" w:rsidRPr="008A7C7D" w:rsidRDefault="008A7C7D" w:rsidP="003D4241">
            <w:pPr>
              <w:pStyle w:val="SingleTxtG"/>
              <w:suppressAutoHyphens w:val="0"/>
              <w:spacing w:before="40" w:after="40" w:line="220" w:lineRule="exact"/>
              <w:ind w:left="0" w:right="0"/>
              <w:jc w:val="left"/>
              <w:rPr>
                <w:spacing w:val="4"/>
                <w:w w:val="103"/>
                <w:sz w:val="18"/>
              </w:rPr>
            </w:pPr>
            <w:r w:rsidRPr="008A7C7D">
              <w:rPr>
                <w:spacing w:val="4"/>
                <w:w w:val="103"/>
                <w:sz w:val="18"/>
              </w:rPr>
              <w:t>Manufacturing</w:t>
            </w:r>
          </w:p>
        </w:tc>
        <w:tc>
          <w:tcPr>
            <w:tcW w:w="801"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6</w:t>
            </w:r>
            <w:r>
              <w:rPr>
                <w:spacing w:val="4"/>
                <w:w w:val="103"/>
                <w:sz w:val="18"/>
              </w:rPr>
              <w:t xml:space="preserve"> </w:t>
            </w:r>
            <w:r w:rsidRPr="008A7C7D">
              <w:rPr>
                <w:spacing w:val="4"/>
                <w:w w:val="103"/>
                <w:sz w:val="18"/>
              </w:rPr>
              <w:t>960</w:t>
            </w:r>
          </w:p>
        </w:tc>
        <w:tc>
          <w:tcPr>
            <w:tcW w:w="802"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4</w:t>
            </w:r>
          </w:p>
        </w:tc>
        <w:tc>
          <w:tcPr>
            <w:tcW w:w="803"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w:t>
            </w:r>
            <w:r>
              <w:rPr>
                <w:spacing w:val="4"/>
                <w:w w:val="103"/>
                <w:sz w:val="18"/>
              </w:rPr>
              <w:t xml:space="preserve"> </w:t>
            </w:r>
            <w:r w:rsidRPr="008A7C7D">
              <w:rPr>
                <w:spacing w:val="4"/>
                <w:w w:val="103"/>
                <w:sz w:val="18"/>
              </w:rPr>
              <w:t>540</w:t>
            </w:r>
          </w:p>
        </w:tc>
        <w:tc>
          <w:tcPr>
            <w:tcW w:w="803"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3</w:t>
            </w:r>
          </w:p>
        </w:tc>
        <w:tc>
          <w:tcPr>
            <w:tcW w:w="800"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4</w:t>
            </w:r>
            <w:r>
              <w:rPr>
                <w:spacing w:val="4"/>
                <w:w w:val="103"/>
                <w:sz w:val="18"/>
              </w:rPr>
              <w:t xml:space="preserve"> </w:t>
            </w:r>
            <w:r w:rsidRPr="008A7C7D">
              <w:rPr>
                <w:spacing w:val="4"/>
                <w:w w:val="103"/>
                <w:sz w:val="18"/>
              </w:rPr>
              <w:t>420</w:t>
            </w:r>
          </w:p>
        </w:tc>
        <w:tc>
          <w:tcPr>
            <w:tcW w:w="806"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5</w:t>
            </w:r>
          </w:p>
        </w:tc>
      </w:tr>
      <w:tr w:rsidR="008A7C7D" w:rsidRPr="008A7C7D" w:rsidTr="008A7C7D">
        <w:tc>
          <w:tcPr>
            <w:tcW w:w="2520" w:type="dxa"/>
            <w:shd w:val="clear" w:color="auto" w:fill="auto"/>
          </w:tcPr>
          <w:p w:rsidR="008A7C7D" w:rsidRPr="008A7C7D" w:rsidRDefault="008A7C7D" w:rsidP="003D4241">
            <w:pPr>
              <w:pStyle w:val="SingleTxtG"/>
              <w:suppressAutoHyphens w:val="0"/>
              <w:spacing w:before="40" w:after="40" w:line="220" w:lineRule="exact"/>
              <w:ind w:left="0" w:right="0"/>
              <w:jc w:val="left"/>
              <w:rPr>
                <w:spacing w:val="4"/>
                <w:w w:val="103"/>
                <w:sz w:val="18"/>
              </w:rPr>
            </w:pPr>
            <w:r w:rsidRPr="008A7C7D">
              <w:rPr>
                <w:spacing w:val="4"/>
                <w:w w:val="103"/>
                <w:sz w:val="18"/>
              </w:rPr>
              <w:t>Construction</w:t>
            </w:r>
          </w:p>
        </w:tc>
        <w:tc>
          <w:tcPr>
            <w:tcW w:w="801"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18</w:t>
            </w:r>
            <w:r>
              <w:rPr>
                <w:spacing w:val="4"/>
                <w:w w:val="103"/>
                <w:sz w:val="18"/>
              </w:rPr>
              <w:t xml:space="preserve"> </w:t>
            </w:r>
            <w:r w:rsidRPr="008A7C7D">
              <w:rPr>
                <w:spacing w:val="4"/>
                <w:w w:val="103"/>
                <w:sz w:val="18"/>
              </w:rPr>
              <w:t>250</w:t>
            </w:r>
          </w:p>
        </w:tc>
        <w:tc>
          <w:tcPr>
            <w:tcW w:w="802"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10</w:t>
            </w:r>
          </w:p>
        </w:tc>
        <w:tc>
          <w:tcPr>
            <w:tcW w:w="803"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w:t>
            </w:r>
            <w:r>
              <w:rPr>
                <w:spacing w:val="4"/>
                <w:w w:val="103"/>
                <w:sz w:val="18"/>
              </w:rPr>
              <w:t xml:space="preserve"> </w:t>
            </w:r>
            <w:r w:rsidRPr="008A7C7D">
              <w:rPr>
                <w:spacing w:val="4"/>
                <w:w w:val="103"/>
                <w:sz w:val="18"/>
              </w:rPr>
              <w:t>080</w:t>
            </w:r>
          </w:p>
        </w:tc>
        <w:tc>
          <w:tcPr>
            <w:tcW w:w="803"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w:t>
            </w:r>
          </w:p>
        </w:tc>
        <w:tc>
          <w:tcPr>
            <w:tcW w:w="800"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17</w:t>
            </w:r>
            <w:r>
              <w:rPr>
                <w:spacing w:val="4"/>
                <w:w w:val="103"/>
                <w:sz w:val="18"/>
              </w:rPr>
              <w:t xml:space="preserve"> </w:t>
            </w:r>
            <w:r w:rsidRPr="008A7C7D">
              <w:rPr>
                <w:spacing w:val="4"/>
                <w:w w:val="103"/>
                <w:sz w:val="18"/>
              </w:rPr>
              <w:t>170</w:t>
            </w:r>
          </w:p>
        </w:tc>
        <w:tc>
          <w:tcPr>
            <w:tcW w:w="806"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18</w:t>
            </w:r>
          </w:p>
        </w:tc>
      </w:tr>
      <w:tr w:rsidR="008A7C7D" w:rsidRPr="008A7C7D" w:rsidTr="008A7C7D">
        <w:tc>
          <w:tcPr>
            <w:tcW w:w="2520" w:type="dxa"/>
            <w:shd w:val="clear" w:color="auto" w:fill="auto"/>
          </w:tcPr>
          <w:p w:rsidR="008A7C7D" w:rsidRPr="008A7C7D" w:rsidRDefault="008A7C7D" w:rsidP="003D4241">
            <w:pPr>
              <w:pStyle w:val="SingleTxtG"/>
              <w:suppressAutoHyphens w:val="0"/>
              <w:spacing w:before="40" w:after="40" w:line="220" w:lineRule="exact"/>
              <w:ind w:left="0" w:right="0"/>
              <w:jc w:val="left"/>
              <w:rPr>
                <w:spacing w:val="4"/>
                <w:w w:val="103"/>
                <w:sz w:val="18"/>
              </w:rPr>
            </w:pPr>
            <w:r w:rsidRPr="008A7C7D">
              <w:rPr>
                <w:spacing w:val="4"/>
                <w:w w:val="103"/>
                <w:sz w:val="18"/>
              </w:rPr>
              <w:t>Wholesale &amp; Retail</w:t>
            </w:r>
          </w:p>
        </w:tc>
        <w:tc>
          <w:tcPr>
            <w:tcW w:w="801"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24</w:t>
            </w:r>
            <w:r>
              <w:rPr>
                <w:spacing w:val="4"/>
                <w:w w:val="103"/>
                <w:sz w:val="18"/>
              </w:rPr>
              <w:t xml:space="preserve"> </w:t>
            </w:r>
            <w:r w:rsidRPr="008A7C7D">
              <w:rPr>
                <w:spacing w:val="4"/>
                <w:w w:val="103"/>
                <w:sz w:val="18"/>
              </w:rPr>
              <w:t>900</w:t>
            </w:r>
          </w:p>
        </w:tc>
        <w:tc>
          <w:tcPr>
            <w:tcW w:w="802"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14</w:t>
            </w:r>
          </w:p>
        </w:tc>
        <w:tc>
          <w:tcPr>
            <w:tcW w:w="803"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11</w:t>
            </w:r>
            <w:r>
              <w:rPr>
                <w:spacing w:val="4"/>
                <w:w w:val="103"/>
                <w:sz w:val="18"/>
              </w:rPr>
              <w:t xml:space="preserve"> </w:t>
            </w:r>
            <w:r w:rsidRPr="008A7C7D">
              <w:rPr>
                <w:spacing w:val="4"/>
                <w:w w:val="103"/>
                <w:sz w:val="18"/>
              </w:rPr>
              <w:t>530</w:t>
            </w:r>
          </w:p>
        </w:tc>
        <w:tc>
          <w:tcPr>
            <w:tcW w:w="803"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13</w:t>
            </w:r>
          </w:p>
        </w:tc>
        <w:tc>
          <w:tcPr>
            <w:tcW w:w="800"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13</w:t>
            </w:r>
            <w:r>
              <w:rPr>
                <w:spacing w:val="4"/>
                <w:w w:val="103"/>
                <w:sz w:val="18"/>
              </w:rPr>
              <w:t xml:space="preserve"> </w:t>
            </w:r>
            <w:r w:rsidRPr="008A7C7D">
              <w:rPr>
                <w:spacing w:val="4"/>
                <w:w w:val="103"/>
                <w:sz w:val="18"/>
              </w:rPr>
              <w:t>370</w:t>
            </w:r>
          </w:p>
        </w:tc>
        <w:tc>
          <w:tcPr>
            <w:tcW w:w="806"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14</w:t>
            </w:r>
          </w:p>
        </w:tc>
      </w:tr>
      <w:tr w:rsidR="008A7C7D" w:rsidRPr="008A7C7D" w:rsidTr="008A7C7D">
        <w:tc>
          <w:tcPr>
            <w:tcW w:w="2520" w:type="dxa"/>
            <w:shd w:val="clear" w:color="auto" w:fill="auto"/>
          </w:tcPr>
          <w:p w:rsidR="008A7C7D" w:rsidRPr="008A7C7D" w:rsidRDefault="008A7C7D" w:rsidP="003D4241">
            <w:pPr>
              <w:pStyle w:val="SingleTxtG"/>
              <w:suppressAutoHyphens w:val="0"/>
              <w:spacing w:before="40" w:after="40" w:line="220" w:lineRule="exact"/>
              <w:ind w:left="0" w:right="0"/>
              <w:jc w:val="left"/>
              <w:rPr>
                <w:spacing w:val="4"/>
                <w:w w:val="103"/>
                <w:sz w:val="18"/>
              </w:rPr>
            </w:pPr>
            <w:r w:rsidRPr="008A7C7D">
              <w:rPr>
                <w:spacing w:val="4"/>
                <w:w w:val="103"/>
                <w:sz w:val="18"/>
              </w:rPr>
              <w:lastRenderedPageBreak/>
              <w:t>Hotels &amp; Restaurants</w:t>
            </w:r>
          </w:p>
        </w:tc>
        <w:tc>
          <w:tcPr>
            <w:tcW w:w="801"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33</w:t>
            </w:r>
            <w:r>
              <w:rPr>
                <w:spacing w:val="4"/>
                <w:w w:val="103"/>
                <w:sz w:val="18"/>
              </w:rPr>
              <w:t xml:space="preserve"> </w:t>
            </w:r>
            <w:r w:rsidRPr="008A7C7D">
              <w:rPr>
                <w:spacing w:val="4"/>
                <w:w w:val="103"/>
                <w:sz w:val="18"/>
              </w:rPr>
              <w:t>095</w:t>
            </w:r>
          </w:p>
        </w:tc>
        <w:tc>
          <w:tcPr>
            <w:tcW w:w="802"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18</w:t>
            </w:r>
          </w:p>
        </w:tc>
        <w:tc>
          <w:tcPr>
            <w:tcW w:w="803"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20</w:t>
            </w:r>
            <w:r>
              <w:rPr>
                <w:spacing w:val="4"/>
                <w:w w:val="103"/>
                <w:sz w:val="18"/>
              </w:rPr>
              <w:t xml:space="preserve"> </w:t>
            </w:r>
            <w:r w:rsidRPr="008A7C7D">
              <w:rPr>
                <w:spacing w:val="4"/>
                <w:w w:val="103"/>
                <w:sz w:val="18"/>
              </w:rPr>
              <w:t>000</w:t>
            </w:r>
          </w:p>
        </w:tc>
        <w:tc>
          <w:tcPr>
            <w:tcW w:w="803"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11</w:t>
            </w:r>
          </w:p>
        </w:tc>
        <w:tc>
          <w:tcPr>
            <w:tcW w:w="800"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13</w:t>
            </w:r>
            <w:r>
              <w:rPr>
                <w:spacing w:val="4"/>
                <w:w w:val="103"/>
                <w:sz w:val="18"/>
              </w:rPr>
              <w:t xml:space="preserve"> </w:t>
            </w:r>
            <w:r w:rsidRPr="008A7C7D">
              <w:rPr>
                <w:spacing w:val="4"/>
                <w:w w:val="103"/>
                <w:sz w:val="18"/>
              </w:rPr>
              <w:t>095</w:t>
            </w:r>
          </w:p>
        </w:tc>
        <w:tc>
          <w:tcPr>
            <w:tcW w:w="806"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14</w:t>
            </w:r>
          </w:p>
        </w:tc>
      </w:tr>
      <w:tr w:rsidR="008A7C7D" w:rsidRPr="008A7C7D" w:rsidTr="008A7C7D">
        <w:tc>
          <w:tcPr>
            <w:tcW w:w="2520" w:type="dxa"/>
            <w:shd w:val="clear" w:color="auto" w:fill="auto"/>
          </w:tcPr>
          <w:p w:rsidR="008A7C7D" w:rsidRPr="008A7C7D" w:rsidRDefault="008A7C7D" w:rsidP="003D4241">
            <w:pPr>
              <w:pStyle w:val="SingleTxtG"/>
              <w:suppressAutoHyphens w:val="0"/>
              <w:spacing w:before="40" w:after="40" w:line="220" w:lineRule="exact"/>
              <w:ind w:left="0" w:right="0"/>
              <w:jc w:val="left"/>
              <w:rPr>
                <w:spacing w:val="4"/>
                <w:w w:val="103"/>
                <w:sz w:val="18"/>
              </w:rPr>
            </w:pPr>
            <w:r w:rsidRPr="008A7C7D">
              <w:rPr>
                <w:spacing w:val="4"/>
                <w:w w:val="103"/>
                <w:sz w:val="18"/>
              </w:rPr>
              <w:t>Transport, Storage &amp; Communication</w:t>
            </w:r>
          </w:p>
        </w:tc>
        <w:tc>
          <w:tcPr>
            <w:tcW w:w="801"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12</w:t>
            </w:r>
            <w:r>
              <w:rPr>
                <w:spacing w:val="4"/>
                <w:w w:val="103"/>
                <w:sz w:val="18"/>
              </w:rPr>
              <w:t xml:space="preserve"> </w:t>
            </w:r>
            <w:r w:rsidRPr="008A7C7D">
              <w:rPr>
                <w:spacing w:val="4"/>
                <w:w w:val="103"/>
                <w:sz w:val="18"/>
              </w:rPr>
              <w:t>905</w:t>
            </w:r>
          </w:p>
        </w:tc>
        <w:tc>
          <w:tcPr>
            <w:tcW w:w="802"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7</w:t>
            </w:r>
          </w:p>
        </w:tc>
        <w:tc>
          <w:tcPr>
            <w:tcW w:w="803"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4</w:t>
            </w:r>
            <w:r>
              <w:rPr>
                <w:spacing w:val="4"/>
                <w:w w:val="103"/>
                <w:sz w:val="18"/>
              </w:rPr>
              <w:t xml:space="preserve"> </w:t>
            </w:r>
            <w:r w:rsidRPr="008A7C7D">
              <w:rPr>
                <w:spacing w:val="4"/>
                <w:w w:val="103"/>
                <w:sz w:val="18"/>
              </w:rPr>
              <w:t>690</w:t>
            </w:r>
          </w:p>
        </w:tc>
        <w:tc>
          <w:tcPr>
            <w:tcW w:w="803"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5</w:t>
            </w:r>
          </w:p>
        </w:tc>
        <w:tc>
          <w:tcPr>
            <w:tcW w:w="800"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8</w:t>
            </w:r>
            <w:r>
              <w:rPr>
                <w:spacing w:val="4"/>
                <w:w w:val="103"/>
                <w:sz w:val="18"/>
              </w:rPr>
              <w:t xml:space="preserve"> </w:t>
            </w:r>
            <w:r w:rsidRPr="008A7C7D">
              <w:rPr>
                <w:spacing w:val="4"/>
                <w:w w:val="103"/>
                <w:sz w:val="18"/>
              </w:rPr>
              <w:t>215</w:t>
            </w:r>
          </w:p>
        </w:tc>
        <w:tc>
          <w:tcPr>
            <w:tcW w:w="806"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9</w:t>
            </w:r>
          </w:p>
        </w:tc>
      </w:tr>
      <w:tr w:rsidR="008A7C7D" w:rsidRPr="008A7C7D" w:rsidTr="008A7C7D">
        <w:tc>
          <w:tcPr>
            <w:tcW w:w="2520" w:type="dxa"/>
            <w:shd w:val="clear" w:color="auto" w:fill="auto"/>
          </w:tcPr>
          <w:p w:rsidR="008A7C7D" w:rsidRPr="008A7C7D" w:rsidRDefault="008A7C7D" w:rsidP="003D4241">
            <w:pPr>
              <w:pStyle w:val="SingleTxtG"/>
              <w:suppressAutoHyphens w:val="0"/>
              <w:spacing w:before="40" w:after="40" w:line="220" w:lineRule="exact"/>
              <w:ind w:left="0" w:right="0"/>
              <w:jc w:val="left"/>
              <w:rPr>
                <w:spacing w:val="4"/>
                <w:w w:val="103"/>
                <w:sz w:val="18"/>
              </w:rPr>
            </w:pPr>
            <w:r w:rsidRPr="008A7C7D">
              <w:rPr>
                <w:spacing w:val="4"/>
                <w:w w:val="103"/>
                <w:sz w:val="18"/>
              </w:rPr>
              <w:t>Financing, Insurance, Real Estate &amp; Other Business</w:t>
            </w:r>
          </w:p>
        </w:tc>
        <w:tc>
          <w:tcPr>
            <w:tcW w:w="801"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12</w:t>
            </w:r>
            <w:r>
              <w:rPr>
                <w:spacing w:val="4"/>
                <w:w w:val="103"/>
                <w:sz w:val="18"/>
              </w:rPr>
              <w:t xml:space="preserve"> </w:t>
            </w:r>
            <w:r w:rsidRPr="008A7C7D">
              <w:rPr>
                <w:spacing w:val="4"/>
                <w:w w:val="103"/>
                <w:sz w:val="18"/>
              </w:rPr>
              <w:t>355</w:t>
            </w:r>
          </w:p>
        </w:tc>
        <w:tc>
          <w:tcPr>
            <w:tcW w:w="802"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7</w:t>
            </w:r>
          </w:p>
        </w:tc>
        <w:tc>
          <w:tcPr>
            <w:tcW w:w="803"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7</w:t>
            </w:r>
            <w:r>
              <w:rPr>
                <w:spacing w:val="4"/>
                <w:w w:val="103"/>
                <w:sz w:val="18"/>
              </w:rPr>
              <w:t xml:space="preserve"> </w:t>
            </w:r>
            <w:r w:rsidRPr="008A7C7D">
              <w:rPr>
                <w:spacing w:val="4"/>
                <w:w w:val="103"/>
                <w:sz w:val="18"/>
              </w:rPr>
              <w:t>790</w:t>
            </w:r>
          </w:p>
        </w:tc>
        <w:tc>
          <w:tcPr>
            <w:tcW w:w="803"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45</w:t>
            </w:r>
          </w:p>
        </w:tc>
        <w:tc>
          <w:tcPr>
            <w:tcW w:w="800"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4</w:t>
            </w:r>
            <w:r>
              <w:rPr>
                <w:spacing w:val="4"/>
                <w:w w:val="103"/>
                <w:sz w:val="18"/>
              </w:rPr>
              <w:t xml:space="preserve"> </w:t>
            </w:r>
            <w:r w:rsidRPr="008A7C7D">
              <w:rPr>
                <w:spacing w:val="4"/>
                <w:w w:val="103"/>
                <w:sz w:val="18"/>
              </w:rPr>
              <w:t>565</w:t>
            </w:r>
          </w:p>
        </w:tc>
        <w:tc>
          <w:tcPr>
            <w:tcW w:w="806"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5</w:t>
            </w:r>
          </w:p>
        </w:tc>
      </w:tr>
      <w:tr w:rsidR="008A7C7D" w:rsidRPr="008A7C7D" w:rsidTr="008A7C7D">
        <w:tc>
          <w:tcPr>
            <w:tcW w:w="2520" w:type="dxa"/>
            <w:shd w:val="clear" w:color="auto" w:fill="auto"/>
          </w:tcPr>
          <w:p w:rsidR="008A7C7D" w:rsidRPr="008A7C7D" w:rsidRDefault="008A7C7D" w:rsidP="003D4241">
            <w:pPr>
              <w:pStyle w:val="SingleTxtG"/>
              <w:suppressAutoHyphens w:val="0"/>
              <w:spacing w:before="40" w:after="40" w:line="220" w:lineRule="exact"/>
              <w:ind w:left="0" w:right="0"/>
              <w:jc w:val="left"/>
              <w:rPr>
                <w:spacing w:val="4"/>
                <w:w w:val="103"/>
                <w:sz w:val="18"/>
              </w:rPr>
            </w:pPr>
            <w:r w:rsidRPr="008A7C7D">
              <w:rPr>
                <w:spacing w:val="4"/>
                <w:w w:val="103"/>
                <w:sz w:val="18"/>
              </w:rPr>
              <w:t>Community, Social &amp; Personal Services</w:t>
            </w:r>
          </w:p>
        </w:tc>
        <w:tc>
          <w:tcPr>
            <w:tcW w:w="801"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68</w:t>
            </w:r>
            <w:r>
              <w:rPr>
                <w:spacing w:val="4"/>
                <w:w w:val="103"/>
                <w:sz w:val="18"/>
              </w:rPr>
              <w:t xml:space="preserve"> </w:t>
            </w:r>
            <w:r w:rsidRPr="008A7C7D">
              <w:rPr>
                <w:spacing w:val="4"/>
                <w:w w:val="103"/>
                <w:sz w:val="18"/>
              </w:rPr>
              <w:t>150</w:t>
            </w:r>
          </w:p>
        </w:tc>
        <w:tc>
          <w:tcPr>
            <w:tcW w:w="802"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37</w:t>
            </w:r>
          </w:p>
        </w:tc>
        <w:tc>
          <w:tcPr>
            <w:tcW w:w="803"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40</w:t>
            </w:r>
            <w:r>
              <w:rPr>
                <w:spacing w:val="4"/>
                <w:w w:val="103"/>
                <w:sz w:val="18"/>
              </w:rPr>
              <w:t xml:space="preserve"> </w:t>
            </w:r>
            <w:r w:rsidRPr="008A7C7D">
              <w:rPr>
                <w:spacing w:val="4"/>
                <w:w w:val="103"/>
                <w:sz w:val="18"/>
              </w:rPr>
              <w:t>660</w:t>
            </w:r>
          </w:p>
        </w:tc>
        <w:tc>
          <w:tcPr>
            <w:tcW w:w="803"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45</w:t>
            </w:r>
          </w:p>
        </w:tc>
        <w:tc>
          <w:tcPr>
            <w:tcW w:w="800" w:type="dxa"/>
            <w:gridSpan w:val="2"/>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27</w:t>
            </w:r>
            <w:r>
              <w:rPr>
                <w:spacing w:val="4"/>
                <w:w w:val="103"/>
                <w:sz w:val="18"/>
              </w:rPr>
              <w:t xml:space="preserve"> </w:t>
            </w:r>
            <w:r w:rsidRPr="008A7C7D">
              <w:rPr>
                <w:spacing w:val="4"/>
                <w:w w:val="103"/>
                <w:sz w:val="18"/>
              </w:rPr>
              <w:t>490</w:t>
            </w:r>
          </w:p>
        </w:tc>
        <w:tc>
          <w:tcPr>
            <w:tcW w:w="806" w:type="dxa"/>
            <w:shd w:val="clear" w:color="auto" w:fill="auto"/>
            <w:vAlign w:val="bottom"/>
          </w:tcPr>
          <w:p w:rsidR="008A7C7D" w:rsidRPr="008A7C7D" w:rsidRDefault="008A7C7D" w:rsidP="005D6016">
            <w:pPr>
              <w:pStyle w:val="SingleTxtG"/>
              <w:suppressAutoHyphens w:val="0"/>
              <w:spacing w:before="40" w:after="40" w:line="220" w:lineRule="exact"/>
              <w:ind w:left="0" w:right="43"/>
              <w:jc w:val="right"/>
              <w:rPr>
                <w:spacing w:val="4"/>
                <w:w w:val="103"/>
                <w:sz w:val="18"/>
              </w:rPr>
            </w:pPr>
            <w:r w:rsidRPr="008A7C7D">
              <w:rPr>
                <w:spacing w:val="4"/>
                <w:w w:val="103"/>
                <w:sz w:val="18"/>
              </w:rPr>
              <w:t>29</w:t>
            </w:r>
          </w:p>
        </w:tc>
      </w:tr>
      <w:tr w:rsidR="008A7C7D" w:rsidRPr="008A7C7D" w:rsidTr="006D55DF">
        <w:tc>
          <w:tcPr>
            <w:tcW w:w="2520" w:type="dxa"/>
            <w:tcBorders>
              <w:bottom w:val="single" w:sz="4" w:space="0" w:color="auto"/>
            </w:tcBorders>
            <w:shd w:val="clear" w:color="auto" w:fill="auto"/>
          </w:tcPr>
          <w:p w:rsidR="008A7C7D" w:rsidRPr="008A7C7D" w:rsidRDefault="008A7C7D" w:rsidP="006D55DF">
            <w:pPr>
              <w:pStyle w:val="SingleTxtG"/>
              <w:suppressAutoHyphens w:val="0"/>
              <w:spacing w:before="40" w:after="81" w:line="220" w:lineRule="exact"/>
              <w:ind w:left="0" w:right="0"/>
              <w:jc w:val="left"/>
              <w:rPr>
                <w:spacing w:val="4"/>
                <w:w w:val="103"/>
                <w:sz w:val="18"/>
              </w:rPr>
            </w:pPr>
            <w:r w:rsidRPr="008A7C7D">
              <w:rPr>
                <w:spacing w:val="4"/>
                <w:w w:val="103"/>
                <w:sz w:val="18"/>
              </w:rPr>
              <w:t>Not Stated</w:t>
            </w:r>
          </w:p>
        </w:tc>
        <w:tc>
          <w:tcPr>
            <w:tcW w:w="801" w:type="dxa"/>
            <w:tcBorders>
              <w:bottom w:val="single" w:sz="4" w:space="0" w:color="auto"/>
            </w:tcBorders>
            <w:shd w:val="clear" w:color="auto" w:fill="auto"/>
            <w:vAlign w:val="bottom"/>
          </w:tcPr>
          <w:p w:rsidR="008A7C7D" w:rsidRPr="008A7C7D" w:rsidRDefault="008A7C7D" w:rsidP="005D6016">
            <w:pPr>
              <w:pStyle w:val="SingleTxtG"/>
              <w:suppressAutoHyphens w:val="0"/>
              <w:spacing w:before="40" w:after="81" w:line="220" w:lineRule="exact"/>
              <w:ind w:left="0" w:right="43"/>
              <w:jc w:val="right"/>
              <w:rPr>
                <w:spacing w:val="4"/>
                <w:w w:val="103"/>
                <w:sz w:val="18"/>
              </w:rPr>
            </w:pPr>
            <w:r w:rsidRPr="008A7C7D">
              <w:rPr>
                <w:spacing w:val="4"/>
                <w:w w:val="103"/>
                <w:sz w:val="18"/>
              </w:rPr>
              <w:t>1</w:t>
            </w:r>
            <w:r>
              <w:rPr>
                <w:spacing w:val="4"/>
                <w:w w:val="103"/>
                <w:sz w:val="18"/>
              </w:rPr>
              <w:t xml:space="preserve"> </w:t>
            </w:r>
            <w:r w:rsidRPr="008A7C7D">
              <w:rPr>
                <w:spacing w:val="4"/>
                <w:w w:val="103"/>
                <w:sz w:val="18"/>
              </w:rPr>
              <w:t>440</w:t>
            </w:r>
          </w:p>
        </w:tc>
        <w:tc>
          <w:tcPr>
            <w:tcW w:w="802" w:type="dxa"/>
            <w:tcBorders>
              <w:bottom w:val="single" w:sz="4" w:space="0" w:color="auto"/>
            </w:tcBorders>
            <w:shd w:val="clear" w:color="auto" w:fill="auto"/>
            <w:vAlign w:val="bottom"/>
          </w:tcPr>
          <w:p w:rsidR="008A7C7D" w:rsidRPr="008A7C7D" w:rsidRDefault="008A7C7D" w:rsidP="005D6016">
            <w:pPr>
              <w:pStyle w:val="SingleTxtG"/>
              <w:suppressAutoHyphens w:val="0"/>
              <w:spacing w:before="40" w:after="81" w:line="220" w:lineRule="exact"/>
              <w:ind w:left="0" w:right="43"/>
              <w:jc w:val="right"/>
              <w:rPr>
                <w:spacing w:val="4"/>
                <w:w w:val="103"/>
                <w:sz w:val="18"/>
              </w:rPr>
            </w:pPr>
            <w:r w:rsidRPr="008A7C7D">
              <w:rPr>
                <w:spacing w:val="4"/>
                <w:w w:val="103"/>
                <w:sz w:val="18"/>
              </w:rPr>
              <w:t>1</w:t>
            </w:r>
          </w:p>
        </w:tc>
        <w:tc>
          <w:tcPr>
            <w:tcW w:w="803" w:type="dxa"/>
            <w:gridSpan w:val="2"/>
            <w:tcBorders>
              <w:bottom w:val="single" w:sz="4" w:space="0" w:color="auto"/>
            </w:tcBorders>
            <w:shd w:val="clear" w:color="auto" w:fill="auto"/>
            <w:vAlign w:val="bottom"/>
          </w:tcPr>
          <w:p w:rsidR="008A7C7D" w:rsidRPr="008A7C7D" w:rsidRDefault="008A7C7D" w:rsidP="005D6016">
            <w:pPr>
              <w:pStyle w:val="SingleTxtG"/>
              <w:suppressAutoHyphens w:val="0"/>
              <w:spacing w:before="40" w:after="81" w:line="220" w:lineRule="exact"/>
              <w:ind w:left="0" w:right="43"/>
              <w:jc w:val="right"/>
              <w:rPr>
                <w:spacing w:val="4"/>
                <w:w w:val="103"/>
                <w:sz w:val="18"/>
              </w:rPr>
            </w:pPr>
            <w:r w:rsidRPr="008A7C7D">
              <w:rPr>
                <w:spacing w:val="4"/>
                <w:w w:val="103"/>
                <w:sz w:val="18"/>
              </w:rPr>
              <w:t>840</w:t>
            </w:r>
          </w:p>
        </w:tc>
        <w:tc>
          <w:tcPr>
            <w:tcW w:w="803" w:type="dxa"/>
            <w:tcBorders>
              <w:bottom w:val="single" w:sz="4" w:space="0" w:color="auto"/>
            </w:tcBorders>
            <w:shd w:val="clear" w:color="auto" w:fill="auto"/>
            <w:vAlign w:val="bottom"/>
          </w:tcPr>
          <w:p w:rsidR="008A7C7D" w:rsidRPr="008A7C7D" w:rsidRDefault="008A7C7D" w:rsidP="005D6016">
            <w:pPr>
              <w:pStyle w:val="SingleTxtG"/>
              <w:suppressAutoHyphens w:val="0"/>
              <w:spacing w:before="40" w:after="81" w:line="220" w:lineRule="exact"/>
              <w:ind w:left="0" w:right="43"/>
              <w:jc w:val="right"/>
              <w:rPr>
                <w:spacing w:val="4"/>
                <w:w w:val="103"/>
                <w:sz w:val="18"/>
              </w:rPr>
            </w:pPr>
            <w:r w:rsidRPr="008A7C7D">
              <w:rPr>
                <w:spacing w:val="4"/>
                <w:w w:val="103"/>
                <w:sz w:val="18"/>
              </w:rPr>
              <w:t>1</w:t>
            </w:r>
          </w:p>
        </w:tc>
        <w:tc>
          <w:tcPr>
            <w:tcW w:w="800" w:type="dxa"/>
            <w:gridSpan w:val="2"/>
            <w:tcBorders>
              <w:bottom w:val="single" w:sz="4" w:space="0" w:color="auto"/>
            </w:tcBorders>
            <w:shd w:val="clear" w:color="auto" w:fill="auto"/>
            <w:vAlign w:val="bottom"/>
          </w:tcPr>
          <w:p w:rsidR="008A7C7D" w:rsidRPr="008A7C7D" w:rsidRDefault="008A7C7D" w:rsidP="005D6016">
            <w:pPr>
              <w:pStyle w:val="SingleTxtG"/>
              <w:suppressAutoHyphens w:val="0"/>
              <w:spacing w:before="40" w:after="81" w:line="220" w:lineRule="exact"/>
              <w:ind w:left="0" w:right="43"/>
              <w:jc w:val="right"/>
              <w:rPr>
                <w:spacing w:val="4"/>
                <w:w w:val="103"/>
                <w:sz w:val="18"/>
              </w:rPr>
            </w:pPr>
            <w:r w:rsidRPr="008A7C7D">
              <w:rPr>
                <w:spacing w:val="4"/>
                <w:w w:val="103"/>
                <w:sz w:val="18"/>
              </w:rPr>
              <w:t>600</w:t>
            </w:r>
          </w:p>
        </w:tc>
        <w:tc>
          <w:tcPr>
            <w:tcW w:w="806" w:type="dxa"/>
            <w:tcBorders>
              <w:bottom w:val="single" w:sz="4" w:space="0" w:color="auto"/>
            </w:tcBorders>
            <w:shd w:val="clear" w:color="auto" w:fill="auto"/>
            <w:vAlign w:val="bottom"/>
          </w:tcPr>
          <w:p w:rsidR="008A7C7D" w:rsidRPr="008A7C7D" w:rsidRDefault="008A7C7D" w:rsidP="005D6016">
            <w:pPr>
              <w:pStyle w:val="SingleTxtG"/>
              <w:suppressAutoHyphens w:val="0"/>
              <w:spacing w:before="40" w:after="81" w:line="220" w:lineRule="exact"/>
              <w:ind w:left="0" w:right="43"/>
              <w:jc w:val="right"/>
              <w:rPr>
                <w:spacing w:val="4"/>
                <w:w w:val="103"/>
                <w:sz w:val="18"/>
              </w:rPr>
            </w:pPr>
            <w:r w:rsidRPr="008A7C7D">
              <w:rPr>
                <w:spacing w:val="4"/>
                <w:w w:val="103"/>
                <w:sz w:val="18"/>
              </w:rPr>
              <w:t>1</w:t>
            </w:r>
          </w:p>
        </w:tc>
      </w:tr>
      <w:tr w:rsidR="008A7C7D" w:rsidRPr="006D55DF" w:rsidTr="006D55DF">
        <w:tc>
          <w:tcPr>
            <w:tcW w:w="2520" w:type="dxa"/>
            <w:tcBorders>
              <w:top w:val="single" w:sz="4" w:space="0" w:color="auto"/>
              <w:bottom w:val="single" w:sz="12" w:space="0" w:color="auto"/>
            </w:tcBorders>
            <w:shd w:val="clear" w:color="auto" w:fill="auto"/>
          </w:tcPr>
          <w:p w:rsidR="008A7C7D" w:rsidRPr="006D55DF" w:rsidRDefault="006D55DF" w:rsidP="006D55DF">
            <w:pPr>
              <w:pStyle w:val="SingleTxtG"/>
              <w:tabs>
                <w:tab w:val="left" w:pos="305"/>
              </w:tabs>
              <w:suppressAutoHyphens w:val="0"/>
              <w:spacing w:before="81" w:after="81" w:line="220" w:lineRule="exact"/>
              <w:ind w:left="0" w:right="0"/>
              <w:jc w:val="left"/>
              <w:rPr>
                <w:b/>
                <w:spacing w:val="4"/>
                <w:w w:val="103"/>
                <w:sz w:val="18"/>
              </w:rPr>
            </w:pPr>
            <w:r>
              <w:rPr>
                <w:b/>
                <w:spacing w:val="4"/>
                <w:w w:val="103"/>
                <w:sz w:val="18"/>
              </w:rPr>
              <w:tab/>
            </w:r>
            <w:r w:rsidR="008A7C7D" w:rsidRPr="006D55DF">
              <w:rPr>
                <w:b/>
                <w:spacing w:val="4"/>
                <w:w w:val="103"/>
                <w:sz w:val="18"/>
              </w:rPr>
              <w:t>Total</w:t>
            </w:r>
          </w:p>
        </w:tc>
        <w:tc>
          <w:tcPr>
            <w:tcW w:w="801" w:type="dxa"/>
            <w:tcBorders>
              <w:top w:val="single" w:sz="4" w:space="0" w:color="auto"/>
              <w:bottom w:val="single" w:sz="12" w:space="0" w:color="auto"/>
            </w:tcBorders>
            <w:shd w:val="clear" w:color="auto" w:fill="auto"/>
            <w:vAlign w:val="bottom"/>
          </w:tcPr>
          <w:p w:rsidR="008A7C7D" w:rsidRPr="006D55DF" w:rsidRDefault="008A7C7D" w:rsidP="005D6016">
            <w:pPr>
              <w:pStyle w:val="SingleTxtG"/>
              <w:suppressAutoHyphens w:val="0"/>
              <w:spacing w:before="81" w:after="81" w:line="220" w:lineRule="exact"/>
              <w:ind w:left="0" w:right="43"/>
              <w:jc w:val="right"/>
              <w:rPr>
                <w:b/>
                <w:spacing w:val="4"/>
                <w:w w:val="103"/>
                <w:sz w:val="18"/>
              </w:rPr>
            </w:pPr>
            <w:r w:rsidRPr="006D55DF">
              <w:rPr>
                <w:b/>
                <w:spacing w:val="4"/>
                <w:w w:val="103"/>
                <w:sz w:val="18"/>
              </w:rPr>
              <w:t>183 915</w:t>
            </w:r>
          </w:p>
        </w:tc>
        <w:tc>
          <w:tcPr>
            <w:tcW w:w="802" w:type="dxa"/>
            <w:tcBorders>
              <w:top w:val="single" w:sz="4" w:space="0" w:color="auto"/>
              <w:bottom w:val="single" w:sz="12" w:space="0" w:color="auto"/>
            </w:tcBorders>
            <w:shd w:val="clear" w:color="auto" w:fill="auto"/>
            <w:vAlign w:val="bottom"/>
          </w:tcPr>
          <w:p w:rsidR="008A7C7D" w:rsidRPr="006D55DF" w:rsidRDefault="008A7C7D" w:rsidP="005D6016">
            <w:pPr>
              <w:pStyle w:val="SingleTxtG"/>
              <w:suppressAutoHyphens w:val="0"/>
              <w:spacing w:before="81" w:after="81" w:line="220" w:lineRule="exact"/>
              <w:ind w:left="0" w:right="43"/>
              <w:jc w:val="right"/>
              <w:rPr>
                <w:b/>
                <w:spacing w:val="4"/>
                <w:w w:val="103"/>
                <w:sz w:val="18"/>
              </w:rPr>
            </w:pPr>
            <w:r w:rsidRPr="006D55DF">
              <w:rPr>
                <w:b/>
                <w:spacing w:val="4"/>
                <w:w w:val="103"/>
                <w:sz w:val="18"/>
              </w:rPr>
              <w:t>100</w:t>
            </w:r>
          </w:p>
        </w:tc>
        <w:tc>
          <w:tcPr>
            <w:tcW w:w="803" w:type="dxa"/>
            <w:gridSpan w:val="2"/>
            <w:tcBorders>
              <w:top w:val="single" w:sz="4" w:space="0" w:color="auto"/>
              <w:bottom w:val="single" w:sz="12" w:space="0" w:color="auto"/>
            </w:tcBorders>
            <w:shd w:val="clear" w:color="auto" w:fill="auto"/>
            <w:vAlign w:val="bottom"/>
          </w:tcPr>
          <w:p w:rsidR="008A7C7D" w:rsidRPr="006D55DF" w:rsidRDefault="008A7C7D" w:rsidP="005D6016">
            <w:pPr>
              <w:pStyle w:val="SingleTxtG"/>
              <w:suppressAutoHyphens w:val="0"/>
              <w:spacing w:before="81" w:after="81" w:line="220" w:lineRule="exact"/>
              <w:ind w:left="0" w:right="43"/>
              <w:jc w:val="right"/>
              <w:rPr>
                <w:b/>
                <w:spacing w:val="4"/>
                <w:w w:val="103"/>
                <w:sz w:val="18"/>
              </w:rPr>
            </w:pPr>
            <w:r w:rsidRPr="006D55DF">
              <w:rPr>
                <w:b/>
                <w:spacing w:val="4"/>
                <w:w w:val="103"/>
                <w:sz w:val="18"/>
              </w:rPr>
              <w:t>89 915</w:t>
            </w:r>
          </w:p>
        </w:tc>
        <w:tc>
          <w:tcPr>
            <w:tcW w:w="803" w:type="dxa"/>
            <w:tcBorders>
              <w:top w:val="single" w:sz="4" w:space="0" w:color="auto"/>
              <w:bottom w:val="single" w:sz="12" w:space="0" w:color="auto"/>
            </w:tcBorders>
            <w:shd w:val="clear" w:color="auto" w:fill="auto"/>
            <w:vAlign w:val="bottom"/>
          </w:tcPr>
          <w:p w:rsidR="008A7C7D" w:rsidRPr="006D55DF" w:rsidRDefault="008A7C7D" w:rsidP="005D6016">
            <w:pPr>
              <w:pStyle w:val="SingleTxtG"/>
              <w:suppressAutoHyphens w:val="0"/>
              <w:spacing w:before="81" w:after="81" w:line="220" w:lineRule="exact"/>
              <w:ind w:left="0" w:right="43"/>
              <w:jc w:val="right"/>
              <w:rPr>
                <w:b/>
                <w:spacing w:val="4"/>
                <w:w w:val="103"/>
                <w:sz w:val="18"/>
              </w:rPr>
            </w:pPr>
            <w:r w:rsidRPr="006D55DF">
              <w:rPr>
                <w:b/>
                <w:spacing w:val="4"/>
                <w:w w:val="103"/>
                <w:sz w:val="18"/>
              </w:rPr>
              <w:t>100</w:t>
            </w:r>
          </w:p>
        </w:tc>
        <w:tc>
          <w:tcPr>
            <w:tcW w:w="800" w:type="dxa"/>
            <w:gridSpan w:val="2"/>
            <w:tcBorders>
              <w:top w:val="single" w:sz="4" w:space="0" w:color="auto"/>
              <w:bottom w:val="single" w:sz="12" w:space="0" w:color="auto"/>
            </w:tcBorders>
            <w:shd w:val="clear" w:color="auto" w:fill="auto"/>
            <w:vAlign w:val="bottom"/>
          </w:tcPr>
          <w:p w:rsidR="008A7C7D" w:rsidRPr="006D55DF" w:rsidRDefault="008A7C7D" w:rsidP="005D6016">
            <w:pPr>
              <w:pStyle w:val="SingleTxtG"/>
              <w:suppressAutoHyphens w:val="0"/>
              <w:spacing w:before="81" w:after="81" w:line="220" w:lineRule="exact"/>
              <w:ind w:left="0" w:right="43"/>
              <w:jc w:val="right"/>
              <w:rPr>
                <w:b/>
                <w:spacing w:val="4"/>
                <w:w w:val="103"/>
                <w:sz w:val="18"/>
              </w:rPr>
            </w:pPr>
            <w:r w:rsidRPr="006D55DF">
              <w:rPr>
                <w:b/>
                <w:spacing w:val="4"/>
                <w:w w:val="103"/>
                <w:sz w:val="18"/>
              </w:rPr>
              <w:t>94 000</w:t>
            </w:r>
          </w:p>
        </w:tc>
        <w:tc>
          <w:tcPr>
            <w:tcW w:w="806" w:type="dxa"/>
            <w:tcBorders>
              <w:top w:val="single" w:sz="4" w:space="0" w:color="auto"/>
              <w:bottom w:val="single" w:sz="12" w:space="0" w:color="auto"/>
            </w:tcBorders>
            <w:shd w:val="clear" w:color="auto" w:fill="auto"/>
            <w:vAlign w:val="bottom"/>
          </w:tcPr>
          <w:p w:rsidR="008A7C7D" w:rsidRPr="006D55DF" w:rsidRDefault="008A7C7D" w:rsidP="005D6016">
            <w:pPr>
              <w:pStyle w:val="SingleTxtG"/>
              <w:suppressAutoHyphens w:val="0"/>
              <w:spacing w:before="81" w:after="81" w:line="220" w:lineRule="exact"/>
              <w:ind w:left="0" w:right="43"/>
              <w:jc w:val="right"/>
              <w:rPr>
                <w:b/>
                <w:spacing w:val="4"/>
                <w:w w:val="103"/>
                <w:sz w:val="18"/>
              </w:rPr>
            </w:pPr>
            <w:r w:rsidRPr="006D55DF">
              <w:rPr>
                <w:b/>
                <w:spacing w:val="4"/>
                <w:w w:val="103"/>
                <w:sz w:val="18"/>
              </w:rPr>
              <w:t>100</w:t>
            </w:r>
          </w:p>
        </w:tc>
      </w:tr>
    </w:tbl>
    <w:p w:rsidR="008A7C7D" w:rsidRPr="006D55DF" w:rsidRDefault="008A7C7D" w:rsidP="006D55DF">
      <w:pPr>
        <w:pStyle w:val="SingleTxt"/>
        <w:spacing w:after="0" w:line="120" w:lineRule="exact"/>
        <w:rPr>
          <w:sz w:val="10"/>
        </w:rPr>
      </w:pPr>
    </w:p>
    <w:p w:rsidR="00626016" w:rsidRDefault="00626016" w:rsidP="006D55DF">
      <w:pPr>
        <w:pStyle w:val="FootnoteText"/>
        <w:tabs>
          <w:tab w:val="clear" w:pos="418"/>
          <w:tab w:val="right" w:pos="1476"/>
          <w:tab w:val="left" w:pos="1548"/>
          <w:tab w:val="right" w:pos="1836"/>
          <w:tab w:val="left" w:pos="1908"/>
        </w:tabs>
        <w:ind w:left="1548" w:right="1267" w:hanging="288"/>
      </w:pPr>
      <w:r w:rsidRPr="006D55DF">
        <w:rPr>
          <w:i/>
          <w:iCs/>
        </w:rPr>
        <w:t>Source</w:t>
      </w:r>
      <w:r>
        <w:t xml:space="preserve">: </w:t>
      </w:r>
      <w:r w:rsidRPr="006D55DF">
        <w:rPr>
          <w:i/>
          <w:iCs/>
        </w:rPr>
        <w:t>Department of Statistics</w:t>
      </w:r>
      <w:r w:rsidR="006D55DF">
        <w:t>.</w:t>
      </w:r>
    </w:p>
    <w:p w:rsidR="006D55DF" w:rsidRPr="006D55DF" w:rsidRDefault="006D55DF" w:rsidP="006D55DF">
      <w:pPr>
        <w:pStyle w:val="FootnoteText"/>
        <w:tabs>
          <w:tab w:val="clear" w:pos="418"/>
          <w:tab w:val="right" w:pos="1476"/>
          <w:tab w:val="left" w:pos="1548"/>
          <w:tab w:val="right" w:pos="1836"/>
          <w:tab w:val="left" w:pos="1908"/>
        </w:tabs>
        <w:spacing w:line="120" w:lineRule="exact"/>
        <w:ind w:left="1548" w:right="1267" w:hanging="288"/>
        <w:rPr>
          <w:sz w:val="10"/>
        </w:rPr>
      </w:pPr>
    </w:p>
    <w:p w:rsidR="006D55DF" w:rsidRPr="006D55DF" w:rsidRDefault="006D55DF" w:rsidP="006D55DF">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6D55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Minimum Wage Order (2015)</w:t>
      </w:r>
    </w:p>
    <w:p w:rsidR="006D55DF" w:rsidRPr="006D55DF" w:rsidRDefault="006D55DF" w:rsidP="006D55DF">
      <w:pPr>
        <w:pStyle w:val="SingleTxt"/>
        <w:spacing w:after="0" w:line="120" w:lineRule="exact"/>
        <w:rPr>
          <w:sz w:val="10"/>
          <w:lang w:val="en-US"/>
        </w:rPr>
      </w:pPr>
    </w:p>
    <w:p w:rsidR="00626016" w:rsidRDefault="00626016" w:rsidP="0098076C">
      <w:pPr>
        <w:pStyle w:val="SingleTxt"/>
      </w:pPr>
      <w:r>
        <w:t>102.</w:t>
      </w:r>
      <w:r>
        <w:tab/>
        <w:t xml:space="preserve">During the period under review, the Government increased the national minimum wage by 40% </w:t>
      </w:r>
      <w:r w:rsidR="0098076C">
        <w:t xml:space="preserve">— </w:t>
      </w:r>
      <w:r>
        <w:t xml:space="preserve">i.e. from a minimum of $150/week, $30/day, $4/hour to $210/week, $42/day, and $5.25/hour. </w:t>
      </w:r>
    </w:p>
    <w:p w:rsidR="006D55DF" w:rsidRPr="006D55DF" w:rsidRDefault="006D55DF" w:rsidP="006D55DF">
      <w:pPr>
        <w:pStyle w:val="SingleTxt"/>
        <w:spacing w:after="0" w:line="120" w:lineRule="exact"/>
        <w:rPr>
          <w:sz w:val="10"/>
        </w:rPr>
      </w:pPr>
    </w:p>
    <w:p w:rsidR="00626016" w:rsidRDefault="00626016" w:rsidP="006D55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National Training Agency</w:t>
      </w:r>
    </w:p>
    <w:p w:rsidR="006D55DF" w:rsidRPr="006D55DF" w:rsidRDefault="006D55DF" w:rsidP="006D55DF">
      <w:pPr>
        <w:pStyle w:val="SingleTxt"/>
        <w:spacing w:after="0" w:line="120" w:lineRule="exact"/>
        <w:rPr>
          <w:sz w:val="10"/>
        </w:rPr>
      </w:pPr>
    </w:p>
    <w:p w:rsidR="00626016" w:rsidRDefault="00626016" w:rsidP="0098076C">
      <w:pPr>
        <w:pStyle w:val="SingleTxt"/>
      </w:pPr>
      <w:r>
        <w:t>103.</w:t>
      </w:r>
      <w:r>
        <w:tab/>
        <w:t xml:space="preserve">The National Training Agency, described in Article 10, is a skills development agency and also operates as a job placement entity </w:t>
      </w:r>
      <w:r w:rsidR="0098076C">
        <w:t xml:space="preserve">— </w:t>
      </w:r>
      <w:r>
        <w:t xml:space="preserve">See Article 10 in this report for more information about the agency. </w:t>
      </w:r>
    </w:p>
    <w:p w:rsidR="006D55DF" w:rsidRPr="006D55DF" w:rsidRDefault="006D55DF" w:rsidP="006D55DF">
      <w:pPr>
        <w:pStyle w:val="SingleTxt"/>
        <w:spacing w:after="0" w:line="120" w:lineRule="exact"/>
        <w:rPr>
          <w:sz w:val="10"/>
        </w:rPr>
      </w:pPr>
    </w:p>
    <w:p w:rsidR="00626016" w:rsidRDefault="00626016" w:rsidP="006D55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 Exchange Unit</w:t>
      </w:r>
    </w:p>
    <w:p w:rsidR="006D55DF" w:rsidRPr="006D55DF" w:rsidRDefault="006D55DF" w:rsidP="006D55DF">
      <w:pPr>
        <w:pStyle w:val="SingleTxt"/>
        <w:spacing w:after="0" w:line="120" w:lineRule="exact"/>
        <w:rPr>
          <w:sz w:val="10"/>
        </w:rPr>
      </w:pPr>
    </w:p>
    <w:p w:rsidR="00626016" w:rsidRDefault="00626016" w:rsidP="00626016">
      <w:pPr>
        <w:pStyle w:val="SingleTxt"/>
      </w:pPr>
      <w:r>
        <w:t>104.</w:t>
      </w:r>
      <w:r>
        <w:tab/>
        <w:t xml:space="preserve">The Employment Exchange Unit is situated in the Department of Labour (DOL). Among the main tasks of this unit, this entity assists with matching job seekers with employers. The number of women accessing this service during the reporting period surpasses those of men, as can be seen in the table below. </w:t>
      </w:r>
    </w:p>
    <w:p w:rsidR="006D55DF" w:rsidRPr="006D55DF" w:rsidRDefault="006D55DF" w:rsidP="006D55DF">
      <w:pPr>
        <w:pStyle w:val="SingleTxt"/>
        <w:spacing w:after="0" w:line="120" w:lineRule="exact"/>
        <w:rPr>
          <w:sz w:val="10"/>
        </w:rPr>
      </w:pPr>
    </w:p>
    <w:p w:rsidR="00626016" w:rsidRPr="006D55DF" w:rsidRDefault="006D55DF" w:rsidP="006D55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6D55DF">
        <w:rPr>
          <w:b w:val="0"/>
          <w:bCs/>
        </w:rPr>
        <w:t>Table 13</w:t>
      </w:r>
    </w:p>
    <w:p w:rsidR="00626016" w:rsidRDefault="006D55DF" w:rsidP="006D55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Bahamas Employment Exchange: 1st January, 2011</w:t>
      </w:r>
      <w:r>
        <w:t>-</w:t>
      </w:r>
      <w:r w:rsidR="00626016">
        <w:t>31st December, 2015</w:t>
      </w:r>
    </w:p>
    <w:p w:rsidR="006D55DF" w:rsidRPr="006D55DF" w:rsidRDefault="006D55DF" w:rsidP="006D55DF">
      <w:pPr>
        <w:pStyle w:val="SingleTxt"/>
        <w:spacing w:after="0" w:line="120" w:lineRule="exact"/>
        <w:rPr>
          <w:sz w:val="10"/>
          <w:lang w:val="en-US"/>
        </w:rPr>
      </w:pPr>
    </w:p>
    <w:tbl>
      <w:tblPr>
        <w:tblW w:w="7244" w:type="dxa"/>
        <w:tblInd w:w="1260" w:type="dxa"/>
        <w:tblLayout w:type="fixed"/>
        <w:tblCellMar>
          <w:left w:w="0" w:type="dxa"/>
          <w:right w:w="0" w:type="dxa"/>
        </w:tblCellMar>
        <w:tblLook w:val="0000" w:firstRow="0" w:lastRow="0" w:firstColumn="0" w:lastColumn="0" w:noHBand="0" w:noVBand="0"/>
      </w:tblPr>
      <w:tblGrid>
        <w:gridCol w:w="3212"/>
        <w:gridCol w:w="1344"/>
        <w:gridCol w:w="1344"/>
        <w:gridCol w:w="1344"/>
      </w:tblGrid>
      <w:tr w:rsidR="006D55DF" w:rsidRPr="006D55DF" w:rsidTr="006D55DF">
        <w:trPr>
          <w:tblHeader/>
        </w:trPr>
        <w:tc>
          <w:tcPr>
            <w:tcW w:w="3212" w:type="dxa"/>
            <w:tcBorders>
              <w:top w:val="single" w:sz="4" w:space="0" w:color="auto"/>
              <w:bottom w:val="single" w:sz="12" w:space="0" w:color="auto"/>
            </w:tcBorders>
            <w:shd w:val="clear" w:color="auto" w:fill="auto"/>
            <w:vAlign w:val="bottom"/>
          </w:tcPr>
          <w:p w:rsidR="006D55DF" w:rsidRPr="006D55DF" w:rsidRDefault="006D55DF" w:rsidP="006D55DF">
            <w:pPr>
              <w:pStyle w:val="SingleTxtG"/>
              <w:spacing w:before="81" w:after="81" w:line="160" w:lineRule="exact"/>
              <w:ind w:left="0" w:right="40"/>
              <w:jc w:val="left"/>
              <w:rPr>
                <w:rFonts w:ascii="Times New Roman Italic" w:hAnsi="Times New Roman Italic" w:cs="Times New Roman Italic"/>
                <w:i/>
                <w:spacing w:val="4"/>
                <w:w w:val="103"/>
                <w:sz w:val="14"/>
              </w:rPr>
            </w:pPr>
            <w:r w:rsidRPr="006D55DF">
              <w:rPr>
                <w:rFonts w:ascii="Times New Roman Italic" w:hAnsi="Times New Roman Italic" w:cs="Times New Roman Italic"/>
                <w:i/>
                <w:spacing w:val="4"/>
                <w:w w:val="103"/>
                <w:sz w:val="14"/>
              </w:rPr>
              <w:t>Activity</w:t>
            </w:r>
          </w:p>
        </w:tc>
        <w:tc>
          <w:tcPr>
            <w:tcW w:w="1344" w:type="dxa"/>
            <w:tcBorders>
              <w:top w:val="single" w:sz="4" w:space="0" w:color="auto"/>
              <w:bottom w:val="single" w:sz="12" w:space="0" w:color="auto"/>
            </w:tcBorders>
            <w:shd w:val="clear" w:color="auto" w:fill="auto"/>
            <w:vAlign w:val="bottom"/>
          </w:tcPr>
          <w:p w:rsidR="006D55DF" w:rsidRPr="006D55DF" w:rsidRDefault="006D55DF" w:rsidP="006D55DF">
            <w:pPr>
              <w:pStyle w:val="SingleTxtG"/>
              <w:spacing w:before="81" w:after="81" w:line="160" w:lineRule="exact"/>
              <w:ind w:left="144" w:right="40"/>
              <w:jc w:val="right"/>
              <w:rPr>
                <w:rFonts w:ascii="Times New Roman Italic" w:hAnsi="Times New Roman Italic" w:cs="Times New Roman Italic"/>
                <w:i/>
                <w:spacing w:val="4"/>
                <w:w w:val="103"/>
                <w:sz w:val="14"/>
              </w:rPr>
            </w:pPr>
            <w:r w:rsidRPr="006D55DF">
              <w:rPr>
                <w:rFonts w:ascii="Times New Roman Italic" w:hAnsi="Times New Roman Italic" w:cs="Times New Roman Italic"/>
                <w:i/>
                <w:spacing w:val="4"/>
                <w:w w:val="103"/>
                <w:sz w:val="14"/>
              </w:rPr>
              <w:t>Female</w:t>
            </w:r>
          </w:p>
        </w:tc>
        <w:tc>
          <w:tcPr>
            <w:tcW w:w="1344" w:type="dxa"/>
            <w:tcBorders>
              <w:top w:val="single" w:sz="4" w:space="0" w:color="auto"/>
              <w:bottom w:val="single" w:sz="12" w:space="0" w:color="auto"/>
            </w:tcBorders>
            <w:shd w:val="clear" w:color="auto" w:fill="auto"/>
            <w:vAlign w:val="bottom"/>
          </w:tcPr>
          <w:p w:rsidR="006D55DF" w:rsidRPr="006D55DF" w:rsidRDefault="006D55DF" w:rsidP="006D55DF">
            <w:pPr>
              <w:pStyle w:val="SingleTxtG"/>
              <w:spacing w:before="81" w:after="81" w:line="160" w:lineRule="exact"/>
              <w:ind w:left="144" w:right="40"/>
              <w:jc w:val="right"/>
              <w:rPr>
                <w:rFonts w:ascii="Times New Roman Italic" w:hAnsi="Times New Roman Italic" w:cs="Times New Roman Italic"/>
                <w:i/>
                <w:spacing w:val="4"/>
                <w:w w:val="103"/>
                <w:sz w:val="14"/>
              </w:rPr>
            </w:pPr>
            <w:r w:rsidRPr="006D55DF">
              <w:rPr>
                <w:rFonts w:ascii="Times New Roman Italic" w:hAnsi="Times New Roman Italic" w:cs="Times New Roman Italic"/>
                <w:i/>
                <w:spacing w:val="4"/>
                <w:w w:val="103"/>
                <w:sz w:val="14"/>
              </w:rPr>
              <w:t>Male</w:t>
            </w:r>
          </w:p>
        </w:tc>
        <w:tc>
          <w:tcPr>
            <w:tcW w:w="1344" w:type="dxa"/>
            <w:tcBorders>
              <w:top w:val="single" w:sz="4" w:space="0" w:color="auto"/>
              <w:bottom w:val="single" w:sz="12" w:space="0" w:color="auto"/>
            </w:tcBorders>
            <w:shd w:val="clear" w:color="auto" w:fill="auto"/>
            <w:vAlign w:val="bottom"/>
          </w:tcPr>
          <w:p w:rsidR="006D55DF" w:rsidRPr="006D55DF" w:rsidRDefault="006D55DF" w:rsidP="006D55DF">
            <w:pPr>
              <w:pStyle w:val="SingleTxtG"/>
              <w:spacing w:before="81" w:after="81" w:line="160" w:lineRule="exact"/>
              <w:ind w:left="144" w:right="40"/>
              <w:jc w:val="right"/>
              <w:rPr>
                <w:rFonts w:ascii="Times New Roman Italic" w:hAnsi="Times New Roman Italic" w:cs="Times New Roman Italic"/>
                <w:i/>
                <w:spacing w:val="4"/>
                <w:w w:val="103"/>
                <w:sz w:val="14"/>
              </w:rPr>
            </w:pPr>
            <w:r w:rsidRPr="006D55DF">
              <w:rPr>
                <w:rFonts w:ascii="Times New Roman Italic" w:hAnsi="Times New Roman Italic" w:cs="Times New Roman Italic"/>
                <w:i/>
                <w:spacing w:val="4"/>
                <w:w w:val="103"/>
                <w:sz w:val="14"/>
              </w:rPr>
              <w:t>Total</w:t>
            </w:r>
          </w:p>
        </w:tc>
      </w:tr>
      <w:tr w:rsidR="006D55DF" w:rsidRPr="006D55DF" w:rsidTr="006D55DF">
        <w:trPr>
          <w:trHeight w:hRule="exact" w:val="115"/>
          <w:tblHeader/>
        </w:trPr>
        <w:tc>
          <w:tcPr>
            <w:tcW w:w="3212" w:type="dxa"/>
            <w:tcBorders>
              <w:top w:val="single" w:sz="12" w:space="0" w:color="auto"/>
            </w:tcBorders>
            <w:shd w:val="clear" w:color="auto" w:fill="auto"/>
            <w:vAlign w:val="bottom"/>
          </w:tcPr>
          <w:p w:rsidR="006D55DF" w:rsidRPr="006D55DF" w:rsidRDefault="006D55DF" w:rsidP="006D55DF">
            <w:pPr>
              <w:pStyle w:val="SingleTxtG"/>
              <w:spacing w:before="40" w:after="40" w:line="210" w:lineRule="exact"/>
              <w:ind w:left="0" w:right="40"/>
              <w:jc w:val="left"/>
              <w:rPr>
                <w:sz w:val="17"/>
              </w:rPr>
            </w:pPr>
          </w:p>
        </w:tc>
        <w:tc>
          <w:tcPr>
            <w:tcW w:w="1344" w:type="dxa"/>
            <w:tcBorders>
              <w:top w:val="single" w:sz="12" w:space="0" w:color="auto"/>
            </w:tcBorders>
            <w:shd w:val="clear" w:color="auto" w:fill="auto"/>
            <w:vAlign w:val="bottom"/>
          </w:tcPr>
          <w:p w:rsidR="006D55DF" w:rsidRPr="006D55DF" w:rsidRDefault="006D55DF" w:rsidP="006D55DF">
            <w:pPr>
              <w:pStyle w:val="SingleTxtG"/>
              <w:spacing w:before="40" w:after="40" w:line="210" w:lineRule="exact"/>
              <w:ind w:left="144" w:right="40"/>
              <w:jc w:val="right"/>
              <w:rPr>
                <w:sz w:val="17"/>
              </w:rPr>
            </w:pPr>
          </w:p>
        </w:tc>
        <w:tc>
          <w:tcPr>
            <w:tcW w:w="1344" w:type="dxa"/>
            <w:tcBorders>
              <w:top w:val="single" w:sz="12" w:space="0" w:color="auto"/>
            </w:tcBorders>
            <w:shd w:val="clear" w:color="auto" w:fill="auto"/>
            <w:vAlign w:val="bottom"/>
          </w:tcPr>
          <w:p w:rsidR="006D55DF" w:rsidRPr="006D55DF" w:rsidRDefault="006D55DF" w:rsidP="006D55DF">
            <w:pPr>
              <w:pStyle w:val="SingleTxtG"/>
              <w:spacing w:before="40" w:after="40" w:line="210" w:lineRule="exact"/>
              <w:ind w:left="144" w:right="40"/>
              <w:jc w:val="right"/>
              <w:rPr>
                <w:sz w:val="17"/>
              </w:rPr>
            </w:pPr>
          </w:p>
        </w:tc>
        <w:tc>
          <w:tcPr>
            <w:tcW w:w="1344" w:type="dxa"/>
            <w:tcBorders>
              <w:top w:val="single" w:sz="12" w:space="0" w:color="auto"/>
            </w:tcBorders>
            <w:shd w:val="clear" w:color="auto" w:fill="auto"/>
            <w:vAlign w:val="bottom"/>
          </w:tcPr>
          <w:p w:rsidR="006D55DF" w:rsidRPr="006D55DF" w:rsidRDefault="006D55DF" w:rsidP="006D55DF">
            <w:pPr>
              <w:pStyle w:val="SingleTxtG"/>
              <w:spacing w:before="40" w:after="40" w:line="210" w:lineRule="exact"/>
              <w:ind w:left="144" w:right="40"/>
              <w:jc w:val="right"/>
              <w:rPr>
                <w:sz w:val="17"/>
              </w:rPr>
            </w:pPr>
          </w:p>
        </w:tc>
      </w:tr>
      <w:tr w:rsidR="006D55DF" w:rsidRPr="006D55DF" w:rsidTr="006D55DF">
        <w:tc>
          <w:tcPr>
            <w:tcW w:w="3212"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D55DF">
              <w:rPr>
                <w:spacing w:val="4"/>
                <w:w w:val="103"/>
                <w:sz w:val="17"/>
              </w:rPr>
              <w:t>New Registrant</w:t>
            </w:r>
          </w:p>
        </w:tc>
        <w:tc>
          <w:tcPr>
            <w:tcW w:w="1344"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11</w:t>
            </w:r>
            <w:r w:rsidR="00B956DB">
              <w:rPr>
                <w:spacing w:val="4"/>
                <w:w w:val="103"/>
                <w:sz w:val="17"/>
              </w:rPr>
              <w:t xml:space="preserve"> </w:t>
            </w:r>
            <w:r w:rsidRPr="006D55DF">
              <w:rPr>
                <w:spacing w:val="4"/>
                <w:w w:val="103"/>
                <w:sz w:val="17"/>
              </w:rPr>
              <w:t>142 (56%)</w:t>
            </w:r>
          </w:p>
        </w:tc>
        <w:tc>
          <w:tcPr>
            <w:tcW w:w="1344"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8</w:t>
            </w:r>
            <w:r w:rsidR="00B956DB">
              <w:rPr>
                <w:spacing w:val="4"/>
                <w:w w:val="103"/>
                <w:sz w:val="17"/>
              </w:rPr>
              <w:t xml:space="preserve"> </w:t>
            </w:r>
            <w:r w:rsidRPr="006D55DF">
              <w:rPr>
                <w:spacing w:val="4"/>
                <w:w w:val="103"/>
                <w:sz w:val="17"/>
              </w:rPr>
              <w:t>755 (44%)</w:t>
            </w:r>
          </w:p>
        </w:tc>
        <w:tc>
          <w:tcPr>
            <w:tcW w:w="1344"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19</w:t>
            </w:r>
            <w:r w:rsidR="00B956DB">
              <w:rPr>
                <w:spacing w:val="4"/>
                <w:w w:val="103"/>
                <w:sz w:val="17"/>
              </w:rPr>
              <w:t xml:space="preserve"> </w:t>
            </w:r>
            <w:r w:rsidRPr="006D55DF">
              <w:rPr>
                <w:spacing w:val="4"/>
                <w:w w:val="103"/>
                <w:sz w:val="17"/>
              </w:rPr>
              <w:t>897</w:t>
            </w:r>
          </w:p>
        </w:tc>
      </w:tr>
      <w:tr w:rsidR="006D55DF" w:rsidRPr="006D55DF" w:rsidTr="006D55DF">
        <w:tc>
          <w:tcPr>
            <w:tcW w:w="3212"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D55DF">
              <w:rPr>
                <w:spacing w:val="4"/>
                <w:w w:val="103"/>
                <w:sz w:val="17"/>
              </w:rPr>
              <w:t>Return Interview</w:t>
            </w:r>
          </w:p>
        </w:tc>
        <w:tc>
          <w:tcPr>
            <w:tcW w:w="1344"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22</w:t>
            </w:r>
            <w:r w:rsidR="00B956DB">
              <w:rPr>
                <w:spacing w:val="4"/>
                <w:w w:val="103"/>
                <w:sz w:val="17"/>
              </w:rPr>
              <w:t xml:space="preserve"> </w:t>
            </w:r>
            <w:r w:rsidRPr="006D55DF">
              <w:rPr>
                <w:spacing w:val="4"/>
                <w:w w:val="103"/>
                <w:sz w:val="17"/>
              </w:rPr>
              <w:t>012 (40%)</w:t>
            </w:r>
          </w:p>
        </w:tc>
        <w:tc>
          <w:tcPr>
            <w:tcW w:w="1344"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33</w:t>
            </w:r>
            <w:r w:rsidR="00B956DB">
              <w:rPr>
                <w:spacing w:val="4"/>
                <w:w w:val="103"/>
                <w:sz w:val="17"/>
              </w:rPr>
              <w:t xml:space="preserve"> </w:t>
            </w:r>
            <w:r w:rsidRPr="006D55DF">
              <w:rPr>
                <w:spacing w:val="4"/>
                <w:w w:val="103"/>
                <w:sz w:val="17"/>
              </w:rPr>
              <w:t>505 (60%)</w:t>
            </w:r>
          </w:p>
        </w:tc>
        <w:tc>
          <w:tcPr>
            <w:tcW w:w="1344"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55</w:t>
            </w:r>
            <w:r w:rsidR="00B956DB">
              <w:rPr>
                <w:spacing w:val="4"/>
                <w:w w:val="103"/>
                <w:sz w:val="17"/>
              </w:rPr>
              <w:t xml:space="preserve"> </w:t>
            </w:r>
            <w:r w:rsidRPr="006D55DF">
              <w:rPr>
                <w:spacing w:val="4"/>
                <w:w w:val="103"/>
                <w:sz w:val="17"/>
              </w:rPr>
              <w:t>517</w:t>
            </w:r>
          </w:p>
        </w:tc>
      </w:tr>
      <w:tr w:rsidR="006D55DF" w:rsidRPr="006D55DF" w:rsidTr="006D55DF">
        <w:tc>
          <w:tcPr>
            <w:tcW w:w="3212"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D55DF">
              <w:rPr>
                <w:spacing w:val="4"/>
                <w:w w:val="103"/>
                <w:sz w:val="17"/>
              </w:rPr>
              <w:t>Referral</w:t>
            </w:r>
          </w:p>
        </w:tc>
        <w:tc>
          <w:tcPr>
            <w:tcW w:w="1344"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4</w:t>
            </w:r>
            <w:r w:rsidR="00B956DB">
              <w:rPr>
                <w:spacing w:val="4"/>
                <w:w w:val="103"/>
                <w:sz w:val="17"/>
              </w:rPr>
              <w:t xml:space="preserve"> </w:t>
            </w:r>
            <w:r w:rsidRPr="006D55DF">
              <w:rPr>
                <w:spacing w:val="4"/>
                <w:w w:val="103"/>
                <w:sz w:val="17"/>
              </w:rPr>
              <w:t>538 (49%)</w:t>
            </w:r>
          </w:p>
        </w:tc>
        <w:tc>
          <w:tcPr>
            <w:tcW w:w="1344"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4</w:t>
            </w:r>
            <w:r w:rsidR="00B956DB">
              <w:rPr>
                <w:spacing w:val="4"/>
                <w:w w:val="103"/>
                <w:sz w:val="17"/>
              </w:rPr>
              <w:t xml:space="preserve"> </w:t>
            </w:r>
            <w:r w:rsidRPr="006D55DF">
              <w:rPr>
                <w:spacing w:val="4"/>
                <w:w w:val="103"/>
                <w:sz w:val="17"/>
              </w:rPr>
              <w:t>775 (51%)</w:t>
            </w:r>
          </w:p>
        </w:tc>
        <w:tc>
          <w:tcPr>
            <w:tcW w:w="1344" w:type="dxa"/>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9</w:t>
            </w:r>
            <w:r w:rsidR="00B956DB">
              <w:rPr>
                <w:spacing w:val="4"/>
                <w:w w:val="103"/>
                <w:sz w:val="17"/>
              </w:rPr>
              <w:t xml:space="preserve"> </w:t>
            </w:r>
            <w:r w:rsidRPr="006D55DF">
              <w:rPr>
                <w:spacing w:val="4"/>
                <w:w w:val="103"/>
                <w:sz w:val="17"/>
              </w:rPr>
              <w:t>313</w:t>
            </w:r>
          </w:p>
        </w:tc>
      </w:tr>
      <w:tr w:rsidR="006D55DF" w:rsidRPr="006D55DF" w:rsidTr="006D55DF">
        <w:tc>
          <w:tcPr>
            <w:tcW w:w="3212" w:type="dxa"/>
            <w:tcBorders>
              <w:bottom w:val="single" w:sz="12" w:space="0" w:color="auto"/>
            </w:tcBorders>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6D55DF">
              <w:rPr>
                <w:spacing w:val="4"/>
                <w:w w:val="103"/>
                <w:sz w:val="17"/>
              </w:rPr>
              <w:t>Placement</w:t>
            </w:r>
          </w:p>
        </w:tc>
        <w:tc>
          <w:tcPr>
            <w:tcW w:w="1344" w:type="dxa"/>
            <w:tcBorders>
              <w:bottom w:val="single" w:sz="12" w:space="0" w:color="auto"/>
            </w:tcBorders>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788 (55%)</w:t>
            </w:r>
          </w:p>
        </w:tc>
        <w:tc>
          <w:tcPr>
            <w:tcW w:w="1344" w:type="dxa"/>
            <w:tcBorders>
              <w:bottom w:val="single" w:sz="12" w:space="0" w:color="auto"/>
            </w:tcBorders>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647 (45%)</w:t>
            </w:r>
          </w:p>
        </w:tc>
        <w:tc>
          <w:tcPr>
            <w:tcW w:w="1344" w:type="dxa"/>
            <w:tcBorders>
              <w:bottom w:val="single" w:sz="12" w:space="0" w:color="auto"/>
            </w:tcBorders>
            <w:shd w:val="clear" w:color="auto" w:fill="auto"/>
            <w:vAlign w:val="bottom"/>
          </w:tcPr>
          <w:p w:rsidR="006D55DF" w:rsidRPr="006D55DF" w:rsidRDefault="006D55DF" w:rsidP="006D55DF">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6D55DF">
              <w:rPr>
                <w:spacing w:val="4"/>
                <w:w w:val="103"/>
                <w:sz w:val="17"/>
              </w:rPr>
              <w:t>1</w:t>
            </w:r>
            <w:r w:rsidR="00B956DB">
              <w:rPr>
                <w:spacing w:val="4"/>
                <w:w w:val="103"/>
                <w:sz w:val="17"/>
              </w:rPr>
              <w:t xml:space="preserve"> </w:t>
            </w:r>
            <w:r w:rsidRPr="006D55DF">
              <w:rPr>
                <w:spacing w:val="4"/>
                <w:w w:val="103"/>
                <w:sz w:val="17"/>
              </w:rPr>
              <w:t>435</w:t>
            </w:r>
          </w:p>
        </w:tc>
      </w:tr>
    </w:tbl>
    <w:p w:rsidR="006D55DF" w:rsidRPr="006D55DF" w:rsidRDefault="006D55DF" w:rsidP="006D55DF">
      <w:pPr>
        <w:pStyle w:val="SingleTxt"/>
        <w:spacing w:after="0" w:line="120" w:lineRule="exact"/>
        <w:rPr>
          <w:sz w:val="10"/>
        </w:rPr>
      </w:pPr>
    </w:p>
    <w:p w:rsidR="00626016" w:rsidRDefault="00626016" w:rsidP="006D55DF">
      <w:pPr>
        <w:pStyle w:val="FootnoteText"/>
        <w:tabs>
          <w:tab w:val="clear" w:pos="418"/>
          <w:tab w:val="right" w:pos="1476"/>
          <w:tab w:val="left" w:pos="1548"/>
          <w:tab w:val="right" w:pos="1836"/>
          <w:tab w:val="left" w:pos="1908"/>
        </w:tabs>
        <w:ind w:left="1548" w:right="1267" w:hanging="288"/>
      </w:pPr>
      <w:r w:rsidRPr="006D55DF">
        <w:rPr>
          <w:i/>
          <w:iCs/>
        </w:rPr>
        <w:t>Source</w:t>
      </w:r>
      <w:r>
        <w:t xml:space="preserve">: </w:t>
      </w:r>
      <w:r w:rsidRPr="006D55DF">
        <w:rPr>
          <w:i/>
          <w:iCs/>
        </w:rPr>
        <w:t>Department of Labour</w:t>
      </w:r>
      <w:r w:rsidR="006D55DF">
        <w:t>.</w:t>
      </w:r>
    </w:p>
    <w:p w:rsidR="006D55DF" w:rsidRPr="003D4241" w:rsidRDefault="006D55DF" w:rsidP="003D4241">
      <w:pPr>
        <w:pStyle w:val="FootnoteText"/>
        <w:tabs>
          <w:tab w:val="clear" w:pos="418"/>
          <w:tab w:val="right" w:pos="1476"/>
          <w:tab w:val="left" w:pos="1548"/>
          <w:tab w:val="right" w:pos="1836"/>
          <w:tab w:val="left" w:pos="1908"/>
        </w:tabs>
        <w:spacing w:line="120" w:lineRule="exact"/>
        <w:ind w:left="1548" w:right="1267" w:hanging="288"/>
        <w:rPr>
          <w:sz w:val="10"/>
        </w:rPr>
      </w:pPr>
    </w:p>
    <w:p w:rsidR="003D4241" w:rsidRPr="003D4241" w:rsidRDefault="003D4241" w:rsidP="003D4241">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Citizen Security and Justice Program </w:t>
      </w:r>
    </w:p>
    <w:p w:rsidR="003D4241" w:rsidRPr="003D4241" w:rsidRDefault="003D4241" w:rsidP="003D4241">
      <w:pPr>
        <w:pStyle w:val="SingleTxt"/>
        <w:spacing w:after="0" w:line="120" w:lineRule="exact"/>
        <w:rPr>
          <w:sz w:val="10"/>
        </w:rPr>
      </w:pPr>
    </w:p>
    <w:p w:rsidR="00626016" w:rsidRDefault="00626016" w:rsidP="003D4241">
      <w:pPr>
        <w:pStyle w:val="SingleTxt"/>
      </w:pPr>
      <w:r>
        <w:t>105.</w:t>
      </w:r>
      <w:r>
        <w:tab/>
        <w:t xml:space="preserve">In 2015, the DOL was identified as a key participating government agency with respect to the implementation of three components of the captioned program. Component I, the High Risk Youth Program, aims to facilitate employability training for at least 1,250 youth over a four-year period. Component II, the Youth Employment Program, is designed to provide 1,600 unemployed youth with job readiness skills </w:t>
      </w:r>
      <w:r w:rsidR="003D4241">
        <w:t>—</w:t>
      </w:r>
      <w:r>
        <w:t xml:space="preserve"> youth’ refers to persons between the ages of 16 to 29. Component 3, Capacity Building of Public Employment Services, aims to strengthen the </w:t>
      </w:r>
      <w:r>
        <w:lastRenderedPageBreak/>
        <w:t xml:space="preserve">Employment Exchange Unit. It is expected that the Inter-American Development Bank will provide hardware, software, and training for staff at Employment Exchange </w:t>
      </w:r>
      <w:r w:rsidR="003D4241">
        <w:t>—</w:t>
      </w:r>
      <w:r>
        <w:t xml:space="preserve"> including proposed sub-offices.</w:t>
      </w:r>
    </w:p>
    <w:p w:rsidR="003D4241" w:rsidRPr="003D4241" w:rsidRDefault="003D4241" w:rsidP="003D4241">
      <w:pPr>
        <w:pStyle w:val="SingleTxt"/>
        <w:spacing w:after="0" w:line="120" w:lineRule="exact"/>
        <w:rPr>
          <w:sz w:val="10"/>
        </w:rPr>
      </w:pPr>
    </w:p>
    <w:p w:rsidR="003D4241" w:rsidRPr="003D4241" w:rsidRDefault="003D4241" w:rsidP="003D4241">
      <w:pPr>
        <w:pStyle w:val="SingleTxt"/>
        <w:spacing w:after="0" w:line="120" w:lineRule="exact"/>
        <w:rPr>
          <w:sz w:val="10"/>
        </w:rPr>
      </w:pPr>
    </w:p>
    <w:p w:rsidR="00626016" w:rsidRDefault="00626016" w:rsidP="003D4241">
      <w:pPr>
        <w:pStyle w:val="TitleH1"/>
      </w:pPr>
      <w:r>
        <w:tab/>
      </w:r>
      <w:r>
        <w:tab/>
        <w:t>Article 12: Equality in Access to Health Care</w:t>
      </w:r>
    </w:p>
    <w:p w:rsidR="003D4241" w:rsidRPr="003D4241" w:rsidRDefault="003D4241" w:rsidP="003D4241">
      <w:pPr>
        <w:pStyle w:val="SingleTxt"/>
        <w:spacing w:after="0" w:line="120" w:lineRule="exact"/>
        <w:rPr>
          <w:sz w:val="10"/>
        </w:rPr>
      </w:pPr>
    </w:p>
    <w:p w:rsidR="003D4241" w:rsidRPr="003D4241" w:rsidRDefault="003D4241" w:rsidP="003D4241">
      <w:pPr>
        <w:pStyle w:val="SingleTxt"/>
        <w:spacing w:after="0" w:line="120" w:lineRule="exact"/>
        <w:rPr>
          <w:sz w:val="10"/>
        </w:rPr>
      </w:pPr>
    </w:p>
    <w:p w:rsidR="00626016" w:rsidRDefault="00626016" w:rsidP="00626016">
      <w:pPr>
        <w:pStyle w:val="SingleTxt"/>
      </w:pPr>
      <w:r>
        <w:t>106.</w:t>
      </w:r>
      <w:r>
        <w:tab/>
        <w:t xml:space="preserve">Since the previous report, information has not changed regarding: ensures to eliminate discrimination against women in health care; efforts to ensure women have equal access to health-care services; prenatal health care; antenatal and post-natal reproductive health services; and nutrition support for pregnant and lactating women. </w:t>
      </w:r>
    </w:p>
    <w:p w:rsidR="00626016" w:rsidRDefault="00626016" w:rsidP="00626016">
      <w:pPr>
        <w:pStyle w:val="SingleTxt"/>
      </w:pPr>
      <w:r>
        <w:t>107.</w:t>
      </w:r>
      <w:r>
        <w:tab/>
        <w:t xml:space="preserve">Women are able to access health facilities throughout the islands. </w:t>
      </w:r>
    </w:p>
    <w:p w:rsidR="003D4241" w:rsidRPr="003D4241" w:rsidRDefault="003D4241" w:rsidP="003D4241">
      <w:pPr>
        <w:pStyle w:val="SingleTxt"/>
        <w:spacing w:after="0" w:line="120" w:lineRule="exact"/>
        <w:rPr>
          <w:sz w:val="10"/>
        </w:rPr>
      </w:pPr>
    </w:p>
    <w:p w:rsidR="00626016" w:rsidRDefault="00626016"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Mental Health</w:t>
      </w:r>
    </w:p>
    <w:p w:rsidR="003D4241" w:rsidRPr="003D4241" w:rsidRDefault="003D4241" w:rsidP="003D4241">
      <w:pPr>
        <w:pStyle w:val="SingleTxt"/>
        <w:spacing w:after="0" w:line="120" w:lineRule="exact"/>
        <w:rPr>
          <w:sz w:val="10"/>
        </w:rPr>
      </w:pPr>
    </w:p>
    <w:p w:rsidR="00626016" w:rsidRDefault="00626016" w:rsidP="00626016">
      <w:pPr>
        <w:pStyle w:val="SingleTxt"/>
      </w:pPr>
      <w:r>
        <w:t>108.</w:t>
      </w:r>
      <w:r>
        <w:tab/>
        <w:t>Mental Health Teams are regularly deployed to offer services to Family Island residents, including during natural disasters. For example, during the aftermath of Hurricane Joaquin teams were deployed to islands that were affected to provide specialized care. There is a need to increase the number of trained mental health professionals in The Bahamas. The Sandilands Rehabilitative Centre facilitates an annual mental health symposium which allows an opportunity for an exchange of experiences. The Bahamas recognizes the need to increase the number of trained mental health professionals in the country. Recognizing the challenges around mental health, The Ministry of Health has launched a pilot programme to assess the mental health of individuals accessing health care. The Programme is being conducted on the islands of Andros, Abaco and Eleuthera and is also conducted in four clinics on New Providence, namely Fleming Street Clinic, Flamingo Gardens Clinic, South Beach Clinic and Gambier Village Clinic. In respect to the mental health of pregnant women, the Ministry of Health indicates that an antenatal survey is conducted and expectant mothers are tracked throughout their pregnancy. If issues are detected, individuals would be referred to the Sandilands Rehabilitative Centre (SRC), which focuses on mental issues.</w:t>
      </w:r>
    </w:p>
    <w:p w:rsidR="003D4241" w:rsidRPr="003D4241" w:rsidRDefault="003D4241" w:rsidP="003D4241">
      <w:pPr>
        <w:pStyle w:val="SingleTxt"/>
        <w:spacing w:after="0" w:line="120" w:lineRule="exact"/>
        <w:rPr>
          <w:sz w:val="10"/>
        </w:rPr>
      </w:pPr>
    </w:p>
    <w:p w:rsidR="00626016" w:rsidRDefault="00626016"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Infrastructure: Organization and Facilities</w:t>
      </w:r>
    </w:p>
    <w:p w:rsidR="003D4241" w:rsidRPr="003D4241" w:rsidRDefault="003D4241" w:rsidP="003D4241">
      <w:pPr>
        <w:pStyle w:val="SingleTxt"/>
        <w:spacing w:after="0" w:line="120" w:lineRule="exact"/>
        <w:rPr>
          <w:sz w:val="10"/>
        </w:rPr>
      </w:pPr>
    </w:p>
    <w:p w:rsidR="00626016" w:rsidRDefault="00626016" w:rsidP="003D4241">
      <w:pPr>
        <w:pStyle w:val="SingleTxt"/>
      </w:pPr>
      <w:r>
        <w:t>109.</w:t>
      </w:r>
      <w:r>
        <w:tab/>
        <w:t>In 2013, there were five hospitals inclusive of private and public facilities. These facilities provide a total in excess of one thousand and sixty four (1,064) hospital beds which includes those available to public and private patients. To ensure health coverage among the population, a total of sixty one (61) health centres/main clinics exist on the island of New Providence and in the Family Islands. The health centres are supported by thirty four (34) satellite clinics throughout our islands.</w:t>
      </w:r>
    </w:p>
    <w:p w:rsidR="003D4241" w:rsidRPr="003D4241" w:rsidRDefault="003D4241" w:rsidP="003D4241">
      <w:pPr>
        <w:pStyle w:val="SingleTxt"/>
        <w:spacing w:after="0" w:line="120" w:lineRule="exact"/>
        <w:rPr>
          <w:sz w:val="10"/>
        </w:rPr>
      </w:pPr>
    </w:p>
    <w:p w:rsidR="00626016" w:rsidRDefault="00626016"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Female Mortality and Morbidity</w:t>
      </w:r>
    </w:p>
    <w:p w:rsidR="003D4241" w:rsidRPr="003D4241" w:rsidRDefault="003D4241" w:rsidP="003D4241">
      <w:pPr>
        <w:pStyle w:val="SingleTxt"/>
        <w:spacing w:after="0" w:line="120" w:lineRule="exact"/>
        <w:rPr>
          <w:sz w:val="10"/>
        </w:rPr>
      </w:pPr>
    </w:p>
    <w:p w:rsidR="00626016" w:rsidRDefault="00626016" w:rsidP="00626016">
      <w:pPr>
        <w:pStyle w:val="SingleTxt"/>
      </w:pPr>
      <w:r>
        <w:t>110.</w:t>
      </w:r>
      <w:r>
        <w:tab/>
        <w:t>In 2012, the major causes of female mortality included HIV/AIDS, Malignant Neoplasm of the Breast, and Pulmonary Heart Disease &amp; Diseases of Pulmonary Circulation, Influenza &amp; Pneumonia and Land Transport Accidents.</w:t>
      </w:r>
    </w:p>
    <w:p w:rsidR="003D4241" w:rsidRPr="003D4241" w:rsidRDefault="003D4241" w:rsidP="003D4241">
      <w:pPr>
        <w:pStyle w:val="SingleTxt"/>
        <w:spacing w:after="0" w:line="120" w:lineRule="exact"/>
        <w:rPr>
          <w:sz w:val="10"/>
        </w:rPr>
      </w:pPr>
    </w:p>
    <w:p w:rsidR="00626016" w:rsidRDefault="00626016"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Maternal Mortality</w:t>
      </w:r>
    </w:p>
    <w:p w:rsidR="003D4241" w:rsidRPr="003D4241" w:rsidRDefault="003D4241" w:rsidP="003D4241">
      <w:pPr>
        <w:pStyle w:val="SingleTxt"/>
        <w:spacing w:after="0" w:line="120" w:lineRule="exact"/>
        <w:rPr>
          <w:sz w:val="10"/>
        </w:rPr>
      </w:pPr>
    </w:p>
    <w:p w:rsidR="00626016" w:rsidRDefault="00626016" w:rsidP="00626016">
      <w:pPr>
        <w:pStyle w:val="SingleTxt"/>
      </w:pPr>
      <w:r>
        <w:t>111.</w:t>
      </w:r>
      <w:r>
        <w:tab/>
        <w:t xml:space="preserve">Efforts to prevent maternal deaths and sustain gains have focused on pregnancy health, management of chronic non-communicable diseases in pregnancy and early intervention for high-risk pregnancies. </w:t>
      </w:r>
    </w:p>
    <w:p w:rsidR="003D4241" w:rsidRPr="003D4241" w:rsidRDefault="003D4241" w:rsidP="003D4241">
      <w:pPr>
        <w:pStyle w:val="SingleTxt"/>
        <w:spacing w:after="0" w:line="120" w:lineRule="exact"/>
        <w:rPr>
          <w:sz w:val="10"/>
        </w:rPr>
      </w:pPr>
    </w:p>
    <w:p w:rsidR="00626016" w:rsidRPr="003D4241" w:rsidRDefault="003D4241" w:rsidP="003D424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bCs/>
        </w:rPr>
      </w:pPr>
      <w:r>
        <w:lastRenderedPageBreak/>
        <w:tab/>
      </w:r>
      <w:r>
        <w:tab/>
      </w:r>
      <w:r w:rsidR="00626016" w:rsidRPr="003D4241">
        <w:rPr>
          <w:b w:val="0"/>
          <w:bCs/>
        </w:rPr>
        <w:t>Table 14</w:t>
      </w:r>
    </w:p>
    <w:p w:rsidR="00626016" w:rsidRDefault="003D4241" w:rsidP="003D424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626016">
        <w:t>Maternal mortality statistics for The Bahamas: 2012-2014</w:t>
      </w:r>
    </w:p>
    <w:p w:rsidR="003D4241" w:rsidRPr="003D4241" w:rsidRDefault="003D4241" w:rsidP="003D4241">
      <w:pPr>
        <w:pStyle w:val="SingleTxt"/>
        <w:spacing w:after="0" w:line="120" w:lineRule="exact"/>
        <w:rPr>
          <w:sz w:val="10"/>
        </w:rPr>
      </w:pPr>
    </w:p>
    <w:tbl>
      <w:tblPr>
        <w:tblW w:w="7244" w:type="dxa"/>
        <w:tblInd w:w="1260" w:type="dxa"/>
        <w:tblLayout w:type="fixed"/>
        <w:tblCellMar>
          <w:left w:w="0" w:type="dxa"/>
          <w:right w:w="0" w:type="dxa"/>
        </w:tblCellMar>
        <w:tblLook w:val="0000" w:firstRow="0" w:lastRow="0" w:firstColumn="0" w:lastColumn="0" w:noHBand="0" w:noVBand="0"/>
      </w:tblPr>
      <w:tblGrid>
        <w:gridCol w:w="3956"/>
        <w:gridCol w:w="1644"/>
        <w:gridCol w:w="1644"/>
      </w:tblGrid>
      <w:tr w:rsidR="003D4241" w:rsidRPr="003D4241" w:rsidTr="003D4241">
        <w:trPr>
          <w:tblHeader/>
        </w:trPr>
        <w:tc>
          <w:tcPr>
            <w:tcW w:w="3956" w:type="dxa"/>
            <w:tcBorders>
              <w:top w:val="single" w:sz="4" w:space="0" w:color="auto"/>
              <w:bottom w:val="single" w:sz="12" w:space="0" w:color="auto"/>
            </w:tcBorders>
            <w:shd w:val="clear" w:color="auto" w:fill="auto"/>
            <w:vAlign w:val="bottom"/>
          </w:tcPr>
          <w:p w:rsidR="003D4241" w:rsidRPr="003D4241" w:rsidRDefault="003D4241" w:rsidP="003D4241">
            <w:pPr>
              <w:pStyle w:val="SingleTxtG"/>
              <w:spacing w:before="81" w:after="81" w:line="160" w:lineRule="exact"/>
              <w:ind w:left="0" w:right="40"/>
              <w:jc w:val="left"/>
              <w:rPr>
                <w:i/>
                <w:sz w:val="14"/>
              </w:rPr>
            </w:pPr>
            <w:r w:rsidRPr="003D4241">
              <w:rPr>
                <w:i/>
                <w:sz w:val="14"/>
              </w:rPr>
              <w:t>Year</w:t>
            </w:r>
          </w:p>
        </w:tc>
        <w:tc>
          <w:tcPr>
            <w:tcW w:w="1644" w:type="dxa"/>
            <w:tcBorders>
              <w:top w:val="single" w:sz="4" w:space="0" w:color="auto"/>
              <w:bottom w:val="single" w:sz="12" w:space="0" w:color="auto"/>
            </w:tcBorders>
            <w:shd w:val="clear" w:color="auto" w:fill="auto"/>
            <w:vAlign w:val="bottom"/>
          </w:tcPr>
          <w:p w:rsidR="003D4241" w:rsidRPr="003D4241" w:rsidRDefault="003D4241" w:rsidP="003D4241">
            <w:pPr>
              <w:pStyle w:val="SingleTxtG"/>
              <w:spacing w:before="81" w:after="81" w:line="160" w:lineRule="exact"/>
              <w:ind w:left="144" w:right="40"/>
              <w:jc w:val="right"/>
              <w:rPr>
                <w:i/>
                <w:sz w:val="14"/>
              </w:rPr>
            </w:pPr>
            <w:r w:rsidRPr="003D4241">
              <w:rPr>
                <w:i/>
                <w:sz w:val="14"/>
              </w:rPr>
              <w:t>Number</w:t>
            </w:r>
          </w:p>
        </w:tc>
        <w:tc>
          <w:tcPr>
            <w:tcW w:w="1644" w:type="dxa"/>
            <w:tcBorders>
              <w:top w:val="single" w:sz="4" w:space="0" w:color="auto"/>
              <w:bottom w:val="single" w:sz="12" w:space="0" w:color="auto"/>
            </w:tcBorders>
            <w:shd w:val="clear" w:color="auto" w:fill="auto"/>
            <w:vAlign w:val="bottom"/>
          </w:tcPr>
          <w:p w:rsidR="003D4241" w:rsidRPr="003D4241" w:rsidRDefault="003D4241" w:rsidP="003D4241">
            <w:pPr>
              <w:pStyle w:val="SingleTxtG"/>
              <w:spacing w:before="81" w:after="81" w:line="160" w:lineRule="exact"/>
              <w:ind w:left="144" w:right="40"/>
              <w:jc w:val="right"/>
              <w:rPr>
                <w:i/>
                <w:sz w:val="14"/>
              </w:rPr>
            </w:pPr>
            <w:r w:rsidRPr="003D4241">
              <w:rPr>
                <w:i/>
                <w:sz w:val="14"/>
              </w:rPr>
              <w:t>Rate per 10,000</w:t>
            </w:r>
          </w:p>
        </w:tc>
      </w:tr>
      <w:tr w:rsidR="003D4241" w:rsidRPr="003D4241" w:rsidTr="003D4241">
        <w:trPr>
          <w:trHeight w:hRule="exact" w:val="115"/>
          <w:tblHeader/>
        </w:trPr>
        <w:tc>
          <w:tcPr>
            <w:tcW w:w="3956" w:type="dxa"/>
            <w:tcBorders>
              <w:top w:val="single" w:sz="12" w:space="0" w:color="auto"/>
            </w:tcBorders>
            <w:shd w:val="clear" w:color="auto" w:fill="auto"/>
            <w:vAlign w:val="bottom"/>
          </w:tcPr>
          <w:p w:rsidR="003D4241" w:rsidRPr="003D4241" w:rsidRDefault="003D4241" w:rsidP="003D4241">
            <w:pPr>
              <w:pStyle w:val="SingleTxtG"/>
              <w:spacing w:before="40" w:after="40" w:line="210" w:lineRule="exact"/>
              <w:ind w:left="0" w:right="40"/>
              <w:jc w:val="left"/>
              <w:rPr>
                <w:sz w:val="17"/>
              </w:rPr>
            </w:pPr>
          </w:p>
        </w:tc>
        <w:tc>
          <w:tcPr>
            <w:tcW w:w="1644" w:type="dxa"/>
            <w:tcBorders>
              <w:top w:val="single" w:sz="12" w:space="0" w:color="auto"/>
            </w:tcBorders>
            <w:shd w:val="clear" w:color="auto" w:fill="auto"/>
            <w:vAlign w:val="bottom"/>
          </w:tcPr>
          <w:p w:rsidR="003D4241" w:rsidRPr="003D4241" w:rsidRDefault="003D4241" w:rsidP="003D4241">
            <w:pPr>
              <w:pStyle w:val="SingleTxtG"/>
              <w:spacing w:before="40" w:after="40" w:line="210" w:lineRule="exact"/>
              <w:ind w:left="144" w:right="40"/>
              <w:jc w:val="right"/>
              <w:rPr>
                <w:sz w:val="17"/>
              </w:rPr>
            </w:pPr>
          </w:p>
        </w:tc>
        <w:tc>
          <w:tcPr>
            <w:tcW w:w="1644" w:type="dxa"/>
            <w:tcBorders>
              <w:top w:val="single" w:sz="12" w:space="0" w:color="auto"/>
            </w:tcBorders>
            <w:shd w:val="clear" w:color="auto" w:fill="auto"/>
            <w:vAlign w:val="bottom"/>
          </w:tcPr>
          <w:p w:rsidR="003D4241" w:rsidRPr="003D4241" w:rsidRDefault="003D4241" w:rsidP="003D4241">
            <w:pPr>
              <w:pStyle w:val="SingleTxtG"/>
              <w:spacing w:before="40" w:after="40" w:line="210" w:lineRule="exact"/>
              <w:ind w:left="144" w:right="40"/>
              <w:jc w:val="right"/>
              <w:rPr>
                <w:sz w:val="17"/>
              </w:rPr>
            </w:pPr>
          </w:p>
        </w:tc>
      </w:tr>
      <w:tr w:rsidR="003D4241" w:rsidRPr="003D4241" w:rsidTr="003D4241">
        <w:tc>
          <w:tcPr>
            <w:tcW w:w="3956" w:type="dxa"/>
            <w:shd w:val="clear" w:color="auto" w:fill="auto"/>
            <w:vAlign w:val="bottom"/>
          </w:tcPr>
          <w:p w:rsidR="003D4241" w:rsidRPr="003D4241" w:rsidRDefault="003D4241" w:rsidP="003D4241">
            <w:pPr>
              <w:pStyle w:val="SingleTxtG"/>
              <w:tabs>
                <w:tab w:val="left" w:pos="288"/>
                <w:tab w:val="left" w:pos="576"/>
                <w:tab w:val="left" w:pos="864"/>
                <w:tab w:val="left" w:pos="1152"/>
              </w:tabs>
              <w:spacing w:before="40" w:after="40" w:line="210" w:lineRule="exact"/>
              <w:ind w:left="0" w:right="40"/>
              <w:jc w:val="left"/>
              <w:rPr>
                <w:sz w:val="17"/>
              </w:rPr>
            </w:pPr>
            <w:r w:rsidRPr="003D4241">
              <w:rPr>
                <w:sz w:val="17"/>
              </w:rPr>
              <w:t>2012</w:t>
            </w:r>
          </w:p>
        </w:tc>
        <w:tc>
          <w:tcPr>
            <w:tcW w:w="1644" w:type="dxa"/>
            <w:shd w:val="clear" w:color="auto" w:fill="auto"/>
            <w:vAlign w:val="bottom"/>
          </w:tcPr>
          <w:p w:rsidR="003D4241" w:rsidRPr="003D4241" w:rsidRDefault="003D4241" w:rsidP="003D4241">
            <w:pPr>
              <w:pStyle w:val="SingleTxtG"/>
              <w:tabs>
                <w:tab w:val="left" w:pos="288"/>
                <w:tab w:val="left" w:pos="576"/>
                <w:tab w:val="left" w:pos="864"/>
                <w:tab w:val="left" w:pos="1152"/>
              </w:tabs>
              <w:spacing w:before="40" w:after="40" w:line="210" w:lineRule="exact"/>
              <w:ind w:left="144" w:right="40"/>
              <w:jc w:val="right"/>
              <w:rPr>
                <w:sz w:val="17"/>
              </w:rPr>
            </w:pPr>
            <w:r w:rsidRPr="003D4241">
              <w:rPr>
                <w:sz w:val="17"/>
              </w:rPr>
              <w:t>4</w:t>
            </w:r>
          </w:p>
        </w:tc>
        <w:tc>
          <w:tcPr>
            <w:tcW w:w="1644" w:type="dxa"/>
            <w:shd w:val="clear" w:color="auto" w:fill="auto"/>
            <w:vAlign w:val="bottom"/>
          </w:tcPr>
          <w:p w:rsidR="003D4241" w:rsidRPr="003D4241" w:rsidRDefault="003D4241" w:rsidP="003D4241">
            <w:pPr>
              <w:pStyle w:val="SingleTxtG"/>
              <w:tabs>
                <w:tab w:val="left" w:pos="288"/>
                <w:tab w:val="left" w:pos="576"/>
                <w:tab w:val="left" w:pos="864"/>
                <w:tab w:val="left" w:pos="1152"/>
              </w:tabs>
              <w:spacing w:before="40" w:after="40" w:line="210" w:lineRule="exact"/>
              <w:ind w:left="144" w:right="40"/>
              <w:jc w:val="right"/>
              <w:rPr>
                <w:sz w:val="17"/>
              </w:rPr>
            </w:pPr>
            <w:r w:rsidRPr="003D4241">
              <w:rPr>
                <w:sz w:val="17"/>
              </w:rPr>
              <w:t>13.1</w:t>
            </w:r>
          </w:p>
        </w:tc>
      </w:tr>
      <w:tr w:rsidR="003D4241" w:rsidRPr="003D4241" w:rsidTr="003D4241">
        <w:tc>
          <w:tcPr>
            <w:tcW w:w="3956" w:type="dxa"/>
            <w:shd w:val="clear" w:color="auto" w:fill="auto"/>
            <w:vAlign w:val="bottom"/>
          </w:tcPr>
          <w:p w:rsidR="003D4241" w:rsidRPr="003D4241" w:rsidRDefault="003D4241" w:rsidP="003D4241">
            <w:pPr>
              <w:pStyle w:val="SingleTxtG"/>
              <w:tabs>
                <w:tab w:val="left" w:pos="288"/>
                <w:tab w:val="left" w:pos="576"/>
                <w:tab w:val="left" w:pos="864"/>
                <w:tab w:val="left" w:pos="1152"/>
              </w:tabs>
              <w:spacing w:before="40" w:after="40" w:line="210" w:lineRule="exact"/>
              <w:ind w:left="0" w:right="40"/>
              <w:jc w:val="left"/>
              <w:rPr>
                <w:sz w:val="17"/>
              </w:rPr>
            </w:pPr>
            <w:r w:rsidRPr="003D4241">
              <w:rPr>
                <w:sz w:val="17"/>
              </w:rPr>
              <w:t>2013</w:t>
            </w:r>
          </w:p>
        </w:tc>
        <w:tc>
          <w:tcPr>
            <w:tcW w:w="1644" w:type="dxa"/>
            <w:shd w:val="clear" w:color="auto" w:fill="auto"/>
            <w:vAlign w:val="bottom"/>
          </w:tcPr>
          <w:p w:rsidR="003D4241" w:rsidRPr="003D4241" w:rsidRDefault="003D4241" w:rsidP="003D4241">
            <w:pPr>
              <w:pStyle w:val="SingleTxtG"/>
              <w:tabs>
                <w:tab w:val="left" w:pos="288"/>
                <w:tab w:val="left" w:pos="576"/>
                <w:tab w:val="left" w:pos="864"/>
                <w:tab w:val="left" w:pos="1152"/>
              </w:tabs>
              <w:spacing w:before="40" w:after="40" w:line="210" w:lineRule="exact"/>
              <w:ind w:left="144" w:right="40"/>
              <w:jc w:val="right"/>
              <w:rPr>
                <w:sz w:val="17"/>
              </w:rPr>
            </w:pPr>
            <w:r w:rsidRPr="003D4241">
              <w:rPr>
                <w:sz w:val="17"/>
              </w:rPr>
              <w:t>3</w:t>
            </w:r>
          </w:p>
        </w:tc>
        <w:tc>
          <w:tcPr>
            <w:tcW w:w="1644" w:type="dxa"/>
            <w:shd w:val="clear" w:color="auto" w:fill="auto"/>
            <w:vAlign w:val="bottom"/>
          </w:tcPr>
          <w:p w:rsidR="003D4241" w:rsidRPr="003D4241" w:rsidRDefault="003D4241" w:rsidP="003D4241">
            <w:pPr>
              <w:pStyle w:val="SingleTxtG"/>
              <w:tabs>
                <w:tab w:val="left" w:pos="288"/>
                <w:tab w:val="left" w:pos="576"/>
                <w:tab w:val="left" w:pos="864"/>
                <w:tab w:val="left" w:pos="1152"/>
              </w:tabs>
              <w:spacing w:before="40" w:after="40" w:line="210" w:lineRule="exact"/>
              <w:ind w:left="144" w:right="40"/>
              <w:jc w:val="right"/>
              <w:rPr>
                <w:sz w:val="17"/>
              </w:rPr>
            </w:pPr>
            <w:r w:rsidRPr="003D4241">
              <w:rPr>
                <w:sz w:val="17"/>
              </w:rPr>
              <w:t>5.5</w:t>
            </w:r>
          </w:p>
        </w:tc>
      </w:tr>
      <w:tr w:rsidR="003D4241" w:rsidRPr="003D4241" w:rsidTr="003D4241">
        <w:tc>
          <w:tcPr>
            <w:tcW w:w="3956" w:type="dxa"/>
            <w:tcBorders>
              <w:bottom w:val="single" w:sz="12" w:space="0" w:color="auto"/>
            </w:tcBorders>
            <w:shd w:val="clear" w:color="auto" w:fill="auto"/>
            <w:vAlign w:val="bottom"/>
          </w:tcPr>
          <w:p w:rsidR="003D4241" w:rsidRPr="003D4241" w:rsidRDefault="003D4241" w:rsidP="003D4241">
            <w:pPr>
              <w:pStyle w:val="SingleTxtG"/>
              <w:tabs>
                <w:tab w:val="left" w:pos="288"/>
                <w:tab w:val="left" w:pos="576"/>
                <w:tab w:val="left" w:pos="864"/>
                <w:tab w:val="left" w:pos="1152"/>
              </w:tabs>
              <w:spacing w:before="40" w:after="40" w:line="210" w:lineRule="exact"/>
              <w:ind w:left="0" w:right="40"/>
              <w:jc w:val="left"/>
              <w:rPr>
                <w:sz w:val="17"/>
              </w:rPr>
            </w:pPr>
            <w:r w:rsidRPr="003D4241">
              <w:rPr>
                <w:sz w:val="17"/>
              </w:rPr>
              <w:t>2014</w:t>
            </w:r>
          </w:p>
        </w:tc>
        <w:tc>
          <w:tcPr>
            <w:tcW w:w="1644" w:type="dxa"/>
            <w:tcBorders>
              <w:bottom w:val="single" w:sz="12" w:space="0" w:color="auto"/>
            </w:tcBorders>
            <w:shd w:val="clear" w:color="auto" w:fill="auto"/>
            <w:vAlign w:val="bottom"/>
          </w:tcPr>
          <w:p w:rsidR="003D4241" w:rsidRPr="003D4241" w:rsidRDefault="003D4241" w:rsidP="003D4241">
            <w:pPr>
              <w:pStyle w:val="SingleTxtG"/>
              <w:tabs>
                <w:tab w:val="left" w:pos="288"/>
                <w:tab w:val="left" w:pos="576"/>
                <w:tab w:val="left" w:pos="864"/>
                <w:tab w:val="left" w:pos="1152"/>
              </w:tabs>
              <w:spacing w:before="40" w:after="40" w:line="210" w:lineRule="exact"/>
              <w:ind w:left="144" w:right="40"/>
              <w:jc w:val="right"/>
              <w:rPr>
                <w:sz w:val="17"/>
              </w:rPr>
            </w:pPr>
            <w:r w:rsidRPr="003D4241">
              <w:rPr>
                <w:sz w:val="17"/>
              </w:rPr>
              <w:t>3</w:t>
            </w:r>
          </w:p>
        </w:tc>
        <w:tc>
          <w:tcPr>
            <w:tcW w:w="1644" w:type="dxa"/>
            <w:tcBorders>
              <w:bottom w:val="single" w:sz="12" w:space="0" w:color="auto"/>
            </w:tcBorders>
            <w:shd w:val="clear" w:color="auto" w:fill="auto"/>
            <w:vAlign w:val="bottom"/>
          </w:tcPr>
          <w:p w:rsidR="003D4241" w:rsidRPr="003D4241" w:rsidRDefault="003D4241" w:rsidP="003D4241">
            <w:pPr>
              <w:pStyle w:val="SingleTxtG"/>
              <w:tabs>
                <w:tab w:val="left" w:pos="288"/>
                <w:tab w:val="left" w:pos="576"/>
                <w:tab w:val="left" w:pos="864"/>
                <w:tab w:val="left" w:pos="1152"/>
              </w:tabs>
              <w:spacing w:before="40" w:after="40" w:line="210" w:lineRule="exact"/>
              <w:ind w:left="144" w:right="40"/>
              <w:jc w:val="right"/>
              <w:rPr>
                <w:sz w:val="17"/>
              </w:rPr>
            </w:pPr>
            <w:r w:rsidRPr="003D4241">
              <w:rPr>
                <w:sz w:val="17"/>
              </w:rPr>
              <w:t>5.5</w:t>
            </w:r>
          </w:p>
        </w:tc>
      </w:tr>
    </w:tbl>
    <w:p w:rsidR="003D4241" w:rsidRPr="003D4241" w:rsidRDefault="003D4241" w:rsidP="003D4241">
      <w:pPr>
        <w:pStyle w:val="SingleTxt"/>
        <w:spacing w:after="0" w:line="120" w:lineRule="exact"/>
        <w:rPr>
          <w:sz w:val="10"/>
        </w:rPr>
      </w:pPr>
    </w:p>
    <w:p w:rsidR="00626016" w:rsidRDefault="00626016" w:rsidP="003D4241">
      <w:pPr>
        <w:pStyle w:val="FootnoteText"/>
        <w:tabs>
          <w:tab w:val="clear" w:pos="418"/>
          <w:tab w:val="right" w:pos="1476"/>
          <w:tab w:val="left" w:pos="1548"/>
          <w:tab w:val="right" w:pos="1836"/>
          <w:tab w:val="left" w:pos="1908"/>
        </w:tabs>
        <w:ind w:left="1548" w:right="1267" w:hanging="288"/>
      </w:pPr>
      <w:r w:rsidRPr="003D4241">
        <w:rPr>
          <w:i/>
          <w:iCs/>
        </w:rPr>
        <w:t>Source</w:t>
      </w:r>
      <w:r>
        <w:t xml:space="preserve">: </w:t>
      </w:r>
      <w:r w:rsidRPr="003D4241">
        <w:rPr>
          <w:i/>
          <w:iCs/>
        </w:rPr>
        <w:t>Ministry of Health</w:t>
      </w:r>
      <w:r w:rsidR="003D4241">
        <w:t>.</w:t>
      </w:r>
    </w:p>
    <w:p w:rsidR="003D4241" w:rsidRPr="003D4241" w:rsidRDefault="003D4241" w:rsidP="003D4241">
      <w:pPr>
        <w:pStyle w:val="FootnoteText"/>
        <w:tabs>
          <w:tab w:val="clear" w:pos="418"/>
          <w:tab w:val="right" w:pos="1476"/>
          <w:tab w:val="left" w:pos="1548"/>
          <w:tab w:val="right" w:pos="1836"/>
          <w:tab w:val="left" w:pos="1908"/>
        </w:tabs>
        <w:spacing w:line="120" w:lineRule="exact"/>
        <w:ind w:left="1548" w:right="1267" w:hanging="288"/>
        <w:rPr>
          <w:sz w:val="10"/>
        </w:rPr>
      </w:pPr>
    </w:p>
    <w:p w:rsidR="003D4241" w:rsidRPr="003D4241" w:rsidRDefault="003D4241" w:rsidP="003D4241">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Infant and Child Mortality Rates</w:t>
      </w:r>
    </w:p>
    <w:p w:rsidR="003D4241" w:rsidRPr="003D4241" w:rsidRDefault="003D4241" w:rsidP="003D4241">
      <w:pPr>
        <w:pStyle w:val="SingleTxt"/>
        <w:spacing w:after="0" w:line="120" w:lineRule="exact"/>
        <w:rPr>
          <w:sz w:val="10"/>
          <w:lang w:val="en-US"/>
        </w:rPr>
      </w:pPr>
    </w:p>
    <w:p w:rsidR="00626016" w:rsidRDefault="00626016" w:rsidP="00626016">
      <w:pPr>
        <w:pStyle w:val="SingleTxt"/>
      </w:pPr>
      <w:r>
        <w:t>112.</w:t>
      </w:r>
      <w:r>
        <w:tab/>
        <w:t>The infant mortality rate in 2012 was 14. Child (Under 5) mortality rate per 1000 live births in 2012 was as follow: males, 18; and females, 16.</w:t>
      </w:r>
    </w:p>
    <w:p w:rsidR="003D4241" w:rsidRPr="003D4241" w:rsidRDefault="003D4241" w:rsidP="003D4241">
      <w:pPr>
        <w:pStyle w:val="SingleTxt"/>
        <w:spacing w:after="0" w:line="120" w:lineRule="exact"/>
        <w:rPr>
          <w:sz w:val="10"/>
        </w:rPr>
      </w:pPr>
    </w:p>
    <w:p w:rsidR="00626016" w:rsidRDefault="00626016"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Women’s Life Expectancy</w:t>
      </w:r>
    </w:p>
    <w:p w:rsidR="003D4241" w:rsidRPr="003D4241" w:rsidRDefault="003D4241" w:rsidP="003D4241">
      <w:pPr>
        <w:pStyle w:val="SingleTxt"/>
        <w:spacing w:after="0" w:line="120" w:lineRule="exact"/>
        <w:rPr>
          <w:sz w:val="10"/>
        </w:rPr>
      </w:pPr>
    </w:p>
    <w:p w:rsidR="00626016" w:rsidRDefault="00626016" w:rsidP="00626016">
      <w:pPr>
        <w:pStyle w:val="SingleTxt"/>
      </w:pPr>
      <w:r>
        <w:t>113.</w:t>
      </w:r>
      <w:r>
        <w:tab/>
        <w:t>In The Bahamas, women live longer than men. Life expectancy at birth in 2013 was 78.3 for females and 72.6 for males.</w:t>
      </w:r>
    </w:p>
    <w:p w:rsidR="003D4241" w:rsidRPr="003D4241" w:rsidRDefault="003D4241" w:rsidP="003D4241">
      <w:pPr>
        <w:pStyle w:val="SingleTxt"/>
        <w:spacing w:after="0" w:line="120" w:lineRule="exact"/>
        <w:rPr>
          <w:sz w:val="10"/>
        </w:rPr>
      </w:pPr>
    </w:p>
    <w:p w:rsidR="00626016" w:rsidRDefault="00626016"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Crude Birth and Death Rates for Men and Women</w:t>
      </w:r>
    </w:p>
    <w:p w:rsidR="003D4241" w:rsidRPr="003D4241" w:rsidRDefault="003D4241" w:rsidP="003D4241">
      <w:pPr>
        <w:pStyle w:val="SingleTxt"/>
        <w:spacing w:after="0" w:line="120" w:lineRule="exact"/>
        <w:rPr>
          <w:sz w:val="10"/>
        </w:rPr>
      </w:pPr>
    </w:p>
    <w:p w:rsidR="00626016" w:rsidRDefault="00626016" w:rsidP="00626016">
      <w:pPr>
        <w:pStyle w:val="SingleTxt"/>
      </w:pPr>
      <w:r>
        <w:t>114.</w:t>
      </w:r>
      <w:r>
        <w:tab/>
        <w:t>The crude birth rate in The Bahamas for the year 2012 was 15.4 per 1000. The crude death/mortality rate of The Bahamas for the same year was 6 per 1000 population.</w:t>
      </w:r>
    </w:p>
    <w:p w:rsidR="003D4241" w:rsidRPr="003D4241" w:rsidRDefault="003D4241" w:rsidP="003D4241">
      <w:pPr>
        <w:pStyle w:val="SingleTxt"/>
        <w:spacing w:after="0" w:line="120" w:lineRule="exact"/>
        <w:rPr>
          <w:sz w:val="10"/>
        </w:rPr>
      </w:pPr>
    </w:p>
    <w:p w:rsidR="00626016" w:rsidRDefault="00626016"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Contraceptive Prevalence</w:t>
      </w:r>
    </w:p>
    <w:p w:rsidR="003D4241" w:rsidRPr="003D4241" w:rsidRDefault="003D4241" w:rsidP="003D4241">
      <w:pPr>
        <w:pStyle w:val="SingleTxt"/>
        <w:spacing w:after="0" w:line="120" w:lineRule="exact"/>
        <w:rPr>
          <w:sz w:val="10"/>
        </w:rPr>
      </w:pPr>
    </w:p>
    <w:p w:rsidR="00626016" w:rsidRDefault="00626016" w:rsidP="00626016">
      <w:pPr>
        <w:pStyle w:val="SingleTxt"/>
      </w:pPr>
      <w:r>
        <w:t>115.</w:t>
      </w:r>
      <w:r>
        <w:tab/>
        <w:t>There is free access to contraceptives and sexual reproductive health services at Government Clinics throughout the islands of The Bahamas. Presently, there is no way of collecting data on contraceptive usage in the private clinics. However, in the government clinics for the year 2015 the usage is indicated in the following table:</w:t>
      </w:r>
    </w:p>
    <w:p w:rsidR="003D4241" w:rsidRPr="003D4241" w:rsidRDefault="003D4241" w:rsidP="003D4241">
      <w:pPr>
        <w:pStyle w:val="SingleTxt"/>
        <w:spacing w:after="0" w:line="120" w:lineRule="exact"/>
        <w:rPr>
          <w:sz w:val="10"/>
        </w:rPr>
      </w:pPr>
    </w:p>
    <w:p w:rsidR="00626016" w:rsidRPr="00030CA7" w:rsidRDefault="003D4241"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626016" w:rsidRPr="00030CA7">
        <w:rPr>
          <w:b w:val="0"/>
          <w:bCs/>
        </w:rPr>
        <w:t>Table 15</w:t>
      </w:r>
    </w:p>
    <w:p w:rsidR="00626016" w:rsidRDefault="003D4241" w:rsidP="003D4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6016">
        <w:t>Female contraceptive usage: 2012-2015</w:t>
      </w:r>
    </w:p>
    <w:p w:rsidR="003D4241" w:rsidRPr="003D4241" w:rsidRDefault="003D4241" w:rsidP="003D4241">
      <w:pPr>
        <w:pStyle w:val="SingleTxt"/>
        <w:spacing w:after="0" w:line="120" w:lineRule="exact"/>
        <w:rPr>
          <w:sz w:val="10"/>
          <w:lang w:val="en-US"/>
        </w:rPr>
      </w:pPr>
    </w:p>
    <w:tbl>
      <w:tblPr>
        <w:tblW w:w="7244" w:type="dxa"/>
        <w:tblInd w:w="1260" w:type="dxa"/>
        <w:tblLayout w:type="fixed"/>
        <w:tblCellMar>
          <w:left w:w="0" w:type="dxa"/>
          <w:right w:w="0" w:type="dxa"/>
        </w:tblCellMar>
        <w:tblLook w:val="0000" w:firstRow="0" w:lastRow="0" w:firstColumn="0" w:lastColumn="0" w:noHBand="0" w:noVBand="0"/>
      </w:tblPr>
      <w:tblGrid>
        <w:gridCol w:w="2661"/>
        <w:gridCol w:w="1145"/>
        <w:gridCol w:w="1146"/>
        <w:gridCol w:w="1146"/>
        <w:gridCol w:w="1146"/>
      </w:tblGrid>
      <w:tr w:rsidR="00030CA7" w:rsidRPr="00030CA7" w:rsidTr="00030CA7">
        <w:trPr>
          <w:tblHeader/>
        </w:trPr>
        <w:tc>
          <w:tcPr>
            <w:tcW w:w="2661" w:type="dxa"/>
            <w:tcBorders>
              <w:top w:val="single" w:sz="4" w:space="0" w:color="auto"/>
              <w:bottom w:val="single" w:sz="12" w:space="0" w:color="auto"/>
            </w:tcBorders>
            <w:shd w:val="clear" w:color="auto" w:fill="auto"/>
            <w:vAlign w:val="bottom"/>
          </w:tcPr>
          <w:p w:rsidR="00030CA7" w:rsidRPr="00030CA7" w:rsidRDefault="00030CA7" w:rsidP="00030CA7">
            <w:pPr>
              <w:pStyle w:val="SingleTxtG"/>
              <w:spacing w:before="81" w:after="81" w:line="160" w:lineRule="exact"/>
              <w:ind w:left="0" w:right="40"/>
              <w:jc w:val="left"/>
              <w:rPr>
                <w:i/>
                <w:spacing w:val="4"/>
                <w:w w:val="103"/>
                <w:sz w:val="14"/>
              </w:rPr>
            </w:pPr>
            <w:r w:rsidRPr="00030CA7">
              <w:rPr>
                <w:i/>
                <w:spacing w:val="4"/>
                <w:w w:val="103"/>
                <w:sz w:val="14"/>
              </w:rPr>
              <w:t>Contraceptive Type</w:t>
            </w:r>
          </w:p>
        </w:tc>
        <w:tc>
          <w:tcPr>
            <w:tcW w:w="1145" w:type="dxa"/>
            <w:tcBorders>
              <w:top w:val="single" w:sz="4" w:space="0" w:color="auto"/>
              <w:bottom w:val="single" w:sz="12" w:space="0" w:color="auto"/>
            </w:tcBorders>
            <w:shd w:val="clear" w:color="auto" w:fill="auto"/>
            <w:vAlign w:val="bottom"/>
          </w:tcPr>
          <w:p w:rsidR="00030CA7" w:rsidRPr="00030CA7" w:rsidRDefault="00030CA7" w:rsidP="00030CA7">
            <w:pPr>
              <w:pStyle w:val="SingleTxtG"/>
              <w:spacing w:before="81" w:after="81" w:line="160" w:lineRule="exact"/>
              <w:ind w:left="144" w:right="40"/>
              <w:jc w:val="right"/>
              <w:rPr>
                <w:i/>
                <w:spacing w:val="4"/>
                <w:w w:val="103"/>
                <w:sz w:val="14"/>
              </w:rPr>
            </w:pPr>
            <w:r w:rsidRPr="00030CA7">
              <w:rPr>
                <w:i/>
                <w:spacing w:val="4"/>
                <w:w w:val="103"/>
                <w:sz w:val="14"/>
              </w:rPr>
              <w:t>2012</w:t>
            </w:r>
          </w:p>
        </w:tc>
        <w:tc>
          <w:tcPr>
            <w:tcW w:w="1146" w:type="dxa"/>
            <w:tcBorders>
              <w:top w:val="single" w:sz="4" w:space="0" w:color="auto"/>
              <w:bottom w:val="single" w:sz="12" w:space="0" w:color="auto"/>
            </w:tcBorders>
            <w:shd w:val="clear" w:color="auto" w:fill="auto"/>
            <w:vAlign w:val="bottom"/>
          </w:tcPr>
          <w:p w:rsidR="00030CA7" w:rsidRPr="00030CA7" w:rsidRDefault="00030CA7" w:rsidP="00030CA7">
            <w:pPr>
              <w:pStyle w:val="SingleTxtG"/>
              <w:spacing w:before="81" w:after="81" w:line="160" w:lineRule="exact"/>
              <w:ind w:left="144" w:right="40"/>
              <w:jc w:val="right"/>
              <w:rPr>
                <w:i/>
                <w:spacing w:val="4"/>
                <w:w w:val="103"/>
                <w:sz w:val="14"/>
              </w:rPr>
            </w:pPr>
            <w:r w:rsidRPr="00030CA7">
              <w:rPr>
                <w:i/>
                <w:spacing w:val="4"/>
                <w:w w:val="103"/>
                <w:sz w:val="14"/>
              </w:rPr>
              <w:t>2013</w:t>
            </w:r>
          </w:p>
        </w:tc>
        <w:tc>
          <w:tcPr>
            <w:tcW w:w="1146" w:type="dxa"/>
            <w:tcBorders>
              <w:top w:val="single" w:sz="4" w:space="0" w:color="auto"/>
              <w:bottom w:val="single" w:sz="12" w:space="0" w:color="auto"/>
            </w:tcBorders>
            <w:shd w:val="clear" w:color="auto" w:fill="auto"/>
            <w:vAlign w:val="bottom"/>
          </w:tcPr>
          <w:p w:rsidR="00030CA7" w:rsidRPr="00030CA7" w:rsidRDefault="00030CA7" w:rsidP="00030CA7">
            <w:pPr>
              <w:pStyle w:val="SingleTxtG"/>
              <w:spacing w:before="81" w:after="81" w:line="160" w:lineRule="exact"/>
              <w:ind w:left="144" w:right="40"/>
              <w:jc w:val="right"/>
              <w:rPr>
                <w:i/>
                <w:spacing w:val="4"/>
                <w:w w:val="103"/>
                <w:sz w:val="14"/>
              </w:rPr>
            </w:pPr>
            <w:r w:rsidRPr="00030CA7">
              <w:rPr>
                <w:i/>
                <w:spacing w:val="4"/>
                <w:w w:val="103"/>
                <w:sz w:val="14"/>
              </w:rPr>
              <w:t>2014</w:t>
            </w:r>
          </w:p>
        </w:tc>
        <w:tc>
          <w:tcPr>
            <w:tcW w:w="1146" w:type="dxa"/>
            <w:tcBorders>
              <w:top w:val="single" w:sz="4" w:space="0" w:color="auto"/>
              <w:bottom w:val="single" w:sz="12" w:space="0" w:color="auto"/>
            </w:tcBorders>
            <w:shd w:val="clear" w:color="auto" w:fill="auto"/>
            <w:vAlign w:val="bottom"/>
          </w:tcPr>
          <w:p w:rsidR="00030CA7" w:rsidRPr="00030CA7" w:rsidRDefault="00030CA7" w:rsidP="00030CA7">
            <w:pPr>
              <w:pStyle w:val="SingleTxtG"/>
              <w:spacing w:before="81" w:after="81" w:line="160" w:lineRule="exact"/>
              <w:ind w:left="144" w:right="40"/>
              <w:jc w:val="right"/>
              <w:rPr>
                <w:i/>
                <w:spacing w:val="4"/>
                <w:w w:val="103"/>
                <w:sz w:val="14"/>
              </w:rPr>
            </w:pPr>
            <w:r w:rsidRPr="00030CA7">
              <w:rPr>
                <w:i/>
                <w:spacing w:val="4"/>
                <w:w w:val="103"/>
                <w:sz w:val="14"/>
              </w:rPr>
              <w:t>2015</w:t>
            </w:r>
          </w:p>
        </w:tc>
      </w:tr>
      <w:tr w:rsidR="00030CA7" w:rsidRPr="00030CA7" w:rsidTr="00030CA7">
        <w:trPr>
          <w:trHeight w:hRule="exact" w:val="115"/>
          <w:tblHeader/>
        </w:trPr>
        <w:tc>
          <w:tcPr>
            <w:tcW w:w="2661" w:type="dxa"/>
            <w:tcBorders>
              <w:top w:val="single" w:sz="12" w:space="0" w:color="auto"/>
            </w:tcBorders>
            <w:shd w:val="clear" w:color="auto" w:fill="auto"/>
            <w:vAlign w:val="bottom"/>
          </w:tcPr>
          <w:p w:rsidR="00030CA7" w:rsidRPr="00030CA7" w:rsidRDefault="00030CA7" w:rsidP="00030CA7">
            <w:pPr>
              <w:pStyle w:val="SingleTxtG"/>
              <w:spacing w:before="40" w:after="40" w:line="210" w:lineRule="exact"/>
              <w:ind w:left="0" w:right="40"/>
              <w:jc w:val="left"/>
              <w:rPr>
                <w:spacing w:val="4"/>
                <w:w w:val="103"/>
                <w:sz w:val="17"/>
              </w:rPr>
            </w:pPr>
          </w:p>
        </w:tc>
        <w:tc>
          <w:tcPr>
            <w:tcW w:w="1145" w:type="dxa"/>
            <w:tcBorders>
              <w:top w:val="single" w:sz="12" w:space="0" w:color="auto"/>
            </w:tcBorders>
            <w:shd w:val="clear" w:color="auto" w:fill="auto"/>
            <w:vAlign w:val="bottom"/>
          </w:tcPr>
          <w:p w:rsidR="00030CA7" w:rsidRPr="00030CA7" w:rsidRDefault="00030CA7" w:rsidP="00030CA7">
            <w:pPr>
              <w:pStyle w:val="SingleTxtG"/>
              <w:spacing w:before="40" w:after="40" w:line="210" w:lineRule="exact"/>
              <w:ind w:left="144" w:right="40"/>
              <w:jc w:val="right"/>
              <w:rPr>
                <w:spacing w:val="4"/>
                <w:w w:val="103"/>
                <w:sz w:val="17"/>
              </w:rPr>
            </w:pPr>
          </w:p>
        </w:tc>
        <w:tc>
          <w:tcPr>
            <w:tcW w:w="1146" w:type="dxa"/>
            <w:tcBorders>
              <w:top w:val="single" w:sz="12" w:space="0" w:color="auto"/>
            </w:tcBorders>
            <w:shd w:val="clear" w:color="auto" w:fill="auto"/>
            <w:vAlign w:val="bottom"/>
          </w:tcPr>
          <w:p w:rsidR="00030CA7" w:rsidRPr="00030CA7" w:rsidRDefault="00030CA7" w:rsidP="00030CA7">
            <w:pPr>
              <w:pStyle w:val="SingleTxtG"/>
              <w:spacing w:before="40" w:after="40" w:line="210" w:lineRule="exact"/>
              <w:ind w:left="144" w:right="40"/>
              <w:jc w:val="right"/>
              <w:rPr>
                <w:spacing w:val="4"/>
                <w:w w:val="103"/>
                <w:sz w:val="17"/>
              </w:rPr>
            </w:pPr>
          </w:p>
        </w:tc>
        <w:tc>
          <w:tcPr>
            <w:tcW w:w="1146" w:type="dxa"/>
            <w:tcBorders>
              <w:top w:val="single" w:sz="12" w:space="0" w:color="auto"/>
            </w:tcBorders>
            <w:shd w:val="clear" w:color="auto" w:fill="auto"/>
            <w:vAlign w:val="bottom"/>
          </w:tcPr>
          <w:p w:rsidR="00030CA7" w:rsidRPr="00030CA7" w:rsidRDefault="00030CA7" w:rsidP="00030CA7">
            <w:pPr>
              <w:pStyle w:val="SingleTxtG"/>
              <w:spacing w:before="40" w:after="40" w:line="210" w:lineRule="exact"/>
              <w:ind w:left="144" w:right="40"/>
              <w:jc w:val="right"/>
              <w:rPr>
                <w:spacing w:val="4"/>
                <w:w w:val="103"/>
                <w:sz w:val="17"/>
              </w:rPr>
            </w:pPr>
          </w:p>
        </w:tc>
        <w:tc>
          <w:tcPr>
            <w:tcW w:w="1146" w:type="dxa"/>
            <w:tcBorders>
              <w:top w:val="single" w:sz="12" w:space="0" w:color="auto"/>
            </w:tcBorders>
            <w:shd w:val="clear" w:color="auto" w:fill="auto"/>
            <w:vAlign w:val="bottom"/>
          </w:tcPr>
          <w:p w:rsidR="00030CA7" w:rsidRPr="00030CA7" w:rsidRDefault="00030CA7" w:rsidP="00030CA7">
            <w:pPr>
              <w:pStyle w:val="SingleTxtG"/>
              <w:spacing w:before="40" w:after="40" w:line="210" w:lineRule="exact"/>
              <w:ind w:left="144" w:right="40"/>
              <w:jc w:val="right"/>
              <w:rPr>
                <w:spacing w:val="4"/>
                <w:w w:val="103"/>
                <w:sz w:val="17"/>
              </w:rPr>
            </w:pPr>
          </w:p>
        </w:tc>
      </w:tr>
      <w:tr w:rsidR="00030CA7" w:rsidRPr="00030CA7" w:rsidTr="00030CA7">
        <w:tc>
          <w:tcPr>
            <w:tcW w:w="2661"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030CA7">
              <w:rPr>
                <w:spacing w:val="4"/>
                <w:w w:val="103"/>
                <w:sz w:val="17"/>
              </w:rPr>
              <w:t>Depo-Provera</w:t>
            </w:r>
          </w:p>
        </w:tc>
        <w:tc>
          <w:tcPr>
            <w:tcW w:w="1145"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20</w:t>
            </w:r>
            <w:r>
              <w:rPr>
                <w:spacing w:val="4"/>
                <w:w w:val="103"/>
                <w:sz w:val="17"/>
              </w:rPr>
              <w:t xml:space="preserve"> </w:t>
            </w:r>
            <w:r w:rsidRPr="00030CA7">
              <w:rPr>
                <w:spacing w:val="4"/>
                <w:w w:val="103"/>
                <w:sz w:val="17"/>
              </w:rPr>
              <w:t>197</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16</w:t>
            </w:r>
            <w:r>
              <w:rPr>
                <w:spacing w:val="4"/>
                <w:w w:val="103"/>
                <w:sz w:val="17"/>
              </w:rPr>
              <w:t xml:space="preserve"> </w:t>
            </w:r>
            <w:r w:rsidRPr="00030CA7">
              <w:rPr>
                <w:spacing w:val="4"/>
                <w:w w:val="103"/>
                <w:sz w:val="17"/>
              </w:rPr>
              <w:t>623</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18</w:t>
            </w:r>
            <w:r>
              <w:rPr>
                <w:spacing w:val="4"/>
                <w:w w:val="103"/>
                <w:sz w:val="17"/>
              </w:rPr>
              <w:t xml:space="preserve"> </w:t>
            </w:r>
            <w:r w:rsidRPr="00030CA7">
              <w:rPr>
                <w:spacing w:val="4"/>
                <w:w w:val="103"/>
                <w:sz w:val="17"/>
              </w:rPr>
              <w:t>238</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17</w:t>
            </w:r>
            <w:r>
              <w:rPr>
                <w:spacing w:val="4"/>
                <w:w w:val="103"/>
                <w:sz w:val="17"/>
              </w:rPr>
              <w:t xml:space="preserve"> </w:t>
            </w:r>
            <w:r w:rsidRPr="00030CA7">
              <w:rPr>
                <w:spacing w:val="4"/>
                <w:w w:val="103"/>
                <w:sz w:val="17"/>
              </w:rPr>
              <w:t>731</w:t>
            </w:r>
          </w:p>
        </w:tc>
      </w:tr>
      <w:tr w:rsidR="00030CA7" w:rsidRPr="00030CA7" w:rsidTr="00030CA7">
        <w:tc>
          <w:tcPr>
            <w:tcW w:w="2661"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030CA7">
              <w:rPr>
                <w:spacing w:val="4"/>
                <w:w w:val="103"/>
                <w:sz w:val="17"/>
              </w:rPr>
              <w:t xml:space="preserve">Mesigyna </w:t>
            </w:r>
          </w:p>
        </w:tc>
        <w:tc>
          <w:tcPr>
            <w:tcW w:w="1145"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3</w:t>
            </w:r>
            <w:r>
              <w:rPr>
                <w:spacing w:val="4"/>
                <w:w w:val="103"/>
                <w:sz w:val="17"/>
              </w:rPr>
              <w:t xml:space="preserve"> </w:t>
            </w:r>
            <w:r w:rsidRPr="00030CA7">
              <w:rPr>
                <w:spacing w:val="4"/>
                <w:w w:val="103"/>
                <w:sz w:val="17"/>
              </w:rPr>
              <w:t>165</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2</w:t>
            </w:r>
            <w:r>
              <w:rPr>
                <w:spacing w:val="4"/>
                <w:w w:val="103"/>
                <w:sz w:val="17"/>
              </w:rPr>
              <w:t xml:space="preserve"> </w:t>
            </w:r>
            <w:r w:rsidRPr="00030CA7">
              <w:rPr>
                <w:spacing w:val="4"/>
                <w:w w:val="103"/>
                <w:sz w:val="17"/>
              </w:rPr>
              <w:t>973</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2</w:t>
            </w:r>
            <w:r>
              <w:rPr>
                <w:spacing w:val="4"/>
                <w:w w:val="103"/>
                <w:sz w:val="17"/>
              </w:rPr>
              <w:t xml:space="preserve"> </w:t>
            </w:r>
            <w:r w:rsidRPr="00030CA7">
              <w:rPr>
                <w:spacing w:val="4"/>
                <w:w w:val="103"/>
                <w:sz w:val="17"/>
              </w:rPr>
              <w:t>904</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2</w:t>
            </w:r>
            <w:r>
              <w:rPr>
                <w:spacing w:val="4"/>
                <w:w w:val="103"/>
                <w:sz w:val="17"/>
              </w:rPr>
              <w:t xml:space="preserve"> </w:t>
            </w:r>
            <w:r w:rsidRPr="00030CA7">
              <w:rPr>
                <w:spacing w:val="4"/>
                <w:w w:val="103"/>
                <w:sz w:val="17"/>
              </w:rPr>
              <w:t>046</w:t>
            </w:r>
          </w:p>
        </w:tc>
      </w:tr>
      <w:tr w:rsidR="00030CA7" w:rsidRPr="00030CA7" w:rsidTr="00030CA7">
        <w:tc>
          <w:tcPr>
            <w:tcW w:w="2661"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0" w:right="40"/>
              <w:jc w:val="left"/>
              <w:rPr>
                <w:spacing w:val="4"/>
                <w:w w:val="103"/>
                <w:sz w:val="17"/>
              </w:rPr>
            </w:pPr>
            <w:r w:rsidRPr="00030CA7">
              <w:rPr>
                <w:spacing w:val="4"/>
                <w:w w:val="103"/>
                <w:sz w:val="17"/>
              </w:rPr>
              <w:t xml:space="preserve">Noristerat </w:t>
            </w:r>
          </w:p>
        </w:tc>
        <w:tc>
          <w:tcPr>
            <w:tcW w:w="1145"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030CA7">
              <w:rPr>
                <w:spacing w:val="4"/>
                <w:w w:val="103"/>
                <w:sz w:val="17"/>
              </w:rPr>
              <w:t>621</w:t>
            </w:r>
          </w:p>
        </w:tc>
        <w:tc>
          <w:tcPr>
            <w:tcW w:w="1146"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030CA7">
              <w:rPr>
                <w:spacing w:val="4"/>
                <w:w w:val="103"/>
                <w:sz w:val="17"/>
              </w:rPr>
              <w:t>501</w:t>
            </w:r>
          </w:p>
        </w:tc>
        <w:tc>
          <w:tcPr>
            <w:tcW w:w="1146"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030CA7">
              <w:rPr>
                <w:spacing w:val="4"/>
                <w:w w:val="103"/>
                <w:sz w:val="17"/>
              </w:rPr>
              <w:t>592</w:t>
            </w:r>
          </w:p>
        </w:tc>
        <w:tc>
          <w:tcPr>
            <w:tcW w:w="1146"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030CA7">
              <w:rPr>
                <w:spacing w:val="4"/>
                <w:w w:val="103"/>
                <w:sz w:val="17"/>
              </w:rPr>
              <w:t>619</w:t>
            </w:r>
          </w:p>
        </w:tc>
      </w:tr>
      <w:tr w:rsidR="00030CA7" w:rsidRPr="00030CA7" w:rsidTr="00030CA7">
        <w:tc>
          <w:tcPr>
            <w:tcW w:w="2661"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0" w:right="40"/>
              <w:jc w:val="left"/>
              <w:rPr>
                <w:b/>
                <w:spacing w:val="4"/>
                <w:w w:val="103"/>
                <w:sz w:val="17"/>
              </w:rPr>
            </w:pPr>
            <w:r>
              <w:rPr>
                <w:b/>
                <w:spacing w:val="4"/>
                <w:w w:val="103"/>
                <w:sz w:val="17"/>
              </w:rPr>
              <w:tab/>
            </w:r>
            <w:r w:rsidRPr="00030CA7">
              <w:rPr>
                <w:b/>
                <w:spacing w:val="4"/>
                <w:w w:val="103"/>
                <w:sz w:val="17"/>
              </w:rPr>
              <w:t xml:space="preserve">Total Injectables </w:t>
            </w:r>
          </w:p>
        </w:tc>
        <w:tc>
          <w:tcPr>
            <w:tcW w:w="1145"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030CA7">
              <w:rPr>
                <w:b/>
                <w:spacing w:val="4"/>
                <w:w w:val="103"/>
                <w:sz w:val="17"/>
              </w:rPr>
              <w:t>23 983</w:t>
            </w:r>
          </w:p>
        </w:tc>
        <w:tc>
          <w:tcPr>
            <w:tcW w:w="1146"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030CA7">
              <w:rPr>
                <w:b/>
                <w:spacing w:val="4"/>
                <w:w w:val="103"/>
                <w:sz w:val="17"/>
              </w:rPr>
              <w:t>20 097</w:t>
            </w:r>
          </w:p>
        </w:tc>
        <w:tc>
          <w:tcPr>
            <w:tcW w:w="1146"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030CA7">
              <w:rPr>
                <w:b/>
                <w:spacing w:val="4"/>
                <w:w w:val="103"/>
                <w:sz w:val="17"/>
              </w:rPr>
              <w:t>21 734</w:t>
            </w:r>
          </w:p>
        </w:tc>
        <w:tc>
          <w:tcPr>
            <w:tcW w:w="1146"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030CA7">
              <w:rPr>
                <w:b/>
                <w:spacing w:val="4"/>
                <w:w w:val="103"/>
                <w:sz w:val="17"/>
              </w:rPr>
              <w:t>20 396</w:t>
            </w:r>
          </w:p>
        </w:tc>
      </w:tr>
      <w:tr w:rsidR="00030CA7" w:rsidRPr="00030CA7" w:rsidTr="00030CA7">
        <w:tc>
          <w:tcPr>
            <w:tcW w:w="2661" w:type="dxa"/>
            <w:tcBorders>
              <w:top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0" w:right="40"/>
              <w:jc w:val="left"/>
              <w:rPr>
                <w:spacing w:val="4"/>
                <w:w w:val="103"/>
                <w:sz w:val="17"/>
              </w:rPr>
            </w:pPr>
            <w:r w:rsidRPr="00030CA7">
              <w:rPr>
                <w:spacing w:val="4"/>
                <w:w w:val="103"/>
                <w:sz w:val="17"/>
              </w:rPr>
              <w:t>Roselle</w:t>
            </w:r>
          </w:p>
        </w:tc>
        <w:tc>
          <w:tcPr>
            <w:tcW w:w="1145" w:type="dxa"/>
            <w:tcBorders>
              <w:top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144" w:right="40"/>
              <w:jc w:val="right"/>
              <w:rPr>
                <w:spacing w:val="4"/>
                <w:w w:val="103"/>
                <w:sz w:val="17"/>
              </w:rPr>
            </w:pPr>
            <w:r w:rsidRPr="00030CA7">
              <w:rPr>
                <w:spacing w:val="4"/>
                <w:w w:val="103"/>
                <w:sz w:val="17"/>
              </w:rPr>
              <w:t>1</w:t>
            </w:r>
            <w:r>
              <w:rPr>
                <w:spacing w:val="4"/>
                <w:w w:val="103"/>
                <w:sz w:val="17"/>
              </w:rPr>
              <w:t xml:space="preserve"> </w:t>
            </w:r>
            <w:r w:rsidRPr="00030CA7">
              <w:rPr>
                <w:spacing w:val="4"/>
                <w:w w:val="103"/>
                <w:sz w:val="17"/>
              </w:rPr>
              <w:t>196</w:t>
            </w:r>
          </w:p>
        </w:tc>
        <w:tc>
          <w:tcPr>
            <w:tcW w:w="1146" w:type="dxa"/>
            <w:tcBorders>
              <w:top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144" w:right="40"/>
              <w:jc w:val="right"/>
              <w:rPr>
                <w:spacing w:val="4"/>
                <w:w w:val="103"/>
                <w:sz w:val="17"/>
              </w:rPr>
            </w:pPr>
            <w:r w:rsidRPr="00030CA7">
              <w:rPr>
                <w:spacing w:val="4"/>
                <w:w w:val="103"/>
                <w:sz w:val="17"/>
              </w:rPr>
              <w:t>1</w:t>
            </w:r>
            <w:r>
              <w:rPr>
                <w:spacing w:val="4"/>
                <w:w w:val="103"/>
                <w:sz w:val="17"/>
              </w:rPr>
              <w:t xml:space="preserve"> </w:t>
            </w:r>
            <w:r w:rsidRPr="00030CA7">
              <w:rPr>
                <w:spacing w:val="4"/>
                <w:w w:val="103"/>
                <w:sz w:val="17"/>
              </w:rPr>
              <w:t>192</w:t>
            </w:r>
          </w:p>
        </w:tc>
        <w:tc>
          <w:tcPr>
            <w:tcW w:w="1146" w:type="dxa"/>
            <w:tcBorders>
              <w:top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144" w:right="40"/>
              <w:jc w:val="right"/>
              <w:rPr>
                <w:spacing w:val="4"/>
                <w:w w:val="103"/>
                <w:sz w:val="17"/>
              </w:rPr>
            </w:pPr>
            <w:r>
              <w:rPr>
                <w:spacing w:val="4"/>
                <w:w w:val="103"/>
                <w:sz w:val="17"/>
              </w:rPr>
              <w:t>–</w:t>
            </w:r>
          </w:p>
        </w:tc>
        <w:tc>
          <w:tcPr>
            <w:tcW w:w="1146" w:type="dxa"/>
            <w:tcBorders>
              <w:top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144" w:right="40"/>
              <w:jc w:val="right"/>
              <w:rPr>
                <w:spacing w:val="4"/>
                <w:w w:val="103"/>
                <w:sz w:val="17"/>
              </w:rPr>
            </w:pPr>
            <w:r>
              <w:rPr>
                <w:spacing w:val="4"/>
                <w:w w:val="103"/>
                <w:sz w:val="17"/>
              </w:rPr>
              <w:t>–</w:t>
            </w:r>
          </w:p>
        </w:tc>
      </w:tr>
      <w:tr w:rsidR="00030CA7" w:rsidRPr="00030CA7" w:rsidTr="00030CA7">
        <w:tc>
          <w:tcPr>
            <w:tcW w:w="2661"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030CA7">
              <w:rPr>
                <w:spacing w:val="4"/>
                <w:w w:val="103"/>
                <w:sz w:val="17"/>
              </w:rPr>
              <w:t>Microgynon</w:t>
            </w:r>
          </w:p>
        </w:tc>
        <w:tc>
          <w:tcPr>
            <w:tcW w:w="1145"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5</w:t>
            </w:r>
            <w:r>
              <w:rPr>
                <w:spacing w:val="4"/>
                <w:w w:val="103"/>
                <w:sz w:val="17"/>
              </w:rPr>
              <w:t xml:space="preserve"> </w:t>
            </w:r>
            <w:r w:rsidRPr="00030CA7">
              <w:rPr>
                <w:spacing w:val="4"/>
                <w:w w:val="103"/>
                <w:sz w:val="17"/>
              </w:rPr>
              <w:t>454</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4</w:t>
            </w:r>
            <w:r>
              <w:rPr>
                <w:spacing w:val="4"/>
                <w:w w:val="103"/>
                <w:sz w:val="17"/>
              </w:rPr>
              <w:t xml:space="preserve"> </w:t>
            </w:r>
            <w:r w:rsidRPr="00030CA7">
              <w:rPr>
                <w:spacing w:val="4"/>
                <w:w w:val="103"/>
                <w:sz w:val="17"/>
              </w:rPr>
              <w:t>391</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8</w:t>
            </w:r>
            <w:r>
              <w:rPr>
                <w:spacing w:val="4"/>
                <w:w w:val="103"/>
                <w:sz w:val="17"/>
              </w:rPr>
              <w:t xml:space="preserve"> </w:t>
            </w:r>
            <w:r w:rsidRPr="00030CA7">
              <w:rPr>
                <w:spacing w:val="4"/>
                <w:w w:val="103"/>
                <w:sz w:val="17"/>
              </w:rPr>
              <w:t>003</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8</w:t>
            </w:r>
            <w:r>
              <w:rPr>
                <w:spacing w:val="4"/>
                <w:w w:val="103"/>
                <w:sz w:val="17"/>
              </w:rPr>
              <w:t xml:space="preserve"> </w:t>
            </w:r>
            <w:r w:rsidRPr="00030CA7">
              <w:rPr>
                <w:spacing w:val="4"/>
                <w:w w:val="103"/>
                <w:sz w:val="17"/>
              </w:rPr>
              <w:t>882</w:t>
            </w:r>
          </w:p>
        </w:tc>
      </w:tr>
      <w:tr w:rsidR="00030CA7" w:rsidRPr="00030CA7" w:rsidTr="00030CA7">
        <w:tc>
          <w:tcPr>
            <w:tcW w:w="2661"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0" w:right="40"/>
              <w:jc w:val="left"/>
              <w:rPr>
                <w:spacing w:val="4"/>
                <w:w w:val="103"/>
                <w:sz w:val="17"/>
              </w:rPr>
            </w:pPr>
            <w:r w:rsidRPr="00030CA7">
              <w:rPr>
                <w:spacing w:val="4"/>
                <w:w w:val="103"/>
                <w:sz w:val="17"/>
              </w:rPr>
              <w:t xml:space="preserve">Gynera </w:t>
            </w:r>
          </w:p>
        </w:tc>
        <w:tc>
          <w:tcPr>
            <w:tcW w:w="1145"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4</w:t>
            </w:r>
            <w:r>
              <w:rPr>
                <w:spacing w:val="4"/>
                <w:w w:val="103"/>
                <w:sz w:val="17"/>
              </w:rPr>
              <w:t xml:space="preserve"> </w:t>
            </w:r>
            <w:r w:rsidRPr="00030CA7">
              <w:rPr>
                <w:spacing w:val="4"/>
                <w:w w:val="103"/>
                <w:sz w:val="17"/>
              </w:rPr>
              <w:t>529</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4</w:t>
            </w:r>
            <w:r>
              <w:rPr>
                <w:spacing w:val="4"/>
                <w:w w:val="103"/>
                <w:sz w:val="17"/>
              </w:rPr>
              <w:t xml:space="preserve"> </w:t>
            </w:r>
            <w:r w:rsidRPr="00030CA7">
              <w:rPr>
                <w:spacing w:val="4"/>
                <w:w w:val="103"/>
                <w:sz w:val="17"/>
              </w:rPr>
              <w:t>083</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1</w:t>
            </w:r>
            <w:r>
              <w:rPr>
                <w:spacing w:val="4"/>
                <w:w w:val="103"/>
                <w:sz w:val="17"/>
              </w:rPr>
              <w:t xml:space="preserve"> </w:t>
            </w:r>
            <w:r w:rsidRPr="00030CA7">
              <w:rPr>
                <w:spacing w:val="4"/>
                <w:w w:val="103"/>
                <w:sz w:val="17"/>
              </w:rPr>
              <w:t>944</w:t>
            </w:r>
          </w:p>
        </w:tc>
        <w:tc>
          <w:tcPr>
            <w:tcW w:w="1146" w:type="dxa"/>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40" w:line="210" w:lineRule="exact"/>
              <w:ind w:left="144" w:right="40"/>
              <w:jc w:val="right"/>
              <w:rPr>
                <w:spacing w:val="4"/>
                <w:w w:val="103"/>
                <w:sz w:val="17"/>
              </w:rPr>
            </w:pPr>
            <w:r w:rsidRPr="00030CA7">
              <w:rPr>
                <w:spacing w:val="4"/>
                <w:w w:val="103"/>
                <w:sz w:val="17"/>
              </w:rPr>
              <w:t>72</w:t>
            </w:r>
          </w:p>
        </w:tc>
      </w:tr>
      <w:tr w:rsidR="00030CA7" w:rsidRPr="00030CA7" w:rsidTr="00030CA7">
        <w:tc>
          <w:tcPr>
            <w:tcW w:w="2661"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0" w:right="40"/>
              <w:jc w:val="left"/>
              <w:rPr>
                <w:spacing w:val="4"/>
                <w:w w:val="103"/>
                <w:sz w:val="17"/>
              </w:rPr>
            </w:pPr>
            <w:r w:rsidRPr="00030CA7">
              <w:rPr>
                <w:spacing w:val="4"/>
                <w:w w:val="103"/>
                <w:sz w:val="17"/>
              </w:rPr>
              <w:t>Femianne</w:t>
            </w:r>
          </w:p>
        </w:tc>
        <w:tc>
          <w:tcPr>
            <w:tcW w:w="1145"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030CA7">
              <w:rPr>
                <w:spacing w:val="4"/>
                <w:w w:val="103"/>
                <w:sz w:val="17"/>
              </w:rPr>
              <w:t>806</w:t>
            </w:r>
          </w:p>
        </w:tc>
        <w:tc>
          <w:tcPr>
            <w:tcW w:w="1146"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030CA7">
              <w:rPr>
                <w:spacing w:val="4"/>
                <w:w w:val="103"/>
                <w:sz w:val="17"/>
              </w:rPr>
              <w:t>588</w:t>
            </w:r>
          </w:p>
        </w:tc>
        <w:tc>
          <w:tcPr>
            <w:tcW w:w="1146"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030CA7">
              <w:rPr>
                <w:spacing w:val="4"/>
                <w:w w:val="103"/>
                <w:sz w:val="17"/>
              </w:rPr>
              <w:t>861</w:t>
            </w:r>
          </w:p>
        </w:tc>
        <w:tc>
          <w:tcPr>
            <w:tcW w:w="1146" w:type="dxa"/>
            <w:tcBorders>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40" w:after="81" w:line="210" w:lineRule="exact"/>
              <w:ind w:left="144" w:right="40"/>
              <w:jc w:val="right"/>
              <w:rPr>
                <w:spacing w:val="4"/>
                <w:w w:val="103"/>
                <w:sz w:val="17"/>
              </w:rPr>
            </w:pPr>
            <w:r w:rsidRPr="00030CA7">
              <w:rPr>
                <w:spacing w:val="4"/>
                <w:w w:val="103"/>
                <w:sz w:val="17"/>
              </w:rPr>
              <w:t>176</w:t>
            </w:r>
          </w:p>
        </w:tc>
      </w:tr>
      <w:tr w:rsidR="00030CA7" w:rsidRPr="00030CA7" w:rsidTr="00030CA7">
        <w:tc>
          <w:tcPr>
            <w:tcW w:w="2661"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0" w:right="40"/>
              <w:jc w:val="left"/>
              <w:rPr>
                <w:b/>
                <w:spacing w:val="4"/>
                <w:w w:val="103"/>
                <w:sz w:val="17"/>
              </w:rPr>
            </w:pPr>
            <w:r>
              <w:rPr>
                <w:b/>
                <w:spacing w:val="4"/>
                <w:w w:val="103"/>
                <w:sz w:val="17"/>
              </w:rPr>
              <w:tab/>
            </w:r>
            <w:r w:rsidRPr="00030CA7">
              <w:rPr>
                <w:b/>
                <w:spacing w:val="4"/>
                <w:w w:val="103"/>
                <w:sz w:val="17"/>
              </w:rPr>
              <w:t xml:space="preserve">Total Orals </w:t>
            </w:r>
          </w:p>
        </w:tc>
        <w:tc>
          <w:tcPr>
            <w:tcW w:w="1145"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030CA7">
              <w:rPr>
                <w:b/>
                <w:spacing w:val="4"/>
                <w:w w:val="103"/>
                <w:sz w:val="17"/>
              </w:rPr>
              <w:t>11 985</w:t>
            </w:r>
          </w:p>
        </w:tc>
        <w:tc>
          <w:tcPr>
            <w:tcW w:w="1146"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030CA7">
              <w:rPr>
                <w:b/>
                <w:spacing w:val="4"/>
                <w:w w:val="103"/>
                <w:sz w:val="17"/>
              </w:rPr>
              <w:t>10 254</w:t>
            </w:r>
          </w:p>
        </w:tc>
        <w:tc>
          <w:tcPr>
            <w:tcW w:w="1146"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030CA7">
              <w:rPr>
                <w:b/>
                <w:spacing w:val="4"/>
                <w:w w:val="103"/>
                <w:sz w:val="17"/>
              </w:rPr>
              <w:t>10 808</w:t>
            </w:r>
          </w:p>
        </w:tc>
        <w:tc>
          <w:tcPr>
            <w:tcW w:w="1146" w:type="dxa"/>
            <w:tcBorders>
              <w:top w:val="single" w:sz="4" w:space="0" w:color="auto"/>
              <w:bottom w:val="single" w:sz="4"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81" w:line="210" w:lineRule="exact"/>
              <w:ind w:left="144" w:right="40"/>
              <w:jc w:val="right"/>
              <w:rPr>
                <w:b/>
                <w:spacing w:val="4"/>
                <w:w w:val="103"/>
                <w:sz w:val="17"/>
              </w:rPr>
            </w:pPr>
            <w:r w:rsidRPr="00030CA7">
              <w:rPr>
                <w:b/>
                <w:spacing w:val="4"/>
                <w:w w:val="103"/>
                <w:sz w:val="17"/>
              </w:rPr>
              <w:t>–</w:t>
            </w:r>
          </w:p>
        </w:tc>
      </w:tr>
      <w:tr w:rsidR="00030CA7" w:rsidRPr="00030CA7" w:rsidTr="00030CA7">
        <w:tc>
          <w:tcPr>
            <w:tcW w:w="2661" w:type="dxa"/>
            <w:tcBorders>
              <w:top w:val="single" w:sz="4" w:space="0" w:color="auto"/>
              <w:bottom w:val="single" w:sz="12"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0" w:right="40"/>
              <w:jc w:val="left"/>
              <w:rPr>
                <w:spacing w:val="4"/>
                <w:w w:val="103"/>
                <w:sz w:val="17"/>
              </w:rPr>
            </w:pPr>
            <w:r w:rsidRPr="00030CA7">
              <w:rPr>
                <w:spacing w:val="4"/>
                <w:w w:val="103"/>
                <w:sz w:val="17"/>
              </w:rPr>
              <w:t>Jadelle</w:t>
            </w:r>
          </w:p>
        </w:tc>
        <w:tc>
          <w:tcPr>
            <w:tcW w:w="1145" w:type="dxa"/>
            <w:tcBorders>
              <w:top w:val="single" w:sz="4" w:space="0" w:color="auto"/>
              <w:bottom w:val="single" w:sz="12"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144" w:right="40"/>
              <w:jc w:val="right"/>
              <w:rPr>
                <w:spacing w:val="4"/>
                <w:w w:val="103"/>
                <w:sz w:val="17"/>
              </w:rPr>
            </w:pPr>
            <w:r>
              <w:rPr>
                <w:spacing w:val="4"/>
                <w:w w:val="103"/>
                <w:sz w:val="17"/>
              </w:rPr>
              <w:t>–</w:t>
            </w:r>
          </w:p>
        </w:tc>
        <w:tc>
          <w:tcPr>
            <w:tcW w:w="1146" w:type="dxa"/>
            <w:tcBorders>
              <w:top w:val="single" w:sz="4" w:space="0" w:color="auto"/>
              <w:bottom w:val="single" w:sz="12"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144" w:right="40"/>
              <w:jc w:val="right"/>
              <w:rPr>
                <w:spacing w:val="4"/>
                <w:w w:val="103"/>
                <w:sz w:val="17"/>
              </w:rPr>
            </w:pPr>
            <w:r>
              <w:rPr>
                <w:spacing w:val="4"/>
                <w:w w:val="103"/>
                <w:sz w:val="17"/>
              </w:rPr>
              <w:t>–</w:t>
            </w:r>
          </w:p>
        </w:tc>
        <w:tc>
          <w:tcPr>
            <w:tcW w:w="1146" w:type="dxa"/>
            <w:tcBorders>
              <w:top w:val="single" w:sz="4" w:space="0" w:color="auto"/>
              <w:bottom w:val="single" w:sz="12"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144" w:right="40"/>
              <w:jc w:val="right"/>
              <w:rPr>
                <w:spacing w:val="4"/>
                <w:w w:val="103"/>
                <w:sz w:val="17"/>
              </w:rPr>
            </w:pPr>
            <w:r w:rsidRPr="00030CA7">
              <w:rPr>
                <w:spacing w:val="4"/>
                <w:w w:val="103"/>
                <w:sz w:val="17"/>
              </w:rPr>
              <w:t>118</w:t>
            </w:r>
          </w:p>
        </w:tc>
        <w:tc>
          <w:tcPr>
            <w:tcW w:w="1146" w:type="dxa"/>
            <w:tcBorders>
              <w:top w:val="single" w:sz="4" w:space="0" w:color="auto"/>
              <w:bottom w:val="single" w:sz="12" w:space="0" w:color="auto"/>
            </w:tcBorders>
            <w:shd w:val="clear" w:color="auto" w:fill="auto"/>
            <w:vAlign w:val="bottom"/>
          </w:tcPr>
          <w:p w:rsidR="00030CA7" w:rsidRPr="00030CA7" w:rsidRDefault="00030CA7" w:rsidP="00030CA7">
            <w:pPr>
              <w:pStyle w:val="SingleTxtG"/>
              <w:tabs>
                <w:tab w:val="left" w:pos="288"/>
                <w:tab w:val="left" w:pos="576"/>
                <w:tab w:val="left" w:pos="864"/>
                <w:tab w:val="left" w:pos="1152"/>
              </w:tabs>
              <w:spacing w:before="81" w:after="40" w:line="210" w:lineRule="exact"/>
              <w:ind w:left="144" w:right="40"/>
              <w:jc w:val="right"/>
              <w:rPr>
                <w:spacing w:val="4"/>
                <w:w w:val="103"/>
                <w:sz w:val="17"/>
              </w:rPr>
            </w:pPr>
            <w:r w:rsidRPr="00030CA7">
              <w:rPr>
                <w:spacing w:val="4"/>
                <w:w w:val="103"/>
                <w:sz w:val="17"/>
              </w:rPr>
              <w:t>108</w:t>
            </w:r>
          </w:p>
        </w:tc>
      </w:tr>
    </w:tbl>
    <w:p w:rsidR="003D4241" w:rsidRPr="00030CA7" w:rsidRDefault="003D4241" w:rsidP="00030CA7">
      <w:pPr>
        <w:pStyle w:val="SingleTxt"/>
        <w:spacing w:after="0" w:line="120" w:lineRule="exact"/>
        <w:rPr>
          <w:sz w:val="10"/>
          <w:lang w:val="en-US"/>
        </w:rPr>
      </w:pPr>
    </w:p>
    <w:p w:rsidR="00626016" w:rsidRDefault="00626016" w:rsidP="00030CA7">
      <w:pPr>
        <w:pStyle w:val="FootnoteText"/>
        <w:tabs>
          <w:tab w:val="clear" w:pos="418"/>
          <w:tab w:val="right" w:pos="1476"/>
          <w:tab w:val="left" w:pos="1548"/>
          <w:tab w:val="right" w:pos="1836"/>
          <w:tab w:val="left" w:pos="1908"/>
        </w:tabs>
        <w:ind w:left="1548" w:right="1267" w:hanging="288"/>
      </w:pPr>
      <w:r w:rsidRPr="00030CA7">
        <w:rPr>
          <w:i/>
          <w:iCs/>
        </w:rPr>
        <w:t>Source</w:t>
      </w:r>
      <w:r>
        <w:t xml:space="preserve">: </w:t>
      </w:r>
      <w:r w:rsidRPr="00030CA7">
        <w:rPr>
          <w:i/>
          <w:iCs/>
        </w:rPr>
        <w:t>Ministry of Health</w:t>
      </w:r>
      <w:r w:rsidR="00030CA7">
        <w:t>.</w:t>
      </w:r>
    </w:p>
    <w:p w:rsidR="00030CA7" w:rsidRPr="00030CA7" w:rsidRDefault="00030CA7" w:rsidP="00030CA7">
      <w:pPr>
        <w:pStyle w:val="FootnoteText"/>
        <w:tabs>
          <w:tab w:val="clear" w:pos="418"/>
          <w:tab w:val="right" w:pos="1476"/>
          <w:tab w:val="left" w:pos="1548"/>
          <w:tab w:val="right" w:pos="1836"/>
          <w:tab w:val="left" w:pos="1908"/>
        </w:tabs>
        <w:spacing w:line="120" w:lineRule="exact"/>
        <w:ind w:left="1548" w:right="1267" w:hanging="288"/>
        <w:rPr>
          <w:sz w:val="10"/>
        </w:rPr>
      </w:pPr>
    </w:p>
    <w:p w:rsidR="00030CA7" w:rsidRPr="00030CA7" w:rsidRDefault="00030CA7" w:rsidP="00030CA7">
      <w:pPr>
        <w:pStyle w:val="FootnoteText"/>
        <w:tabs>
          <w:tab w:val="clear" w:pos="418"/>
          <w:tab w:val="right" w:pos="1476"/>
          <w:tab w:val="left" w:pos="1548"/>
          <w:tab w:val="right" w:pos="1836"/>
          <w:tab w:val="left" w:pos="1908"/>
        </w:tabs>
        <w:spacing w:line="120" w:lineRule="exact"/>
        <w:ind w:left="1548" w:right="1267" w:hanging="288"/>
        <w:rPr>
          <w:sz w:val="10"/>
        </w:rPr>
      </w:pPr>
    </w:p>
    <w:p w:rsidR="00626016" w:rsidRDefault="00626016" w:rsidP="00626016">
      <w:pPr>
        <w:pStyle w:val="SingleTxt"/>
      </w:pPr>
      <w:r>
        <w:t>116.</w:t>
      </w:r>
      <w:r>
        <w:tab/>
        <w:t xml:space="preserve">Additional information regarding reproductive health services, perinatal services, the lactation management programme, adolescent health services, rape </w:t>
      </w:r>
      <w:r>
        <w:lastRenderedPageBreak/>
        <w:t>services, abortion, adolescent health services, and traditional health workers remains unchanged since the previous report.</w:t>
      </w:r>
    </w:p>
    <w:p w:rsidR="00030CA7" w:rsidRPr="00030CA7" w:rsidRDefault="00030CA7" w:rsidP="00030CA7">
      <w:pPr>
        <w:pStyle w:val="SingleTxt"/>
        <w:spacing w:after="0" w:line="120" w:lineRule="exact"/>
        <w:rPr>
          <w:sz w:val="10"/>
        </w:rPr>
      </w:pPr>
    </w:p>
    <w:p w:rsidR="00626016" w:rsidRDefault="00626016" w:rsidP="00030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Workers in the Health Sector</w:t>
      </w:r>
    </w:p>
    <w:p w:rsidR="00030CA7" w:rsidRPr="00030CA7" w:rsidRDefault="00030CA7" w:rsidP="00030CA7">
      <w:pPr>
        <w:pStyle w:val="SingleTxt"/>
        <w:spacing w:after="0" w:line="120" w:lineRule="exact"/>
        <w:rPr>
          <w:sz w:val="10"/>
          <w:lang w:val="en-US"/>
        </w:rPr>
      </w:pPr>
    </w:p>
    <w:p w:rsidR="00626016" w:rsidRDefault="00626016" w:rsidP="0098076C">
      <w:pPr>
        <w:pStyle w:val="SingleTxt"/>
      </w:pPr>
      <w:r>
        <w:t>117.</w:t>
      </w:r>
      <w:r>
        <w:tab/>
        <w:t>In public institutions in 2015 there were 2,361 females in various positions in the health sector. This number reflected the vast majority of persons employed. Women represented the majority in all disciplines</w:t>
      </w:r>
      <w:r w:rsidR="0098076C">
        <w:t xml:space="preserve"> — </w:t>
      </w:r>
      <w:r>
        <w:t xml:space="preserve">physicians, nursing and allied health. </w:t>
      </w:r>
    </w:p>
    <w:p w:rsidR="00030CA7" w:rsidRPr="00030CA7" w:rsidRDefault="00030CA7" w:rsidP="00030CA7">
      <w:pPr>
        <w:pStyle w:val="SingleTxt"/>
        <w:spacing w:after="0" w:line="120" w:lineRule="exact"/>
        <w:rPr>
          <w:sz w:val="10"/>
        </w:rPr>
      </w:pPr>
    </w:p>
    <w:p w:rsidR="00626016" w:rsidRDefault="00626016" w:rsidP="00030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HIV/AIDS and Sexually Transmitted Diseases </w:t>
      </w:r>
    </w:p>
    <w:p w:rsidR="00030CA7" w:rsidRPr="00030CA7" w:rsidRDefault="00030CA7" w:rsidP="00030CA7">
      <w:pPr>
        <w:pStyle w:val="SingleTxt"/>
        <w:spacing w:after="0" w:line="120" w:lineRule="exact"/>
        <w:rPr>
          <w:sz w:val="10"/>
          <w:lang w:val="en-US"/>
        </w:rPr>
      </w:pPr>
    </w:p>
    <w:p w:rsidR="00626016" w:rsidRDefault="00626016" w:rsidP="00626016">
      <w:pPr>
        <w:pStyle w:val="SingleTxt"/>
      </w:pPr>
      <w:r>
        <w:t>118.</w:t>
      </w:r>
      <w:r>
        <w:tab/>
        <w:t xml:space="preserve">There was a total of 328 newly diagnosed HIV cases in The Bahamas as of 2013 with 169 (52%) being male and 159 (48%) being female. In the year 2012, there were a total of 293 persons newly diagnosed with HIV which represented a 34% decrease from the 447 cases diagnosed in 2003. Of the total persons newly diagnosed, females slightly outnumbered males (51% vs. 49%). As previously reported, there are several pieces of legislation that pertain to this issue including the Employment Act Chapter 321(A) Section 6, the Health Service Act, the Venereal Diseases Act and Chapter 99 Section 8 Part 2 &amp; Section 16 of the Sexual Offences Act, which was amended in 2011. </w:t>
      </w:r>
    </w:p>
    <w:p w:rsidR="00626016" w:rsidRDefault="00626016" w:rsidP="0098076C">
      <w:pPr>
        <w:pStyle w:val="SingleTxt"/>
      </w:pPr>
      <w:r>
        <w:t>119.</w:t>
      </w:r>
      <w:r>
        <w:tab/>
        <w:t xml:space="preserve">Regarding HIV and AIDS, we have two HIV clinics at the Princess Margaret Hospital </w:t>
      </w:r>
      <w:r w:rsidR="0098076C">
        <w:t xml:space="preserve">— </w:t>
      </w:r>
      <w:r>
        <w:t>the Adult HIV Clinic and the Women and Children HIV Clinic. Women and girls are assisted through both. As part of a comprehensive system for treatment these clinics provide care and support, by conducting assessments and referrals for gender-based violence. The Centre also provides consistent training for their staff and requires all staff to sign an Anti-Discrimination Policy which is renewed annually. As a part of its programming, the Centre reaches out to key populations inclusive of commercial sex workers, persons with Disabilities, the men who have sex with men (MSM) community, the LGBT and other communities. During the reporting period, the Centre has conducted approximately 40 outreaches per year; the average number of people reached annually is approximately six thousand persons.</w:t>
      </w:r>
    </w:p>
    <w:p w:rsidR="00030CA7" w:rsidRPr="00030CA7" w:rsidRDefault="00030CA7" w:rsidP="00030CA7">
      <w:pPr>
        <w:pStyle w:val="SingleTxt"/>
        <w:spacing w:after="0" w:line="120" w:lineRule="exact"/>
        <w:rPr>
          <w:sz w:val="10"/>
        </w:rPr>
      </w:pPr>
    </w:p>
    <w:p w:rsidR="00626016" w:rsidRDefault="00626016" w:rsidP="00030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Sexual Reproductive Health and Rights</w:t>
      </w:r>
    </w:p>
    <w:p w:rsidR="00030CA7" w:rsidRPr="00030CA7" w:rsidRDefault="00030CA7" w:rsidP="00030CA7">
      <w:pPr>
        <w:pStyle w:val="SingleTxt"/>
        <w:spacing w:after="0" w:line="120" w:lineRule="exact"/>
        <w:rPr>
          <w:sz w:val="10"/>
        </w:rPr>
      </w:pPr>
    </w:p>
    <w:p w:rsidR="00626016" w:rsidRDefault="00626016" w:rsidP="00626016">
      <w:pPr>
        <w:pStyle w:val="SingleTxt"/>
      </w:pPr>
      <w:r>
        <w:t>120.</w:t>
      </w:r>
      <w:r>
        <w:tab/>
        <w:t>Regarding the promotion of awareness of sexual reproductive health and rights, The Bahamas Sexual Rights and Reproductive Health Association (BASHRA) and The National AIDS Centre’s Prevention Unit regularly conduct community outreach. Related programmes are conducted by the Ministry of Education and the Ministry of Health including, for example, Focus on Youth Programme (school based), peer counselling and education services. Age appropriate education has been incorporated into the syllabus for schools. Presently, the Health Education Unit is designing a programme for high school students with a view to raising awareness around teen pregnancy, STDs, HIV, and AIDS prevention. The Ministry of Health continues its efforts to raise awareness about sexual reproductive health for school-aged children including as a part of the Family Life &amp; Health Education curriculum.</w:t>
      </w:r>
    </w:p>
    <w:p w:rsidR="00030CA7" w:rsidRPr="00030CA7" w:rsidRDefault="00030CA7" w:rsidP="00030CA7">
      <w:pPr>
        <w:pStyle w:val="SingleTxt"/>
        <w:spacing w:after="0" w:line="120" w:lineRule="exact"/>
        <w:rPr>
          <w:sz w:val="10"/>
        </w:rPr>
      </w:pPr>
    </w:p>
    <w:p w:rsidR="00626016" w:rsidRDefault="00626016" w:rsidP="00030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Breast Cancer Awareness</w:t>
      </w:r>
    </w:p>
    <w:p w:rsidR="00030CA7" w:rsidRPr="00030CA7" w:rsidRDefault="00030CA7" w:rsidP="00030CA7">
      <w:pPr>
        <w:pStyle w:val="SingleTxt"/>
        <w:spacing w:after="0" w:line="120" w:lineRule="exact"/>
        <w:rPr>
          <w:sz w:val="10"/>
        </w:rPr>
      </w:pPr>
    </w:p>
    <w:p w:rsidR="00626016" w:rsidRDefault="00626016" w:rsidP="00626016">
      <w:pPr>
        <w:pStyle w:val="SingleTxt"/>
      </w:pPr>
      <w:r>
        <w:t>121.</w:t>
      </w:r>
      <w:r>
        <w:tab/>
        <w:t xml:space="preserve">Regarding breast cancer awareness, the Cancer Society of The Bahamas collaborates with various organizations. Additionally, the Sister-Sister Support Group increases awareness throughout the country utilizing churches, community organizations and </w:t>
      </w:r>
      <w:r w:rsidRPr="00030CA7">
        <w:rPr>
          <w:i/>
          <w:iCs/>
        </w:rPr>
        <w:t>Education Lunch &amp; Learn</w:t>
      </w:r>
      <w:r>
        <w:t xml:space="preserve">. Women’s organizations are also targeted and information shared which increases awareness among their members. </w:t>
      </w:r>
      <w:r>
        <w:lastRenderedPageBreak/>
        <w:t xml:space="preserve">The Bahamas Breast Cancer Initiative Foundation which provides genetic testing and counselling for relatives of persons with the BRCA gene. The Ride for Hope Initiative sponsors full time educators to increase awareness of breast cancer. Efforts are also made in partnership with the Susan G. Komen Foundation. </w:t>
      </w:r>
    </w:p>
    <w:p w:rsidR="00626016" w:rsidRDefault="00626016" w:rsidP="00626016">
      <w:pPr>
        <w:pStyle w:val="SingleTxt"/>
      </w:pPr>
      <w:r>
        <w:t>122.</w:t>
      </w:r>
      <w:r>
        <w:tab/>
        <w:t xml:space="preserve">Regarding access to health care services, the Ministry of Health provides screening for HIV, Hepatitis B, and PAP smears. Through the Ministry of Health, the cost of mammograms in the public health care system has been reduced. </w:t>
      </w:r>
    </w:p>
    <w:p w:rsidR="00B6381E" w:rsidRPr="00B6381E" w:rsidRDefault="00B6381E" w:rsidP="00B6381E">
      <w:pPr>
        <w:pStyle w:val="SingleTxt"/>
        <w:spacing w:after="0" w:line="120" w:lineRule="exact"/>
        <w:rPr>
          <w:sz w:val="10"/>
        </w:rPr>
      </w:pPr>
    </w:p>
    <w:p w:rsidR="00626016" w:rsidRDefault="00626016" w:rsidP="00B63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Prescription Drug Plan</w:t>
      </w:r>
    </w:p>
    <w:p w:rsidR="00B6381E" w:rsidRPr="00B6381E" w:rsidRDefault="00B6381E" w:rsidP="00B6381E">
      <w:pPr>
        <w:pStyle w:val="SingleTxt"/>
        <w:spacing w:after="0" w:line="120" w:lineRule="exact"/>
        <w:rPr>
          <w:sz w:val="10"/>
        </w:rPr>
      </w:pPr>
    </w:p>
    <w:p w:rsidR="00626016" w:rsidRDefault="00626016" w:rsidP="00626016">
      <w:pPr>
        <w:pStyle w:val="SingleTxt"/>
      </w:pPr>
      <w:r>
        <w:t>123.</w:t>
      </w:r>
      <w:r>
        <w:tab/>
        <w:t xml:space="preserve">The National Prescription Drug Plan (NPDP) was introduced in 2010 with 6,500 beneficiaries. By 2014, that number has more than quadrupled to 26,631 beneficiaries. There are 55 private pharmacies and 71 public pharmacies participating in the NPDP. Since the inception of the Plan, a total of $27.2 million has been paid to private pharmacies for prescriptions filled and $2.87 million to the public pharmacies. </w:t>
      </w:r>
    </w:p>
    <w:p w:rsidR="00B6381E" w:rsidRPr="00B6381E" w:rsidRDefault="00B6381E" w:rsidP="00B6381E">
      <w:pPr>
        <w:pStyle w:val="SingleTxt"/>
        <w:spacing w:after="0" w:line="120" w:lineRule="exact"/>
        <w:rPr>
          <w:sz w:val="10"/>
        </w:rPr>
      </w:pPr>
    </w:p>
    <w:p w:rsidR="00626016" w:rsidRDefault="00626016" w:rsidP="00B63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Family Planning and Male Involvement</w:t>
      </w:r>
    </w:p>
    <w:p w:rsidR="00B6381E" w:rsidRPr="00B6381E" w:rsidRDefault="00B6381E" w:rsidP="00B6381E">
      <w:pPr>
        <w:pStyle w:val="SingleTxt"/>
        <w:spacing w:after="0" w:line="120" w:lineRule="exact"/>
        <w:rPr>
          <w:sz w:val="10"/>
        </w:rPr>
      </w:pPr>
    </w:p>
    <w:p w:rsidR="00626016" w:rsidRDefault="00626016" w:rsidP="00626016">
      <w:pPr>
        <w:pStyle w:val="SingleTxt"/>
      </w:pPr>
      <w:r>
        <w:t>124.</w:t>
      </w:r>
      <w:r>
        <w:tab/>
        <w:t>In the area of family planning, persons requesting or accessing care are predominantly women. Women are able to receive contraceptives without male involvement. If a male requires services for family planning himself, he is able to access care at clinics that are available for the general public. Additionally, there is a male health clinic that has been established to address the health concerns of men in the population.</w:t>
      </w:r>
    </w:p>
    <w:p w:rsidR="00B6381E" w:rsidRPr="00B6381E" w:rsidRDefault="00B6381E" w:rsidP="00B6381E">
      <w:pPr>
        <w:pStyle w:val="SingleTxt"/>
        <w:spacing w:after="0" w:line="120" w:lineRule="exact"/>
        <w:rPr>
          <w:sz w:val="10"/>
        </w:rPr>
      </w:pPr>
    </w:p>
    <w:p w:rsidR="00B6381E" w:rsidRPr="00B6381E" w:rsidRDefault="00B6381E" w:rsidP="00B6381E">
      <w:pPr>
        <w:pStyle w:val="SingleTxt"/>
        <w:spacing w:after="0" w:line="120" w:lineRule="exact"/>
        <w:rPr>
          <w:sz w:val="10"/>
        </w:rPr>
      </w:pPr>
    </w:p>
    <w:p w:rsidR="00626016" w:rsidRDefault="00626016" w:rsidP="00B6381E">
      <w:pPr>
        <w:pStyle w:val="TitleH1"/>
      </w:pPr>
      <w:r>
        <w:tab/>
      </w:r>
      <w:r>
        <w:tab/>
        <w:t>Article 13: Ensuring Equality for Women in Economic and Social Life in The Bahamas</w:t>
      </w:r>
    </w:p>
    <w:p w:rsidR="00B6381E" w:rsidRPr="00B6381E" w:rsidRDefault="00B6381E" w:rsidP="00B6381E">
      <w:pPr>
        <w:pStyle w:val="SingleTxt"/>
        <w:spacing w:after="0" w:line="120" w:lineRule="exact"/>
        <w:rPr>
          <w:sz w:val="10"/>
        </w:rPr>
      </w:pPr>
    </w:p>
    <w:p w:rsidR="00B6381E" w:rsidRPr="00B6381E" w:rsidRDefault="00B6381E" w:rsidP="00B6381E">
      <w:pPr>
        <w:pStyle w:val="SingleTxt"/>
        <w:spacing w:after="0" w:line="120" w:lineRule="exact"/>
        <w:rPr>
          <w:sz w:val="10"/>
        </w:rPr>
      </w:pPr>
    </w:p>
    <w:p w:rsidR="00626016" w:rsidRDefault="00626016" w:rsidP="00626016">
      <w:pPr>
        <w:pStyle w:val="SingleTxt"/>
      </w:pPr>
      <w:r>
        <w:t>125.</w:t>
      </w:r>
      <w:r>
        <w:tab/>
        <w:t xml:space="preserve">Since the submission of the previous report, information has not changed with respect to: </w:t>
      </w:r>
      <w:r w:rsidRPr="00B6381E">
        <w:rPr>
          <w:i/>
          <w:iCs/>
        </w:rPr>
        <w:t>Ensuring equality for women in economic and social life</w:t>
      </w:r>
      <w:r>
        <w:t xml:space="preserve">; </w:t>
      </w:r>
      <w:r w:rsidRPr="00B6381E">
        <w:rPr>
          <w:i/>
          <w:iCs/>
        </w:rPr>
        <w:t>Access to bank loans, mortgages and other forms of financial credit</w:t>
      </w:r>
      <w:r>
        <w:t xml:space="preserve">; and </w:t>
      </w:r>
      <w:r w:rsidRPr="00B6381E">
        <w:rPr>
          <w:i/>
          <w:iCs/>
        </w:rPr>
        <w:t>Right to participate in recreational activities, sports and cultural life</w:t>
      </w:r>
      <w:r>
        <w:t xml:space="preserve">. </w:t>
      </w:r>
    </w:p>
    <w:p w:rsidR="00B6381E" w:rsidRPr="00B6381E" w:rsidRDefault="00B6381E" w:rsidP="00B6381E">
      <w:pPr>
        <w:pStyle w:val="SingleTxt"/>
        <w:spacing w:after="0" w:line="120" w:lineRule="exact"/>
        <w:rPr>
          <w:sz w:val="10"/>
        </w:rPr>
      </w:pPr>
    </w:p>
    <w:p w:rsidR="00B6381E" w:rsidRPr="00B6381E" w:rsidRDefault="00B6381E" w:rsidP="00B6381E">
      <w:pPr>
        <w:pStyle w:val="SingleTxt"/>
        <w:spacing w:after="0" w:line="120" w:lineRule="exact"/>
        <w:rPr>
          <w:sz w:val="10"/>
        </w:rPr>
      </w:pPr>
    </w:p>
    <w:p w:rsidR="00626016" w:rsidRDefault="00626016" w:rsidP="00B6381E">
      <w:pPr>
        <w:pStyle w:val="TitleH1"/>
      </w:pPr>
      <w:r>
        <w:tab/>
      </w:r>
      <w:r>
        <w:tab/>
        <w:t>Article 14: Rural women</w:t>
      </w:r>
    </w:p>
    <w:p w:rsidR="00B6381E" w:rsidRPr="00B6381E" w:rsidRDefault="00B6381E" w:rsidP="00B6381E">
      <w:pPr>
        <w:pStyle w:val="SingleTxt"/>
        <w:spacing w:after="0" w:line="120" w:lineRule="exact"/>
        <w:rPr>
          <w:sz w:val="10"/>
        </w:rPr>
      </w:pPr>
    </w:p>
    <w:p w:rsidR="00B6381E" w:rsidRPr="00B6381E" w:rsidRDefault="00B6381E" w:rsidP="00B6381E">
      <w:pPr>
        <w:pStyle w:val="SingleTxt"/>
        <w:spacing w:after="0" w:line="120" w:lineRule="exact"/>
        <w:rPr>
          <w:sz w:val="10"/>
        </w:rPr>
      </w:pPr>
    </w:p>
    <w:p w:rsidR="00626016" w:rsidRDefault="00626016" w:rsidP="00626016">
      <w:pPr>
        <w:pStyle w:val="SingleTxt"/>
      </w:pPr>
      <w:r>
        <w:t>126.</w:t>
      </w:r>
      <w:r>
        <w:tab/>
        <w:t xml:space="preserve">Information regarding </w:t>
      </w:r>
      <w:r w:rsidRPr="00B6381E">
        <w:rPr>
          <w:i/>
          <w:iCs/>
        </w:rPr>
        <w:t>Rural women</w:t>
      </w:r>
      <w:r w:rsidRPr="004536C8">
        <w:rPr>
          <w:i/>
          <w:iCs/>
        </w:rPr>
        <w:t>’</w:t>
      </w:r>
      <w:r w:rsidRPr="00B6381E">
        <w:rPr>
          <w:i/>
          <w:iCs/>
        </w:rPr>
        <w:t>s participation in development planning and Rural women’s access to adequate health-care facilities</w:t>
      </w:r>
      <w:r>
        <w:t xml:space="preserve"> has not changed since the previous submission.</w:t>
      </w:r>
    </w:p>
    <w:p w:rsidR="00B6381E" w:rsidRPr="00B6381E" w:rsidRDefault="00B6381E" w:rsidP="00B6381E">
      <w:pPr>
        <w:pStyle w:val="SingleTxt"/>
        <w:spacing w:after="0" w:line="120" w:lineRule="exact"/>
        <w:rPr>
          <w:sz w:val="10"/>
        </w:rPr>
      </w:pPr>
    </w:p>
    <w:p w:rsidR="00626016" w:rsidRDefault="00626016" w:rsidP="00B63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Women’s Ability to Access Education and Training</w:t>
      </w:r>
    </w:p>
    <w:p w:rsidR="00B6381E" w:rsidRPr="00B6381E" w:rsidRDefault="00B6381E" w:rsidP="00B6381E">
      <w:pPr>
        <w:pStyle w:val="SingleTxt"/>
        <w:spacing w:after="0" w:line="120" w:lineRule="exact"/>
        <w:rPr>
          <w:sz w:val="10"/>
        </w:rPr>
      </w:pPr>
    </w:p>
    <w:p w:rsidR="00626016" w:rsidRDefault="00626016" w:rsidP="00626016">
      <w:pPr>
        <w:pStyle w:val="SingleTxt"/>
      </w:pPr>
      <w:r>
        <w:t>127.</w:t>
      </w:r>
      <w:r>
        <w:tab/>
        <w:t xml:space="preserve">According to the Ministry of Education, Science &amp; Technology, the country has signed a loan from the Caribbean Development Bank to assist in the reconstruction of accommodations in New Providence for students from the Family Islands. The Ministry of Education also facilitates a partial scholarship for Family Island students to obtain secondary education on New Providence. A similar arrangement is available for Family Island students to access tertiary education on Grand Bahama, if it is more geographically feasible. Links Inc. Bahamas, a local nongovernmental organization, also provides limited housing for students. During November 2015, the Bureau of Women’s Affairs facilitated a Women’s Backyard Farming Workshop on the island of Exuma. The workshop was organized by the Bureau in collaboration with the Inter-American Institute for Cooperation on </w:t>
      </w:r>
      <w:r>
        <w:lastRenderedPageBreak/>
        <w:t>Agriculture (IICA), the Exuma Foundation and The Bahamas Agricultural and Industrial Cooperation (BAIC).</w:t>
      </w:r>
    </w:p>
    <w:p w:rsidR="00B6381E" w:rsidRPr="00B6381E" w:rsidRDefault="00B6381E" w:rsidP="00B6381E">
      <w:pPr>
        <w:pStyle w:val="SingleTxt"/>
        <w:spacing w:after="0" w:line="120" w:lineRule="exact"/>
        <w:rPr>
          <w:sz w:val="10"/>
        </w:rPr>
      </w:pPr>
    </w:p>
    <w:p w:rsidR="00626016" w:rsidRDefault="00626016" w:rsidP="00B63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 and the Department of Agriculture</w:t>
      </w:r>
    </w:p>
    <w:p w:rsidR="00B6381E" w:rsidRPr="00B6381E" w:rsidRDefault="00B6381E" w:rsidP="00B6381E">
      <w:pPr>
        <w:pStyle w:val="SingleTxt"/>
        <w:spacing w:after="0" w:line="120" w:lineRule="exact"/>
        <w:rPr>
          <w:sz w:val="10"/>
        </w:rPr>
      </w:pPr>
    </w:p>
    <w:p w:rsidR="00626016" w:rsidRDefault="00626016" w:rsidP="00626016">
      <w:pPr>
        <w:pStyle w:val="SingleTxt"/>
      </w:pPr>
      <w:r>
        <w:t>128.</w:t>
      </w:r>
      <w:r>
        <w:tab/>
        <w:t xml:space="preserve">According to the Department of Agriculture, it is estimated that 28% of women who are involved in agriculture are in the rural areas of the country. There are marketing facilities, called packing houses which are produce exchanges, located throughout the country and are available for all to use, regardless of sex. </w:t>
      </w:r>
    </w:p>
    <w:p w:rsidR="00626016" w:rsidRDefault="00626016" w:rsidP="00626016">
      <w:pPr>
        <w:pStyle w:val="SingleTxt"/>
      </w:pPr>
      <w:r>
        <w:t>129.</w:t>
      </w:r>
      <w:r>
        <w:tab/>
        <w:t>Provision of agricultural extension services is one of the functions facilitated by the Department of Agriculture and is available to all citizens, regardless of sex. It is estimated that less than 1% of agricultural loans are currently held by women.</w:t>
      </w:r>
    </w:p>
    <w:p w:rsidR="00B6381E" w:rsidRPr="00B6381E" w:rsidRDefault="00B6381E" w:rsidP="00B6381E">
      <w:pPr>
        <w:pStyle w:val="SingleTxt"/>
        <w:spacing w:after="0" w:line="120" w:lineRule="exact"/>
        <w:rPr>
          <w:sz w:val="10"/>
        </w:rPr>
      </w:pPr>
    </w:p>
    <w:p w:rsidR="00626016" w:rsidRDefault="00626016" w:rsidP="00B63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Bahamas Agricultural and Industrial Cooperation (BAIC)</w:t>
      </w:r>
    </w:p>
    <w:p w:rsidR="00B6381E" w:rsidRPr="00B6381E" w:rsidRDefault="00B6381E" w:rsidP="00B6381E">
      <w:pPr>
        <w:pStyle w:val="SingleTxt"/>
        <w:spacing w:after="0" w:line="120" w:lineRule="exact"/>
        <w:rPr>
          <w:sz w:val="10"/>
        </w:rPr>
      </w:pPr>
    </w:p>
    <w:p w:rsidR="00626016" w:rsidRDefault="00626016" w:rsidP="00B6381E">
      <w:pPr>
        <w:pStyle w:val="SingleTxt"/>
      </w:pPr>
      <w:r>
        <w:t>130.</w:t>
      </w:r>
      <w:r>
        <w:tab/>
        <w:t>The Bahamas Agricultural and Industrial Corporation (BAIC), in collaboration with The Bahamas National Crafts Association, offers training to help enhance the talents of women in the production of hand-and-craft items and other Bahamian products. BAIC also facilitates the local produce exchanges throughout the country. It is estimated that 28% of women use the Packing Houses during the reporting period. During the months of January</w:t>
      </w:r>
      <w:r w:rsidR="00B6381E">
        <w:t>-</w:t>
      </w:r>
      <w:r>
        <w:t>March of 2016, the BAIC indicated that 58% of farmers who were paid for produce brought for sale into the Packing Houses were female. This data is representative of five islands with Packing Houses in operation.</w:t>
      </w:r>
    </w:p>
    <w:p w:rsidR="00B6381E" w:rsidRPr="00B6381E" w:rsidRDefault="00B6381E" w:rsidP="00B6381E">
      <w:pPr>
        <w:pStyle w:val="SingleTxt"/>
        <w:spacing w:after="0" w:line="120" w:lineRule="exact"/>
        <w:rPr>
          <w:sz w:val="10"/>
        </w:rPr>
      </w:pPr>
    </w:p>
    <w:p w:rsidR="00626016" w:rsidRDefault="00626016" w:rsidP="00B63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Bahamas Development Bank (BDB)</w:t>
      </w:r>
    </w:p>
    <w:p w:rsidR="00B6381E" w:rsidRPr="00B6381E" w:rsidRDefault="00B6381E" w:rsidP="00B6381E">
      <w:pPr>
        <w:pStyle w:val="SingleTxt"/>
        <w:spacing w:after="0" w:line="120" w:lineRule="exact"/>
        <w:rPr>
          <w:sz w:val="10"/>
        </w:rPr>
      </w:pPr>
    </w:p>
    <w:p w:rsidR="00626016" w:rsidRDefault="00626016" w:rsidP="00626016">
      <w:pPr>
        <w:pStyle w:val="SingleTxt"/>
      </w:pPr>
      <w:r>
        <w:t>131.</w:t>
      </w:r>
      <w:r>
        <w:tab/>
        <w:t>The Bahamas Development Bank (BDB) is a Government corporation established to promote economic development through financing viable projects sponsored by Bahamian or Bahamian owned businesses. At the BDB, 70% of the staff is women. Women have occupied positions at all levels, from entry level to Managing Director. Women have participated in the making of polices at the Board of Directors for decades at the BDB. Of the ten Directors appointed in 2012, five were women. As of March 2016, the number of members of the Board was reduced because of voluntary exits but women’s participation still remained high with four of the nine Directors being women. Further, it is observed that during the reporting period, a total of 833 loans were granted. Of the total loans, 546 (66%) were awarded to males and 287 (34%) were awarded to females.</w:t>
      </w:r>
    </w:p>
    <w:p w:rsidR="00B6381E" w:rsidRPr="00B6381E" w:rsidRDefault="00B6381E" w:rsidP="00B6381E">
      <w:pPr>
        <w:pStyle w:val="SingleTxt"/>
        <w:spacing w:after="0" w:line="120" w:lineRule="exact"/>
        <w:rPr>
          <w:sz w:val="10"/>
        </w:rPr>
      </w:pPr>
    </w:p>
    <w:p w:rsidR="00626016" w:rsidRDefault="00626016" w:rsidP="00B63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 and Cooperatives</w:t>
      </w:r>
    </w:p>
    <w:p w:rsidR="00B6381E" w:rsidRPr="00B6381E" w:rsidRDefault="00B6381E" w:rsidP="00B6381E">
      <w:pPr>
        <w:pStyle w:val="SingleTxt"/>
        <w:spacing w:after="0" w:line="120" w:lineRule="exact"/>
        <w:rPr>
          <w:sz w:val="10"/>
        </w:rPr>
      </w:pPr>
    </w:p>
    <w:p w:rsidR="00626016" w:rsidRDefault="00626016" w:rsidP="00626016">
      <w:pPr>
        <w:pStyle w:val="SingleTxt"/>
      </w:pPr>
      <w:r>
        <w:t>132.</w:t>
      </w:r>
      <w:r>
        <w:tab/>
        <w:t xml:space="preserve">Historically, there has been a number of women sponsored Cooperatives. The National Women’s Cooperative Credit Union Limited (January 10, 1975) and was the first registered rural women Cooperative. This Cooperative educated its members in self-help methods and encouraged women to set aside savings toward the ‘down’ (initial) payment for a home. The Cooperative had five hundred members and several low cost houses were constructed for members. The North Long Island Cooperative Society Limited (April 17, 1978), for example, served as a multi-purpose marketing Cooperative which sought to empower women and provide economic opportunities by marketing its members’ agricultural products such as Yuma Rum and various rum products such as cakes. The Cooperatives also produced and marketed straw work (products) for its members. </w:t>
      </w:r>
    </w:p>
    <w:p w:rsidR="00626016" w:rsidRDefault="00626016" w:rsidP="00626016">
      <w:pPr>
        <w:pStyle w:val="SingleTxt"/>
      </w:pPr>
      <w:r>
        <w:t>133.</w:t>
      </w:r>
      <w:r>
        <w:tab/>
        <w:t xml:space="preserve">The Department of Cooperatives reports that rural women are taking a renewed interest in Cooperatives. There are several groups finalizing registration, including, for example, The Bahamas Rural Women’s Cooperative Society Limited’, which is based on Grand Bahama, and ‘The Young Bahamian Women Agri-Business Cooperative Society Limited. The Bahamas Rural Women’s Cooperative Society </w:t>
      </w:r>
      <w:r>
        <w:lastRenderedPageBreak/>
        <w:t xml:space="preserve">Limited based in Grand Bahama seeks to help develop and enhance Agri-Business in The Bahamas. Its mandate is to help women benefit from sustainable economic opportunities. Its purpose statement is to financially empower women; educate its members on how to operate their businesses in collaboration with other members and for economies of scales to purchase merchandise, inputs and market their produce. </w:t>
      </w:r>
    </w:p>
    <w:p w:rsidR="00626016" w:rsidRDefault="00626016" w:rsidP="00626016">
      <w:pPr>
        <w:pStyle w:val="SingleTxt"/>
      </w:pPr>
      <w:r>
        <w:t>134.</w:t>
      </w:r>
      <w:r>
        <w:tab/>
        <w:t>The Young Bahamian Women Agri-Business Entrepreneur Cooperative Society Limited is multi-purposed and will focus on the Agri-Business sector, while concentrating on financial security, shared equity and food security for its members. Its purpose is to facilitate economic development, improve economic, social and conditional standards of production in socially challenged areas, and to collaborate with other entities geared towards the development and empowerment of women. In the area of Producer/Service Cooperatives efforts to increase the availability of training for women to become entrepreneurs and better skilled craft persons have been encouraged through the access to grants for training and resources. The Department of Cooperatives in the execution of its Mandate to develop Cooperatives has been in active collaboration with the following agencies: The Bahamas Cooperative League Limited; The Caribbean Confederation of Credit Unions; The World Council of Credit Unions; The Departments of Agriculture and Marine Resources; The Bahamas Agricultural and Industrial Society (BAIC); The Inter-American Institute for Cooperation on Agriculture (IICA); The Food &amp; Agriculture Organization (FAO); United Nations Development Programme (UNDP) Bahamas; and the Embassy of the United States of America.</w:t>
      </w:r>
    </w:p>
    <w:p w:rsidR="00626016" w:rsidRDefault="00626016" w:rsidP="00626016">
      <w:pPr>
        <w:pStyle w:val="SingleTxt"/>
      </w:pPr>
      <w:r>
        <w:t>135.</w:t>
      </w:r>
      <w:r>
        <w:tab/>
        <w:t>Additionally, the Government provides an annual grant (subvention) through the Department of The Bahamas Cooperative League of $50,000 to assist in the development of Cooperatives, particularly for training. Women have been an integral part of all other Cooperatives registered in The Bahamas since 1975 and have held executive posts. Each of these agencies are legally constituted and registered with Articles of Association and Memoranda of Association.</w:t>
      </w:r>
    </w:p>
    <w:p w:rsidR="00B6381E" w:rsidRPr="00B6381E" w:rsidRDefault="00B6381E" w:rsidP="00B6381E">
      <w:pPr>
        <w:pStyle w:val="SingleTxt"/>
        <w:spacing w:after="0" w:line="120" w:lineRule="exact"/>
        <w:rPr>
          <w:sz w:val="10"/>
        </w:rPr>
      </w:pPr>
    </w:p>
    <w:p w:rsidR="00626016" w:rsidRDefault="00626016" w:rsidP="00B638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Bahamas Network for Rural Women Producers (BAHNROP)</w:t>
      </w:r>
    </w:p>
    <w:p w:rsidR="00B6381E" w:rsidRPr="00B6381E" w:rsidRDefault="00B6381E" w:rsidP="00B6381E">
      <w:pPr>
        <w:pStyle w:val="SingleTxt"/>
        <w:spacing w:after="0" w:line="120" w:lineRule="exact"/>
        <w:rPr>
          <w:sz w:val="10"/>
        </w:rPr>
      </w:pPr>
    </w:p>
    <w:p w:rsidR="00626016" w:rsidRDefault="00626016" w:rsidP="00626016">
      <w:pPr>
        <w:pStyle w:val="SingleTxt"/>
      </w:pPr>
      <w:r>
        <w:t>136.</w:t>
      </w:r>
      <w:r>
        <w:tab/>
        <w:t xml:space="preserve">In October, 2015, the Bureau of Women’s Affairs in partnership with The Bahamas Network for Rural Women Producers (BAHNROP) and the Huairou Commission produced a video documentary showcasing female farmers in their agricultural and other entrepreneurial pursuits, in commemoration of United Nations International Rural Women's Day. The documentary was aired on the Broadcasting Corporation of The Bahamas which is the national television station. BAHNROP was launched in January 2014 to improve the standard of living of rural women producers through training, cultural exchange, networking and the promotion of regional and international trade. Members are involved in a wide range of products from designer clothing to straw and sisal handbags, jewellery, livestock, fresh agricultural produce, teas, pepper sauce, jams and jellies as well as recycling. BAHNROP was formed under the Exuma Woman Project (EWP) which is a project funded by UN Women and managed by the Inter-American Institute for Cooperation on Agriculture (IICA) in The Bahamas. It is a chapter of the Caribbean Network of Rural Women Producers (CANROP). </w:t>
      </w:r>
    </w:p>
    <w:p w:rsidR="00B6381E" w:rsidRPr="00B6381E" w:rsidRDefault="00B6381E" w:rsidP="00B6381E">
      <w:pPr>
        <w:pStyle w:val="SingleTxt"/>
        <w:spacing w:after="0" w:line="120" w:lineRule="exact"/>
        <w:rPr>
          <w:sz w:val="10"/>
        </w:rPr>
      </w:pPr>
    </w:p>
    <w:p w:rsidR="00B6381E" w:rsidRPr="00B6381E" w:rsidRDefault="00B6381E" w:rsidP="00B6381E">
      <w:pPr>
        <w:pStyle w:val="SingleTxt"/>
        <w:spacing w:after="0" w:line="120" w:lineRule="exact"/>
        <w:rPr>
          <w:sz w:val="10"/>
        </w:rPr>
      </w:pPr>
    </w:p>
    <w:p w:rsidR="00626016" w:rsidRDefault="00626016" w:rsidP="00B6381E">
      <w:pPr>
        <w:pStyle w:val="TitleH1"/>
      </w:pPr>
      <w:r>
        <w:tab/>
      </w:r>
      <w:r>
        <w:tab/>
        <w:t>Article 15: Equality before the Law and in Civil Matters</w:t>
      </w:r>
    </w:p>
    <w:p w:rsidR="00B6381E" w:rsidRPr="00B6381E" w:rsidRDefault="00B6381E" w:rsidP="00B6381E">
      <w:pPr>
        <w:pStyle w:val="SingleTxt"/>
        <w:spacing w:after="0" w:line="120" w:lineRule="exact"/>
        <w:rPr>
          <w:sz w:val="10"/>
        </w:rPr>
      </w:pPr>
    </w:p>
    <w:p w:rsidR="00B6381E" w:rsidRPr="00B6381E" w:rsidRDefault="00B6381E" w:rsidP="00B6381E">
      <w:pPr>
        <w:pStyle w:val="SingleTxt"/>
        <w:spacing w:after="0" w:line="120" w:lineRule="exact"/>
        <w:rPr>
          <w:sz w:val="10"/>
        </w:rPr>
      </w:pPr>
    </w:p>
    <w:p w:rsidR="00626016" w:rsidRDefault="00626016" w:rsidP="00626016">
      <w:pPr>
        <w:pStyle w:val="SingleTxt"/>
      </w:pPr>
      <w:r>
        <w:t>137.</w:t>
      </w:r>
      <w:r>
        <w:tab/>
        <w:t xml:space="preserve">Information has not changed relative to </w:t>
      </w:r>
      <w:r w:rsidRPr="00B6381E">
        <w:rPr>
          <w:i/>
          <w:iCs/>
        </w:rPr>
        <w:t>Equality in treatment</w:t>
      </w:r>
      <w:r>
        <w:t xml:space="preserve">; </w:t>
      </w:r>
      <w:r w:rsidRPr="00B6381E">
        <w:rPr>
          <w:i/>
          <w:iCs/>
        </w:rPr>
        <w:t>Women’s administration of property</w:t>
      </w:r>
      <w:r>
        <w:t xml:space="preserve">; </w:t>
      </w:r>
      <w:r w:rsidRPr="00B6381E">
        <w:rPr>
          <w:i/>
          <w:iCs/>
        </w:rPr>
        <w:t>Equality in women’s disposal of property</w:t>
      </w:r>
      <w:r>
        <w:t xml:space="preserve">; </w:t>
      </w:r>
      <w:r w:rsidRPr="00B6381E">
        <w:rPr>
          <w:i/>
          <w:iCs/>
        </w:rPr>
        <w:t>Women’s access to justice, Legal aid</w:t>
      </w:r>
      <w:r>
        <w:t xml:space="preserve">; and </w:t>
      </w:r>
      <w:r w:rsidRPr="00B6381E">
        <w:rPr>
          <w:i/>
          <w:iCs/>
        </w:rPr>
        <w:t>Women’s freedom of movement</w:t>
      </w:r>
      <w:r>
        <w:t xml:space="preserve"> in The Bahamas.</w:t>
      </w:r>
    </w:p>
    <w:p w:rsidR="00626016" w:rsidRDefault="00626016" w:rsidP="00B6381E">
      <w:pPr>
        <w:pStyle w:val="TitleH1"/>
      </w:pPr>
      <w:r>
        <w:lastRenderedPageBreak/>
        <w:tab/>
      </w:r>
      <w:r>
        <w:tab/>
        <w:t>Article 16: Ensuring Equality for Women in Marriage and Family</w:t>
      </w:r>
      <w:r w:rsidR="00B6381E">
        <w:t> </w:t>
      </w:r>
      <w:r>
        <w:t>Life</w:t>
      </w:r>
    </w:p>
    <w:p w:rsidR="00B6381E" w:rsidRPr="00B6381E" w:rsidRDefault="00B6381E" w:rsidP="00B6381E">
      <w:pPr>
        <w:pStyle w:val="SingleTxt"/>
        <w:spacing w:after="0" w:line="120" w:lineRule="exact"/>
        <w:rPr>
          <w:sz w:val="10"/>
        </w:rPr>
      </w:pPr>
    </w:p>
    <w:p w:rsidR="00B6381E" w:rsidRPr="00B6381E" w:rsidRDefault="00B6381E" w:rsidP="00B6381E">
      <w:pPr>
        <w:pStyle w:val="SingleTxt"/>
        <w:spacing w:after="0" w:line="120" w:lineRule="exact"/>
        <w:rPr>
          <w:sz w:val="10"/>
        </w:rPr>
      </w:pPr>
    </w:p>
    <w:p w:rsidR="00626016" w:rsidRDefault="00626016" w:rsidP="00626016">
      <w:pPr>
        <w:pStyle w:val="SingleTxt"/>
      </w:pPr>
      <w:r>
        <w:t>138.</w:t>
      </w:r>
      <w:r>
        <w:tab/>
        <w:t xml:space="preserve">Information has not changed relative to </w:t>
      </w:r>
      <w:r w:rsidRPr="00B6381E">
        <w:rPr>
          <w:i/>
          <w:iCs/>
        </w:rPr>
        <w:t>Women’s right to marriage</w:t>
      </w:r>
      <w:r>
        <w:t xml:space="preserve">; </w:t>
      </w:r>
      <w:r w:rsidRPr="00B6381E">
        <w:rPr>
          <w:i/>
          <w:iCs/>
        </w:rPr>
        <w:t>Non-married cohabitants</w:t>
      </w:r>
      <w:r>
        <w:t xml:space="preserve">; </w:t>
      </w:r>
      <w:r w:rsidRPr="00B6381E">
        <w:rPr>
          <w:i/>
          <w:iCs/>
        </w:rPr>
        <w:t>Marriage protections</w:t>
      </w:r>
      <w:r>
        <w:t xml:space="preserve">; </w:t>
      </w:r>
      <w:r w:rsidRPr="00B6381E">
        <w:rPr>
          <w:i/>
          <w:iCs/>
        </w:rPr>
        <w:t>Women’s rights and responsibilities during marriage</w:t>
      </w:r>
      <w:r>
        <w:t xml:space="preserve">; </w:t>
      </w:r>
      <w:r w:rsidRPr="00B6381E">
        <w:rPr>
          <w:i/>
          <w:iCs/>
        </w:rPr>
        <w:t>Women’s right to choose a profession</w:t>
      </w:r>
      <w:r>
        <w:t xml:space="preserve">; </w:t>
      </w:r>
      <w:r w:rsidRPr="00B6381E">
        <w:rPr>
          <w:i/>
          <w:iCs/>
        </w:rPr>
        <w:t>Equal rights to property ownership</w:t>
      </w:r>
      <w:r>
        <w:t xml:space="preserve">; and </w:t>
      </w:r>
      <w:r w:rsidRPr="00B6381E">
        <w:rPr>
          <w:i/>
          <w:iCs/>
        </w:rPr>
        <w:t>Women’s equality in divorce</w:t>
      </w:r>
      <w:r>
        <w:t xml:space="preserve">. Information has not changed </w:t>
      </w:r>
      <w:r w:rsidRPr="00B6381E">
        <w:rPr>
          <w:i/>
          <w:iCs/>
        </w:rPr>
        <w:t>Custody of children</w:t>
      </w:r>
      <w:r>
        <w:t xml:space="preserve">; </w:t>
      </w:r>
      <w:r w:rsidRPr="00B6381E">
        <w:rPr>
          <w:i/>
          <w:iCs/>
        </w:rPr>
        <w:t>Child adoption</w:t>
      </w:r>
      <w:r>
        <w:t xml:space="preserve">; </w:t>
      </w:r>
      <w:r w:rsidRPr="00B6381E">
        <w:rPr>
          <w:i/>
          <w:iCs/>
        </w:rPr>
        <w:t>Child maintenance</w:t>
      </w:r>
      <w:r>
        <w:t>; Ag</w:t>
      </w:r>
      <w:r w:rsidRPr="00B6381E">
        <w:rPr>
          <w:i/>
          <w:iCs/>
        </w:rPr>
        <w:t>e of sexual consent and Inheritance</w:t>
      </w:r>
      <w:r>
        <w:t xml:space="preserve"> in The Bahamas.</w:t>
      </w:r>
    </w:p>
    <w:p w:rsidR="00B6381E" w:rsidRPr="00B6381E" w:rsidRDefault="00B6381E" w:rsidP="00B6381E">
      <w:pPr>
        <w:pStyle w:val="SingleTxt"/>
        <w:spacing w:after="0" w:line="120" w:lineRule="exact"/>
        <w:rPr>
          <w:sz w:val="10"/>
        </w:rPr>
      </w:pPr>
    </w:p>
    <w:p w:rsidR="00B6381E" w:rsidRPr="00B6381E" w:rsidRDefault="00B6381E" w:rsidP="00B6381E">
      <w:pPr>
        <w:pStyle w:val="SingleTxt"/>
        <w:spacing w:after="0" w:line="120" w:lineRule="exact"/>
        <w:rPr>
          <w:sz w:val="10"/>
        </w:rPr>
      </w:pPr>
    </w:p>
    <w:p w:rsidR="00626016" w:rsidRDefault="00626016" w:rsidP="0070756A">
      <w:pPr>
        <w:pStyle w:val="TitleHCH"/>
      </w:pPr>
      <w:r>
        <w:tab/>
      </w:r>
      <w:r>
        <w:tab/>
        <w:t>Part 2</w:t>
      </w:r>
    </w:p>
    <w:p w:rsidR="0070756A" w:rsidRPr="0070756A" w:rsidRDefault="0070756A" w:rsidP="0070756A">
      <w:pPr>
        <w:pStyle w:val="SingleTxt"/>
        <w:spacing w:after="0" w:line="120" w:lineRule="exact"/>
        <w:rPr>
          <w:sz w:val="10"/>
        </w:rPr>
      </w:pP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 Parliament</w:t>
      </w:r>
    </w:p>
    <w:p w:rsidR="0070756A" w:rsidRPr="0070756A" w:rsidRDefault="0070756A" w:rsidP="0070756A">
      <w:pPr>
        <w:pStyle w:val="SingleTxt"/>
        <w:spacing w:after="0" w:line="120" w:lineRule="exact"/>
        <w:rPr>
          <w:sz w:val="10"/>
        </w:rPr>
      </w:pPr>
    </w:p>
    <w:p w:rsidR="00626016" w:rsidRDefault="00626016" w:rsidP="00626016">
      <w:pPr>
        <w:pStyle w:val="SingleTxt"/>
      </w:pPr>
      <w:r>
        <w:t>139.</w:t>
      </w:r>
      <w:r>
        <w:tab/>
        <w:t xml:space="preserve">The Commonwealth of The Bahamas continues its efforts to progressively implement the Convention, to raise awareness among Parliamentarians, and has taken necessary steps to follow through on its reporting obligations with the submission of the current report. </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2: Visibility of the Convention and Access to</w:t>
      </w:r>
      <w:r w:rsidR="0070756A">
        <w:t> </w:t>
      </w:r>
      <w:r>
        <w:t>Justice</w:t>
      </w:r>
    </w:p>
    <w:p w:rsidR="0070756A" w:rsidRPr="0070756A" w:rsidRDefault="0070756A" w:rsidP="0070756A">
      <w:pPr>
        <w:pStyle w:val="SingleTxt"/>
        <w:spacing w:after="0" w:line="120" w:lineRule="exact"/>
        <w:rPr>
          <w:sz w:val="10"/>
        </w:rPr>
      </w:pPr>
    </w:p>
    <w:p w:rsidR="00626016" w:rsidRDefault="00626016" w:rsidP="00626016">
      <w:pPr>
        <w:pStyle w:val="SingleTxt"/>
      </w:pPr>
      <w:r>
        <w:t>140.</w:t>
      </w:r>
      <w:r>
        <w:tab/>
        <w:t>The Government through the Office of the Attorney General has, since the release of the Concluding Observations from the CEDAW Committee, disseminated the document at quarterly meetings with Bahamas Civil Society and The Bahamas Christian Council and, National Reporting Cooperation Mechanism and Migration Working group meetings. Members of the Judiciary were also provided with a copy. Through the Bureau of Women’s Affairs, the concluding observations were disseminated to nongovernmental organizations.</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3: Constitutional and Legislative Protection of Women from Discrimination</w:t>
      </w:r>
    </w:p>
    <w:p w:rsidR="0070756A" w:rsidRPr="0070756A" w:rsidRDefault="0070756A" w:rsidP="0070756A">
      <w:pPr>
        <w:pStyle w:val="SingleTxt"/>
        <w:spacing w:after="0" w:line="120" w:lineRule="exact"/>
        <w:rPr>
          <w:sz w:val="10"/>
        </w:rPr>
      </w:pPr>
    </w:p>
    <w:p w:rsidR="00626016" w:rsidRDefault="00626016" w:rsidP="00626016">
      <w:pPr>
        <w:pStyle w:val="SingleTxt"/>
      </w:pPr>
      <w:r>
        <w:t>141.</w:t>
      </w:r>
      <w:r>
        <w:tab/>
        <w:t xml:space="preserve">Refer to Article </w:t>
      </w:r>
      <w:r w:rsidRPr="0070756A">
        <w:rPr>
          <w:b/>
          <w:bCs/>
        </w:rPr>
        <w:t>2</w:t>
      </w:r>
      <w:r>
        <w:t xml:space="preserve"> and </w:t>
      </w:r>
      <w:r w:rsidRPr="0070756A">
        <w:rPr>
          <w:b/>
          <w:bCs/>
        </w:rPr>
        <w:t>Article 3</w:t>
      </w:r>
      <w:r>
        <w:t xml:space="preserve"> of this present Report.</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4: Legislative Framework</w:t>
      </w:r>
    </w:p>
    <w:p w:rsidR="0070756A" w:rsidRPr="0070756A" w:rsidRDefault="0070756A" w:rsidP="0070756A">
      <w:pPr>
        <w:pStyle w:val="SingleTxt"/>
        <w:spacing w:after="0" w:line="120" w:lineRule="exact"/>
        <w:rPr>
          <w:sz w:val="10"/>
        </w:rPr>
      </w:pPr>
    </w:p>
    <w:p w:rsidR="00626016" w:rsidRDefault="00626016" w:rsidP="00626016">
      <w:pPr>
        <w:pStyle w:val="SingleTxt"/>
      </w:pPr>
      <w:r>
        <w:t>142.</w:t>
      </w:r>
      <w:r>
        <w:tab/>
        <w:t>Until the Constitutional amendments mentioned above are enacted, The Bahamas is unable to effect a comprehensive revision of domestic law or to enact new legislation to bring domestic provisions into line with the Convention.</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5: National Machinery for the Advancement of</w:t>
      </w:r>
      <w:r w:rsidR="0070756A">
        <w:t> </w:t>
      </w:r>
      <w:r>
        <w:t>Women</w:t>
      </w:r>
    </w:p>
    <w:p w:rsidR="0070756A" w:rsidRPr="0070756A" w:rsidRDefault="0070756A" w:rsidP="0070756A">
      <w:pPr>
        <w:pStyle w:val="SingleTxt"/>
        <w:spacing w:after="0" w:line="120" w:lineRule="exact"/>
        <w:rPr>
          <w:sz w:val="10"/>
        </w:rPr>
      </w:pPr>
    </w:p>
    <w:p w:rsidR="00626016" w:rsidRDefault="00626016" w:rsidP="00626016">
      <w:pPr>
        <w:pStyle w:val="SingleTxt"/>
      </w:pPr>
      <w:r>
        <w:t>143.</w:t>
      </w:r>
      <w:r>
        <w:tab/>
        <w:t xml:space="preserve">During the period under review, the capacity of the BWA was strengthened to better support its work on advocacy and policy to promote women’s rights. Although its budget remained the same since the previous reporting period, efforts were made to enhance the staff and the unit was relocated to more spacious accommodations. </w:t>
      </w:r>
    </w:p>
    <w:p w:rsidR="00626016" w:rsidRDefault="00626016" w:rsidP="00626016">
      <w:pPr>
        <w:pStyle w:val="SingleTxt"/>
      </w:pPr>
      <w:r>
        <w:t xml:space="preserve">Further reference is made in </w:t>
      </w:r>
      <w:r w:rsidRPr="0070756A">
        <w:rPr>
          <w:b/>
          <w:bCs/>
        </w:rPr>
        <w:t>Article 3</w:t>
      </w:r>
      <w:r>
        <w:t xml:space="preserve"> of this present Report.</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6: Temporary Special Measures</w:t>
      </w:r>
    </w:p>
    <w:p w:rsidR="0070756A" w:rsidRPr="0070756A" w:rsidRDefault="0070756A" w:rsidP="0070756A">
      <w:pPr>
        <w:pStyle w:val="SingleTxt"/>
        <w:spacing w:after="0" w:line="120" w:lineRule="exact"/>
        <w:rPr>
          <w:sz w:val="10"/>
        </w:rPr>
      </w:pPr>
    </w:p>
    <w:p w:rsidR="00626016" w:rsidRDefault="00626016" w:rsidP="00626016">
      <w:pPr>
        <w:pStyle w:val="SingleTxt"/>
      </w:pPr>
      <w:r>
        <w:t>144.</w:t>
      </w:r>
      <w:r>
        <w:tab/>
        <w:t>The Interim (Follow-Up) Report of 2014 provided information related to this Concluding Recommendation. Further reference is made in Article 4 of this Present Report.</w:t>
      </w: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Concluding Recommendation 7: Stereotypes and Harmful Practices</w:t>
      </w:r>
    </w:p>
    <w:p w:rsidR="0070756A" w:rsidRPr="0070756A" w:rsidRDefault="0070756A" w:rsidP="0070756A">
      <w:pPr>
        <w:pStyle w:val="SingleTxt"/>
        <w:spacing w:after="0" w:line="120" w:lineRule="exact"/>
        <w:rPr>
          <w:sz w:val="10"/>
          <w:lang w:val="en-US"/>
        </w:rPr>
      </w:pPr>
    </w:p>
    <w:p w:rsidR="00626016" w:rsidRDefault="00626016" w:rsidP="00626016">
      <w:pPr>
        <w:pStyle w:val="SingleTxt"/>
      </w:pPr>
      <w:r>
        <w:t>145.</w:t>
      </w:r>
      <w:r>
        <w:tab/>
        <w:t>The Government appreciates the importance of this Recommendation and the State is reviewing the application of the same.</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8: Violence against Women</w:t>
      </w:r>
    </w:p>
    <w:p w:rsidR="0070756A" w:rsidRPr="0070756A" w:rsidRDefault="0070756A" w:rsidP="0070756A">
      <w:pPr>
        <w:pStyle w:val="SingleTxt"/>
        <w:spacing w:after="0" w:line="120" w:lineRule="exact"/>
        <w:rPr>
          <w:sz w:val="10"/>
        </w:rPr>
      </w:pPr>
    </w:p>
    <w:p w:rsidR="00626016" w:rsidRDefault="00626016" w:rsidP="00626016">
      <w:pPr>
        <w:pStyle w:val="SingleTxt"/>
      </w:pPr>
      <w:r>
        <w:t>146.</w:t>
      </w:r>
      <w:r>
        <w:tab/>
        <w:t xml:space="preserve">The National Strategic Plan for Addressing Gender-Based Violence, as referenced in Article 5, defines GBV and the scope and depth of the problem. It provides the rationale and approach for the development of a national strategy to address GBV, lays out the structure for a GBV Authority and lists the ten programmes to be implemented in the first year of the establishment of the GBV Authority. </w:t>
      </w:r>
    </w:p>
    <w:p w:rsidR="00626016" w:rsidRDefault="00626016" w:rsidP="0070756A">
      <w:pPr>
        <w:pStyle w:val="SingleTxt"/>
      </w:pPr>
      <w:r>
        <w:t>147.</w:t>
      </w:r>
      <w:r>
        <w:tab/>
        <w:t xml:space="preserve">The assistance and protection for women victims of violence, for example, are vital parts of the proposals contained in the above-mentioned plan. The Strategic Plan also envisages the strengthening of psychosocial rehabilitation and safe shelter facilities as well as the setup of Family Island Councils to better address GBV throughout The Bahamas, there are plans approved by Cabinet to create new programmes for psycho-social rehabilitation and to provide Family Island ‘councils’. Further reference is made in the subsection </w:t>
      </w:r>
      <w:r w:rsidRPr="0070756A">
        <w:rPr>
          <w:b/>
          <w:bCs/>
        </w:rPr>
        <w:t>Violence against Women</w:t>
      </w:r>
      <w:r>
        <w:t xml:space="preserve"> in </w:t>
      </w:r>
      <w:r w:rsidRPr="0070756A">
        <w:rPr>
          <w:b/>
          <w:bCs/>
        </w:rPr>
        <w:t>Article 5</w:t>
      </w:r>
      <w:r>
        <w:t xml:space="preserve"> of this present Report.</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9: Trafficking and Exploitation of Prostitution</w:t>
      </w:r>
    </w:p>
    <w:p w:rsidR="0070756A" w:rsidRPr="0070756A" w:rsidRDefault="0070756A" w:rsidP="0070756A">
      <w:pPr>
        <w:pStyle w:val="SingleTxt"/>
        <w:spacing w:after="0" w:line="120" w:lineRule="exact"/>
        <w:rPr>
          <w:sz w:val="10"/>
        </w:rPr>
      </w:pPr>
    </w:p>
    <w:p w:rsidR="00626016" w:rsidRDefault="00626016" w:rsidP="00626016">
      <w:pPr>
        <w:pStyle w:val="SingleTxt"/>
      </w:pPr>
      <w:r>
        <w:t>148.</w:t>
      </w:r>
      <w:r>
        <w:tab/>
        <w:t xml:space="preserve">Refer to </w:t>
      </w:r>
      <w:r w:rsidRPr="0070756A">
        <w:rPr>
          <w:b/>
          <w:bCs/>
        </w:rPr>
        <w:t>Article 6</w:t>
      </w:r>
      <w:r>
        <w:t xml:space="preserve"> of this present Report.</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10: Participation in Political and Public Life</w:t>
      </w:r>
    </w:p>
    <w:p w:rsidR="0070756A" w:rsidRPr="0070756A" w:rsidRDefault="0070756A" w:rsidP="0070756A">
      <w:pPr>
        <w:pStyle w:val="SingleTxt"/>
        <w:spacing w:after="0" w:line="120" w:lineRule="exact"/>
        <w:rPr>
          <w:sz w:val="10"/>
        </w:rPr>
      </w:pPr>
    </w:p>
    <w:p w:rsidR="00626016" w:rsidRDefault="00626016" w:rsidP="00626016">
      <w:pPr>
        <w:pStyle w:val="SingleTxt"/>
      </w:pPr>
      <w:r>
        <w:t>149.</w:t>
      </w:r>
      <w:r>
        <w:tab/>
        <w:t xml:space="preserve">Refer to </w:t>
      </w:r>
      <w:r w:rsidRPr="0070756A">
        <w:rPr>
          <w:b/>
          <w:bCs/>
        </w:rPr>
        <w:t>Article 3</w:t>
      </w:r>
      <w:r>
        <w:t xml:space="preserve"> and </w:t>
      </w:r>
      <w:r w:rsidRPr="0070756A">
        <w:rPr>
          <w:b/>
          <w:bCs/>
        </w:rPr>
        <w:t>Article 4</w:t>
      </w:r>
      <w:r>
        <w:t xml:space="preserve"> of this present Report.</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11: Nationality</w:t>
      </w:r>
    </w:p>
    <w:p w:rsidR="0070756A" w:rsidRPr="0070756A" w:rsidRDefault="0070756A" w:rsidP="0070756A">
      <w:pPr>
        <w:pStyle w:val="SingleTxt"/>
        <w:spacing w:after="0" w:line="120" w:lineRule="exact"/>
        <w:rPr>
          <w:sz w:val="10"/>
        </w:rPr>
      </w:pPr>
    </w:p>
    <w:p w:rsidR="00626016" w:rsidRDefault="00626016" w:rsidP="00626016">
      <w:pPr>
        <w:pStyle w:val="SingleTxt"/>
      </w:pPr>
      <w:r>
        <w:t>150.</w:t>
      </w:r>
      <w:r>
        <w:tab/>
        <w:t xml:space="preserve">Refer to </w:t>
      </w:r>
      <w:r w:rsidRPr="0070756A">
        <w:rPr>
          <w:b/>
          <w:bCs/>
        </w:rPr>
        <w:t>Article 1</w:t>
      </w:r>
      <w:r>
        <w:t xml:space="preserve">, </w:t>
      </w:r>
      <w:r w:rsidRPr="0070756A">
        <w:rPr>
          <w:b/>
          <w:bCs/>
        </w:rPr>
        <w:t>Article 2</w:t>
      </w:r>
      <w:r>
        <w:t xml:space="preserve"> and </w:t>
      </w:r>
      <w:r w:rsidRPr="0070756A">
        <w:rPr>
          <w:b/>
          <w:bCs/>
        </w:rPr>
        <w:t>Article 9</w:t>
      </w:r>
      <w:r>
        <w:t xml:space="preserve"> of this present Report for information relating to </w:t>
      </w:r>
      <w:r w:rsidRPr="0070756A">
        <w:rPr>
          <w:b/>
          <w:bCs/>
        </w:rPr>
        <w:t>Nationality</w:t>
      </w:r>
      <w:r>
        <w:t>.</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12: Education</w:t>
      </w:r>
    </w:p>
    <w:p w:rsidR="0070756A" w:rsidRPr="0070756A" w:rsidRDefault="0070756A" w:rsidP="0070756A">
      <w:pPr>
        <w:pStyle w:val="SingleTxt"/>
        <w:spacing w:after="0" w:line="120" w:lineRule="exact"/>
        <w:rPr>
          <w:sz w:val="10"/>
        </w:rPr>
      </w:pPr>
    </w:p>
    <w:p w:rsidR="00626016" w:rsidRDefault="00626016" w:rsidP="00626016">
      <w:pPr>
        <w:pStyle w:val="SingleTxt"/>
      </w:pPr>
      <w:r>
        <w:t>151.</w:t>
      </w:r>
      <w:r>
        <w:tab/>
        <w:t xml:space="preserve">Regarding the issue of </w:t>
      </w:r>
      <w:r w:rsidRPr="0070756A">
        <w:rPr>
          <w:b/>
          <w:bCs/>
          <w:i/>
          <w:iCs/>
        </w:rPr>
        <w:t>Male Dominated Fields and Non-traditional fields of Education and Careers</w:t>
      </w:r>
      <w:r>
        <w:t xml:space="preserve">, refer to the </w:t>
      </w:r>
      <w:r w:rsidRPr="0070756A">
        <w:rPr>
          <w:b/>
          <w:bCs/>
        </w:rPr>
        <w:t>Employment</w:t>
      </w:r>
      <w:r>
        <w:t xml:space="preserve"> subsection of </w:t>
      </w:r>
      <w:r w:rsidRPr="0070756A">
        <w:rPr>
          <w:b/>
          <w:bCs/>
        </w:rPr>
        <w:t>Part I</w:t>
      </w:r>
      <w:r>
        <w:t xml:space="preserve"> of this present Report. Regarding he Family Life and Health Education curriculum, as noted in Article 10, gender stereotypes and gender equality have been incorporated in the 2013 revised versions of the curriculum.</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13: Employment</w:t>
      </w:r>
    </w:p>
    <w:p w:rsidR="0070756A" w:rsidRPr="0070756A" w:rsidRDefault="0070756A" w:rsidP="0070756A">
      <w:pPr>
        <w:pStyle w:val="SingleTxt"/>
        <w:spacing w:after="0" w:line="120" w:lineRule="exact"/>
        <w:rPr>
          <w:sz w:val="10"/>
        </w:rPr>
      </w:pPr>
    </w:p>
    <w:p w:rsidR="00626016" w:rsidRDefault="00626016" w:rsidP="00626016">
      <w:pPr>
        <w:pStyle w:val="SingleTxt"/>
      </w:pPr>
      <w:r>
        <w:t>152.</w:t>
      </w:r>
      <w:r>
        <w:tab/>
        <w:t xml:space="preserve">In regard to Paid </w:t>
      </w:r>
      <w:r w:rsidRPr="0070756A">
        <w:rPr>
          <w:b/>
          <w:bCs/>
          <w:i/>
          <w:iCs/>
        </w:rPr>
        <w:t>Maternity Leave</w:t>
      </w:r>
      <w:r>
        <w:t>, the Maternity Grant facilitated by the National Insurance Board (N.I.B.) was increased from $450 to $465 in July 2014. The Employment Act 2001 Section 6 promotes non-discrimination and equal pay.</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14: Health</w:t>
      </w:r>
    </w:p>
    <w:p w:rsidR="0070756A" w:rsidRPr="0070756A" w:rsidRDefault="0070756A" w:rsidP="0070756A">
      <w:pPr>
        <w:pStyle w:val="SingleTxt"/>
        <w:spacing w:after="0" w:line="120" w:lineRule="exact"/>
        <w:rPr>
          <w:sz w:val="10"/>
        </w:rPr>
      </w:pPr>
    </w:p>
    <w:p w:rsidR="00626016" w:rsidRDefault="00626016" w:rsidP="00626016">
      <w:pPr>
        <w:pStyle w:val="SingleTxt"/>
      </w:pPr>
      <w:r>
        <w:t>153.</w:t>
      </w:r>
      <w:r>
        <w:tab/>
        <w:t xml:space="preserve">Refer to Article 12 of this report. </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15: Marriage and Family Relations</w:t>
      </w:r>
    </w:p>
    <w:p w:rsidR="0070756A" w:rsidRPr="0070756A" w:rsidRDefault="0070756A" w:rsidP="0070756A">
      <w:pPr>
        <w:pStyle w:val="SingleTxt"/>
        <w:spacing w:after="0" w:line="120" w:lineRule="exact"/>
        <w:rPr>
          <w:sz w:val="10"/>
        </w:rPr>
      </w:pPr>
    </w:p>
    <w:p w:rsidR="00626016" w:rsidRDefault="00626016" w:rsidP="00626016">
      <w:pPr>
        <w:pStyle w:val="SingleTxt"/>
      </w:pPr>
      <w:r>
        <w:t>154.</w:t>
      </w:r>
      <w:r>
        <w:tab/>
        <w:t xml:space="preserve">A Family Court System for The Bahamas was proposed in August, 2008. Recently, sub-committees of the Family Court System Committee have been working to produce rules and civil procedures which will be utilized in the Family </w:t>
      </w:r>
      <w:r>
        <w:lastRenderedPageBreak/>
        <w:t xml:space="preserve">Court System. It is expected that a Family Court will soon be established and operational. At this time there are no discussions to extend legal provisions for couples living in common law unions. </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16: National Human Rights Institution</w:t>
      </w:r>
    </w:p>
    <w:p w:rsidR="0070756A" w:rsidRPr="0070756A" w:rsidRDefault="0070756A" w:rsidP="0070756A">
      <w:pPr>
        <w:pStyle w:val="SingleTxt"/>
        <w:spacing w:after="0" w:line="120" w:lineRule="exact"/>
        <w:rPr>
          <w:sz w:val="10"/>
        </w:rPr>
      </w:pPr>
    </w:p>
    <w:p w:rsidR="00626016" w:rsidRDefault="00626016" w:rsidP="00626016">
      <w:pPr>
        <w:pStyle w:val="SingleTxt"/>
      </w:pPr>
      <w:r>
        <w:t>155.</w:t>
      </w:r>
      <w:r>
        <w:tab/>
        <w:t>The establishment of a Human Rights Commission continues to be discussed and researched. The establishment of a national human rights institution in accordance with the Paris Principle is still under consideration. We are presently gathering and reviewing models from the National Institutions Section of OHCHR.</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17: Optional Protocol</w:t>
      </w:r>
    </w:p>
    <w:p w:rsidR="0070756A" w:rsidRPr="0070756A" w:rsidRDefault="0070756A" w:rsidP="0070756A">
      <w:pPr>
        <w:pStyle w:val="SingleTxt"/>
        <w:spacing w:after="0" w:line="120" w:lineRule="exact"/>
        <w:rPr>
          <w:sz w:val="10"/>
        </w:rPr>
      </w:pPr>
    </w:p>
    <w:p w:rsidR="00626016" w:rsidRDefault="00626016" w:rsidP="00626016">
      <w:pPr>
        <w:pStyle w:val="SingleTxt"/>
      </w:pPr>
      <w:r>
        <w:t>156.</w:t>
      </w:r>
      <w:r>
        <w:tab/>
        <w:t>At this time, the country does not support this recommendation to ratify the optional protocol.</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18: Beijing Declaration and Platform for Action</w:t>
      </w:r>
    </w:p>
    <w:p w:rsidR="0070756A" w:rsidRPr="0070756A" w:rsidRDefault="0070756A" w:rsidP="0070756A">
      <w:pPr>
        <w:pStyle w:val="SingleTxt"/>
        <w:spacing w:after="0" w:line="120" w:lineRule="exact"/>
        <w:rPr>
          <w:sz w:val="10"/>
        </w:rPr>
      </w:pPr>
    </w:p>
    <w:p w:rsidR="00626016" w:rsidRDefault="00626016" w:rsidP="00626016">
      <w:pPr>
        <w:pStyle w:val="SingleTxt"/>
      </w:pPr>
      <w:r>
        <w:t>157.</w:t>
      </w:r>
      <w:r>
        <w:tab/>
        <w:t xml:space="preserve">In keeping with the Beijing Platform for Action 20th Anniversary, the Bureau of Women’s Affairs gave focus to the 12 critical areas of concern. Copies of the twelve areas of concern were disseminated, including to women’s NGOs, to bring greater awareness on the topics to their members. </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19: Millennium Development Goals</w:t>
      </w:r>
    </w:p>
    <w:p w:rsidR="0070756A" w:rsidRPr="0070756A" w:rsidRDefault="0070756A" w:rsidP="0070756A">
      <w:pPr>
        <w:pStyle w:val="SingleTxt"/>
        <w:spacing w:after="0" w:line="120" w:lineRule="exact"/>
        <w:rPr>
          <w:sz w:val="10"/>
        </w:rPr>
      </w:pPr>
    </w:p>
    <w:p w:rsidR="00626016" w:rsidRDefault="00626016" w:rsidP="00626016">
      <w:pPr>
        <w:pStyle w:val="SingleTxt"/>
      </w:pPr>
      <w:r>
        <w:t>158.</w:t>
      </w:r>
      <w:r>
        <w:tab/>
        <w:t xml:space="preserve">In collaboration with UN Women, inter alia, The Government of The Bahamas participated in a Latin America and the Caribbean Regional Consultation prior to CSW for in Mexico City from 6th to 7th February, 2014. The meeting discussed the challenges and achievements of women and girls in the Americas. At the 58th CSW Session, Minister with responsibility for Women’s Affairs, the Honourable Melanie Griffin, Minister of Social Services &amp; Community Development, presented a statement on The Bahamas’ progress on accomplishing the MDGs. At both meetings, the Minister noted that, despite challenges, the country has continued to work toward achieving the MDGs including through the introduction of the Urban Renewal 2.0 programme (to assist in poverty reduction efforts) and the National Climate Change Adaptation Policy (which addresses sustainable development approaches). </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20: Dissemination</w:t>
      </w:r>
    </w:p>
    <w:p w:rsidR="0070756A" w:rsidRPr="0070756A" w:rsidRDefault="0070756A" w:rsidP="0070756A">
      <w:pPr>
        <w:pStyle w:val="SingleTxt"/>
        <w:spacing w:after="0" w:line="120" w:lineRule="exact"/>
        <w:rPr>
          <w:sz w:val="10"/>
        </w:rPr>
      </w:pPr>
    </w:p>
    <w:p w:rsidR="00626016" w:rsidRDefault="00626016" w:rsidP="00626016">
      <w:pPr>
        <w:pStyle w:val="SingleTxt"/>
      </w:pPr>
      <w:r>
        <w:t>159.</w:t>
      </w:r>
      <w:r>
        <w:tab/>
        <w:t>The Bureau of Women’s Affairs, continued its efforts to disseminate the concluding observations including through a Stakeholder Meeting held in May 2015 in which the following entities were represented: Health and Family Life Unit, Primary Health and Family Life Unit; Department of Education; Adolescent Health Unit; Ministry of Health; Department of Statistics; Bahamas Technical and Vocational Institute; the Providing Access to Continued Education (P.A.C.E.) Foundation; Bahamas Bar Association; local office of the Organization of American States (OAS); Ministry of Education, Science and Technology; Ministry of Foreign Affairs and Immigration; Pan-American Health Organization (PAHO/WHO); Eugene Dupuch Law School; local office of the United Nations High Commissioner for Refugees (UNHCR); Caribbean Association For Feminist Research and Action (CAFRA); Society Against Stigmatization and Hate (SASH); Disability Affairs Division; Office of the Attorney General and Ministry of Legal Affairs; Ministry of Social Services and Community Development; Ministry of National Security; the Women’s Branch of the Free National Movement (FNM); Department of Social Services; Royal Bahamas Police Force (R.B.P.F.); and the Bureau of Women’s Affairs.</w:t>
      </w:r>
    </w:p>
    <w:p w:rsidR="00626016" w:rsidRDefault="00626016" w:rsidP="00626016">
      <w:pPr>
        <w:pStyle w:val="SingleTxt"/>
      </w:pPr>
      <w:r>
        <w:lastRenderedPageBreak/>
        <w:t>160.</w:t>
      </w:r>
      <w:r>
        <w:tab/>
        <w:t xml:space="preserve">Further reference to this Concluding Recommendation is made in </w:t>
      </w:r>
      <w:r w:rsidRPr="00F84D40">
        <w:rPr>
          <w:b/>
          <w:bCs/>
        </w:rPr>
        <w:t>Article 3</w:t>
      </w:r>
      <w:r>
        <w:t xml:space="preserve"> of this present Report.</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21: Ratification of Other Treaties</w:t>
      </w:r>
    </w:p>
    <w:p w:rsidR="0070756A" w:rsidRPr="0070756A" w:rsidRDefault="0070756A" w:rsidP="0070756A">
      <w:pPr>
        <w:pStyle w:val="SingleTxt"/>
        <w:spacing w:after="0" w:line="120" w:lineRule="exact"/>
        <w:rPr>
          <w:sz w:val="10"/>
        </w:rPr>
      </w:pPr>
    </w:p>
    <w:p w:rsidR="00626016" w:rsidRDefault="00626016" w:rsidP="0070756A">
      <w:pPr>
        <w:pStyle w:val="SingleTxt"/>
      </w:pPr>
      <w:r>
        <w:t>161.</w:t>
      </w:r>
      <w:r>
        <w:tab/>
        <w:t xml:space="preserve">Refer to Article 2 of this report </w:t>
      </w:r>
      <w:r w:rsidR="0070756A">
        <w:t>—</w:t>
      </w:r>
      <w:r>
        <w:t xml:space="preserve"> subsection “International Agreements”. </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Recommendation 22: Follow-up to Concluding Observations </w:t>
      </w:r>
    </w:p>
    <w:p w:rsidR="0070756A" w:rsidRPr="0070756A" w:rsidRDefault="0070756A" w:rsidP="0070756A">
      <w:pPr>
        <w:pStyle w:val="SingleTxt"/>
        <w:spacing w:after="0" w:line="120" w:lineRule="exact"/>
        <w:rPr>
          <w:sz w:val="10"/>
        </w:rPr>
      </w:pPr>
    </w:p>
    <w:p w:rsidR="00626016" w:rsidRDefault="00626016" w:rsidP="00626016">
      <w:pPr>
        <w:pStyle w:val="SingleTxt"/>
      </w:pPr>
      <w:r>
        <w:t>162.</w:t>
      </w:r>
      <w:r>
        <w:tab/>
        <w:t xml:space="preserve">In July 2014, The Government of the Bahamas submitted its interim report in accordance with the Committee’s request for follow-up information on paragraph 20 (violence against women) and paragraph 24 (temporary special measure) in the Concluding Observations. </w:t>
      </w:r>
    </w:p>
    <w:p w:rsidR="0070756A" w:rsidRPr="0070756A" w:rsidRDefault="0070756A" w:rsidP="0070756A">
      <w:pPr>
        <w:pStyle w:val="SingleTxt"/>
        <w:spacing w:after="0" w:line="120" w:lineRule="exact"/>
        <w:rPr>
          <w:sz w:val="10"/>
        </w:rPr>
      </w:pPr>
    </w:p>
    <w:p w:rsidR="00626016" w:rsidRDefault="00626016" w:rsidP="007075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Recommendation 23: Technical Assistance</w:t>
      </w:r>
    </w:p>
    <w:p w:rsidR="0070756A" w:rsidRPr="0070756A" w:rsidRDefault="0070756A" w:rsidP="0070756A">
      <w:pPr>
        <w:pStyle w:val="SingleTxt"/>
        <w:spacing w:after="0" w:line="120" w:lineRule="exact"/>
        <w:rPr>
          <w:sz w:val="10"/>
        </w:rPr>
      </w:pPr>
    </w:p>
    <w:p w:rsidR="00314BFA" w:rsidRDefault="00626016" w:rsidP="00626016">
      <w:pPr>
        <w:pStyle w:val="SingleTxt"/>
      </w:pPr>
      <w:r>
        <w:t>163.</w:t>
      </w:r>
      <w:r>
        <w:tab/>
        <w:t>During the Reporting Period, the Government has worked on strengthening cooperation with specialized agencies and programmes of the United Nations system and is committed to further strengthening its partnerships. Refer to Article 6 of this report for further information.</w:t>
      </w:r>
    </w:p>
    <w:p w:rsidR="00F84D40" w:rsidRPr="00314BFA" w:rsidRDefault="00F84D40" w:rsidP="00626016">
      <w:pPr>
        <w:pStyle w:val="SingleTxt"/>
      </w:pPr>
      <w:r>
        <w:rPr>
          <w:noProof/>
          <w:w w:val="100"/>
          <w:lang w:val="en-US"/>
        </w:rPr>
        <mc:AlternateContent>
          <mc:Choice Requires="wps">
            <w:drawing>
              <wp:anchor distT="0" distB="0" distL="114300" distR="114300" simplePos="0" relativeHeight="251660288" behindDoc="0" locked="0" layoutInCell="1" allowOverlap="1" wp14:anchorId="27A061D4" wp14:editId="4ED5DCD4">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Start w:id="2" w:name="_GoBack"/>
      <w:bookmarkEnd w:id="1"/>
      <w:bookmarkEnd w:id="2"/>
    </w:p>
    <w:sectPr w:rsidR="00F84D40" w:rsidRPr="00314BFA" w:rsidSect="009D4AC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14T16:07:00Z" w:initials="Start">
    <w:p w:rsidR="0079688F" w:rsidRDefault="0079688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NO&gt;&gt;N1713678E&lt;&lt;ODS JOB NO&gt;&gt;</w:t>
      </w:r>
    </w:p>
    <w:p w:rsidR="0079688F" w:rsidRDefault="0079688F">
      <w:pPr>
        <w:pStyle w:val="CommentText"/>
      </w:pPr>
      <w:r>
        <w:t>&lt;&lt;ODS DOC SYMBOL1&gt;&gt;CEDAW/C/BHS/6&lt;&lt;ODS DOC SYMBOL1&gt;&gt;</w:t>
      </w:r>
    </w:p>
    <w:p w:rsidR="0079688F" w:rsidRDefault="007968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8F" w:rsidRDefault="0079688F" w:rsidP="000548B1">
      <w:pPr>
        <w:spacing w:line="240" w:lineRule="auto"/>
      </w:pPr>
      <w:r>
        <w:separator/>
      </w:r>
    </w:p>
  </w:endnote>
  <w:endnote w:type="continuationSeparator" w:id="0">
    <w:p w:rsidR="0079688F" w:rsidRDefault="0079688F" w:rsidP="0005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9688F" w:rsidTr="00DF6C30">
      <w:tc>
        <w:tcPr>
          <w:tcW w:w="5028" w:type="dxa"/>
          <w:shd w:val="clear" w:color="auto" w:fill="auto"/>
        </w:tcPr>
        <w:p w:rsidR="0079688F" w:rsidRPr="00DF6C30" w:rsidRDefault="0079688F" w:rsidP="00DF6C3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5E08">
            <w:rPr>
              <w:b w:val="0"/>
              <w:w w:val="103"/>
              <w:sz w:val="14"/>
            </w:rPr>
            <w:t>17-07753</w:t>
          </w:r>
          <w:r>
            <w:rPr>
              <w:b w:val="0"/>
              <w:w w:val="103"/>
              <w:sz w:val="14"/>
            </w:rPr>
            <w:fldChar w:fldCharType="end"/>
          </w:r>
        </w:p>
      </w:tc>
      <w:tc>
        <w:tcPr>
          <w:tcW w:w="5028" w:type="dxa"/>
          <w:shd w:val="clear" w:color="auto" w:fill="auto"/>
        </w:tcPr>
        <w:p w:rsidR="0079688F" w:rsidRPr="00DF6C30" w:rsidRDefault="0079688F" w:rsidP="00DF6C30">
          <w:pPr>
            <w:pStyle w:val="Footer"/>
            <w:rPr>
              <w:w w:val="103"/>
            </w:rPr>
          </w:pPr>
          <w:r>
            <w:rPr>
              <w:w w:val="103"/>
            </w:rPr>
            <w:fldChar w:fldCharType="begin"/>
          </w:r>
          <w:r>
            <w:rPr>
              <w:w w:val="103"/>
            </w:rPr>
            <w:instrText xml:space="preserve"> PAGE  \* Arabic  \* MERGEFORMAT </w:instrText>
          </w:r>
          <w:r>
            <w:rPr>
              <w:w w:val="103"/>
            </w:rPr>
            <w:fldChar w:fldCharType="separate"/>
          </w:r>
          <w:r w:rsidR="00DC5E08">
            <w:rPr>
              <w:w w:val="103"/>
            </w:rPr>
            <w:t>40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E08">
            <w:rPr>
              <w:w w:val="103"/>
            </w:rPr>
            <w:t>40</w:t>
          </w:r>
          <w:r>
            <w:rPr>
              <w:w w:val="103"/>
            </w:rPr>
            <w:fldChar w:fldCharType="end"/>
          </w:r>
        </w:p>
      </w:tc>
    </w:tr>
  </w:tbl>
  <w:p w:rsidR="0079688F" w:rsidRPr="00DF6C30" w:rsidRDefault="0079688F" w:rsidP="00DF6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9688F" w:rsidTr="00DF6C30">
      <w:tc>
        <w:tcPr>
          <w:tcW w:w="5028" w:type="dxa"/>
          <w:shd w:val="clear" w:color="auto" w:fill="auto"/>
        </w:tcPr>
        <w:p w:rsidR="0079688F" w:rsidRPr="00DF6C30" w:rsidRDefault="0079688F" w:rsidP="00DF6C3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5E08">
            <w:rPr>
              <w:w w:val="103"/>
            </w:rPr>
            <w:t>40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E08">
            <w:rPr>
              <w:w w:val="103"/>
            </w:rPr>
            <w:t>40</w:t>
          </w:r>
          <w:r>
            <w:rPr>
              <w:w w:val="103"/>
            </w:rPr>
            <w:fldChar w:fldCharType="end"/>
          </w:r>
        </w:p>
      </w:tc>
      <w:tc>
        <w:tcPr>
          <w:tcW w:w="5028" w:type="dxa"/>
          <w:shd w:val="clear" w:color="auto" w:fill="auto"/>
        </w:tcPr>
        <w:p w:rsidR="0079688F" w:rsidRPr="00DF6C30" w:rsidRDefault="0079688F" w:rsidP="00DF6C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5E08">
            <w:rPr>
              <w:b w:val="0"/>
              <w:w w:val="103"/>
              <w:sz w:val="14"/>
            </w:rPr>
            <w:t>17-07753</w:t>
          </w:r>
          <w:r>
            <w:rPr>
              <w:b w:val="0"/>
              <w:w w:val="103"/>
              <w:sz w:val="14"/>
            </w:rPr>
            <w:fldChar w:fldCharType="end"/>
          </w:r>
        </w:p>
      </w:tc>
    </w:tr>
  </w:tbl>
  <w:p w:rsidR="0079688F" w:rsidRPr="00DF6C30" w:rsidRDefault="0079688F" w:rsidP="00DF6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9688F" w:rsidTr="00DF6C30">
      <w:tc>
        <w:tcPr>
          <w:tcW w:w="3801" w:type="dxa"/>
        </w:tcPr>
        <w:p w:rsidR="0079688F" w:rsidRDefault="0079688F" w:rsidP="009D4AC9">
          <w:pPr>
            <w:pStyle w:val="ReleaseDate"/>
          </w:pPr>
          <w:r>
            <w:rPr>
              <w:noProof/>
              <w:lang w:val="en-US"/>
            </w:rPr>
            <w:drawing>
              <wp:anchor distT="0" distB="0" distL="114300" distR="114300" simplePos="0" relativeHeight="251658240" behindDoc="0" locked="0" layoutInCell="1" allowOverlap="1" wp14:anchorId="7093819B" wp14:editId="65E00C6B">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BHS/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HS/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17-07753 (E)    140617    </w:t>
          </w:r>
        </w:p>
        <w:p w:rsidR="0079688F" w:rsidRPr="00DF6C30" w:rsidRDefault="0079688F" w:rsidP="00DF6C3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*1707753*</w:t>
          </w:r>
        </w:p>
      </w:tc>
      <w:tc>
        <w:tcPr>
          <w:tcW w:w="5028" w:type="dxa"/>
        </w:tcPr>
        <w:p w:rsidR="0079688F" w:rsidRDefault="0079688F" w:rsidP="00DF6C30">
          <w:pPr>
            <w:pStyle w:val="Footer"/>
            <w:jc w:val="right"/>
            <w:rPr>
              <w:b w:val="0"/>
              <w:sz w:val="20"/>
            </w:rPr>
          </w:pPr>
          <w:r>
            <w:rPr>
              <w:b w:val="0"/>
              <w:sz w:val="20"/>
            </w:rPr>
            <w:drawing>
              <wp:inline distT="0" distB="0" distL="0" distR="0" wp14:anchorId="5F49617A" wp14:editId="1D2D61C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9688F" w:rsidRPr="00DF6C30" w:rsidRDefault="0079688F" w:rsidP="00DF6C3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8F" w:rsidRDefault="0079688F" w:rsidP="000548B1">
      <w:pPr>
        <w:spacing w:line="240" w:lineRule="auto"/>
      </w:pPr>
      <w:r>
        <w:separator/>
      </w:r>
    </w:p>
  </w:footnote>
  <w:footnote w:type="continuationSeparator" w:id="0">
    <w:p w:rsidR="0079688F" w:rsidRDefault="0079688F" w:rsidP="000548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9688F" w:rsidTr="00DF6C30">
      <w:trPr>
        <w:trHeight w:hRule="exact" w:val="864"/>
      </w:trPr>
      <w:tc>
        <w:tcPr>
          <w:tcW w:w="4838" w:type="dxa"/>
          <w:shd w:val="clear" w:color="auto" w:fill="auto"/>
          <w:vAlign w:val="bottom"/>
        </w:tcPr>
        <w:p w:rsidR="0079688F" w:rsidRPr="00DF6C30" w:rsidRDefault="0079688F" w:rsidP="00DF6C30">
          <w:pPr>
            <w:pStyle w:val="Header"/>
            <w:spacing w:after="80"/>
            <w:rPr>
              <w:b/>
            </w:rPr>
          </w:pPr>
          <w:r>
            <w:rPr>
              <w:b/>
            </w:rPr>
            <w:fldChar w:fldCharType="begin"/>
          </w:r>
          <w:r>
            <w:rPr>
              <w:b/>
            </w:rPr>
            <w:instrText xml:space="preserve"> DOCVARIABLE "sss1" \* MERGEFORMAT </w:instrText>
          </w:r>
          <w:r>
            <w:rPr>
              <w:b/>
            </w:rPr>
            <w:fldChar w:fldCharType="separate"/>
          </w:r>
          <w:r w:rsidR="00DC5E08">
            <w:rPr>
              <w:b/>
            </w:rPr>
            <w:t>CEDAW/C/BHS/6</w:t>
          </w:r>
          <w:r>
            <w:rPr>
              <w:b/>
            </w:rPr>
            <w:fldChar w:fldCharType="end"/>
          </w:r>
        </w:p>
      </w:tc>
      <w:tc>
        <w:tcPr>
          <w:tcW w:w="5028" w:type="dxa"/>
          <w:shd w:val="clear" w:color="auto" w:fill="auto"/>
          <w:vAlign w:val="bottom"/>
        </w:tcPr>
        <w:p w:rsidR="0079688F" w:rsidRDefault="0079688F" w:rsidP="00DF6C30">
          <w:pPr>
            <w:pStyle w:val="Header"/>
          </w:pPr>
        </w:p>
      </w:tc>
    </w:tr>
  </w:tbl>
  <w:p w:rsidR="0079688F" w:rsidRPr="00DF6C30" w:rsidRDefault="0079688F" w:rsidP="00DF6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9688F" w:rsidTr="00DF6C30">
      <w:trPr>
        <w:trHeight w:hRule="exact" w:val="864"/>
      </w:trPr>
      <w:tc>
        <w:tcPr>
          <w:tcW w:w="4838" w:type="dxa"/>
          <w:shd w:val="clear" w:color="auto" w:fill="auto"/>
          <w:vAlign w:val="bottom"/>
        </w:tcPr>
        <w:p w:rsidR="0079688F" w:rsidRDefault="0079688F" w:rsidP="00DF6C30">
          <w:pPr>
            <w:pStyle w:val="Header"/>
          </w:pPr>
        </w:p>
      </w:tc>
      <w:tc>
        <w:tcPr>
          <w:tcW w:w="5028" w:type="dxa"/>
          <w:shd w:val="clear" w:color="auto" w:fill="auto"/>
          <w:vAlign w:val="bottom"/>
        </w:tcPr>
        <w:p w:rsidR="0079688F" w:rsidRPr="00DF6C30" w:rsidRDefault="0079688F" w:rsidP="00DF6C30">
          <w:pPr>
            <w:pStyle w:val="Header"/>
            <w:spacing w:after="80"/>
            <w:jc w:val="right"/>
            <w:rPr>
              <w:b/>
            </w:rPr>
          </w:pPr>
          <w:r>
            <w:rPr>
              <w:b/>
            </w:rPr>
            <w:fldChar w:fldCharType="begin"/>
          </w:r>
          <w:r>
            <w:rPr>
              <w:b/>
            </w:rPr>
            <w:instrText xml:space="preserve"> DOCVARIABLE "sss1" \* MERGEFORMAT </w:instrText>
          </w:r>
          <w:r>
            <w:rPr>
              <w:b/>
            </w:rPr>
            <w:fldChar w:fldCharType="separate"/>
          </w:r>
          <w:r w:rsidR="00DC5E08">
            <w:rPr>
              <w:b/>
            </w:rPr>
            <w:t>CEDAW/C/BHS/6</w:t>
          </w:r>
          <w:r>
            <w:rPr>
              <w:b/>
            </w:rPr>
            <w:fldChar w:fldCharType="end"/>
          </w:r>
        </w:p>
      </w:tc>
    </w:tr>
  </w:tbl>
  <w:p w:rsidR="0079688F" w:rsidRPr="00DF6C30" w:rsidRDefault="0079688F" w:rsidP="00DF6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9688F" w:rsidTr="00DF6C30">
      <w:trPr>
        <w:trHeight w:hRule="exact" w:val="864"/>
      </w:trPr>
      <w:tc>
        <w:tcPr>
          <w:tcW w:w="1267" w:type="dxa"/>
          <w:tcBorders>
            <w:bottom w:val="single" w:sz="4" w:space="0" w:color="auto"/>
          </w:tcBorders>
          <w:shd w:val="clear" w:color="auto" w:fill="auto"/>
          <w:vAlign w:val="bottom"/>
        </w:tcPr>
        <w:p w:rsidR="0079688F" w:rsidRDefault="0079688F" w:rsidP="00DF6C30">
          <w:pPr>
            <w:pStyle w:val="Header"/>
            <w:spacing w:after="120"/>
          </w:pPr>
        </w:p>
      </w:tc>
      <w:tc>
        <w:tcPr>
          <w:tcW w:w="1872" w:type="dxa"/>
          <w:tcBorders>
            <w:bottom w:val="single" w:sz="4" w:space="0" w:color="auto"/>
          </w:tcBorders>
          <w:shd w:val="clear" w:color="auto" w:fill="auto"/>
          <w:vAlign w:val="bottom"/>
        </w:tcPr>
        <w:p w:rsidR="0079688F" w:rsidRPr="00DF6C30" w:rsidRDefault="0079688F" w:rsidP="00DF6C3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9688F" w:rsidRDefault="0079688F" w:rsidP="00DF6C30">
          <w:pPr>
            <w:pStyle w:val="Header"/>
            <w:spacing w:after="120"/>
          </w:pPr>
        </w:p>
      </w:tc>
      <w:tc>
        <w:tcPr>
          <w:tcW w:w="6523" w:type="dxa"/>
          <w:gridSpan w:val="4"/>
          <w:tcBorders>
            <w:bottom w:val="single" w:sz="4" w:space="0" w:color="auto"/>
          </w:tcBorders>
          <w:shd w:val="clear" w:color="auto" w:fill="auto"/>
          <w:vAlign w:val="bottom"/>
        </w:tcPr>
        <w:p w:rsidR="0079688F" w:rsidRPr="00DF6C30" w:rsidRDefault="0079688F" w:rsidP="00DF6C30">
          <w:pPr>
            <w:spacing w:after="80" w:line="240" w:lineRule="auto"/>
            <w:jc w:val="right"/>
            <w:rPr>
              <w:position w:val="-4"/>
            </w:rPr>
          </w:pPr>
          <w:r>
            <w:rPr>
              <w:position w:val="-4"/>
              <w:sz w:val="40"/>
            </w:rPr>
            <w:t>CEDAW</w:t>
          </w:r>
          <w:r>
            <w:rPr>
              <w:position w:val="-4"/>
            </w:rPr>
            <w:t>/C/BHS/6</w:t>
          </w:r>
        </w:p>
      </w:tc>
    </w:tr>
    <w:tr w:rsidR="0079688F" w:rsidRPr="00DF6C30" w:rsidTr="00DF6C30">
      <w:trPr>
        <w:gridAfter w:val="1"/>
        <w:wAfter w:w="28" w:type="dxa"/>
        <w:trHeight w:hRule="exact" w:val="2880"/>
      </w:trPr>
      <w:tc>
        <w:tcPr>
          <w:tcW w:w="1267" w:type="dxa"/>
          <w:tcBorders>
            <w:top w:val="single" w:sz="4" w:space="0" w:color="auto"/>
            <w:bottom w:val="single" w:sz="12" w:space="0" w:color="auto"/>
          </w:tcBorders>
          <w:shd w:val="clear" w:color="auto" w:fill="auto"/>
        </w:tcPr>
        <w:p w:rsidR="0079688F" w:rsidRPr="00DF6C30" w:rsidRDefault="0079688F" w:rsidP="00DF6C30">
          <w:pPr>
            <w:pStyle w:val="Header"/>
            <w:spacing w:before="120"/>
            <w:jc w:val="center"/>
          </w:pPr>
          <w:r>
            <w:t xml:space="preserve"> </w:t>
          </w:r>
          <w:r>
            <w:drawing>
              <wp:inline distT="0" distB="0" distL="0" distR="0" wp14:anchorId="3F4C4DA1" wp14:editId="6D4AFB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9688F" w:rsidRPr="00DF6C30" w:rsidRDefault="0079688F" w:rsidP="00DF6C3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79688F" w:rsidRPr="00DF6C30" w:rsidRDefault="0079688F" w:rsidP="00DF6C30">
          <w:pPr>
            <w:pStyle w:val="Header"/>
            <w:spacing w:before="109"/>
          </w:pPr>
        </w:p>
      </w:tc>
      <w:tc>
        <w:tcPr>
          <w:tcW w:w="3140" w:type="dxa"/>
          <w:tcBorders>
            <w:top w:val="single" w:sz="4" w:space="0" w:color="auto"/>
            <w:bottom w:val="single" w:sz="12" w:space="0" w:color="auto"/>
          </w:tcBorders>
          <w:shd w:val="clear" w:color="auto" w:fill="auto"/>
        </w:tcPr>
        <w:p w:rsidR="0079688F" w:rsidRDefault="0079688F" w:rsidP="00DF6C30">
          <w:pPr>
            <w:pStyle w:val="Publication"/>
            <w:spacing w:before="240"/>
            <w:rPr>
              <w:color w:val="010000"/>
            </w:rPr>
          </w:pPr>
          <w:r>
            <w:rPr>
              <w:color w:val="010000"/>
            </w:rPr>
            <w:t>Distr.: General</w:t>
          </w:r>
        </w:p>
        <w:p w:rsidR="0079688F" w:rsidRDefault="0079688F" w:rsidP="00DF6C30">
          <w:r>
            <w:t>31 May 2017</w:t>
          </w:r>
        </w:p>
        <w:p w:rsidR="0079688F" w:rsidRDefault="0079688F" w:rsidP="00DF6C30"/>
        <w:p w:rsidR="0079688F" w:rsidRPr="00DF6C30" w:rsidRDefault="0079688F" w:rsidP="00DF6C30">
          <w:r>
            <w:t>Original: English</w:t>
          </w:r>
        </w:p>
      </w:tc>
    </w:tr>
  </w:tbl>
  <w:p w:rsidR="0079688F" w:rsidRPr="00DF6C30" w:rsidRDefault="0079688F" w:rsidP="00DF6C3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43C1"/>
    <w:multiLevelType w:val="multilevel"/>
    <w:tmpl w:val="78CCB7B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
    <w:nsid w:val="756F7F34"/>
    <w:multiLevelType w:val="multilevel"/>
    <w:tmpl w:val="903CD5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Q0MTAzNDEzNzI1N7dU0lEKTi0uzszPAykwrAUANdIHsCwAAAA="/>
    <w:docVar w:name="Barcode" w:val="*1707753*"/>
    <w:docVar w:name="CreationDt" w:val="14/06/2017 9:22: AM"/>
    <w:docVar w:name="DocCategory" w:val="Doc"/>
    <w:docVar w:name="DocType" w:val="Final"/>
    <w:docVar w:name="DutyStation" w:val="New York"/>
    <w:docVar w:name="FooterJN" w:val="17-07753"/>
    <w:docVar w:name="jobn" w:val="17-07753 (E)"/>
    <w:docVar w:name="jobnDT" w:val="17-07753 (E)   140617"/>
    <w:docVar w:name="jobnDTDT" w:val="17-07753 (E)   140617   140617"/>
    <w:docVar w:name="JobNo" w:val="1707753E"/>
    <w:docVar w:name="JobNo2" w:val="1713678E"/>
    <w:docVar w:name="LocalDrive" w:val="0"/>
    <w:docVar w:name="OandT" w:val="mr"/>
    <w:docVar w:name="sss1" w:val="CEDAW/C/BHS/6"/>
    <w:docVar w:name="sss2" w:val="-"/>
    <w:docVar w:name="Symbol1" w:val="CEDAW/C/BHS/6"/>
    <w:docVar w:name="Symbol2" w:val="-"/>
  </w:docVars>
  <w:rsids>
    <w:rsidRoot w:val="00E37111"/>
    <w:rsid w:val="00014D2A"/>
    <w:rsid w:val="0002170A"/>
    <w:rsid w:val="00023C01"/>
    <w:rsid w:val="00026F36"/>
    <w:rsid w:val="00030CA7"/>
    <w:rsid w:val="0003481C"/>
    <w:rsid w:val="00035B95"/>
    <w:rsid w:val="00041362"/>
    <w:rsid w:val="00042A9F"/>
    <w:rsid w:val="00043DD4"/>
    <w:rsid w:val="00045675"/>
    <w:rsid w:val="00046C55"/>
    <w:rsid w:val="000509AA"/>
    <w:rsid w:val="00052932"/>
    <w:rsid w:val="000548B1"/>
    <w:rsid w:val="000568F0"/>
    <w:rsid w:val="00056BD9"/>
    <w:rsid w:val="00057FF7"/>
    <w:rsid w:val="000644C9"/>
    <w:rsid w:val="00065259"/>
    <w:rsid w:val="000667B1"/>
    <w:rsid w:val="00073093"/>
    <w:rsid w:val="00081F6C"/>
    <w:rsid w:val="00082DDE"/>
    <w:rsid w:val="00087C50"/>
    <w:rsid w:val="00092B42"/>
    <w:rsid w:val="00094704"/>
    <w:rsid w:val="000B0C59"/>
    <w:rsid w:val="000B4E39"/>
    <w:rsid w:val="000C528A"/>
    <w:rsid w:val="000C5846"/>
    <w:rsid w:val="000D53D0"/>
    <w:rsid w:val="000D7549"/>
    <w:rsid w:val="000F15B0"/>
    <w:rsid w:val="000F4FC1"/>
    <w:rsid w:val="001069E1"/>
    <w:rsid w:val="001104E3"/>
    <w:rsid w:val="00112D88"/>
    <w:rsid w:val="001149A2"/>
    <w:rsid w:val="00120136"/>
    <w:rsid w:val="00125B53"/>
    <w:rsid w:val="001340A6"/>
    <w:rsid w:val="001343C4"/>
    <w:rsid w:val="00134990"/>
    <w:rsid w:val="00137DA1"/>
    <w:rsid w:val="00140E08"/>
    <w:rsid w:val="001410AB"/>
    <w:rsid w:val="00142269"/>
    <w:rsid w:val="00145D04"/>
    <w:rsid w:val="001529B2"/>
    <w:rsid w:val="0015321C"/>
    <w:rsid w:val="00170F6F"/>
    <w:rsid w:val="0017732E"/>
    <w:rsid w:val="0017780D"/>
    <w:rsid w:val="001807FF"/>
    <w:rsid w:val="00182C47"/>
    <w:rsid w:val="00186AAF"/>
    <w:rsid w:val="00191E10"/>
    <w:rsid w:val="00194988"/>
    <w:rsid w:val="001A16B8"/>
    <w:rsid w:val="001A1DA5"/>
    <w:rsid w:val="001C1623"/>
    <w:rsid w:val="001D051A"/>
    <w:rsid w:val="001E3FD1"/>
    <w:rsid w:val="001E67D6"/>
    <w:rsid w:val="001F02DC"/>
    <w:rsid w:val="001F1013"/>
    <w:rsid w:val="001F28F1"/>
    <w:rsid w:val="001F677C"/>
    <w:rsid w:val="00211360"/>
    <w:rsid w:val="00214302"/>
    <w:rsid w:val="00215E9E"/>
    <w:rsid w:val="00220B78"/>
    <w:rsid w:val="0022119F"/>
    <w:rsid w:val="00221CB9"/>
    <w:rsid w:val="0023372E"/>
    <w:rsid w:val="00245F3A"/>
    <w:rsid w:val="002525D5"/>
    <w:rsid w:val="00256A56"/>
    <w:rsid w:val="002576DC"/>
    <w:rsid w:val="00282A88"/>
    <w:rsid w:val="002863E9"/>
    <w:rsid w:val="002912E5"/>
    <w:rsid w:val="00291602"/>
    <w:rsid w:val="00293644"/>
    <w:rsid w:val="002969EB"/>
    <w:rsid w:val="002B2E00"/>
    <w:rsid w:val="002B5672"/>
    <w:rsid w:val="002B72FE"/>
    <w:rsid w:val="002C578C"/>
    <w:rsid w:val="002C7025"/>
    <w:rsid w:val="002D0DDA"/>
    <w:rsid w:val="002D193A"/>
    <w:rsid w:val="002D4370"/>
    <w:rsid w:val="002D7EE6"/>
    <w:rsid w:val="002F212C"/>
    <w:rsid w:val="002F46BE"/>
    <w:rsid w:val="00303911"/>
    <w:rsid w:val="00314BFA"/>
    <w:rsid w:val="00327FC0"/>
    <w:rsid w:val="003333DA"/>
    <w:rsid w:val="00340A8C"/>
    <w:rsid w:val="003456B6"/>
    <w:rsid w:val="00360170"/>
    <w:rsid w:val="00360F4E"/>
    <w:rsid w:val="00361E49"/>
    <w:rsid w:val="0036218F"/>
    <w:rsid w:val="00372FE7"/>
    <w:rsid w:val="00373367"/>
    <w:rsid w:val="00373472"/>
    <w:rsid w:val="00380242"/>
    <w:rsid w:val="0038240E"/>
    <w:rsid w:val="00386C55"/>
    <w:rsid w:val="0038781B"/>
    <w:rsid w:val="00391D26"/>
    <w:rsid w:val="0039533C"/>
    <w:rsid w:val="003A5DA3"/>
    <w:rsid w:val="003A6DDF"/>
    <w:rsid w:val="003B1684"/>
    <w:rsid w:val="003B5D86"/>
    <w:rsid w:val="003C45B6"/>
    <w:rsid w:val="003C4EE9"/>
    <w:rsid w:val="003C5F67"/>
    <w:rsid w:val="003D4241"/>
    <w:rsid w:val="003D47CC"/>
    <w:rsid w:val="003E23A8"/>
    <w:rsid w:val="003E4718"/>
    <w:rsid w:val="003F5904"/>
    <w:rsid w:val="00402D47"/>
    <w:rsid w:val="00403457"/>
    <w:rsid w:val="00410492"/>
    <w:rsid w:val="00412286"/>
    <w:rsid w:val="00422616"/>
    <w:rsid w:val="0042417F"/>
    <w:rsid w:val="00425997"/>
    <w:rsid w:val="004310A3"/>
    <w:rsid w:val="00433ED1"/>
    <w:rsid w:val="00435CFC"/>
    <w:rsid w:val="00436FBA"/>
    <w:rsid w:val="00437584"/>
    <w:rsid w:val="00442CAE"/>
    <w:rsid w:val="00442F8C"/>
    <w:rsid w:val="004449CF"/>
    <w:rsid w:val="00445620"/>
    <w:rsid w:val="00450A05"/>
    <w:rsid w:val="00451B4C"/>
    <w:rsid w:val="0045344E"/>
    <w:rsid w:val="004536C8"/>
    <w:rsid w:val="0045760E"/>
    <w:rsid w:val="004620FA"/>
    <w:rsid w:val="00471C4F"/>
    <w:rsid w:val="0047615F"/>
    <w:rsid w:val="00494AEC"/>
    <w:rsid w:val="004A0083"/>
    <w:rsid w:val="004A0D3C"/>
    <w:rsid w:val="004A7F1C"/>
    <w:rsid w:val="004B4826"/>
    <w:rsid w:val="004B5036"/>
    <w:rsid w:val="004C05FC"/>
    <w:rsid w:val="004C3F7F"/>
    <w:rsid w:val="004D75BC"/>
    <w:rsid w:val="004D780A"/>
    <w:rsid w:val="004E339B"/>
    <w:rsid w:val="004E51CE"/>
    <w:rsid w:val="004E6762"/>
    <w:rsid w:val="0050006B"/>
    <w:rsid w:val="0050213B"/>
    <w:rsid w:val="0051119B"/>
    <w:rsid w:val="005118E2"/>
    <w:rsid w:val="005127B1"/>
    <w:rsid w:val="00516D3B"/>
    <w:rsid w:val="00522019"/>
    <w:rsid w:val="005305E3"/>
    <w:rsid w:val="00537446"/>
    <w:rsid w:val="005550CD"/>
    <w:rsid w:val="00571BF8"/>
    <w:rsid w:val="0058495C"/>
    <w:rsid w:val="0058546C"/>
    <w:rsid w:val="00591617"/>
    <w:rsid w:val="0059544F"/>
    <w:rsid w:val="005A1D51"/>
    <w:rsid w:val="005A58A2"/>
    <w:rsid w:val="005B6BAC"/>
    <w:rsid w:val="005C6622"/>
    <w:rsid w:val="005D0FFD"/>
    <w:rsid w:val="005D3979"/>
    <w:rsid w:val="005D6016"/>
    <w:rsid w:val="005E0A8E"/>
    <w:rsid w:val="005E5C0D"/>
    <w:rsid w:val="005F510C"/>
    <w:rsid w:val="0060145B"/>
    <w:rsid w:val="006178D4"/>
    <w:rsid w:val="00617DC0"/>
    <w:rsid w:val="00626016"/>
    <w:rsid w:val="006440C2"/>
    <w:rsid w:val="00652E1B"/>
    <w:rsid w:val="00657D05"/>
    <w:rsid w:val="006601CE"/>
    <w:rsid w:val="00662599"/>
    <w:rsid w:val="006649D3"/>
    <w:rsid w:val="006715AF"/>
    <w:rsid w:val="006732DD"/>
    <w:rsid w:val="00675D0C"/>
    <w:rsid w:val="00677F66"/>
    <w:rsid w:val="00681C96"/>
    <w:rsid w:val="00682FD4"/>
    <w:rsid w:val="0069225B"/>
    <w:rsid w:val="00693E24"/>
    <w:rsid w:val="006942F6"/>
    <w:rsid w:val="006A44BD"/>
    <w:rsid w:val="006B1344"/>
    <w:rsid w:val="006C20A2"/>
    <w:rsid w:val="006C369B"/>
    <w:rsid w:val="006C6582"/>
    <w:rsid w:val="006D4673"/>
    <w:rsid w:val="006D55DF"/>
    <w:rsid w:val="006E1158"/>
    <w:rsid w:val="006F61C2"/>
    <w:rsid w:val="007023CE"/>
    <w:rsid w:val="0070756A"/>
    <w:rsid w:val="00713DC5"/>
    <w:rsid w:val="0072246E"/>
    <w:rsid w:val="0073380F"/>
    <w:rsid w:val="00743F6B"/>
    <w:rsid w:val="0074577B"/>
    <w:rsid w:val="007566E9"/>
    <w:rsid w:val="00762CED"/>
    <w:rsid w:val="00775D9E"/>
    <w:rsid w:val="007828E6"/>
    <w:rsid w:val="007857F3"/>
    <w:rsid w:val="00793CB5"/>
    <w:rsid w:val="00794974"/>
    <w:rsid w:val="0079688F"/>
    <w:rsid w:val="00797591"/>
    <w:rsid w:val="00797E61"/>
    <w:rsid w:val="007B0E78"/>
    <w:rsid w:val="007B1D8D"/>
    <w:rsid w:val="007B579F"/>
    <w:rsid w:val="007D032A"/>
    <w:rsid w:val="007D1475"/>
    <w:rsid w:val="007D1580"/>
    <w:rsid w:val="007D7E71"/>
    <w:rsid w:val="007E4E62"/>
    <w:rsid w:val="0081408C"/>
    <w:rsid w:val="008177F2"/>
    <w:rsid w:val="008347AA"/>
    <w:rsid w:val="0084643C"/>
    <w:rsid w:val="00853129"/>
    <w:rsid w:val="008537A9"/>
    <w:rsid w:val="00866E8D"/>
    <w:rsid w:val="008719A4"/>
    <w:rsid w:val="008733D0"/>
    <w:rsid w:val="008903A9"/>
    <w:rsid w:val="008912F8"/>
    <w:rsid w:val="00892984"/>
    <w:rsid w:val="00893D16"/>
    <w:rsid w:val="00894A45"/>
    <w:rsid w:val="00894D36"/>
    <w:rsid w:val="00895B37"/>
    <w:rsid w:val="008977DF"/>
    <w:rsid w:val="008A7C7D"/>
    <w:rsid w:val="008B0D9E"/>
    <w:rsid w:val="008B4E70"/>
    <w:rsid w:val="008B5976"/>
    <w:rsid w:val="008C0829"/>
    <w:rsid w:val="008C3B30"/>
    <w:rsid w:val="008C7B74"/>
    <w:rsid w:val="008F0EE2"/>
    <w:rsid w:val="00910A8B"/>
    <w:rsid w:val="009131A3"/>
    <w:rsid w:val="0092341F"/>
    <w:rsid w:val="00946D58"/>
    <w:rsid w:val="00950E8F"/>
    <w:rsid w:val="009620BF"/>
    <w:rsid w:val="00967DC6"/>
    <w:rsid w:val="00973192"/>
    <w:rsid w:val="0098076C"/>
    <w:rsid w:val="009905DD"/>
    <w:rsid w:val="00996869"/>
    <w:rsid w:val="0099728D"/>
    <w:rsid w:val="009A5548"/>
    <w:rsid w:val="009B1BD4"/>
    <w:rsid w:val="009B1C10"/>
    <w:rsid w:val="009B62B9"/>
    <w:rsid w:val="009B705F"/>
    <w:rsid w:val="009C3186"/>
    <w:rsid w:val="009C351B"/>
    <w:rsid w:val="009C4D90"/>
    <w:rsid w:val="009C502F"/>
    <w:rsid w:val="009C56F5"/>
    <w:rsid w:val="009C69C8"/>
    <w:rsid w:val="009D2840"/>
    <w:rsid w:val="009D2B19"/>
    <w:rsid w:val="009D4AC9"/>
    <w:rsid w:val="009D5A75"/>
    <w:rsid w:val="009E44B7"/>
    <w:rsid w:val="009F7296"/>
    <w:rsid w:val="00A028C7"/>
    <w:rsid w:val="00A04107"/>
    <w:rsid w:val="00A102A1"/>
    <w:rsid w:val="00A104F7"/>
    <w:rsid w:val="00A10DA9"/>
    <w:rsid w:val="00A15AF1"/>
    <w:rsid w:val="00A31B88"/>
    <w:rsid w:val="00A3458A"/>
    <w:rsid w:val="00A34D29"/>
    <w:rsid w:val="00A409A3"/>
    <w:rsid w:val="00A50DB6"/>
    <w:rsid w:val="00A52C4A"/>
    <w:rsid w:val="00A57A4A"/>
    <w:rsid w:val="00A6060C"/>
    <w:rsid w:val="00A6147E"/>
    <w:rsid w:val="00A6472D"/>
    <w:rsid w:val="00A6656C"/>
    <w:rsid w:val="00A7307A"/>
    <w:rsid w:val="00A76B25"/>
    <w:rsid w:val="00A8251D"/>
    <w:rsid w:val="00A876C1"/>
    <w:rsid w:val="00A91EBA"/>
    <w:rsid w:val="00A926ED"/>
    <w:rsid w:val="00A9283A"/>
    <w:rsid w:val="00A930C4"/>
    <w:rsid w:val="00A97F63"/>
    <w:rsid w:val="00AA07EB"/>
    <w:rsid w:val="00AA3670"/>
    <w:rsid w:val="00AA49E5"/>
    <w:rsid w:val="00AB0646"/>
    <w:rsid w:val="00AB2AED"/>
    <w:rsid w:val="00AC6FE7"/>
    <w:rsid w:val="00AD1FE2"/>
    <w:rsid w:val="00AD4313"/>
    <w:rsid w:val="00AF32BE"/>
    <w:rsid w:val="00AF50FD"/>
    <w:rsid w:val="00AF7333"/>
    <w:rsid w:val="00AF78D6"/>
    <w:rsid w:val="00B02DF2"/>
    <w:rsid w:val="00B11CD5"/>
    <w:rsid w:val="00B24546"/>
    <w:rsid w:val="00B25796"/>
    <w:rsid w:val="00B316CD"/>
    <w:rsid w:val="00B3330A"/>
    <w:rsid w:val="00B41909"/>
    <w:rsid w:val="00B42CB2"/>
    <w:rsid w:val="00B4332E"/>
    <w:rsid w:val="00B47E13"/>
    <w:rsid w:val="00B536C1"/>
    <w:rsid w:val="00B615DE"/>
    <w:rsid w:val="00B6381E"/>
    <w:rsid w:val="00B64DDF"/>
    <w:rsid w:val="00B71323"/>
    <w:rsid w:val="00B73A3C"/>
    <w:rsid w:val="00B74D11"/>
    <w:rsid w:val="00B75DE2"/>
    <w:rsid w:val="00B8247E"/>
    <w:rsid w:val="00B83DAF"/>
    <w:rsid w:val="00B92BEE"/>
    <w:rsid w:val="00B956DB"/>
    <w:rsid w:val="00BA4C7A"/>
    <w:rsid w:val="00BA6617"/>
    <w:rsid w:val="00BB242D"/>
    <w:rsid w:val="00BB4723"/>
    <w:rsid w:val="00BB6C60"/>
    <w:rsid w:val="00BC1B90"/>
    <w:rsid w:val="00BC212D"/>
    <w:rsid w:val="00BC54C4"/>
    <w:rsid w:val="00BD561E"/>
    <w:rsid w:val="00BD57A4"/>
    <w:rsid w:val="00BE0E65"/>
    <w:rsid w:val="00BE224E"/>
    <w:rsid w:val="00BE36F2"/>
    <w:rsid w:val="00C021E0"/>
    <w:rsid w:val="00C045F4"/>
    <w:rsid w:val="00C076C2"/>
    <w:rsid w:val="00C12FB6"/>
    <w:rsid w:val="00C155B1"/>
    <w:rsid w:val="00C241D1"/>
    <w:rsid w:val="00C25DE4"/>
    <w:rsid w:val="00C41ACC"/>
    <w:rsid w:val="00C60B9E"/>
    <w:rsid w:val="00C6148F"/>
    <w:rsid w:val="00C67219"/>
    <w:rsid w:val="00C70A30"/>
    <w:rsid w:val="00C71464"/>
    <w:rsid w:val="00C7619E"/>
    <w:rsid w:val="00C82204"/>
    <w:rsid w:val="00C83EB3"/>
    <w:rsid w:val="00C96BDE"/>
    <w:rsid w:val="00C97039"/>
    <w:rsid w:val="00CA041A"/>
    <w:rsid w:val="00CA6FBB"/>
    <w:rsid w:val="00CA701F"/>
    <w:rsid w:val="00CB6B43"/>
    <w:rsid w:val="00CC67B4"/>
    <w:rsid w:val="00CC783B"/>
    <w:rsid w:val="00CC79E0"/>
    <w:rsid w:val="00CE3B8C"/>
    <w:rsid w:val="00CF7986"/>
    <w:rsid w:val="00D055EA"/>
    <w:rsid w:val="00D10C65"/>
    <w:rsid w:val="00D1390F"/>
    <w:rsid w:val="00D149FF"/>
    <w:rsid w:val="00D20B27"/>
    <w:rsid w:val="00D30DC0"/>
    <w:rsid w:val="00D35727"/>
    <w:rsid w:val="00D37EAA"/>
    <w:rsid w:val="00D455E8"/>
    <w:rsid w:val="00D4705A"/>
    <w:rsid w:val="00D47BC3"/>
    <w:rsid w:val="00D5252D"/>
    <w:rsid w:val="00D62690"/>
    <w:rsid w:val="00D631AF"/>
    <w:rsid w:val="00D738FA"/>
    <w:rsid w:val="00D8452B"/>
    <w:rsid w:val="00D85146"/>
    <w:rsid w:val="00D92721"/>
    <w:rsid w:val="00DA1772"/>
    <w:rsid w:val="00DA1A31"/>
    <w:rsid w:val="00DA5960"/>
    <w:rsid w:val="00DA77BF"/>
    <w:rsid w:val="00DB6487"/>
    <w:rsid w:val="00DC5E08"/>
    <w:rsid w:val="00DD0DB4"/>
    <w:rsid w:val="00DE1685"/>
    <w:rsid w:val="00DE4E9A"/>
    <w:rsid w:val="00DE7932"/>
    <w:rsid w:val="00DF1566"/>
    <w:rsid w:val="00DF1B30"/>
    <w:rsid w:val="00DF41E8"/>
    <w:rsid w:val="00DF6C30"/>
    <w:rsid w:val="00E03D8A"/>
    <w:rsid w:val="00E0614A"/>
    <w:rsid w:val="00E06971"/>
    <w:rsid w:val="00E10384"/>
    <w:rsid w:val="00E144D3"/>
    <w:rsid w:val="00E27116"/>
    <w:rsid w:val="00E30C49"/>
    <w:rsid w:val="00E351EE"/>
    <w:rsid w:val="00E355D6"/>
    <w:rsid w:val="00E37111"/>
    <w:rsid w:val="00E40A03"/>
    <w:rsid w:val="00E44BCA"/>
    <w:rsid w:val="00E607DD"/>
    <w:rsid w:val="00E65FF6"/>
    <w:rsid w:val="00E70F2C"/>
    <w:rsid w:val="00E711BA"/>
    <w:rsid w:val="00E85476"/>
    <w:rsid w:val="00E87203"/>
    <w:rsid w:val="00E90010"/>
    <w:rsid w:val="00E93354"/>
    <w:rsid w:val="00EA1526"/>
    <w:rsid w:val="00EB166C"/>
    <w:rsid w:val="00EB1F9C"/>
    <w:rsid w:val="00EB2831"/>
    <w:rsid w:val="00EB3CFD"/>
    <w:rsid w:val="00EC05A0"/>
    <w:rsid w:val="00EC78F1"/>
    <w:rsid w:val="00EE0016"/>
    <w:rsid w:val="00EE172A"/>
    <w:rsid w:val="00EF00C4"/>
    <w:rsid w:val="00EF53E1"/>
    <w:rsid w:val="00EF5417"/>
    <w:rsid w:val="00F23653"/>
    <w:rsid w:val="00F27136"/>
    <w:rsid w:val="00F33FCB"/>
    <w:rsid w:val="00F437FF"/>
    <w:rsid w:val="00F47999"/>
    <w:rsid w:val="00F518E6"/>
    <w:rsid w:val="00F64363"/>
    <w:rsid w:val="00F712E0"/>
    <w:rsid w:val="00F71EB9"/>
    <w:rsid w:val="00F7615F"/>
    <w:rsid w:val="00F8125D"/>
    <w:rsid w:val="00F81F52"/>
    <w:rsid w:val="00F84AFE"/>
    <w:rsid w:val="00F84D40"/>
    <w:rsid w:val="00F8665A"/>
    <w:rsid w:val="00F952CF"/>
    <w:rsid w:val="00F95D00"/>
    <w:rsid w:val="00FA257A"/>
    <w:rsid w:val="00FB0EB1"/>
    <w:rsid w:val="00FB33B6"/>
    <w:rsid w:val="00FB5626"/>
    <w:rsid w:val="00FC14B4"/>
    <w:rsid w:val="00FC3256"/>
    <w:rsid w:val="00FC61EE"/>
    <w:rsid w:val="00FD2ACE"/>
    <w:rsid w:val="00FF7D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9C4D9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D90"/>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C4D90"/>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themeColor="hyperlink"/>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DF6C30"/>
    <w:pPr>
      <w:spacing w:line="240" w:lineRule="auto"/>
    </w:pPr>
  </w:style>
  <w:style w:type="character" w:customStyle="1" w:styleId="CommentTextChar">
    <w:name w:val="Comment Text Char"/>
    <w:basedOn w:val="DefaultParagraphFont"/>
    <w:link w:val="CommentText"/>
    <w:uiPriority w:val="99"/>
    <w:semiHidden/>
    <w:rsid w:val="00DF6C3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F6C30"/>
    <w:rPr>
      <w:b/>
      <w:bCs/>
    </w:rPr>
  </w:style>
  <w:style w:type="character" w:customStyle="1" w:styleId="CommentSubjectChar">
    <w:name w:val="Comment Subject Char"/>
    <w:basedOn w:val="CommentTextChar"/>
    <w:link w:val="CommentSubject"/>
    <w:uiPriority w:val="99"/>
    <w:semiHidden/>
    <w:rsid w:val="00DF6C30"/>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9C4D90"/>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9C4D90"/>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9C4D90"/>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9C4D90"/>
    <w:pPr>
      <w:ind w:left="720"/>
      <w:contextualSpacing/>
    </w:pPr>
  </w:style>
  <w:style w:type="paragraph" w:customStyle="1" w:styleId="XLargeG">
    <w:name w:val="__XLarge_G"/>
    <w:basedOn w:val="Normal"/>
    <w:next w:val="Normal"/>
    <w:rsid w:val="00314BFA"/>
    <w:pPr>
      <w:keepNext/>
      <w:keepLines/>
      <w:spacing w:before="240" w:after="240" w:line="420" w:lineRule="exact"/>
      <w:ind w:left="1134" w:right="1134"/>
    </w:pPr>
    <w:rPr>
      <w:rFonts w:eastAsia="Times New Roman"/>
      <w:b/>
      <w:spacing w:val="0"/>
      <w:w w:val="100"/>
      <w:kern w:val="0"/>
      <w:sz w:val="40"/>
    </w:rPr>
  </w:style>
  <w:style w:type="paragraph" w:customStyle="1" w:styleId="SingleTxtG">
    <w:name w:val="_ Single Txt_G"/>
    <w:basedOn w:val="Normal"/>
    <w:rsid w:val="002863E9"/>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uiPriority w:val="99"/>
    <w:semiHidden/>
    <w:unhideWhenUsed/>
    <w:rsid w:val="00C045F4"/>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9C4D9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D90"/>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C4D90"/>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themeColor="hyperlink"/>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DF6C30"/>
    <w:pPr>
      <w:spacing w:line="240" w:lineRule="auto"/>
    </w:pPr>
  </w:style>
  <w:style w:type="character" w:customStyle="1" w:styleId="CommentTextChar">
    <w:name w:val="Comment Text Char"/>
    <w:basedOn w:val="DefaultParagraphFont"/>
    <w:link w:val="CommentText"/>
    <w:uiPriority w:val="99"/>
    <w:semiHidden/>
    <w:rsid w:val="00DF6C3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F6C30"/>
    <w:rPr>
      <w:b/>
      <w:bCs/>
    </w:rPr>
  </w:style>
  <w:style w:type="character" w:customStyle="1" w:styleId="CommentSubjectChar">
    <w:name w:val="Comment Subject Char"/>
    <w:basedOn w:val="CommentTextChar"/>
    <w:link w:val="CommentSubject"/>
    <w:uiPriority w:val="99"/>
    <w:semiHidden/>
    <w:rsid w:val="00DF6C30"/>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9C4D90"/>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9C4D90"/>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9C4D90"/>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9C4D90"/>
    <w:pPr>
      <w:ind w:left="720"/>
      <w:contextualSpacing/>
    </w:pPr>
  </w:style>
  <w:style w:type="paragraph" w:customStyle="1" w:styleId="XLargeG">
    <w:name w:val="__XLarge_G"/>
    <w:basedOn w:val="Normal"/>
    <w:next w:val="Normal"/>
    <w:rsid w:val="00314BFA"/>
    <w:pPr>
      <w:keepNext/>
      <w:keepLines/>
      <w:spacing w:before="240" w:after="240" w:line="420" w:lineRule="exact"/>
      <w:ind w:left="1134" w:right="1134"/>
    </w:pPr>
    <w:rPr>
      <w:rFonts w:eastAsia="Times New Roman"/>
      <w:b/>
      <w:spacing w:val="0"/>
      <w:w w:val="100"/>
      <w:kern w:val="0"/>
      <w:sz w:val="40"/>
    </w:rPr>
  </w:style>
  <w:style w:type="paragraph" w:customStyle="1" w:styleId="SingleTxtG">
    <w:name w:val="_ Single Txt_G"/>
    <w:basedOn w:val="Normal"/>
    <w:rsid w:val="002863E9"/>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uiPriority w:val="99"/>
    <w:semiHidden/>
    <w:unhideWhenUsed/>
    <w:rsid w:val="00C045F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0E02-20C1-42A2-B682-2EF1353F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40</Pages>
  <Words>15371</Words>
  <Characters>84755</Characters>
  <Application>Microsoft Office Word</Application>
  <DocSecurity>0</DocSecurity>
  <Lines>2769</Lines>
  <Paragraphs>1357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Jayne Grodd</cp:lastModifiedBy>
  <cp:revision>9</cp:revision>
  <cp:lastPrinted>2017-06-14T23:36:00Z</cp:lastPrinted>
  <dcterms:created xsi:type="dcterms:W3CDTF">2017-06-14T22:29:00Z</dcterms:created>
  <dcterms:modified xsi:type="dcterms:W3CDTF">2017-06-14T23:46:00Z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1707753</vt:lpwstr>
  </property>
  <property fmtid="{D5CDD505-2E9C-101B-9397-08002B2CF9AE}" pid="3" name="ODSRefJobNo">
    <vt:lpwstr>1713678E</vt:lpwstr>
  </property>
  <property fmtid="{D5CDD505-2E9C-101B-9397-08002B2CF9AE}" pid="4" name="Symbol1">
    <vt:lpwstr>CEDAW/C/BHS/6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Committee on the Elimination of Discrimination_x000d_</vt:lpwstr>
  </property>
  <property fmtid="{D5CDD505-2E9C-101B-9397-08002B2CF9AE}" pid="9" name="Title2">
    <vt:lpwstr>against Women_x000d__x000d__x000d__x000d_</vt:lpwstr>
  </property>
  <property fmtid="{D5CDD505-2E9C-101B-9397-08002B2CF9AE}" pid="10" name="Title3">
    <vt:lpwstr>		Consideration of reports submitted by States parties under article 18 of the Convention _x000d__x000d__x000d_</vt:lpwstr>
  </property>
  <property fmtid="{D5CDD505-2E9C-101B-9397-08002B2CF9AE}" pid="11" name="Title4">
    <vt:lpwstr>		Bahamas*_x000d__x000d_</vt:lpwstr>
  </property>
  <property fmtid="{D5CDD505-2E9C-101B-9397-08002B2CF9AE}" pid="12" name="Title5">
    <vt:lpwstr>		List of abbreviations_x000d__x000d__x000d_</vt:lpwstr>
  </property>
  <property fmtid="{D5CDD505-2E9C-101B-9397-08002B2CF9AE}" pid="13" name="Comment">
    <vt:lpwstr/>
  </property>
  <property fmtid="{D5CDD505-2E9C-101B-9397-08002B2CF9AE}" pid="14" name="DraftPages">
    <vt:lpwstr>40 (FINAL)</vt:lpwstr>
  </property>
  <property fmtid="{D5CDD505-2E9C-101B-9397-08002B2CF9AE}" pid="15" name="Operator">
    <vt:lpwstr>JG (F)</vt:lpwstr>
  </property>
</Properties>
</file>