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60" w:lineRule="exact"/>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spacing w:line="60" w:lineRule="exact"/>
        <w:rPr>
          <w:sz w:val="6"/>
        </w:rPr>
        <w:sectPr w:rsidR="00000000">
          <w:headerReference w:type="first" r:id="rId14"/>
          <w:footerReference w:type="first" r:id="rId15"/>
          <w:endnotePr>
            <w:numFmt w:val="decimal"/>
          </w:endnotePr>
          <w:type w:val="continuous"/>
          <w:pgSz w:w="12240" w:h="15840" w:code="1"/>
          <w:pgMar w:top="1742" w:right="1195" w:bottom="1898" w:left="1195" w:header="576" w:footer="1030" w:gutter="0"/>
          <w:cols w:space="720"/>
          <w:noEndnote/>
        </w:sectPr>
      </w:pPr>
      <w:r>
        <w:rPr>
          <w:rStyle w:val="CommentReference"/>
          <w:vanish/>
        </w:rPr>
        <w:commentReference w:id="1"/>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Комитет по ликвидации дискриминации</w:t>
      </w:r>
      <w:r>
        <w:br/>
        <w:t>в отношении женщин</w:t>
      </w:r>
    </w:p>
    <w:p w:rsidR="00000000" w:rsidRDefault="00000000">
      <w:pPr>
        <w:tabs>
          <w:tab w:val="right" w:pos="1022"/>
          <w:tab w:val="left" w:pos="1267"/>
          <w:tab w:val="left" w:pos="2218"/>
          <w:tab w:val="left" w:pos="2693"/>
          <w:tab w:val="left" w:pos="3182"/>
          <w:tab w:val="left" w:pos="3658"/>
          <w:tab w:val="left" w:pos="4133"/>
          <w:tab w:val="left" w:pos="4622"/>
          <w:tab w:val="left" w:pos="5098"/>
          <w:tab w:val="left" w:pos="5573"/>
          <w:tab w:val="left" w:pos="6048"/>
        </w:tabs>
        <w:rPr>
          <w:b/>
        </w:rPr>
      </w:pPr>
      <w:r>
        <w:rPr>
          <w:b/>
        </w:rPr>
        <w:t>Предсессионная рабочая группа</w:t>
      </w:r>
      <w:r>
        <w:rPr>
          <w:b/>
        </w:rPr>
        <w:br/>
        <w:t>Тридцать пятая сессия</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15 мая — 2 июня 2006 года</w:t>
      </w:r>
    </w:p>
    <w:p w:rsidR="00000000" w:rsidRDefault="00000000">
      <w:pPr>
        <w:spacing w:line="120" w:lineRule="exact"/>
        <w:rPr>
          <w:sz w:val="10"/>
        </w:rPr>
      </w:pPr>
    </w:p>
    <w:p w:rsidR="00000000" w:rsidRDefault="00000000">
      <w:pPr>
        <w:spacing w:line="120" w:lineRule="exact"/>
        <w:rPr>
          <w:sz w:val="10"/>
        </w:rPr>
      </w:pPr>
    </w:p>
    <w:p w:rsidR="00000000" w:rsidRDefault="00000000">
      <w:pPr>
        <w:spacing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Ответы на перечень тем и вопросов в связи</w:t>
      </w:r>
      <w:r>
        <w:br/>
        <w:t>с рассмотрением объединенных первоначального, второго и третьего периодических докладов</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Босния и Герцеговина</w:t>
      </w:r>
      <w:r>
        <w:rPr>
          <w:rStyle w:val="FootnoteReference"/>
          <w:b w:val="0"/>
          <w:sz w:val="20"/>
        </w:rPr>
        <w:footnoteReference w:customMarkFollows="1" w:id="1"/>
        <w: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r>
      <w:r>
        <w:rPr>
          <w:i/>
        </w:rPr>
        <w:t>Примечание</w:t>
      </w:r>
      <w:r>
        <w:t>: все ответы получены на основе информации и данных, п</w:t>
      </w:r>
      <w:r>
        <w:t>о</w:t>
      </w:r>
      <w:r>
        <w:t>ступивших от различных органов власти (государства/образований/кантонов/</w:t>
      </w:r>
      <w:r>
        <w:br/>
        <w:t>муниципалитетов) в зависимости от областей их ответственности и их манд</w:t>
      </w:r>
      <w:r>
        <w:t>а</w:t>
      </w:r>
      <w:r>
        <w:t>тов.</w:t>
      </w:r>
    </w:p>
    <w:p w:rsidR="00000000" w:rsidRDefault="00000000">
      <w:pPr>
        <w:pStyle w:val="SingleTxt"/>
      </w:pPr>
      <w:r>
        <w:tab/>
        <w:t>Информация, которая может отсутствовать, в настоящее время собирается и будет представлена на тридцать пятой сессии.</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Общие замечания</w:t>
      </w:r>
    </w:p>
    <w:p w:rsidR="00000000" w:rsidRDefault="00000000">
      <w:pPr>
        <w:pStyle w:val="SingleTxt"/>
        <w:spacing w:after="0" w:line="120" w:lineRule="exact"/>
        <w:rPr>
          <w:sz w:val="10"/>
        </w:rPr>
      </w:pPr>
    </w:p>
    <w:p w:rsidR="00000000" w:rsidRDefault="00000000">
      <w:pPr>
        <w:pStyle w:val="SingleTxt"/>
        <w:rPr>
          <w:i/>
        </w:rPr>
      </w:pPr>
      <w:r>
        <w:t>1.</w:t>
      </w:r>
      <w:r>
        <w:tab/>
      </w:r>
      <w:r>
        <w:rPr>
          <w:b/>
        </w:rPr>
        <w:t>Просьба представить информацию о процессе подготовки объедине</w:t>
      </w:r>
      <w:r>
        <w:rPr>
          <w:b/>
        </w:rPr>
        <w:t>н</w:t>
      </w:r>
      <w:r>
        <w:rPr>
          <w:b/>
        </w:rPr>
        <w:t>ных первоначального, второго и третьего периодических докладов. В этой информации должны содержаться сведения о том, какие государственные ведомства и учреждения принимали участие в этом процессе, о характере и масштабах их участия, проводились ли консультации с неправительс</w:t>
      </w:r>
      <w:r>
        <w:rPr>
          <w:b/>
        </w:rPr>
        <w:t>т</w:t>
      </w:r>
      <w:r>
        <w:rPr>
          <w:b/>
        </w:rPr>
        <w:t>венными организациями, в частности женскими организациями, и был ли этот доклад утвержден правительством Боснии и Герцеговины, обсужда</w:t>
      </w:r>
      <w:r>
        <w:rPr>
          <w:b/>
        </w:rPr>
        <w:t>л</w:t>
      </w:r>
      <w:r>
        <w:rPr>
          <w:b/>
        </w:rPr>
        <w:t>ся ли и оценивался ли он на уровне образований и представлялся ли он на рассмотрение парл</w:t>
      </w:r>
      <w:r>
        <w:rPr>
          <w:b/>
        </w:rPr>
        <w:t>а</w:t>
      </w:r>
      <w:r>
        <w:rPr>
          <w:b/>
        </w:rPr>
        <w:t>мента.</w:t>
      </w:r>
    </w:p>
    <w:p w:rsidR="00000000" w:rsidRDefault="00000000">
      <w:pPr>
        <w:pStyle w:val="SingleTxt"/>
      </w:pPr>
      <w:r>
        <w:tab/>
        <w:t>Поскольку пока еще не создано агентство Боснии и Герцеговины по в</w:t>
      </w:r>
      <w:r>
        <w:t>о</w:t>
      </w:r>
      <w:r>
        <w:t>просам равенства между мужчинами и женщинами, центры Федерации Боснии и Герцеговины и Республики Сербской по гендерным вопросам сформировали рабочие группы для подготовки доклада об осуществлении Конвенции о ли</w:t>
      </w:r>
      <w:r>
        <w:t>к</w:t>
      </w:r>
      <w:r>
        <w:t>видации всех форм дискриминации в отношении женщин (КЛДЖ). Эти раб</w:t>
      </w:r>
      <w:r>
        <w:t>о</w:t>
      </w:r>
      <w:r>
        <w:t>чие группы в обоих образованиях включали представителей как правительс</w:t>
      </w:r>
      <w:r>
        <w:t>т</w:t>
      </w:r>
      <w:r>
        <w:t>венных (координаторы министерств Федерации Боснии и Герцеговины и Ре</w:t>
      </w:r>
      <w:r>
        <w:t>с</w:t>
      </w:r>
      <w:r>
        <w:t>публики Сербской, а также министры кантонов), так и неправительственных секторов. С участием неправительственных организаций были организованы общественные слушания для представления окончательных вариантов докл</w:t>
      </w:r>
      <w:r>
        <w:t>а</w:t>
      </w:r>
      <w:r>
        <w:t>дов образований и обмена мнениями. КД</w:t>
      </w:r>
      <w:r>
        <w:noBreakHyphen/>
        <w:t>ПЗУ с докладами образований были распространены среди всех участников процесса подготовки, а также в связи с празднованием Дня женщин 8 марта среди широкой общественности. Эти до</w:t>
      </w:r>
      <w:r>
        <w:t>к</w:t>
      </w:r>
      <w:r>
        <w:t>лады также были представлены в печатном виде членам парламе</w:t>
      </w:r>
      <w:r>
        <w:t>н</w:t>
      </w:r>
      <w:r>
        <w:t>та.</w:t>
      </w:r>
    </w:p>
    <w:p w:rsidR="00000000" w:rsidRDefault="00000000">
      <w:pPr>
        <w:pStyle w:val="SingleTxt"/>
      </w:pPr>
      <w:r>
        <w:tab/>
        <w:t>Министерство по правам человека и делам беженцев Боснии и Герцегов</w:t>
      </w:r>
      <w:r>
        <w:t>и</w:t>
      </w:r>
      <w:r>
        <w:t>ны объединило эти два доклада образований по вопросам КЛДЖ в один до</w:t>
      </w:r>
      <w:r>
        <w:t>к</w:t>
      </w:r>
      <w:r>
        <w:t>лад. Первоначальный доклад Боснии и Герцеговины об осуществлении Ко</w:t>
      </w:r>
      <w:r>
        <w:t>н</w:t>
      </w:r>
      <w:r>
        <w:t>венции о ликвидации всех форм дискриминации в отношении женщин (КЛДЖ) не проходил парламентскую процедуру, однако он был представлен всем па</w:t>
      </w:r>
      <w:r>
        <w:t>р</w:t>
      </w:r>
      <w:r>
        <w:t>ламентским комиссиям на всех уровнях. Он был одобрен Советом министров Боснии и Герцеговины. В 2004 году доклад был представлен министерству иностранных дел Боснии и Герцеговины для передачи Комитету Организации Объединенных Наций по ликвидации дискриминации в отношении женщин.</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Статьи 1 и 2</w:t>
      </w:r>
    </w:p>
    <w:p w:rsidR="00000000" w:rsidRDefault="00000000">
      <w:pPr>
        <w:pStyle w:val="SingleTxt"/>
        <w:spacing w:after="0" w:line="120" w:lineRule="exact"/>
        <w:rPr>
          <w:sz w:val="10"/>
        </w:rPr>
      </w:pPr>
    </w:p>
    <w:p w:rsidR="00000000" w:rsidRDefault="00000000">
      <w:pPr>
        <w:pStyle w:val="SingleTxt"/>
        <w:rPr>
          <w:b/>
        </w:rPr>
      </w:pPr>
      <w:r>
        <w:t>2.</w:t>
      </w:r>
      <w:r>
        <w:tab/>
      </w:r>
      <w:r>
        <w:rPr>
          <w:b/>
        </w:rPr>
        <w:t>Просьба представить информацию о правовом статусе Конвенции во внутренней правовой системе Боснии и Герцеговины. В ответе следует уточнить, можно ли в судах прямо ссылаться на Конвенцию, и, если да, указать количество дел, при разбирательстве которых делались ссылки на положения Конвенции.</w:t>
      </w:r>
    </w:p>
    <w:p w:rsidR="00000000" w:rsidRDefault="00000000">
      <w:pPr>
        <w:pStyle w:val="SingleTxt"/>
      </w:pPr>
      <w:r>
        <w:tab/>
        <w:t>В статье 2 Конституции Боснии и Герцеговины говорится, что Босния и Герцеговина и оба ее образования обеспечат самый высокий уровень соблюд</w:t>
      </w:r>
      <w:r>
        <w:t>е</w:t>
      </w:r>
      <w:r>
        <w:t>ния международно признанных прав человека и основных свобод.</w:t>
      </w:r>
    </w:p>
    <w:p w:rsidR="00000000" w:rsidRDefault="00000000">
      <w:pPr>
        <w:pStyle w:val="SingleTxt"/>
      </w:pPr>
      <w:r>
        <w:tab/>
        <w:t>КЛДЖ наряду с другими наиболее важными документами по правам ч</w:t>
      </w:r>
      <w:r>
        <w:t>е</w:t>
      </w:r>
      <w:r>
        <w:t>ловека непосредственно включена в приложение I — Дополнительные согл</w:t>
      </w:r>
      <w:r>
        <w:t>а</w:t>
      </w:r>
      <w:r>
        <w:t>шения по правам человека — Дейтонского мирного соглашения, и поэтому имеет преимущественную силу по отношению  ко всем национальным законам в соотве</w:t>
      </w:r>
      <w:r>
        <w:t>т</w:t>
      </w:r>
      <w:r>
        <w:t xml:space="preserve">ствии с самой Конституцией Боснии и Герцеговины. </w:t>
      </w:r>
    </w:p>
    <w:p w:rsidR="00000000" w:rsidRDefault="00000000">
      <w:pPr>
        <w:pStyle w:val="SingleTxt"/>
      </w:pPr>
      <w:r>
        <w:tab/>
        <w:t>Поэтому судам разрешается использовать положения КЛДЖ при рассмо</w:t>
      </w:r>
      <w:r>
        <w:t>т</w:t>
      </w:r>
      <w:r>
        <w:t xml:space="preserve">рении дел. </w:t>
      </w:r>
    </w:p>
    <w:p w:rsidR="00000000" w:rsidRDefault="00000000">
      <w:pPr>
        <w:pStyle w:val="SingleTxt"/>
      </w:pPr>
      <w:r>
        <w:tab/>
        <w:t>Для ответа на этот вопрос и с учетом совместных полномочий и мандатов в политической системе Боснии и Герцеговины агентство Боснии и Герцегов</w:t>
      </w:r>
      <w:r>
        <w:t>и</w:t>
      </w:r>
      <w:r>
        <w:t>ны по вопросам равенства между мужчинами и женщинами обратилось в це</w:t>
      </w:r>
      <w:r>
        <w:t>н</w:t>
      </w:r>
      <w:r>
        <w:t>тры объединений по гендерным в</w:t>
      </w:r>
      <w:r>
        <w:t>о</w:t>
      </w:r>
      <w:r>
        <w:t>просам.</w:t>
      </w:r>
    </w:p>
    <w:p w:rsidR="00000000" w:rsidRDefault="00000000">
      <w:pPr>
        <w:pStyle w:val="SingleTxt"/>
      </w:pPr>
      <w:r>
        <w:tab/>
        <w:t>Центр по гендерным вопросам Федерации Боснии и Герцеговины связа</w:t>
      </w:r>
      <w:r>
        <w:t>л</w:t>
      </w:r>
      <w:r>
        <w:t>ся со всеми судами в Федерации Боснии и Герцеговины — от верховного суда Федерации Боснии и Герцеговины до кантональных судов. Согласно получе</w:t>
      </w:r>
      <w:r>
        <w:t>н</w:t>
      </w:r>
      <w:r>
        <w:t>ным данным Конвенция пока еще не прямо применяется во внутригосударс</w:t>
      </w:r>
      <w:r>
        <w:t>т</w:t>
      </w:r>
      <w:r>
        <w:t>венной правовой системе Федерации Боснии и Герцеговины. В то же время она применяется косвенно в качестве одного из международных стандартов в р</w:t>
      </w:r>
      <w:r>
        <w:t>е</w:t>
      </w:r>
      <w:r>
        <w:t>зультате использования пересмотренных положений уголовного законодател</w:t>
      </w:r>
      <w:r>
        <w:t>ь</w:t>
      </w:r>
      <w:r>
        <w:t>ства, включающего деяния из этой области, которые регулируются Конвенцией (например, изнасилование, притеснение, сексуальное домогательство, половые отношения с несовершеннолетними лицами и т.д.). Кантональный суд в Сара</w:t>
      </w:r>
      <w:r>
        <w:t>е</w:t>
      </w:r>
      <w:r>
        <w:t>во также сообщил, что в нем слушалось дело, при разбирательстве которого делались ссылки на Конвенцию об охране матери</w:t>
      </w:r>
      <w:r>
        <w:t>н</w:t>
      </w:r>
      <w:r>
        <w:t>ства 1952 года.</w:t>
      </w:r>
    </w:p>
    <w:p w:rsidR="00000000" w:rsidRDefault="00000000">
      <w:pPr>
        <w:pStyle w:val="SingleTxt"/>
      </w:pPr>
      <w:r>
        <w:tab/>
        <w:t>Суды Республики Сербской представили частичные ответы, из которых явствует, что к настоящему моменту не было дел, при разбирательстве которых ст</w:t>
      </w:r>
      <w:r>
        <w:t>о</w:t>
      </w:r>
      <w:r>
        <w:t xml:space="preserve">роны или суды ссылались на Конвенцию. </w:t>
      </w:r>
    </w:p>
    <w:p w:rsidR="00000000" w:rsidRDefault="00000000">
      <w:pPr>
        <w:pStyle w:val="SingleTxt"/>
        <w:rPr>
          <w:b/>
        </w:rPr>
      </w:pPr>
      <w:r>
        <w:t>3.</w:t>
      </w:r>
      <w:r>
        <w:rPr>
          <w:b/>
        </w:rPr>
        <w:tab/>
        <w:t>Просьба дать описание имеющихся в политической системе Боснии и Герцеговины надзорных и консультативных механизмов, обеспечивающих единообразное и последовательное осуществление охраняемых Конвенц</w:t>
      </w:r>
      <w:r>
        <w:rPr>
          <w:b/>
        </w:rPr>
        <w:t>и</w:t>
      </w:r>
      <w:r>
        <w:rPr>
          <w:b/>
        </w:rPr>
        <w:t>ей прав женщин как в Федерации Боснии и Герцеговины, так и в Респу</w:t>
      </w:r>
      <w:r>
        <w:rPr>
          <w:b/>
        </w:rPr>
        <w:t>б</w:t>
      </w:r>
      <w:r>
        <w:rPr>
          <w:b/>
        </w:rPr>
        <w:t>лике Сербской.</w:t>
      </w:r>
    </w:p>
    <w:p w:rsidR="00000000" w:rsidRDefault="00000000">
      <w:pPr>
        <w:pStyle w:val="SingleTxt"/>
        <w:rPr>
          <w:b/>
        </w:rPr>
      </w:pPr>
      <w:r>
        <w:tab/>
        <w:t>На уровне государства, образований, кантонов и муниципалитетов в пр</w:t>
      </w:r>
      <w:r>
        <w:t>е</w:t>
      </w:r>
      <w:r>
        <w:t>делах их законодательных полномочий были созданы комиссии по вопросам равенства полов.</w:t>
      </w:r>
    </w:p>
    <w:p w:rsidR="00000000" w:rsidRDefault="00000000">
      <w:pPr>
        <w:pStyle w:val="SingleTxt"/>
      </w:pPr>
      <w:r>
        <w:tab/>
        <w:t>В пределах исполнительных полномочий на общегосударственном уровне было создано агентство по вопросам равенства между мужчинами и женщин</w:t>
      </w:r>
      <w:r>
        <w:t>а</w:t>
      </w:r>
      <w:r>
        <w:t>ми; на уровне образований — центры по гендерным вопросам, действующие в качестве экспертных органов, непосредственно подотчетных премьер-министрам образований, и в каждом министерстве на кантональном уровне Федерации Боснии и Герцеговины — координационные советы кантонов по вопросам равенства полов, которые действуют в качестве специально учре</w:t>
      </w:r>
      <w:r>
        <w:t>ж</w:t>
      </w:r>
      <w:r>
        <w:t>денных органов; на муниципальном уровне — комиссии по вопросам равенс</w:t>
      </w:r>
      <w:r>
        <w:t>т</w:t>
      </w:r>
      <w:r>
        <w:t>ва п</w:t>
      </w:r>
      <w:r>
        <w:t>о</w:t>
      </w:r>
      <w:r>
        <w:t>лов.</w:t>
      </w:r>
    </w:p>
    <w:p w:rsidR="00000000" w:rsidRDefault="00000000">
      <w:pPr>
        <w:pStyle w:val="SingleTxt"/>
      </w:pPr>
      <w:r>
        <w:tab/>
        <w:t>Мандат этих механизмов определен в решении об их создании. Вне зав</w:t>
      </w:r>
      <w:r>
        <w:t>и</w:t>
      </w:r>
      <w:r>
        <w:t>симости от того, что существует большое число учрежденных организацио</w:t>
      </w:r>
      <w:r>
        <w:t>н</w:t>
      </w:r>
      <w:r>
        <w:t>ных механизмов, следует подчеркнуть, что эти механизмы еще полностью не введены в действие и что необходимо обеспечить более высокий уровень обр</w:t>
      </w:r>
      <w:r>
        <w:t>а</w:t>
      </w:r>
      <w:r>
        <w:t>зования и подготовки, для чего также требуется запланировать в бюджете д</w:t>
      </w:r>
      <w:r>
        <w:t>о</w:t>
      </w:r>
      <w:r>
        <w:t xml:space="preserve">полнительные ресурсы по линии различных уполномоченных инстанций. </w:t>
      </w:r>
    </w:p>
    <w:p w:rsidR="00000000" w:rsidRDefault="00000000">
      <w:pPr>
        <w:pStyle w:val="SingleTxt"/>
        <w:rPr>
          <w:b/>
        </w:rPr>
      </w:pPr>
      <w:r>
        <w:t>4.</w:t>
      </w:r>
      <w:r>
        <w:rPr>
          <w:b/>
          <w:i/>
        </w:rPr>
        <w:tab/>
      </w:r>
      <w:r>
        <w:rPr>
          <w:b/>
        </w:rPr>
        <w:t>В докладе отмечается, что, несмотря на наличие в Боснии и Герцег</w:t>
      </w:r>
      <w:r>
        <w:rPr>
          <w:b/>
        </w:rPr>
        <w:t>о</w:t>
      </w:r>
      <w:r>
        <w:rPr>
          <w:b/>
        </w:rPr>
        <w:t>вине прочной общей законодательной основы для предотвращения ди</w:t>
      </w:r>
      <w:r>
        <w:rPr>
          <w:b/>
        </w:rPr>
        <w:t>с</w:t>
      </w:r>
      <w:r>
        <w:rPr>
          <w:b/>
        </w:rPr>
        <w:t>криминации по признаку пола, суды не имели возможности применять с</w:t>
      </w:r>
      <w:r>
        <w:rPr>
          <w:b/>
        </w:rPr>
        <w:t>о</w:t>
      </w:r>
      <w:r>
        <w:rPr>
          <w:b/>
        </w:rPr>
        <w:t>ответствующие законы в связи с их общей перегруженностью делами и о</w:t>
      </w:r>
      <w:r>
        <w:rPr>
          <w:b/>
        </w:rPr>
        <w:t>т</w:t>
      </w:r>
      <w:r>
        <w:rPr>
          <w:b/>
        </w:rPr>
        <w:t>сутствием судов по трудовым вопросам. Просьба указать, в какой степени реформа судебной системы способствовала увеличению числа подачи женщинами индивидуальных исков, связанных с дискриминацией, в ч</w:t>
      </w:r>
      <w:r>
        <w:rPr>
          <w:b/>
        </w:rPr>
        <w:t>а</w:t>
      </w:r>
      <w:r>
        <w:rPr>
          <w:b/>
        </w:rPr>
        <w:t>стности на рынке труда. Просьба также сообщить, занимается ли Омбу</w:t>
      </w:r>
      <w:r>
        <w:rPr>
          <w:b/>
        </w:rPr>
        <w:t>д</w:t>
      </w:r>
      <w:r>
        <w:rPr>
          <w:b/>
        </w:rPr>
        <w:t>смен исками, возбужденными женщинами в связи с дискриминацией по признаку пола.</w:t>
      </w:r>
    </w:p>
    <w:p w:rsidR="00000000" w:rsidRDefault="00000000">
      <w:pPr>
        <w:pStyle w:val="SingleTxt"/>
      </w:pPr>
      <w:r>
        <w:tab/>
        <w:t>Согласно информации, полученной судами Федерации Боснии и Герцег</w:t>
      </w:r>
      <w:r>
        <w:t>о</w:t>
      </w:r>
      <w:r>
        <w:t>вины, нет данных, на основе которых можно было бы сделать вывод о том, что реформа судебной системы привела к увеличению числа исков женщин в связи с дискриминацией, в частности на рынке труда. По предположениям судов, причиной этого может служить неосведомленность женщин об их правах, т.е. невозможность признать наличие дискриминации, в частности на рынке труда. Суды не располагают специальными базами данных о случаях насилия в отн</w:t>
      </w:r>
      <w:r>
        <w:t>о</w:t>
      </w:r>
      <w:r>
        <w:t>шении женщин, однако такие данные регистрируются со всеми другими уг</w:t>
      </w:r>
      <w:r>
        <w:t>о</w:t>
      </w:r>
      <w:r>
        <w:t>ловно-наказуемыми деяниями. Омбудсмены Федерации Боснии и Герцеговины всего получили пять исков женщин в связи с их наймом на работу, т.е. в связи с дискриминацией по признаку пола в сфере занятости. По двум делам иски б</w:t>
      </w:r>
      <w:r>
        <w:t>ы</w:t>
      </w:r>
      <w:r>
        <w:t>ли рассмотрены в пользу подавших их женщин, т.е. работодатель положител</w:t>
      </w:r>
      <w:r>
        <w:t>ь</w:t>
      </w:r>
      <w:r>
        <w:t>но отреагировал на мнение Омбудсмена.</w:t>
      </w:r>
    </w:p>
    <w:p w:rsidR="00000000" w:rsidRDefault="00000000">
      <w:pPr>
        <w:pStyle w:val="SingleTxt"/>
      </w:pPr>
      <w:r>
        <w:tab/>
        <w:t>Омбудсмены Федерации Боснии и Герцеговины получили иск мужчины, которому кантональное министерство социального обеспечения не разрешило воспользоваться отпуском для ухода за ребенком после возвращения матери на работу. Дело было закрыто, поскольку ни одна из сторон не захотела продо</w:t>
      </w:r>
      <w:r>
        <w:t>л</w:t>
      </w:r>
      <w:r>
        <w:t xml:space="preserve">жать его рассмотрение в суде. </w:t>
      </w:r>
    </w:p>
    <w:p w:rsidR="00000000" w:rsidRDefault="00000000">
      <w:pPr>
        <w:pStyle w:val="SingleTxt"/>
      </w:pPr>
      <w:r>
        <w:tab/>
        <w:t>В то же время из ответа омбудсменов ясно, что, по их мнению, в бол</w:t>
      </w:r>
      <w:r>
        <w:t>ь</w:t>
      </w:r>
      <w:r>
        <w:t xml:space="preserve">шинстве случаев лица не являются объектом дискриминации по признаку пола, а проблема касается вопросов коррупции/защиты, и также существует большое число исков мужчин по вопросам отбора кандидатов на рабочие места. </w:t>
      </w:r>
    </w:p>
    <w:p w:rsidR="00000000" w:rsidRDefault="00000000">
      <w:pPr>
        <w:pStyle w:val="SingleTxt"/>
      </w:pPr>
      <w:r>
        <w:tab/>
        <w:t>По нашему мнению, это свидетельствует о том, что гендерные аспекты не учитываются в этом учреждении, и следует указать, что омбудсмены не учас</w:t>
      </w:r>
      <w:r>
        <w:t>т</w:t>
      </w:r>
      <w:r>
        <w:t>вовали в какой-либо подготовке по гендерным вопросам. Наш практический опыт (полученный в ходе радиопередач, научных исследований и обследований и т.д.) ясно показывает, что молодые женщины, в частности, подвергаются дискрим</w:t>
      </w:r>
      <w:r>
        <w:t>и</w:t>
      </w:r>
      <w:r>
        <w:t>нации по признаку пола.</w:t>
      </w:r>
    </w:p>
    <w:p w:rsidR="00000000" w:rsidRDefault="00000000">
      <w:pPr>
        <w:pStyle w:val="SingleTxt"/>
        <w:rPr>
          <w:b/>
        </w:rPr>
      </w:pPr>
      <w:r>
        <w:t>5.</w:t>
      </w:r>
      <w:r>
        <w:tab/>
      </w:r>
      <w:r>
        <w:rPr>
          <w:b/>
        </w:rPr>
        <w:t>Просьба представить данные о результатах, достигнутых к насто</w:t>
      </w:r>
      <w:r>
        <w:rPr>
          <w:b/>
        </w:rPr>
        <w:t>я</w:t>
      </w:r>
      <w:r>
        <w:rPr>
          <w:b/>
        </w:rPr>
        <w:t>щему времени за счет принятия правовых и политических мер на уровне государства и образований по сбору, анализу и использованию дезагрег</w:t>
      </w:r>
      <w:r>
        <w:rPr>
          <w:b/>
        </w:rPr>
        <w:t>и</w:t>
      </w:r>
      <w:r>
        <w:rPr>
          <w:b/>
        </w:rPr>
        <w:t>рованных по полу и этнической принадлежности статистических данных о всех формах дискриминации в отношении женщин. Просьба также соо</w:t>
      </w:r>
      <w:r>
        <w:rPr>
          <w:b/>
        </w:rPr>
        <w:t>б</w:t>
      </w:r>
      <w:r>
        <w:rPr>
          <w:b/>
        </w:rPr>
        <w:t>щить, каким образом осуществляется координация этих усилий в целях достижения всеобъемлющих и единообразных резул</w:t>
      </w:r>
      <w:r>
        <w:rPr>
          <w:b/>
        </w:rPr>
        <w:t>ь</w:t>
      </w:r>
      <w:r>
        <w:rPr>
          <w:b/>
        </w:rPr>
        <w:t>татов.</w:t>
      </w:r>
    </w:p>
    <w:p w:rsidR="00000000" w:rsidRDefault="00000000">
      <w:pPr>
        <w:pStyle w:val="SingleTxt"/>
      </w:pPr>
      <w:r>
        <w:rPr>
          <w:b/>
        </w:rPr>
        <w:tab/>
      </w:r>
      <w:r>
        <w:t>В статье 18 Закона о равенстве мужчин и женщин Боснии и Герцеговины говорится, что «Все статистические данные и записи, собираемые, регистр</w:t>
      </w:r>
      <w:r>
        <w:t>и</w:t>
      </w:r>
      <w:r>
        <w:t>руемые и обрабатываемые государственными органами всех уровней, госуда</w:t>
      </w:r>
      <w:r>
        <w:t>р</w:t>
      </w:r>
      <w:r>
        <w:t>ственными службами и учреждениями, государственными и частными корп</w:t>
      </w:r>
      <w:r>
        <w:t>о</w:t>
      </w:r>
      <w:r>
        <w:t>рациями и другими образованиями, должны быть дезагрегированы по признаку пола.</w:t>
      </w:r>
    </w:p>
    <w:p w:rsidR="00000000" w:rsidRDefault="00000000">
      <w:pPr>
        <w:pStyle w:val="SingleTxt"/>
      </w:pPr>
      <w:r>
        <w:tab/>
        <w:t>Статистические данные и информация, собираемые, регистрируемые и обрабатываемые в соответствии с пунктом 1 настоящей статьи, должны я</w:t>
      </w:r>
      <w:r>
        <w:t>в</w:t>
      </w:r>
      <w:r>
        <w:t>ляться неотъемлемой частью статистических записей и быть доступными для общественности».</w:t>
      </w:r>
    </w:p>
    <w:p w:rsidR="00000000" w:rsidRDefault="00000000">
      <w:pPr>
        <w:pStyle w:val="SingleTxt"/>
      </w:pPr>
      <w:r>
        <w:tab/>
        <w:t>В пункте 4 статьи 28 Закона о равенстве мужчин и женщин говорится: «В отношении юридического лица применяется штраф от 1000 конвертируемых марок до 30 000 конвертируемых марок за представление собранных, зарегис</w:t>
      </w:r>
      <w:r>
        <w:t>т</w:t>
      </w:r>
      <w:r>
        <w:t>рированных и обработанных статистических данных и информации без ра</w:t>
      </w:r>
      <w:r>
        <w:t>з</w:t>
      </w:r>
      <w:r>
        <w:t>бивки по признаку пола. Агентство Боснии и Герцеговины по вопросам раве</w:t>
      </w:r>
      <w:r>
        <w:t>н</w:t>
      </w:r>
      <w:r>
        <w:t>ства между мужчинами и женщинами и центры образований по гендерным в</w:t>
      </w:r>
      <w:r>
        <w:t>о</w:t>
      </w:r>
      <w:r>
        <w:t>просам представляют в рамках проекта осуществления в Боснии и Герцеговине Закона о равенстве мужчин и женщин Боснии и Герцеговины, при поддержке отделения Программы развития Организации Объединенных Наций (ПРООН) в Боснии и Герцеговине, рекомендации для всех учреждений по сбору данных с разбивкой по признаку пола и направлению их в статистические учреждения для дальнейшей обработки и анализа. Некоторые учреждения совсем не пре</w:t>
      </w:r>
      <w:r>
        <w:t>д</w:t>
      </w:r>
      <w:r>
        <w:t>ставляют данные с разбивкой по признаку пола. При помощи различных мер</w:t>
      </w:r>
      <w:r>
        <w:t>о</w:t>
      </w:r>
      <w:r>
        <w:t>приятий агентство Боснии и Герцеговины по вопросам равенства между му</w:t>
      </w:r>
      <w:r>
        <w:t>ж</w:t>
      </w:r>
      <w:r>
        <w:t>чинами и женщинами и центры образования по гендерным вопросам продо</w:t>
      </w:r>
      <w:r>
        <w:t>л</w:t>
      </w:r>
      <w:r>
        <w:t>жают повышать степень информированности учреждений, с тем чтобы они действовали в соответствии со статьей 18 закона. Санкции, предусмотренные законом, по</w:t>
      </w:r>
      <w:r>
        <w:noBreakHyphen/>
        <w:t>прежнему не применяются; для этого следует разработать соотве</w:t>
      </w:r>
      <w:r>
        <w:t>т</w:t>
      </w:r>
      <w:r>
        <w:t>с</w:t>
      </w:r>
      <w:r>
        <w:t>т</w:t>
      </w:r>
      <w:r>
        <w:t>вующие процедуры.</w:t>
      </w:r>
    </w:p>
    <w:p w:rsidR="00000000" w:rsidRDefault="00000000">
      <w:pPr>
        <w:pStyle w:val="SingleTxt"/>
      </w:pPr>
      <w:r>
        <w:tab/>
        <w:t>Сотрудничество со статистическими учреждениями</w:t>
      </w:r>
      <w:r>
        <w:rPr>
          <w:rStyle w:val="FootnoteReference"/>
        </w:rPr>
        <w:footnoteReference w:id="2"/>
      </w:r>
      <w:r>
        <w:t xml:space="preserve"> развивалось на двух уровнях: 1) Агентство по вопросам равенства между мужчинами и женщинами предложило всем статистическим институтам и учреждениям опубликовать уже существующие, но не представленные данные с разбивкой по признаку пола; 2) Агентство по вопросам равенства между мужчинами и женщинами определяет необходимые обследования и исследования, а также данные с ра</w:t>
      </w:r>
      <w:r>
        <w:t>з</w:t>
      </w:r>
      <w:r>
        <w:t>бивкой по призн</w:t>
      </w:r>
      <w:r>
        <w:t>а</w:t>
      </w:r>
      <w:r>
        <w:t>ку пола, подлежащие сбору, обработке или анализу.</w:t>
      </w:r>
    </w:p>
    <w:p w:rsidR="00000000" w:rsidRDefault="00000000">
      <w:pPr>
        <w:pStyle w:val="SingleTxt"/>
      </w:pPr>
      <w:r>
        <w:tab/>
        <w:t>В рамках плана действий Боснии и Герцеговины по гендерной проблем</w:t>
      </w:r>
      <w:r>
        <w:t>а</w:t>
      </w:r>
      <w:r>
        <w:t>тике агентство Боснии и Герцеговины по вопросам равенства между мужчин</w:t>
      </w:r>
      <w:r>
        <w:t>а</w:t>
      </w:r>
      <w:r>
        <w:t>ми и женщинами определило исследования и обследования, которые должны быть включены в программу Статистического управления Боснии и Герцегов</w:t>
      </w:r>
      <w:r>
        <w:t>и</w:t>
      </w:r>
      <w:r>
        <w:t>ны и которые необходимы для заполнения пробелов в статистической инфо</w:t>
      </w:r>
      <w:r>
        <w:t>р</w:t>
      </w:r>
      <w:r>
        <w:t>мации и данных для обеспечения адекватного анализа положения в различных областях. Они включают обследования по вопросам доходов мужчин и же</w:t>
      </w:r>
      <w:r>
        <w:t>н</w:t>
      </w:r>
      <w:r>
        <w:t>щин, льгот и неоплачиваемой работы; специального обеспечения до принятия социальных программ; гендерных вопросов и стратегий в области социального обеспечения; состояния гендерных отношений между беженцами и репатриа</w:t>
      </w:r>
      <w:r>
        <w:t>н</w:t>
      </w:r>
      <w:r>
        <w:t>тами в Боснии и Герцеговине; обследования по вопросу о роли мужчин в с</w:t>
      </w:r>
      <w:r>
        <w:t>е</w:t>
      </w:r>
      <w:r>
        <w:t>мейной жизни; гендерной структуры занятости в государственном секторе; по вопросу о числе мальчиков/девочек, которые не заканчивают учебу в средней школе, включая причины, по которым они это делают; об участии представит</w:t>
      </w:r>
      <w:r>
        <w:t>е</w:t>
      </w:r>
      <w:r>
        <w:t>лей народа рома в процессе образования (в частности девочек/женщин), о чи</w:t>
      </w:r>
      <w:r>
        <w:t>с</w:t>
      </w:r>
      <w:r>
        <w:t>ленности неграмотного населения, причинах, уровнях. Осуществление этих обследований зависит от доноров, поскольку учреждения не располагают до</w:t>
      </w:r>
      <w:r>
        <w:t>с</w:t>
      </w:r>
      <w:r>
        <w:t>тато</w:t>
      </w:r>
      <w:r>
        <w:t>ч</w:t>
      </w:r>
      <w:r>
        <w:t>ными бюджетными средствами.</w:t>
      </w:r>
    </w:p>
    <w:p w:rsidR="00000000" w:rsidRDefault="00000000">
      <w:pPr>
        <w:pStyle w:val="SingleTxt"/>
      </w:pPr>
      <w:r>
        <w:tab/>
        <w:t>В сотрудничестве с Агентством Боснии и Герцеговины по вопросам р</w:t>
      </w:r>
      <w:r>
        <w:t>а</w:t>
      </w:r>
      <w:r>
        <w:t>венства между мужчинами и женщинами Статистическое управление Боснии и Герцеговины опубликовало в январе 2005 года специальный тематический бюллетень под названием «Гендерная проблематика в Боснии и Герцеговине». В 2004 году Институт статистики Федерации Боснии и Герцеговины опублик</w:t>
      </w:r>
      <w:r>
        <w:t>о</w:t>
      </w:r>
      <w:r>
        <w:t>вал в сотрудничестве с Центром по гендерным вопросам Федерации Боснии и Герцеговины работу под названием «Женщины и мужчины в Федерации Бо</w:t>
      </w:r>
      <w:r>
        <w:t>с</w:t>
      </w:r>
      <w:r>
        <w:t>нии и Герцеговины»; а в начале 2005 года Институт статистики Республики Сербской в сотрудничестве с Центром по гендерным вопросам Республики Сербской опубликовал работу под названием «Мужчины и женщины в Респу</w:t>
      </w:r>
      <w:r>
        <w:t>б</w:t>
      </w:r>
      <w:r>
        <w:t>лике Сербской». Эти публикации стали ежегодными изданиями этих статист</w:t>
      </w:r>
      <w:r>
        <w:t>и</w:t>
      </w:r>
      <w:r>
        <w:t>ческих институтов.</w:t>
      </w:r>
    </w:p>
    <w:p w:rsidR="00000000" w:rsidRDefault="00000000">
      <w:pPr>
        <w:pStyle w:val="SingleTxt"/>
      </w:pPr>
      <w:r>
        <w:tab/>
        <w:t>Статистическое управление Боснии и Герцеговины приступило к осущ</w:t>
      </w:r>
      <w:r>
        <w:t>е</w:t>
      </w:r>
      <w:r>
        <w:t>ствлению проекта по вопросам гендерной статистики и учредило рабочую группу, в состав которой также входят директора агентства по гендерным в</w:t>
      </w:r>
      <w:r>
        <w:t>о</w:t>
      </w:r>
      <w:r>
        <w:t>просам и центров образований по гендерным вопросам.</w:t>
      </w:r>
    </w:p>
    <w:p w:rsidR="00000000" w:rsidRDefault="00000000">
      <w:pPr>
        <w:pStyle w:val="SingleTxt"/>
      </w:pPr>
      <w:r>
        <w:tab/>
        <w:t>В своей программе работы на 2005–2008 годы Институт статистики Фед</w:t>
      </w:r>
      <w:r>
        <w:t>е</w:t>
      </w:r>
      <w:r>
        <w:t>рации Боснии и Герцеговины предусматривает провести конкретное обслед</w:t>
      </w:r>
      <w:r>
        <w:t>о</w:t>
      </w:r>
      <w:r>
        <w:t>вание по теме «Равенство и равноправие полов». Это обследование будет пр</w:t>
      </w:r>
      <w:r>
        <w:t>о</w:t>
      </w:r>
      <w:r>
        <w:t>водиться по разделу: «Прочие области демографической и социальной стат</w:t>
      </w:r>
      <w:r>
        <w:t>и</w:t>
      </w:r>
      <w:r>
        <w:t>стики», и профильная деятельность предусматривает проведение анализа ст</w:t>
      </w:r>
      <w:r>
        <w:t>а</w:t>
      </w:r>
      <w:r>
        <w:t>тистических обзоров с точки зрения представленности переменных величин, необходимых для получения гендерных статистических данных. Это обслед</w:t>
      </w:r>
      <w:r>
        <w:t>о</w:t>
      </w:r>
      <w:r>
        <w:t>вание будет проводиться  на протяжении нескольких лет там, где оно будет а</w:t>
      </w:r>
      <w:r>
        <w:t>к</w:t>
      </w:r>
      <w:r>
        <w:t>туальным.</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Статья 3</w:t>
      </w:r>
    </w:p>
    <w:p w:rsidR="00000000" w:rsidRDefault="00000000">
      <w:pPr>
        <w:pStyle w:val="SingleTxt"/>
        <w:spacing w:after="0" w:line="120" w:lineRule="exact"/>
        <w:rPr>
          <w:sz w:val="10"/>
        </w:rPr>
      </w:pPr>
    </w:p>
    <w:p w:rsidR="00000000" w:rsidRDefault="00000000">
      <w:pPr>
        <w:pStyle w:val="SingleTxt"/>
        <w:rPr>
          <w:b/>
        </w:rPr>
      </w:pPr>
      <w:r>
        <w:t>6.</w:t>
      </w:r>
      <w:r>
        <w:tab/>
      </w:r>
      <w:r>
        <w:rPr>
          <w:b/>
        </w:rPr>
        <w:t>В докладе отмечается (см. пункт 11), что Законом о равенстве мужчин и женщин, в котором установлен запрет на дискриминацию по признаку пола во всех областях жизни женщин, предусматривается создание на г</w:t>
      </w:r>
      <w:r>
        <w:rPr>
          <w:b/>
        </w:rPr>
        <w:t>о</w:t>
      </w:r>
      <w:r>
        <w:rPr>
          <w:b/>
        </w:rPr>
        <w:t>сударственном уровне в рамках министерства по правам человека и делам беженцев агентства по вопросам равенства между мужчинами и женщ</w:t>
      </w:r>
      <w:r>
        <w:rPr>
          <w:b/>
        </w:rPr>
        <w:t>и</w:t>
      </w:r>
      <w:r>
        <w:rPr>
          <w:b/>
        </w:rPr>
        <w:t>нами, которое в настоящее время действует в качестве национального м</w:t>
      </w:r>
      <w:r>
        <w:rPr>
          <w:b/>
        </w:rPr>
        <w:t>е</w:t>
      </w:r>
      <w:r>
        <w:rPr>
          <w:b/>
        </w:rPr>
        <w:t>ханизма. Просьба сообщить, было ли создано это агентство, и, если да, представить информацию о его статусе, мандате, людских и финансовых ресурсах и деятельности, а также о его механизмах связи для осуществл</w:t>
      </w:r>
      <w:r>
        <w:rPr>
          <w:b/>
        </w:rPr>
        <w:t>е</w:t>
      </w:r>
      <w:r>
        <w:rPr>
          <w:b/>
        </w:rPr>
        <w:t>ния контроля за учетом гендерных аспектов правительством на госуда</w:t>
      </w:r>
      <w:r>
        <w:rPr>
          <w:b/>
        </w:rPr>
        <w:t>р</w:t>
      </w:r>
      <w:r>
        <w:rPr>
          <w:b/>
        </w:rPr>
        <w:t>ственном уровне и правительствами на уровне образ</w:t>
      </w:r>
      <w:r>
        <w:rPr>
          <w:b/>
        </w:rPr>
        <w:t>о</w:t>
      </w:r>
      <w:r>
        <w:rPr>
          <w:b/>
        </w:rPr>
        <w:t>ваний.</w:t>
      </w:r>
    </w:p>
    <w:p w:rsidR="00000000" w:rsidRDefault="00000000">
      <w:pPr>
        <w:pStyle w:val="SingleTxt"/>
      </w:pPr>
      <w:r>
        <w:tab/>
        <w:t>В статье 22 Закона о равенстве мужчин и женщин Боснии и Герцеговины (“Official Gazette of Bosnia and Herzegovina”(«Официальный бюллетень Боснии и Герцеговины»), № 16/03) предусматривается создать в министерстве по пр</w:t>
      </w:r>
      <w:r>
        <w:t>а</w:t>
      </w:r>
      <w:r>
        <w:t>вам человека и делам беженцев Боснии и Герцеговины агентство Боснии и Герцеговины по вопросам равенства между мужчинами и женщинами, с тем чтобы следить за выполн</w:t>
      </w:r>
      <w:r>
        <w:t>е</w:t>
      </w:r>
      <w:r>
        <w:t>нием этого закона.</w:t>
      </w:r>
    </w:p>
    <w:p w:rsidR="00000000" w:rsidRDefault="00000000">
      <w:pPr>
        <w:pStyle w:val="SingleTxt"/>
      </w:pPr>
      <w:r>
        <w:tab/>
        <w:t>Мандат Агентства по вопросам равенства между мужчинами и женщин</w:t>
      </w:r>
      <w:r>
        <w:t>а</w:t>
      </w:r>
      <w:r>
        <w:t>ми в статье 23 Закона о равенстве мужчин и женщин в Боснии и Герцеговине определен:</w:t>
      </w:r>
    </w:p>
    <w:p w:rsidR="00000000" w:rsidRDefault="00000000">
      <w:pPr>
        <w:pStyle w:val="SingleTxt"/>
        <w:tabs>
          <w:tab w:val="right" w:pos="1685"/>
        </w:tabs>
        <w:ind w:left="1742" w:hanging="475"/>
      </w:pPr>
      <w:r>
        <w:tab/>
        <w:t>•</w:t>
      </w:r>
      <w:r>
        <w:tab/>
        <w:t>подготовка периодического плана действий государства по вопросам п</w:t>
      </w:r>
      <w:r>
        <w:t>о</w:t>
      </w:r>
      <w:r>
        <w:t>ощрения равенства полов на основе предложений всех государственных министерств, плана Центра по гендерным вопросам Федерации Боснии и Герцеговины и плана Центра по гендерным вопросам Республики Сер</w:t>
      </w:r>
      <w:r>
        <w:t>б</w:t>
      </w:r>
      <w:r>
        <w:t>ской, которые должны представляться министерством по правам человека и делам б</w:t>
      </w:r>
      <w:r>
        <w:t>е</w:t>
      </w:r>
      <w:r>
        <w:t>женцев Совету министров для принятия;</w:t>
      </w:r>
    </w:p>
    <w:p w:rsidR="00000000" w:rsidRDefault="00000000">
      <w:pPr>
        <w:pStyle w:val="SingleTxt"/>
        <w:tabs>
          <w:tab w:val="right" w:pos="1685"/>
        </w:tabs>
        <w:ind w:left="1742" w:hanging="475"/>
      </w:pPr>
      <w:r>
        <w:tab/>
        <w:t>•</w:t>
      </w:r>
      <w:r>
        <w:tab/>
        <w:t>контроль за ходом осуществления и координацией мероприятий со всеми соответствующими субъектами в процессе осуществления государстве</w:t>
      </w:r>
      <w:r>
        <w:t>н</w:t>
      </w:r>
      <w:r>
        <w:t>ного плана;</w:t>
      </w:r>
    </w:p>
    <w:p w:rsidR="00000000" w:rsidRDefault="00000000">
      <w:pPr>
        <w:pStyle w:val="SingleTxt"/>
        <w:tabs>
          <w:tab w:val="right" w:pos="1685"/>
        </w:tabs>
        <w:ind w:left="1742" w:hanging="475"/>
      </w:pPr>
      <w:r>
        <w:tab/>
        <w:t>•</w:t>
      </w:r>
      <w:r>
        <w:tab/>
        <w:t>подготовка ежегодного доклада для Совета министров Боснии и Герцег</w:t>
      </w:r>
      <w:r>
        <w:t>о</w:t>
      </w:r>
      <w:r>
        <w:t>вины по вопросу о положении женщин в Боснии и Герцеговине на основе докладов центров Федерации Боснии и Герцеговины и Республики Сер</w:t>
      </w:r>
      <w:r>
        <w:t>б</w:t>
      </w:r>
      <w:r>
        <w:t>ской по гендерным вопросам;</w:t>
      </w:r>
    </w:p>
    <w:p w:rsidR="00000000" w:rsidRDefault="00000000">
      <w:pPr>
        <w:pStyle w:val="SingleTxt"/>
        <w:tabs>
          <w:tab w:val="right" w:pos="1685"/>
        </w:tabs>
        <w:ind w:left="1742" w:hanging="475"/>
      </w:pPr>
      <w:r>
        <w:tab/>
        <w:t>•</w:t>
      </w:r>
      <w:r>
        <w:tab/>
        <w:t>анализ законов, законодательных и подзаконных актов, принятых Советом министров, в целях контроля за эффективностью деятельности по обесп</w:t>
      </w:r>
      <w:r>
        <w:t>е</w:t>
      </w:r>
      <w:r>
        <w:t>чению равенства и равной представленности полов, и представление предложений министерству по правам человека и делам беженцев для н</w:t>
      </w:r>
      <w:r>
        <w:t>а</w:t>
      </w:r>
      <w:r>
        <w:t>чала процесса изменения существующего законодательства Боснии и Ге</w:t>
      </w:r>
      <w:r>
        <w:t>р</w:t>
      </w:r>
      <w:r>
        <w:t>цеговины и внесения в него поправок в соответствии с международными соглаш</w:t>
      </w:r>
      <w:r>
        <w:t>е</w:t>
      </w:r>
      <w:r>
        <w:t>ниями и нормативными положениями Европейского союза;</w:t>
      </w:r>
    </w:p>
    <w:p w:rsidR="00000000" w:rsidRDefault="00000000">
      <w:pPr>
        <w:pStyle w:val="SingleTxt"/>
        <w:tabs>
          <w:tab w:val="right" w:pos="1685"/>
        </w:tabs>
        <w:ind w:left="1742" w:hanging="475"/>
      </w:pPr>
      <w:r>
        <w:tab/>
        <w:t>•</w:t>
      </w:r>
      <w:r>
        <w:tab/>
        <w:t>разработка методологии для оценки эффективности государственных п</w:t>
      </w:r>
      <w:r>
        <w:t>о</w:t>
      </w:r>
      <w:r>
        <w:t>литики и программ, касающихся равенства полов;</w:t>
      </w:r>
    </w:p>
    <w:p w:rsidR="00000000" w:rsidRDefault="00000000">
      <w:pPr>
        <w:pStyle w:val="SingleTxt"/>
        <w:tabs>
          <w:tab w:val="right" w:pos="1685"/>
        </w:tabs>
        <w:ind w:left="1742" w:hanging="475"/>
      </w:pPr>
      <w:r>
        <w:tab/>
        <w:t>•</w:t>
      </w:r>
      <w:r>
        <w:tab/>
        <w:t>другие задачи и обязанности, связанные с поощрением равенства полов и достижением цели этого закона.</w:t>
      </w:r>
    </w:p>
    <w:p w:rsidR="00000000" w:rsidRDefault="00000000">
      <w:pPr>
        <w:pStyle w:val="SingleTxt"/>
      </w:pPr>
      <w:r>
        <w:tab/>
        <w:t>В соответствии со статьей 22 Закона о равенстве мужчин и женщин Бо</w:t>
      </w:r>
      <w:r>
        <w:t>с</w:t>
      </w:r>
      <w:r>
        <w:t>нии и Герцеговины и статьей 17 Закона о Совете министров Боснии и Герцег</w:t>
      </w:r>
      <w:r>
        <w:t>о</w:t>
      </w:r>
      <w:r>
        <w:t>вины (“Official Gazette of BiH” («Официальный бюллетень Боснии и Герцег</w:t>
      </w:r>
      <w:r>
        <w:t>о</w:t>
      </w:r>
      <w:r>
        <w:t>вины»), № 30/03 и № 42/03), Совет министров Боснии и Герцеговины, по пре</w:t>
      </w:r>
      <w:r>
        <w:t>д</w:t>
      </w:r>
      <w:r>
        <w:t>ложению министерства по правам человека и делам беженцев, представил на заседании 19 февраля 2004 года решение о создании агентства по вопросам р</w:t>
      </w:r>
      <w:r>
        <w:t>а</w:t>
      </w:r>
      <w:r>
        <w:t>венства между мужчинами и женщинами Боснии и Герцеговины (“Official G</w:t>
      </w:r>
      <w:r>
        <w:t>a</w:t>
      </w:r>
      <w:r>
        <w:t>zette of BiH” («Официальный бюллетень Боснии и Герцеговины»), № 12/04). Агентство по вопросам равенства между мужчинами и женщинами Боснии и Герцеговины приступило к работе 1 января 2005 года.</w:t>
      </w:r>
    </w:p>
    <w:p w:rsidR="00000000" w:rsidRDefault="00000000">
      <w:pPr>
        <w:pStyle w:val="SingleTxt"/>
      </w:pPr>
      <w:r>
        <w:tab/>
        <w:t>К концу 2005 года был назначен директор агентства по вопросам равенс</w:t>
      </w:r>
      <w:r>
        <w:t>т</w:t>
      </w:r>
      <w:r>
        <w:t>ва между мужчинами и женщинами, поэтому заполненность рабочих мест с</w:t>
      </w:r>
      <w:r>
        <w:t>о</w:t>
      </w:r>
      <w:r>
        <w:t>ставила 20 процентов с учетом числа мест, предусмотренных в уставе вну</w:t>
      </w:r>
      <w:r>
        <w:t>т</w:t>
      </w:r>
      <w:r>
        <w:t>ренней организации. В дополнение к директору один сотрудник агентства на условиях полного рабочего дня занят в проекте обеспечения равенства и ра</w:t>
      </w:r>
      <w:r>
        <w:t>в</w:t>
      </w:r>
      <w:r>
        <w:t>ноправия полов (ПОРРП — двусторонний проект Боснии и Герцеговины и Финляндии), один сотрудник был задействован в Программе развития Орган</w:t>
      </w:r>
      <w:r>
        <w:t>и</w:t>
      </w:r>
      <w:r>
        <w:t>зации Объединенных Наций (ПРООН) на протяжении шести месяцев, и один сотрудник работал в качестве технического помощника в ЮНИСЕФ. Поскол</w:t>
      </w:r>
      <w:r>
        <w:t>ь</w:t>
      </w:r>
      <w:r>
        <w:t>ку осуществление проекта обеспечения равенства и равноправия полов заве</w:t>
      </w:r>
      <w:r>
        <w:t>р</w:t>
      </w:r>
      <w:r>
        <w:t>шилось в январе 2006 года, тот сотрудник, который там работал, в настоящее время трудится в министерстве по правам человека и делам беженцев на сро</w:t>
      </w:r>
      <w:r>
        <w:t>ч</w:t>
      </w:r>
      <w:r>
        <w:t>ном контракте, и рассматривается вопрос о предоставлении ему постоянной работы в качестве гражданского служащего этого министерства. Поскольку у</w:t>
      </w:r>
      <w:r>
        <w:t>с</w:t>
      </w:r>
      <w:r>
        <w:t>тав внутренней организации агентства по вопросам равенства между мужч</w:t>
      </w:r>
      <w:r>
        <w:t>и</w:t>
      </w:r>
      <w:r>
        <w:t>нами и женщинами был принят Советом министров Боснии и Герцеговины, может начаться процесс трудоустройства всех сотрудников, предусмотренных в уставе.</w:t>
      </w:r>
    </w:p>
    <w:p w:rsidR="00000000" w:rsidRDefault="00000000">
      <w:pPr>
        <w:pStyle w:val="SingleTxt"/>
      </w:pPr>
      <w:r>
        <w:tab/>
        <w:t>Бюджет Агентства по вопросам равенства между мужчинами и женщин</w:t>
      </w:r>
      <w:r>
        <w:t>а</w:t>
      </w:r>
      <w:r>
        <w:t>ми в 2005 году составил 15 228 евро, плюс оклады и текущие расходы (аренда помещений, расходы на телефонную связь, канцелярские принадлежности и т.д.). В 2006 году Агентство по вопросам равенства между мужчинами и женщинами Боснии и Герцеговины располагало таким же бюджетом в рамках м</w:t>
      </w:r>
      <w:r>
        <w:t>и</w:t>
      </w:r>
      <w:r>
        <w:t>нистерства по правам человека и беженцев Боснии и Герцеговины.</w:t>
      </w:r>
    </w:p>
    <w:p w:rsidR="00000000" w:rsidRDefault="00000000">
      <w:pPr>
        <w:pStyle w:val="SingleTxt"/>
      </w:pPr>
      <w:r>
        <w:tab/>
        <w:t>Мероприятия Агентства по вопросам равенства между мужчинами и женщинами включают:</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3330"/>
        <w:gridCol w:w="4248"/>
      </w:tblGrid>
      <w:tr w:rsidR="00000000">
        <w:tblPrEx>
          <w:tblCellMar>
            <w:top w:w="0" w:type="dxa"/>
            <w:left w:w="0" w:type="dxa"/>
            <w:bottom w:w="0" w:type="dxa"/>
            <w:right w:w="0" w:type="dxa"/>
          </w:tblCellMar>
        </w:tblPrEx>
        <w:tc>
          <w:tcPr>
            <w:tcW w:w="3330" w:type="dxa"/>
          </w:tcPr>
          <w:p w:rsidR="00000000" w:rsidRDefault="00000000">
            <w:pPr>
              <w:pStyle w:val="DualTxt"/>
              <w:jc w:val="left"/>
            </w:pPr>
            <w:r>
              <w:t>Осуществление плана действий Боснии и Герцеговины по генде</w:t>
            </w:r>
            <w:r>
              <w:t>р</w:t>
            </w:r>
            <w:r>
              <w:t>ной проблем</w:t>
            </w:r>
            <w:r>
              <w:t>а</w:t>
            </w:r>
            <w:r>
              <w:t>тике</w:t>
            </w:r>
          </w:p>
        </w:tc>
        <w:tc>
          <w:tcPr>
            <w:tcW w:w="4248" w:type="dxa"/>
          </w:tcPr>
          <w:p w:rsidR="00000000" w:rsidRDefault="00000000">
            <w:pPr>
              <w:pStyle w:val="DualTxt"/>
              <w:ind w:left="72"/>
              <w:jc w:val="left"/>
            </w:pPr>
            <w:r>
              <w:t>Действия в 15 областях — план подготовлен и будет направлен для принятия Советом министров Боснии и Герцеговины в 2006 году</w:t>
            </w:r>
          </w:p>
        </w:tc>
      </w:tr>
      <w:tr w:rsidR="00000000">
        <w:tblPrEx>
          <w:tblCellMar>
            <w:top w:w="0" w:type="dxa"/>
            <w:left w:w="0" w:type="dxa"/>
            <w:bottom w:w="0" w:type="dxa"/>
            <w:right w:w="0" w:type="dxa"/>
          </w:tblCellMar>
        </w:tblPrEx>
        <w:tc>
          <w:tcPr>
            <w:tcW w:w="3330" w:type="dxa"/>
          </w:tcPr>
          <w:p w:rsidR="00000000" w:rsidRDefault="00000000">
            <w:pPr>
              <w:pStyle w:val="DualTxt"/>
              <w:jc w:val="left"/>
            </w:pPr>
            <w:r>
              <w:t>Осуществление Закона о равенстве мужчин и женщин Боснии и Герц</w:t>
            </w:r>
            <w:r>
              <w:t>е</w:t>
            </w:r>
            <w:r>
              <w:t>говины</w:t>
            </w:r>
          </w:p>
        </w:tc>
        <w:tc>
          <w:tcPr>
            <w:tcW w:w="4248" w:type="dxa"/>
          </w:tcPr>
          <w:p w:rsidR="00000000" w:rsidRDefault="00000000">
            <w:pPr>
              <w:pStyle w:val="DualTxt"/>
              <w:ind w:left="72"/>
              <w:jc w:val="left"/>
            </w:pPr>
            <w:r>
              <w:t>По каждой области Закона были учреждены рабочие группы, чтобы представлять рек</w:t>
            </w:r>
            <w:r>
              <w:t>о</w:t>
            </w:r>
            <w:r>
              <w:t>мендации относительно более простого и эффективного выполнения этого Зак</w:t>
            </w:r>
            <w:r>
              <w:t>о</w:t>
            </w:r>
            <w:r>
              <w:t>на</w:t>
            </w:r>
          </w:p>
        </w:tc>
      </w:tr>
      <w:tr w:rsidR="00000000">
        <w:tblPrEx>
          <w:tblCellMar>
            <w:top w:w="0" w:type="dxa"/>
            <w:left w:w="0" w:type="dxa"/>
            <w:bottom w:w="0" w:type="dxa"/>
            <w:right w:w="0" w:type="dxa"/>
          </w:tblCellMar>
        </w:tblPrEx>
        <w:tc>
          <w:tcPr>
            <w:tcW w:w="3330" w:type="dxa"/>
          </w:tcPr>
          <w:p w:rsidR="00000000" w:rsidRDefault="00000000">
            <w:pPr>
              <w:pStyle w:val="DualTxt"/>
              <w:jc w:val="left"/>
            </w:pPr>
            <w:r>
              <w:t xml:space="preserve">Гендерная экспертиза законов </w:t>
            </w:r>
          </w:p>
        </w:tc>
        <w:tc>
          <w:tcPr>
            <w:tcW w:w="4248" w:type="dxa"/>
          </w:tcPr>
          <w:p w:rsidR="00000000" w:rsidRDefault="00000000">
            <w:pPr>
              <w:pStyle w:val="DualTxt"/>
              <w:ind w:left="72"/>
              <w:jc w:val="left"/>
            </w:pPr>
            <w:r>
              <w:t>Пока еще не начата по причине отсутствия людских ресурсов</w:t>
            </w:r>
          </w:p>
        </w:tc>
      </w:tr>
      <w:tr w:rsidR="00000000">
        <w:tblPrEx>
          <w:tblCellMar>
            <w:top w:w="0" w:type="dxa"/>
            <w:left w:w="0" w:type="dxa"/>
            <w:bottom w:w="0" w:type="dxa"/>
            <w:right w:w="0" w:type="dxa"/>
          </w:tblCellMar>
        </w:tblPrEx>
        <w:tc>
          <w:tcPr>
            <w:tcW w:w="3330" w:type="dxa"/>
          </w:tcPr>
          <w:p w:rsidR="00000000" w:rsidRDefault="00000000">
            <w:pPr>
              <w:pStyle w:val="DualTxt"/>
              <w:jc w:val="left"/>
            </w:pPr>
            <w:r>
              <w:t>Сотрудничество с парламентскими комиссиями по вопросам равенства полов и исполнительными орган</w:t>
            </w:r>
            <w:r>
              <w:t>а</w:t>
            </w:r>
            <w:r>
              <w:t xml:space="preserve">ми власти на всех уровнях </w:t>
            </w:r>
          </w:p>
        </w:tc>
        <w:tc>
          <w:tcPr>
            <w:tcW w:w="4248" w:type="dxa"/>
          </w:tcPr>
          <w:p w:rsidR="00000000" w:rsidRDefault="00000000">
            <w:pPr>
              <w:pStyle w:val="DualTxt"/>
              <w:ind w:left="72"/>
              <w:jc w:val="left"/>
            </w:pPr>
            <w:r>
              <w:t>На текущей основе</w:t>
            </w:r>
          </w:p>
        </w:tc>
      </w:tr>
      <w:tr w:rsidR="00000000">
        <w:tblPrEx>
          <w:tblCellMar>
            <w:top w:w="0" w:type="dxa"/>
            <w:left w:w="0" w:type="dxa"/>
            <w:bottom w:w="0" w:type="dxa"/>
            <w:right w:w="0" w:type="dxa"/>
          </w:tblCellMar>
        </w:tblPrEx>
        <w:tc>
          <w:tcPr>
            <w:tcW w:w="3330" w:type="dxa"/>
          </w:tcPr>
          <w:p w:rsidR="00000000" w:rsidRDefault="00000000">
            <w:pPr>
              <w:pStyle w:val="DualTxt"/>
              <w:jc w:val="left"/>
            </w:pPr>
            <w:r>
              <w:t>Сотрудничество с центрами обр</w:t>
            </w:r>
            <w:r>
              <w:t>а</w:t>
            </w:r>
            <w:r>
              <w:t>зований по гендерным вопросам</w:t>
            </w:r>
          </w:p>
        </w:tc>
        <w:tc>
          <w:tcPr>
            <w:tcW w:w="4248" w:type="dxa"/>
          </w:tcPr>
          <w:p w:rsidR="00000000" w:rsidRDefault="00000000">
            <w:pPr>
              <w:pStyle w:val="DualTxt"/>
              <w:ind w:left="72"/>
              <w:jc w:val="left"/>
            </w:pPr>
            <w:r>
              <w:t>Был учрежден Координационный совет, включающий представителей национальных механизмов по гендерной проблемат</w:t>
            </w:r>
            <w:r>
              <w:t>и</w:t>
            </w:r>
            <w:r>
              <w:t>ке</w:t>
            </w:r>
          </w:p>
        </w:tc>
      </w:tr>
      <w:tr w:rsidR="00000000">
        <w:tblPrEx>
          <w:tblCellMar>
            <w:top w:w="0" w:type="dxa"/>
            <w:left w:w="0" w:type="dxa"/>
            <w:bottom w:w="0" w:type="dxa"/>
            <w:right w:w="0" w:type="dxa"/>
          </w:tblCellMar>
        </w:tblPrEx>
        <w:tc>
          <w:tcPr>
            <w:tcW w:w="3330" w:type="dxa"/>
          </w:tcPr>
          <w:p w:rsidR="00000000" w:rsidRDefault="00000000">
            <w:pPr>
              <w:pStyle w:val="DualTxt"/>
              <w:jc w:val="left"/>
            </w:pPr>
            <w:r>
              <w:t>Доклад, подготовленный в соотве</w:t>
            </w:r>
            <w:r>
              <w:t>т</w:t>
            </w:r>
            <w:r>
              <w:t>ствии с Конвенций о ликвидации всех форм дискриминации в отн</w:t>
            </w:r>
            <w:r>
              <w:t>о</w:t>
            </w:r>
            <w:r>
              <w:t>шении женщин (КЛДЖ)</w:t>
            </w:r>
          </w:p>
        </w:tc>
        <w:tc>
          <w:tcPr>
            <w:tcW w:w="4248" w:type="dxa"/>
          </w:tcPr>
          <w:p w:rsidR="00000000" w:rsidRDefault="00000000">
            <w:pPr>
              <w:pStyle w:val="DualTxt"/>
              <w:ind w:left="72"/>
              <w:jc w:val="left"/>
            </w:pPr>
          </w:p>
        </w:tc>
      </w:tr>
      <w:tr w:rsidR="00000000">
        <w:tblPrEx>
          <w:tblCellMar>
            <w:top w:w="0" w:type="dxa"/>
            <w:left w:w="0" w:type="dxa"/>
            <w:bottom w:w="0" w:type="dxa"/>
            <w:right w:w="0" w:type="dxa"/>
          </w:tblCellMar>
        </w:tblPrEx>
        <w:tc>
          <w:tcPr>
            <w:tcW w:w="3330" w:type="dxa"/>
          </w:tcPr>
          <w:p w:rsidR="00000000" w:rsidRDefault="00000000">
            <w:pPr>
              <w:pStyle w:val="DualTxt"/>
              <w:jc w:val="left"/>
            </w:pPr>
            <w:r>
              <w:t>Разработка государственного плана действий в соответствии с Пеки</w:t>
            </w:r>
            <w:r>
              <w:t>н</w:t>
            </w:r>
            <w:r>
              <w:t>ской декларацией</w:t>
            </w:r>
          </w:p>
        </w:tc>
        <w:tc>
          <w:tcPr>
            <w:tcW w:w="4248" w:type="dxa"/>
          </w:tcPr>
          <w:p w:rsidR="00000000" w:rsidRDefault="00000000">
            <w:pPr>
              <w:pStyle w:val="DualTxt"/>
              <w:ind w:left="72"/>
              <w:jc w:val="left"/>
            </w:pPr>
            <w:r>
              <w:t>Подготовлен и будет включен в качестве приложения к Плану действий Боснии и Герцеговины по гендерной проблемат</w:t>
            </w:r>
            <w:r>
              <w:t>и</w:t>
            </w:r>
            <w:r>
              <w:t>ке</w:t>
            </w:r>
          </w:p>
        </w:tc>
      </w:tr>
      <w:tr w:rsidR="00000000">
        <w:tblPrEx>
          <w:tblCellMar>
            <w:top w:w="0" w:type="dxa"/>
            <w:left w:w="0" w:type="dxa"/>
            <w:bottom w:w="0" w:type="dxa"/>
            <w:right w:w="0" w:type="dxa"/>
          </w:tblCellMar>
        </w:tblPrEx>
        <w:tc>
          <w:tcPr>
            <w:tcW w:w="3330" w:type="dxa"/>
          </w:tcPr>
          <w:p w:rsidR="00000000" w:rsidRDefault="00000000">
            <w:pPr>
              <w:pStyle w:val="DualTxt"/>
              <w:jc w:val="left"/>
            </w:pPr>
            <w:r>
              <w:t>Учет гендерной проблематики в среднесрочной стратегии развития (СССР) Боснии и Герцеговины</w:t>
            </w:r>
          </w:p>
        </w:tc>
        <w:tc>
          <w:tcPr>
            <w:tcW w:w="4248" w:type="dxa"/>
          </w:tcPr>
          <w:p w:rsidR="00000000" w:rsidRDefault="00000000">
            <w:pPr>
              <w:pStyle w:val="DualTxt"/>
              <w:ind w:left="72"/>
              <w:jc w:val="left"/>
            </w:pPr>
            <w:r>
              <w:t>В рамках ОПЭП была создана рабочая гру</w:t>
            </w:r>
            <w:r>
              <w:t>п</w:t>
            </w:r>
            <w:r>
              <w:t>па по гендерной проблематике (отвечающая за осуществление стр</w:t>
            </w:r>
            <w:r>
              <w:t>а</w:t>
            </w:r>
            <w:r>
              <w:t>тегии)</w:t>
            </w:r>
          </w:p>
        </w:tc>
      </w:tr>
      <w:tr w:rsidR="00000000">
        <w:tblPrEx>
          <w:tblCellMar>
            <w:top w:w="0" w:type="dxa"/>
            <w:left w:w="0" w:type="dxa"/>
            <w:bottom w:w="0" w:type="dxa"/>
            <w:right w:w="0" w:type="dxa"/>
          </w:tblCellMar>
        </w:tblPrEx>
        <w:tc>
          <w:tcPr>
            <w:tcW w:w="3330" w:type="dxa"/>
          </w:tcPr>
          <w:p w:rsidR="00000000" w:rsidRDefault="00000000">
            <w:pPr>
              <w:pStyle w:val="DualTxt"/>
              <w:jc w:val="left"/>
            </w:pPr>
            <w:r>
              <w:t>Учет гендерной проблематики в системе образования Боснии и Ге</w:t>
            </w:r>
            <w:r>
              <w:t>р</w:t>
            </w:r>
            <w:r>
              <w:t>цег</w:t>
            </w:r>
            <w:r>
              <w:t>о</w:t>
            </w:r>
            <w:r>
              <w:t>вины</w:t>
            </w:r>
          </w:p>
        </w:tc>
        <w:tc>
          <w:tcPr>
            <w:tcW w:w="4248" w:type="dxa"/>
          </w:tcPr>
          <w:p w:rsidR="00000000" w:rsidRDefault="00000000">
            <w:pPr>
              <w:pStyle w:val="DualTxt"/>
              <w:ind w:left="72"/>
              <w:jc w:val="left"/>
            </w:pPr>
            <w:r>
              <w:t>Заседания за «круглым столом»/</w:t>
            </w:r>
            <w:r>
              <w:br/>
              <w:t>профессиональная подготовка, публик</w:t>
            </w:r>
            <w:r>
              <w:t>а</w:t>
            </w:r>
            <w:r>
              <w:t>ции</w:t>
            </w:r>
          </w:p>
        </w:tc>
      </w:tr>
      <w:tr w:rsidR="00000000">
        <w:tblPrEx>
          <w:tblCellMar>
            <w:top w:w="0" w:type="dxa"/>
            <w:left w:w="0" w:type="dxa"/>
            <w:bottom w:w="0" w:type="dxa"/>
            <w:right w:w="0" w:type="dxa"/>
          </w:tblCellMar>
        </w:tblPrEx>
        <w:tc>
          <w:tcPr>
            <w:tcW w:w="3330" w:type="dxa"/>
          </w:tcPr>
          <w:p w:rsidR="00000000" w:rsidRDefault="00000000">
            <w:pPr>
              <w:pStyle w:val="DualTxt"/>
              <w:jc w:val="left"/>
            </w:pPr>
            <w:r>
              <w:t>Сотрудничество со средствами ма</w:t>
            </w:r>
            <w:r>
              <w:t>с</w:t>
            </w:r>
            <w:r>
              <w:t>совой информации</w:t>
            </w:r>
          </w:p>
        </w:tc>
        <w:tc>
          <w:tcPr>
            <w:tcW w:w="4248" w:type="dxa"/>
          </w:tcPr>
          <w:p w:rsidR="00000000" w:rsidRDefault="00000000">
            <w:pPr>
              <w:pStyle w:val="DualTxt"/>
              <w:ind w:left="72"/>
              <w:jc w:val="left"/>
            </w:pPr>
            <w:r>
              <w:t>На текущей основе</w:t>
            </w:r>
          </w:p>
        </w:tc>
      </w:tr>
      <w:tr w:rsidR="00000000">
        <w:tblPrEx>
          <w:tblCellMar>
            <w:top w:w="0" w:type="dxa"/>
            <w:left w:w="0" w:type="dxa"/>
            <w:bottom w:w="0" w:type="dxa"/>
            <w:right w:w="0" w:type="dxa"/>
          </w:tblCellMar>
        </w:tblPrEx>
        <w:tc>
          <w:tcPr>
            <w:tcW w:w="3330" w:type="dxa"/>
          </w:tcPr>
          <w:p w:rsidR="00000000" w:rsidRDefault="00000000">
            <w:pPr>
              <w:pStyle w:val="DualTxt"/>
              <w:jc w:val="left"/>
            </w:pPr>
            <w:r>
              <w:t>Сотрудничество с международными и неправительственными организ</w:t>
            </w:r>
            <w:r>
              <w:t>а</w:t>
            </w:r>
            <w:r>
              <w:t>циями</w:t>
            </w:r>
          </w:p>
        </w:tc>
        <w:tc>
          <w:tcPr>
            <w:tcW w:w="4248" w:type="dxa"/>
          </w:tcPr>
          <w:p w:rsidR="00000000" w:rsidRDefault="00000000">
            <w:pPr>
              <w:pStyle w:val="DualTxt"/>
              <w:ind w:left="72"/>
              <w:jc w:val="left"/>
            </w:pPr>
            <w:r>
              <w:t>Организация Объединенных Наций, Евр</w:t>
            </w:r>
            <w:r>
              <w:t>о</w:t>
            </w:r>
            <w:r>
              <w:t>пейский союз, Совет Европы и т.д.</w:t>
            </w:r>
          </w:p>
        </w:tc>
      </w:tr>
      <w:tr w:rsidR="00000000">
        <w:tblPrEx>
          <w:tblCellMar>
            <w:top w:w="0" w:type="dxa"/>
            <w:left w:w="0" w:type="dxa"/>
            <w:bottom w:w="0" w:type="dxa"/>
            <w:right w:w="0" w:type="dxa"/>
          </w:tblCellMar>
        </w:tblPrEx>
        <w:tc>
          <w:tcPr>
            <w:tcW w:w="3330" w:type="dxa"/>
          </w:tcPr>
          <w:p w:rsidR="00000000" w:rsidRDefault="00000000">
            <w:pPr>
              <w:pStyle w:val="DualTxt"/>
              <w:jc w:val="left"/>
            </w:pPr>
            <w:r>
              <w:t>Сотрудничество на региональном уровне</w:t>
            </w:r>
          </w:p>
        </w:tc>
        <w:tc>
          <w:tcPr>
            <w:tcW w:w="4248" w:type="dxa"/>
          </w:tcPr>
          <w:p w:rsidR="00000000" w:rsidRDefault="00000000">
            <w:pPr>
              <w:pStyle w:val="DualTxt"/>
              <w:ind w:left="72"/>
              <w:jc w:val="left"/>
            </w:pPr>
            <w:r>
              <w:t>Подписание Декларации о сотрудничестве между организационными механизмами по гендерным вопросам стран Западных Ба</w:t>
            </w:r>
            <w:r>
              <w:t>л</w:t>
            </w:r>
            <w:r>
              <w:t>кан</w:t>
            </w:r>
          </w:p>
        </w:tc>
      </w:tr>
    </w:tbl>
    <w:p w:rsidR="00000000" w:rsidRDefault="00000000">
      <w:pPr>
        <w:pStyle w:val="SingleTxt"/>
        <w:spacing w:after="0" w:line="120" w:lineRule="exact"/>
        <w:rPr>
          <w:sz w:val="10"/>
        </w:rPr>
      </w:pPr>
    </w:p>
    <w:p w:rsidR="00000000" w:rsidRDefault="00000000">
      <w:pPr>
        <w:pStyle w:val="SingleTxt"/>
        <w:rPr>
          <w:b/>
        </w:rPr>
      </w:pPr>
      <w:r>
        <w:t>7.</w:t>
      </w:r>
      <w:r>
        <w:tab/>
      </w:r>
      <w:r>
        <w:rPr>
          <w:b/>
        </w:rPr>
        <w:t>Просьба представить подробные данные о конкретных целевых пок</w:t>
      </w:r>
      <w:r>
        <w:rPr>
          <w:b/>
        </w:rPr>
        <w:t>а</w:t>
      </w:r>
      <w:r>
        <w:rPr>
          <w:b/>
        </w:rPr>
        <w:t>зателях и сроках осуществления Национального плана действий по улу</w:t>
      </w:r>
      <w:r>
        <w:rPr>
          <w:b/>
        </w:rPr>
        <w:t>ч</w:t>
      </w:r>
      <w:r>
        <w:rPr>
          <w:b/>
        </w:rPr>
        <w:t>шению положения женщин, разработанного на уровне образований на о</w:t>
      </w:r>
      <w:r>
        <w:rPr>
          <w:b/>
        </w:rPr>
        <w:t>с</w:t>
      </w:r>
      <w:r>
        <w:rPr>
          <w:b/>
        </w:rPr>
        <w:t>нове Пекинской платформы действий. В ответе следует также уточнить, был ли принят этот план и кто отвечает за его осуществление и контроль за его осуществлением.</w:t>
      </w:r>
    </w:p>
    <w:p w:rsidR="00000000" w:rsidRDefault="00000000">
      <w:pPr>
        <w:pStyle w:val="SingleTxt"/>
      </w:pPr>
      <w:r>
        <w:tab/>
        <w:t>В сотрудничестве с центрами образований по гендерным вопросам Агентство по вопросам равенства между мужчинами и женщинами Боснии и Герцеговины подготовило в 2005 году в соответствии с Пекинской декларацией и Платформой действий проект национального плана действий по гендерной проблематике. В деятельности рабочих групп по каждой из 12 областей плана участвовали представители как правительственных, так и неправительстве</w:t>
      </w:r>
      <w:r>
        <w:t>н</w:t>
      </w:r>
      <w:r>
        <w:t>ных о</w:t>
      </w:r>
      <w:r>
        <w:t>р</w:t>
      </w:r>
      <w:r>
        <w:t>ганизаций (приблизительно 90 человек).</w:t>
      </w:r>
    </w:p>
    <w:p w:rsidR="00000000" w:rsidRDefault="00000000">
      <w:pPr>
        <w:pStyle w:val="SingleTxt"/>
      </w:pPr>
      <w:r>
        <w:tab/>
        <w:t>Государственный план действий Боснии и Герцеговины охватывает все 12 областей Пекинской декларации и Платформы действий, определяя мер</w:t>
      </w:r>
      <w:r>
        <w:t>о</w:t>
      </w:r>
      <w:r>
        <w:t>приятия для осуществления, институты/организации, отвечающие за его в</w:t>
      </w:r>
      <w:r>
        <w:t>ы</w:t>
      </w:r>
      <w:r>
        <w:t>полнение, а также сроки. План охватывает следующие 12 областей:</w:t>
      </w:r>
    </w:p>
    <w:p w:rsidR="00000000" w:rsidRDefault="00000000">
      <w:pPr>
        <w:pStyle w:val="SingleTxt"/>
      </w:pPr>
      <w:r>
        <w:tab/>
        <w:t>А.</w:t>
      </w:r>
      <w:r>
        <w:tab/>
        <w:t>Женщины и нищета</w:t>
      </w:r>
    </w:p>
    <w:p w:rsidR="00000000" w:rsidRDefault="00000000">
      <w:pPr>
        <w:pStyle w:val="SingleTxt"/>
      </w:pPr>
      <w:r>
        <w:tab/>
        <w:t>В.</w:t>
      </w:r>
      <w:r>
        <w:tab/>
        <w:t>Образование женщин</w:t>
      </w:r>
    </w:p>
    <w:p w:rsidR="00000000" w:rsidRDefault="00000000">
      <w:pPr>
        <w:pStyle w:val="SingleTxt"/>
      </w:pPr>
      <w:r>
        <w:tab/>
        <w:t>C.</w:t>
      </w:r>
      <w:r>
        <w:tab/>
        <w:t>Женщины и охрана здоровья</w:t>
      </w:r>
    </w:p>
    <w:p w:rsidR="00000000" w:rsidRDefault="00000000">
      <w:pPr>
        <w:pStyle w:val="SingleTxt"/>
      </w:pPr>
      <w:r>
        <w:tab/>
        <w:t>D.</w:t>
      </w:r>
      <w:r>
        <w:tab/>
        <w:t>Насилие в отношении женщин</w:t>
      </w:r>
    </w:p>
    <w:p w:rsidR="00000000" w:rsidRDefault="00000000">
      <w:pPr>
        <w:pStyle w:val="SingleTxt"/>
      </w:pPr>
      <w:r>
        <w:tab/>
        <w:t>E.</w:t>
      </w:r>
      <w:r>
        <w:tab/>
        <w:t>Женщины и вооруженные конфликты</w:t>
      </w:r>
    </w:p>
    <w:p w:rsidR="00000000" w:rsidRDefault="00000000">
      <w:pPr>
        <w:pStyle w:val="SingleTxt"/>
      </w:pPr>
      <w:r>
        <w:tab/>
        <w:t>F.</w:t>
      </w:r>
      <w:r>
        <w:tab/>
        <w:t>Женщины и экономика</w:t>
      </w:r>
    </w:p>
    <w:p w:rsidR="00000000" w:rsidRDefault="00000000">
      <w:pPr>
        <w:pStyle w:val="SingleTxt"/>
      </w:pPr>
      <w:r>
        <w:tab/>
        <w:t>G.</w:t>
      </w:r>
      <w:r>
        <w:tab/>
        <w:t>Участие женщин в процессе принятия решений</w:t>
      </w:r>
    </w:p>
    <w:p w:rsidR="00000000" w:rsidRDefault="00000000">
      <w:pPr>
        <w:pStyle w:val="SingleTxt"/>
      </w:pPr>
      <w:r>
        <w:tab/>
        <w:t>H.</w:t>
      </w:r>
      <w:r>
        <w:tab/>
        <w:t>Международные механизмы улучшения положения женщин</w:t>
      </w:r>
    </w:p>
    <w:p w:rsidR="00000000" w:rsidRDefault="00000000">
      <w:pPr>
        <w:pStyle w:val="SingleTxt"/>
      </w:pPr>
      <w:r>
        <w:tab/>
        <w:t>I.</w:t>
      </w:r>
      <w:r>
        <w:tab/>
        <w:t>Права человека женщин</w:t>
      </w:r>
    </w:p>
    <w:p w:rsidR="00000000" w:rsidRDefault="00000000">
      <w:pPr>
        <w:pStyle w:val="SingleTxt"/>
      </w:pPr>
      <w:r>
        <w:tab/>
        <w:t>J.</w:t>
      </w:r>
      <w:r>
        <w:tab/>
        <w:t>Женщины и средства массовой информации</w:t>
      </w:r>
    </w:p>
    <w:p w:rsidR="00000000" w:rsidRDefault="00000000">
      <w:pPr>
        <w:pStyle w:val="SingleTxt"/>
      </w:pPr>
      <w:r>
        <w:tab/>
        <w:t>K.</w:t>
      </w:r>
      <w:r>
        <w:tab/>
        <w:t>Женщины и окружающая среда</w:t>
      </w:r>
    </w:p>
    <w:p w:rsidR="00000000" w:rsidRDefault="00000000">
      <w:pPr>
        <w:pStyle w:val="SingleTxt"/>
      </w:pPr>
      <w:r>
        <w:tab/>
        <w:t>L.</w:t>
      </w:r>
      <w:r>
        <w:tab/>
        <w:t>Девочки.</w:t>
      </w:r>
    </w:p>
    <w:p w:rsidR="00000000" w:rsidRDefault="00000000">
      <w:pPr>
        <w:pStyle w:val="SingleTxt"/>
      </w:pPr>
      <w:r>
        <w:tab/>
        <w:t>Проект национального плана действий по гендерной проблематике был направлен на рассмотрение всем министерствам образований, поскольку они отвечают за осуществление большинства мероприятий.</w:t>
      </w:r>
    </w:p>
    <w:p w:rsidR="00000000" w:rsidRDefault="00000000">
      <w:pPr>
        <w:pStyle w:val="SingleTxt"/>
      </w:pPr>
      <w:r>
        <w:tab/>
        <w:t>Позднее в 2005 году по стратегическим соображениям было принято р</w:t>
      </w:r>
      <w:r>
        <w:t>е</w:t>
      </w:r>
      <w:r>
        <w:t>шение о включении национального плана действий в план действий Боснии и Герцеговины по гендерной проблематике, разработанный Агентством Боснии и Герцеговины по вопросам равенства между мужчинами и женщинами в с</w:t>
      </w:r>
      <w:r>
        <w:t>о</w:t>
      </w:r>
      <w:r>
        <w:t>трудничестве с центрами по гендерным вопросам Федерации Боснии и Герц</w:t>
      </w:r>
      <w:r>
        <w:t>е</w:t>
      </w:r>
      <w:r>
        <w:t>говины и Республики Сербской в декабре 2005 года. План действий Боснии и Герцеговины по гендерной проблематике планируется представить совету м</w:t>
      </w:r>
      <w:r>
        <w:t>и</w:t>
      </w:r>
      <w:r>
        <w:t>нистров Боснии и Герцеговины для принятия в первом квартале 2006 года, а затем Парламентской ассамблее Боснии и Герцегов</w:t>
      </w:r>
      <w:r>
        <w:t>и</w:t>
      </w:r>
      <w:r>
        <w:t>ны.</w:t>
      </w:r>
    </w:p>
    <w:p w:rsidR="00000000" w:rsidRDefault="00000000">
      <w:pPr>
        <w:pStyle w:val="SingleTxt"/>
      </w:pPr>
      <w:r>
        <w:tab/>
        <w:t>План действий включает, как в вертикальном, так и горизонтальном ра</w:t>
      </w:r>
      <w:r>
        <w:t>з</w:t>
      </w:r>
      <w:r>
        <w:t>резах, обязанности, определенные в документах Организации Объединенных Наций, Европейского союза и Совета Европы. Ниже представлена его структ</w:t>
      </w:r>
      <w:r>
        <w:t>у</w:t>
      </w:r>
      <w:r>
        <w:t>ра:</w:t>
      </w:r>
    </w:p>
    <w:p w:rsidR="00000000" w:rsidRDefault="00000000">
      <w:pPr>
        <w:pStyle w:val="SingleTxt"/>
      </w:pPr>
      <w:r>
        <w:tab/>
        <w:t>а)</w:t>
      </w:r>
      <w:r>
        <w:tab/>
        <w:t>меры, которые надлежит осуществить в 15 областях:</w:t>
      </w:r>
    </w:p>
    <w:p w:rsidR="00000000" w:rsidRDefault="00000000">
      <w:pPr>
        <w:pStyle w:val="SingleTxt"/>
        <w:tabs>
          <w:tab w:val="right" w:pos="1685"/>
          <w:tab w:val="right" w:pos="2160"/>
        </w:tabs>
        <w:ind w:left="2218" w:hanging="475"/>
      </w:pPr>
      <w:r>
        <w:tab/>
        <w:t>–</w:t>
      </w:r>
      <w:r>
        <w:tab/>
        <w:t>европейская интеграция;</w:t>
      </w:r>
    </w:p>
    <w:p w:rsidR="00000000" w:rsidRDefault="00000000">
      <w:pPr>
        <w:pStyle w:val="SingleTxt"/>
        <w:tabs>
          <w:tab w:val="right" w:pos="1685"/>
          <w:tab w:val="right" w:pos="2160"/>
        </w:tabs>
        <w:ind w:left="2218" w:hanging="475"/>
      </w:pPr>
      <w:r>
        <w:tab/>
        <w:t>–</w:t>
      </w:r>
      <w:r>
        <w:tab/>
        <w:t>сотрудничество и укрепление потенциала;</w:t>
      </w:r>
    </w:p>
    <w:p w:rsidR="00000000" w:rsidRDefault="00000000">
      <w:pPr>
        <w:pStyle w:val="SingleTxt"/>
        <w:tabs>
          <w:tab w:val="right" w:pos="1685"/>
          <w:tab w:val="right" w:pos="2160"/>
        </w:tabs>
        <w:ind w:left="2218" w:hanging="475"/>
      </w:pPr>
      <w:r>
        <w:tab/>
        <w:t>–</w:t>
      </w:r>
      <w:r>
        <w:tab/>
        <w:t>стратегии в области макроэкономики и развития;</w:t>
      </w:r>
    </w:p>
    <w:p w:rsidR="00000000" w:rsidRDefault="00000000">
      <w:pPr>
        <w:pStyle w:val="SingleTxt"/>
        <w:tabs>
          <w:tab w:val="right" w:pos="1685"/>
          <w:tab w:val="right" w:pos="2160"/>
        </w:tabs>
        <w:ind w:left="2218" w:hanging="475"/>
      </w:pPr>
      <w:r>
        <w:tab/>
        <w:t>–</w:t>
      </w:r>
      <w:r>
        <w:tab/>
        <w:t>учитывающий гендерные аспекты бюджет;</w:t>
      </w:r>
    </w:p>
    <w:p w:rsidR="00000000" w:rsidRDefault="00000000">
      <w:pPr>
        <w:pStyle w:val="SingleTxt"/>
        <w:tabs>
          <w:tab w:val="right" w:pos="1685"/>
          <w:tab w:val="right" w:pos="2160"/>
        </w:tabs>
        <w:ind w:left="2218" w:hanging="475"/>
      </w:pPr>
      <w:r>
        <w:tab/>
        <w:t>–</w:t>
      </w:r>
      <w:r>
        <w:tab/>
        <w:t>полномочия и принятие решений;</w:t>
      </w:r>
    </w:p>
    <w:p w:rsidR="00000000" w:rsidRDefault="00000000">
      <w:pPr>
        <w:pStyle w:val="SingleTxt"/>
        <w:tabs>
          <w:tab w:val="right" w:pos="1685"/>
          <w:tab w:val="right" w:pos="2160"/>
        </w:tabs>
        <w:ind w:left="2218" w:hanging="475"/>
      </w:pPr>
      <w:r>
        <w:tab/>
        <w:t>–</w:t>
      </w:r>
      <w:r>
        <w:tab/>
        <w:t>занятость и рынок труда;</w:t>
      </w:r>
    </w:p>
    <w:p w:rsidR="00000000" w:rsidRDefault="00000000">
      <w:pPr>
        <w:pStyle w:val="SingleTxt"/>
        <w:tabs>
          <w:tab w:val="right" w:pos="1685"/>
          <w:tab w:val="right" w:pos="2160"/>
        </w:tabs>
        <w:ind w:left="2218" w:hanging="475"/>
      </w:pPr>
      <w:r>
        <w:tab/>
        <w:t>–</w:t>
      </w:r>
      <w:r>
        <w:tab/>
        <w:t>социальная интеграция;</w:t>
      </w:r>
    </w:p>
    <w:p w:rsidR="00000000" w:rsidRDefault="00000000">
      <w:pPr>
        <w:pStyle w:val="SingleTxt"/>
        <w:tabs>
          <w:tab w:val="right" w:pos="1685"/>
          <w:tab w:val="right" w:pos="2160"/>
        </w:tabs>
        <w:ind w:left="2218" w:hanging="475"/>
      </w:pPr>
      <w:r>
        <w:tab/>
        <w:t>–</w:t>
      </w:r>
      <w:r>
        <w:tab/>
        <w:t>доходы, льготы и неоплачиваемый труд;</w:t>
      </w:r>
    </w:p>
    <w:p w:rsidR="00000000" w:rsidRDefault="00000000">
      <w:pPr>
        <w:pStyle w:val="SingleTxt"/>
        <w:tabs>
          <w:tab w:val="right" w:pos="1685"/>
          <w:tab w:val="right" w:pos="2160"/>
        </w:tabs>
        <w:ind w:left="2218" w:hanging="475"/>
      </w:pPr>
      <w:r>
        <w:tab/>
        <w:t>–</w:t>
      </w:r>
      <w:r>
        <w:tab/>
        <w:t>образование на протяжении всей жизни;</w:t>
      </w:r>
    </w:p>
    <w:p w:rsidR="00000000" w:rsidRDefault="00000000">
      <w:pPr>
        <w:pStyle w:val="SingleTxt"/>
        <w:tabs>
          <w:tab w:val="right" w:pos="1685"/>
          <w:tab w:val="right" w:pos="2160"/>
        </w:tabs>
        <w:ind w:left="2218" w:hanging="475"/>
      </w:pPr>
      <w:r>
        <w:tab/>
        <w:t>–</w:t>
      </w:r>
      <w:r>
        <w:tab/>
        <w:t>охрана здоровья, профилактика и защита;</w:t>
      </w:r>
    </w:p>
    <w:p w:rsidR="00000000" w:rsidRDefault="00000000">
      <w:pPr>
        <w:pStyle w:val="SingleTxt"/>
        <w:tabs>
          <w:tab w:val="right" w:pos="1685"/>
          <w:tab w:val="right" w:pos="2160"/>
        </w:tabs>
        <w:ind w:left="2218" w:hanging="475"/>
      </w:pPr>
      <w:r>
        <w:tab/>
        <w:t>–</w:t>
      </w:r>
      <w:r>
        <w:tab/>
        <w:t>насилие и торговля людьми;</w:t>
      </w:r>
    </w:p>
    <w:p w:rsidR="00000000" w:rsidRDefault="00000000">
      <w:pPr>
        <w:pStyle w:val="SingleTxt"/>
        <w:tabs>
          <w:tab w:val="right" w:pos="1685"/>
          <w:tab w:val="right" w:pos="2160"/>
        </w:tabs>
        <w:ind w:left="2218" w:hanging="475"/>
      </w:pPr>
      <w:r>
        <w:tab/>
        <w:t>–</w:t>
      </w:r>
      <w:r>
        <w:tab/>
        <w:t>роль мужчин;</w:t>
      </w:r>
    </w:p>
    <w:p w:rsidR="00000000" w:rsidRDefault="00000000">
      <w:pPr>
        <w:pStyle w:val="SingleTxt"/>
        <w:tabs>
          <w:tab w:val="right" w:pos="1685"/>
          <w:tab w:val="right" w:pos="2160"/>
        </w:tabs>
        <w:ind w:left="2218" w:hanging="475"/>
      </w:pPr>
      <w:r>
        <w:tab/>
        <w:t>–</w:t>
      </w:r>
      <w:r>
        <w:tab/>
        <w:t>совмещение производственных и семейных обязанностей;</w:t>
      </w:r>
    </w:p>
    <w:p w:rsidR="00000000" w:rsidRDefault="00000000">
      <w:pPr>
        <w:pStyle w:val="SingleTxt"/>
        <w:tabs>
          <w:tab w:val="right" w:pos="1685"/>
          <w:tab w:val="right" w:pos="2160"/>
        </w:tabs>
        <w:ind w:left="2218" w:hanging="475"/>
      </w:pPr>
      <w:r>
        <w:tab/>
        <w:t>–</w:t>
      </w:r>
      <w:r>
        <w:tab/>
        <w:t>гендерная проблематика и устойчивое развитие;</w:t>
      </w:r>
    </w:p>
    <w:p w:rsidR="00000000" w:rsidRDefault="00000000">
      <w:pPr>
        <w:pStyle w:val="SingleTxt"/>
        <w:tabs>
          <w:tab w:val="right" w:pos="1685"/>
          <w:tab w:val="right" w:pos="2160"/>
        </w:tabs>
        <w:ind w:left="2218" w:hanging="475"/>
      </w:pPr>
      <w:r>
        <w:tab/>
        <w:t>–</w:t>
      </w:r>
      <w:r>
        <w:tab/>
        <w:t>информационная технология и наука.</w:t>
      </w:r>
    </w:p>
    <w:p w:rsidR="00000000" w:rsidRDefault="00000000">
      <w:pPr>
        <w:pStyle w:val="SingleTxt"/>
      </w:pPr>
      <w:r>
        <w:tab/>
        <w:t>b)</w:t>
      </w:r>
      <w:r>
        <w:tab/>
        <w:t>Оперативный план (ответственные учреждения, показатели и сроки).</w:t>
      </w:r>
    </w:p>
    <w:p w:rsidR="00000000" w:rsidRDefault="00000000">
      <w:pPr>
        <w:pStyle w:val="SingleTxt"/>
      </w:pPr>
      <w:r>
        <w:tab/>
        <w:t>с)</w:t>
      </w:r>
      <w:r>
        <w:tab/>
        <w:t>Приложения: Национальный план действий в соответствии с Пеки</w:t>
      </w:r>
      <w:r>
        <w:t>н</w:t>
      </w:r>
      <w:r>
        <w:t>ской декларацией и Платформой действий, первоначальный и периодический доклады Боснии и Герцеговины об осуществлении Конвенции о ликвидации всех форм дискриминации в отношении женщин, рекомендации рабочих групп ответственным учреждениям, отвечающим за разработку программ и мер, к</w:t>
      </w:r>
      <w:r>
        <w:t>а</w:t>
      </w:r>
      <w:r>
        <w:t>сающихся осуществления закона о равенстве мужчин и женщин Боснии и Ге</w:t>
      </w:r>
      <w:r>
        <w:t>р</w:t>
      </w:r>
      <w:r>
        <w:t>цеговины, рекомендации по вопросам учета гендерной проблематики в средн</w:t>
      </w:r>
      <w:r>
        <w:t>е</w:t>
      </w:r>
      <w:r>
        <w:t>срочной стратегии развития, перечень международных, региональных и н</w:t>
      </w:r>
      <w:r>
        <w:t>а</w:t>
      </w:r>
      <w:r>
        <w:t>циональных правовых документов как основы для планирования мероприятий.</w:t>
      </w:r>
    </w:p>
    <w:p w:rsidR="00000000" w:rsidRDefault="00000000">
      <w:pPr>
        <w:pStyle w:val="SingleTxt"/>
      </w:pPr>
      <w:r>
        <w:tab/>
        <w:t>Агентство Боснии и Герцеговины по вопросам равенства между мужч</w:t>
      </w:r>
      <w:r>
        <w:t>и</w:t>
      </w:r>
      <w:r>
        <w:t>нами и женщинами непосредственно отвечает за осуществление плана дейс</w:t>
      </w:r>
      <w:r>
        <w:t>т</w:t>
      </w:r>
      <w:r>
        <w:t>вий Боснии и Герцеговины по гендерной проблематике.</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Статья 4</w:t>
      </w:r>
    </w:p>
    <w:p w:rsidR="00000000" w:rsidRDefault="00000000">
      <w:pPr>
        <w:pStyle w:val="SingleTxt"/>
        <w:spacing w:after="0" w:line="120" w:lineRule="exact"/>
        <w:rPr>
          <w:sz w:val="10"/>
        </w:rPr>
      </w:pPr>
    </w:p>
    <w:p w:rsidR="00000000" w:rsidRDefault="00000000">
      <w:pPr>
        <w:pStyle w:val="SingleTxt"/>
        <w:rPr>
          <w:b/>
        </w:rPr>
      </w:pPr>
      <w:r>
        <w:t>8.</w:t>
      </w:r>
      <w:r>
        <w:tab/>
      </w:r>
      <w:r>
        <w:rPr>
          <w:b/>
        </w:rPr>
        <w:t>В докладе говорится о требованиях в отношении избирательных квот и программе профессиональной подготовки и поддержки для женщин-предпринимателей. Просьба сообщить, предпринимает ли правительство какие-либо дополнительные шаги для принятия временных специальных мер в целях ускорения процесса обеспечения равенства женщин во всех областях жизни в соответствии с пунктом 1 статьи 4 Конвенции и общей рекомендацией Комитета № 25 относительно временных специальных мер.</w:t>
      </w:r>
    </w:p>
    <w:p w:rsidR="00000000" w:rsidRDefault="00000000">
      <w:pPr>
        <w:pStyle w:val="SingleTxt"/>
      </w:pPr>
      <w:r>
        <w:tab/>
        <w:t>В результате совместной деятельности организационных механизмов по гендерным вопросам и неправительственного сектора Парламентской ассам</w:t>
      </w:r>
      <w:r>
        <w:t>б</w:t>
      </w:r>
      <w:r>
        <w:t>лее Боснии и Герцеговины были представлены предложения об изменениях з</w:t>
      </w:r>
      <w:r>
        <w:t>а</w:t>
      </w:r>
      <w:r>
        <w:t>кона Боснии и Герцеговины о выборах в целях увеличения числа женщин в представительных органах на всех уровнях законодательной власти Боснии и Герцеговины, а также обеспечения равной представленности мужчин и же</w:t>
      </w:r>
      <w:r>
        <w:t>н</w:t>
      </w:r>
      <w:r>
        <w:t>щин в избирательных органах на государственном и муниципальном уровнях. Были предложены четыре поправки, и предполагалось получить следующие результаты: 1. Избирательная комиссия Боснии и Герцеговины должна обесп</w:t>
      </w:r>
      <w:r>
        <w:t>е</w:t>
      </w:r>
      <w:r>
        <w:t>чить ведение статистических записей с разбивкой по признаку пола по каждой части процесса выборов; 2. Мужчины и женщины должны быть в равной мере представлены в избирательных органах, советах и комиссиях; 3. Лица, пре</w:t>
      </w:r>
      <w:r>
        <w:t>д</w:t>
      </w:r>
      <w:r>
        <w:t>ставляющие списки кандидатов, должны обеспечивать равную представле</w:t>
      </w:r>
      <w:r>
        <w:t>н</w:t>
      </w:r>
      <w:r>
        <w:t>ность мужчин и женщин среди списочных кандидатов (например, если одна партия представляет списки кандидатов по четырем избирательным участкам в палату представителей парламента Федерации Боснии и Герцеговины, то ка</w:t>
      </w:r>
      <w:r>
        <w:t>н</w:t>
      </w:r>
      <w:r>
        <w:t>дидатами по двум избирательным участкам должны быть мужчины, а по др</w:t>
      </w:r>
      <w:r>
        <w:t>у</w:t>
      </w:r>
      <w:r>
        <w:t>гим двум — женщины).</w:t>
      </w:r>
    </w:p>
    <w:p w:rsidR="00000000" w:rsidRDefault="00000000">
      <w:pPr>
        <w:pStyle w:val="SingleTxt"/>
      </w:pPr>
      <w:r>
        <w:tab/>
        <w:t>Агентство Боснии и Герцеговины по вопросам равенства между мужч</w:t>
      </w:r>
      <w:r>
        <w:t>и</w:t>
      </w:r>
      <w:r>
        <w:t>нами и женщинами и центры образований по гендерным вопросам осуществ</w:t>
      </w:r>
      <w:r>
        <w:t>и</w:t>
      </w:r>
      <w:r>
        <w:t>ли проект «Соблюдение закона о равенстве мужчин и женщин в Боснии и Ге</w:t>
      </w:r>
      <w:r>
        <w:t>р</w:t>
      </w:r>
      <w:r>
        <w:t>цеговине», при поддержке Отделения ПРООН в Боснии и Герцеговине, цель которого заключалась в том, чтобы представить предложения относительно мер по более эффективному осуществлению закона о равенстве мужчин и женщин Боснии и Герцеговины, в частности в областях, оговоренных в самом законе. По каждой области закона были созданы рабочие группы, в состав к</w:t>
      </w:r>
      <w:r>
        <w:t>о</w:t>
      </w:r>
      <w:r>
        <w:t>торых входили представители правительственных и неправительственных о</w:t>
      </w:r>
      <w:r>
        <w:t>р</w:t>
      </w:r>
      <w:r>
        <w:t>ганизаций. Рекомендации и выводы Рабочей группы по общественной жизни включают меры, которые должны осуществлять публичные органы власти (партия, руководящие советы и т.д.), с тем чтобы обеспечивать равное отнош</w:t>
      </w:r>
      <w:r>
        <w:t>е</w:t>
      </w:r>
      <w:r>
        <w:t>ние к мужчинам и женщинам при выдвижении кандидатов на выборах и назн</w:t>
      </w:r>
      <w:r>
        <w:t>а</w:t>
      </w:r>
      <w:r>
        <w:t>чении на должности в органы исполнительной и законодательной власти (ра</w:t>
      </w:r>
      <w:r>
        <w:t>в</w:t>
      </w:r>
      <w:r>
        <w:t>ная представленность на большинстве самых важных постов в исполнительных органах власти и т.д.). Особенно следует отметить, что рекомендации пред</w:t>
      </w:r>
      <w:r>
        <w:t>у</w:t>
      </w:r>
      <w:r>
        <w:t xml:space="preserve">сматривают обеспечение равной представленности в структуре политических партий и их органах. </w:t>
      </w:r>
    </w:p>
    <w:p w:rsidR="00000000" w:rsidRDefault="00000000">
      <w:pPr>
        <w:pStyle w:val="SingleTxt"/>
      </w:pPr>
      <w:r>
        <w:tab/>
        <w:t>В 2005 году Агентство Боснии и Герцеговины по вопросам равенства м</w:t>
      </w:r>
      <w:r>
        <w:t>е</w:t>
      </w:r>
      <w:r>
        <w:t>жду мужчинами и женщинами участвовало в реализации поддерживавшегося ЮНИФЕМ проекта «Осуществление резолюции 1325 Совета Безопасности — женщины, мир и безопасность, с тем чтобы дать в докладе ясную картину о нынешнем статусе резолюции 1325 в Боснии и Герцеговине. Среди прочего, в резолюции подчеркивается важность участия женщин в процессах принятия решений. После реализации этого проекта Агентство по вопросам равенства между мужчинами и женщинами продолжило мероприятия по улучшению и</w:t>
      </w:r>
      <w:r>
        <w:t>н</w:t>
      </w:r>
      <w:r>
        <w:t>формированности о важности резолюции 1325 Совета Безопасности путем о</w:t>
      </w:r>
      <w:r>
        <w:t>р</w:t>
      </w:r>
      <w:r>
        <w:t>ганизации практикумов с секретарями министерств, представителями реги</w:t>
      </w:r>
      <w:r>
        <w:t>о</w:t>
      </w:r>
      <w:r>
        <w:t>нальных механи</w:t>
      </w:r>
      <w:r>
        <w:t>з</w:t>
      </w:r>
      <w:r>
        <w:t>мов по учету гендерной проблематики, женщинами-политиками и членами парламентов, при поддержке Отделения Организации по безопасности и сотрудничеству в Европе (ОБСЕ) в Боснии и Герцеговине. Эти мероприятия будут, несомненно, содействовать и облегчать осуществление специальных временных мер в других областях жи</w:t>
      </w:r>
      <w:r>
        <w:t>з</w:t>
      </w:r>
      <w:r>
        <w:t xml:space="preserve">ни женщин.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Статья 5</w:t>
      </w:r>
    </w:p>
    <w:p w:rsidR="00000000" w:rsidRDefault="00000000">
      <w:pPr>
        <w:pStyle w:val="SingleTxt"/>
        <w:spacing w:after="0" w:line="120" w:lineRule="exact"/>
        <w:rPr>
          <w:sz w:val="10"/>
        </w:rPr>
      </w:pPr>
    </w:p>
    <w:p w:rsidR="00000000" w:rsidRDefault="00000000">
      <w:pPr>
        <w:pStyle w:val="SingleTxt"/>
        <w:rPr>
          <w:b/>
        </w:rPr>
      </w:pPr>
      <w:r>
        <w:t>9.</w:t>
      </w:r>
      <w:r>
        <w:tab/>
      </w:r>
      <w:r>
        <w:rPr>
          <w:b/>
        </w:rPr>
        <w:t>В докладе обращается внимание на сохранение стереотипов по пр</w:t>
      </w:r>
      <w:r>
        <w:rPr>
          <w:b/>
        </w:rPr>
        <w:t>и</w:t>
      </w:r>
      <w:r>
        <w:rPr>
          <w:b/>
        </w:rPr>
        <w:t>знаку пола и в отношении роли женщин, особенно в сельских районах, что находит свое отражение в разделении труда в рамках семьи. В нем также отмечается сохранение стереотипных представлений в отношении роли женщин и мужчин в средствах массовой информации. Просьба предст</w:t>
      </w:r>
      <w:r>
        <w:rPr>
          <w:b/>
        </w:rPr>
        <w:t>а</w:t>
      </w:r>
      <w:r>
        <w:rPr>
          <w:b/>
        </w:rPr>
        <w:t>вить информацию о принятых мерах и достигнутых результатах на всех государственных и других институциональных уровнях в целях изменения взглядов и поведения, имеющих дискриминационный характер по отн</w:t>
      </w:r>
      <w:r>
        <w:rPr>
          <w:b/>
        </w:rPr>
        <w:t>о</w:t>
      </w:r>
      <w:r>
        <w:rPr>
          <w:b/>
        </w:rPr>
        <w:t>шению к женщинам, в том числе через посредство воспитания и образов</w:t>
      </w:r>
      <w:r>
        <w:rPr>
          <w:b/>
        </w:rPr>
        <w:t>а</w:t>
      </w:r>
      <w:r>
        <w:rPr>
          <w:b/>
        </w:rPr>
        <w:t>ния, в средствах массовой информации и также в конкретных сельских районах.</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Образование</w:t>
      </w:r>
    </w:p>
    <w:p w:rsidR="00000000" w:rsidRDefault="00000000">
      <w:pPr>
        <w:pStyle w:val="SingleTxt"/>
        <w:spacing w:after="0" w:line="120" w:lineRule="exact"/>
        <w:rPr>
          <w:sz w:val="10"/>
        </w:rPr>
      </w:pPr>
    </w:p>
    <w:p w:rsidR="00000000" w:rsidRDefault="00000000">
      <w:pPr>
        <w:pStyle w:val="SingleTxt"/>
      </w:pPr>
      <w:r>
        <w:tab/>
        <w:t>В сотрудничестве с центрами Федерации Боснии и Герцеговины и Ре</w:t>
      </w:r>
      <w:r>
        <w:t>с</w:t>
      </w:r>
      <w:r>
        <w:t>публики Сербской по гендерным вопросам Агентство Боснии и Герцеговины по вопросам равенства между мужчинами и женщинами завершило проведение анализа гендерных стереотипов в учебниках литературы для начальных школ Федерации Боснии и Герцеговины и Республики Сербской в 2005 году.</w:t>
      </w:r>
    </w:p>
    <w:p w:rsidR="00000000" w:rsidRDefault="00000000">
      <w:pPr>
        <w:pStyle w:val="SingleTxt"/>
      </w:pPr>
      <w:r>
        <w:tab/>
        <w:t>В 2005 году Агентство Боснии и Герцеговины по вопросам равенства м</w:t>
      </w:r>
      <w:r>
        <w:t>е</w:t>
      </w:r>
      <w:r>
        <w:t>жду мужчинами и женщинами занималось улучшением информированности о равенстве полов в сфере образования посредством подготовки сборника док</w:t>
      </w:r>
      <w:r>
        <w:t>у</w:t>
      </w:r>
      <w:r>
        <w:t>ментов, включавшего лекции практикума под названием «Учет гендерных принципов в системе образования Боснии и Герцеговины» для всех директоров и педагогов начальных и средних школ. Этот практикум проходил во всех ка</w:t>
      </w:r>
      <w:r>
        <w:t>н</w:t>
      </w:r>
      <w:r>
        <w:t>тонах Федерации Боснии и Герцеговины и в Республике Сербской в 2005 году. Сборник документов как один из продуктов этих практикумов предназначается для использования в качестве пособия в ходе формирования правильного о</w:t>
      </w:r>
      <w:r>
        <w:t>т</w:t>
      </w:r>
      <w:r>
        <w:t>ношения и «ликвидации» стереотипов</w:t>
      </w:r>
      <w:r>
        <w:rPr>
          <w:rStyle w:val="FootnoteReference"/>
        </w:rPr>
        <w:footnoteReference w:id="3"/>
      </w:r>
      <w:r>
        <w: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Средства массовой информации</w:t>
      </w:r>
    </w:p>
    <w:p w:rsidR="00000000" w:rsidRDefault="00000000">
      <w:pPr>
        <w:pStyle w:val="SingleTxt"/>
        <w:spacing w:after="0" w:line="120" w:lineRule="exact"/>
        <w:rPr>
          <w:sz w:val="10"/>
        </w:rPr>
      </w:pPr>
    </w:p>
    <w:p w:rsidR="00000000" w:rsidRDefault="00000000">
      <w:pPr>
        <w:pStyle w:val="SingleTxt"/>
      </w:pPr>
      <w:r>
        <w:tab/>
        <w:t>Каждый год в электронных и печатных средствах массовой информации увеличивается число и улучшается качество статей по вопросам равенства п</w:t>
      </w:r>
      <w:r>
        <w:t>о</w:t>
      </w:r>
      <w:r>
        <w:t>лов, о законе Боснии и Герцеговины о равенстве мужчин и женщин, деятельн</w:t>
      </w:r>
      <w:r>
        <w:t>о</w:t>
      </w:r>
      <w:r>
        <w:t>сти механизмов, учитывающих гендерную проблематику, а также о меропри</w:t>
      </w:r>
      <w:r>
        <w:t>я</w:t>
      </w:r>
      <w:r>
        <w:t>тиях НПО, занимающихся этими аспектам. Агентство Боснии и Герцеговины по вопросам равенства между мужчинами и женщинами и центры образований по гендерным вопросам организовывали практикумы для представителей средств массовой информации всей Боснии и Герцеговины.</w:t>
      </w:r>
    </w:p>
    <w:p w:rsidR="00000000" w:rsidRDefault="00000000">
      <w:pPr>
        <w:pStyle w:val="SingleTxt"/>
      </w:pPr>
      <w:r>
        <w:tab/>
        <w:t>В сотрудничестве с центрами образований по гендерным вопросам Агентство Боснии и Герцеговины по вопросам равенства между мужчинами и женщинами участвовало при поддержке проекта GEEP/FOD в разработке мат</w:t>
      </w:r>
      <w:r>
        <w:t>е</w:t>
      </w:r>
      <w:r>
        <w:t>риалов по теме «Отражение гендерной проблематики в средствах массовой информации Боснии и Герцеговины», в результате чего было подготовлено п</w:t>
      </w:r>
      <w:r>
        <w:t>о</w:t>
      </w:r>
      <w:r>
        <w:t>собие и видеокассета для редакторов и журналистов печатных и электронных средств информации Боснии и Герцеговины. Представители пяти телевизио</w:t>
      </w:r>
      <w:r>
        <w:t>н</w:t>
      </w:r>
      <w:r>
        <w:t>ных компаний (как из Федерации Боснии и Герцеговины, так и из Республики Сербской) участвовали в разработке материалов для подготовки пособия и в</w:t>
      </w:r>
      <w:r>
        <w:t>и</w:t>
      </w:r>
      <w:r>
        <w:t>деокассеты. Этот проект осуществлялся на основе выводов, содержащихся в «Пособии по вопросам гендерной проблематики для представителей средств массовой информации 2002 года» и пособии «Учет гендерной проблематики в средствах массовой информации».</w:t>
      </w:r>
    </w:p>
    <w:p w:rsidR="00000000" w:rsidRDefault="00000000">
      <w:pPr>
        <w:pStyle w:val="SingleTxt"/>
      </w:pPr>
      <w:r>
        <w:tab/>
        <w:t>В рамках проекта «Осуществление закона о равенстве мужчин и женщин в Боснии и Герцеговине», реализовывавшегося при поддержке отделения ПРООН в Боснии и Герцеговине, рабочая группа по средствам массовой и</w:t>
      </w:r>
      <w:r>
        <w:t>н</w:t>
      </w:r>
      <w:r>
        <w:t>формации сперва подготовила пособие с рекомендациями для деятельности в этой области. Рабочая группа, членами которой являются представители соо</w:t>
      </w:r>
      <w:r>
        <w:t>т</w:t>
      </w:r>
      <w:r>
        <w:t>ветствующих учреждений, институтов по гендерной проблематике, средств массовой информации и НПО, выявили учреждения и законодательство, н</w:t>
      </w:r>
      <w:r>
        <w:t>е</w:t>
      </w:r>
      <w:r>
        <w:t>правительственные организации, занимающиеся вопросами средств массовой информации, определили формы основывающейся на гендерном признаке ди</w:t>
      </w:r>
      <w:r>
        <w:t>с</w:t>
      </w:r>
      <w:r>
        <w:t>криминации в средствах массовой информации, запросили статистические данные и показатели по этой области и представили рекомендации относ</w:t>
      </w:r>
      <w:r>
        <w:t>и</w:t>
      </w:r>
      <w:r>
        <w:t>тельно деятельности по осуществлению закона о равенстве мужчин и женщин в этой области. В ходе проводившейся в декабре 2005 года в Боснии и Герцег</w:t>
      </w:r>
      <w:r>
        <w:t>о</w:t>
      </w:r>
      <w:r>
        <w:t>вине недели гендерной проблематики были представлены выводы и рекоме</w:t>
      </w:r>
      <w:r>
        <w:t>н</w:t>
      </w:r>
      <w:r>
        <w:t>дации этой рабочей группы. Ведущие средства радио и телевидения и изд</w:t>
      </w:r>
      <w:r>
        <w:t>а</w:t>
      </w:r>
      <w:r>
        <w:t>тельства Боснии и Герцеговины и образований заявили об их поддержке по в</w:t>
      </w:r>
      <w:r>
        <w:t>о</w:t>
      </w:r>
      <w:r>
        <w:t>просу об осуществлении этих рекомендаций. Данные рекомендации и выводы послужат основой для подготовки по вопросам осуществления закона о раве</w:t>
      </w:r>
      <w:r>
        <w:t>н</w:t>
      </w:r>
      <w:r>
        <w:t>стве мужчин и женщин в средствах массовой информации в интересах гос</w:t>
      </w:r>
      <w:r>
        <w:t>у</w:t>
      </w:r>
      <w:r>
        <w:t>дарственных официальных представителей соответствующих учреждений, г</w:t>
      </w:r>
      <w:r>
        <w:t>о</w:t>
      </w:r>
      <w:r>
        <w:t>сударственных служб, нормати</w:t>
      </w:r>
      <w:r>
        <w:t>в</w:t>
      </w:r>
      <w:r>
        <w:t>ных учреждений и издательств.</w:t>
      </w:r>
    </w:p>
    <w:p w:rsidR="00000000" w:rsidRDefault="00000000">
      <w:pPr>
        <w:pStyle w:val="SingleTxt"/>
      </w:pPr>
      <w:r>
        <w:tab/>
        <w:t>В сотрудничестве с центрами объединений по гендерным вопросам Агентство Боснии и Герцеговины по вопросам равенства между мужчинами и женщинами организовало в 2006 году в Баня-Луке и Сараево два заседания «за круглым столом» по теме «Учитывающий гендерные аспекты язык». Вывод этих совещаний «за круглым столом» заключался в том, что необходимо поо</w:t>
      </w:r>
      <w:r>
        <w:t>щ</w:t>
      </w:r>
      <w:r>
        <w:t>рять и использовать учитывающий гендерные аспекты язык и подготовить сп</w:t>
      </w:r>
      <w:r>
        <w:t>и</w:t>
      </w:r>
      <w:r>
        <w:t>сок профессий как для мужчин, так и для женщин.</w:t>
      </w:r>
    </w:p>
    <w:p w:rsidR="00000000" w:rsidRDefault="00000000">
      <w:pPr>
        <w:pStyle w:val="SingleTxt"/>
      </w:pPr>
      <w:r>
        <w:tab/>
        <w:t>В рамках проекта «Осуществление закона о равенстве мужчин и женщин и субрегионального проекта по гендерной проблематике», который осущест</w:t>
      </w:r>
      <w:r>
        <w:t>в</w:t>
      </w:r>
      <w:r>
        <w:t>лялся при поддержке отделения ПРООН в Боснии и Герцеговине, Агентство Боснии и Герцеговины по вопросам равенства между мужчинами и женщинами и центры образований по гендерным вопросам предоставили субсидии прое</w:t>
      </w:r>
      <w:r>
        <w:t>к</w:t>
      </w:r>
      <w:r>
        <w:t>там НПО, касающимся реализации всех положений закона о равенстве мужчин и женщин Боснии и Герцеговины, при этом два проекта касались учета генде</w:t>
      </w:r>
      <w:r>
        <w:t>р</w:t>
      </w:r>
      <w:r>
        <w:t>ной проблематики в средствах массовой информ</w:t>
      </w:r>
      <w:r>
        <w:t>а</w:t>
      </w:r>
      <w:r>
        <w:t>ции в 2005 году</w:t>
      </w:r>
      <w:r>
        <w:rPr>
          <w:rStyle w:val="FootnoteReference"/>
        </w:rPr>
        <w:footnoteReference w:id="4"/>
      </w:r>
      <w:r>
        <w: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Сельские области</w:t>
      </w:r>
    </w:p>
    <w:p w:rsidR="00000000" w:rsidRDefault="00000000">
      <w:pPr>
        <w:pStyle w:val="SingleTxt"/>
        <w:spacing w:after="0" w:line="120" w:lineRule="exact"/>
        <w:rPr>
          <w:sz w:val="10"/>
        </w:rPr>
      </w:pPr>
    </w:p>
    <w:p w:rsidR="00000000" w:rsidRDefault="00000000">
      <w:pPr>
        <w:pStyle w:val="SingleTxt"/>
      </w:pPr>
      <w:r>
        <w:tab/>
        <w:t>Центры образований по гендерным вопросам активно сотрудничают с министерствами сельского хозяйства, лесного хозяйства и водоснабжения о</w:t>
      </w:r>
      <w:r>
        <w:t>б</w:t>
      </w:r>
      <w:r>
        <w:t>разований в ходе осуществления финансируемого Международным фондом сельскохозяйственного развития (МФСР) проекта под названием «Развитие животноводства и финансовой системы сельских районов».</w:t>
      </w:r>
    </w:p>
    <w:p w:rsidR="00000000" w:rsidRDefault="00000000">
      <w:pPr>
        <w:pStyle w:val="SingleTxt"/>
      </w:pPr>
      <w:r>
        <w:tab/>
        <w:t>В 2003 году в сотрудничестве с группой координации сельскохозяйстве</w:t>
      </w:r>
      <w:r>
        <w:t>н</w:t>
      </w:r>
      <w:r>
        <w:t>ных проектов (ГКСП) в ряде сельских муниципалитетов Республики Сербской было проведено исследование по гендерной проблематике для определения уровня гендерного равенства в том, что касается трудовой доли, доступа к р</w:t>
      </w:r>
      <w:r>
        <w:t>е</w:t>
      </w:r>
      <w:r>
        <w:t>сурсам, принятия решений по экономическим вопросам и решений по вопр</w:t>
      </w:r>
      <w:r>
        <w:t>о</w:t>
      </w:r>
      <w:r>
        <w:t>сам улучшения качества жизни в сельских районах.</w:t>
      </w:r>
    </w:p>
    <w:p w:rsidR="00000000" w:rsidRDefault="00000000">
      <w:pPr>
        <w:pStyle w:val="SingleTxt"/>
      </w:pPr>
      <w:r>
        <w:tab/>
        <w:t>В рамках программы регионального восстановления в Сребренице Отд</w:t>
      </w:r>
      <w:r>
        <w:t>е</w:t>
      </w:r>
      <w:r>
        <w:t>ление ПРООН в Боснии и Герцеговине был проведен комплексный анализ с</w:t>
      </w:r>
      <w:r>
        <w:t>о</w:t>
      </w:r>
      <w:r>
        <w:t>циально-экономических условий женщин-репатриантов, возглавляющих д</w:t>
      </w:r>
      <w:r>
        <w:t>о</w:t>
      </w:r>
      <w:r>
        <w:t>машние хозяйства в районе Сребреницы, результаты которого использовались в х</w:t>
      </w:r>
      <w:r>
        <w:t>о</w:t>
      </w:r>
      <w:r>
        <w:t>де осуществления проектов обеспечения доходов.</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Насилие в отношении женщин</w:t>
      </w:r>
    </w:p>
    <w:p w:rsidR="00000000" w:rsidRDefault="00000000">
      <w:pPr>
        <w:pStyle w:val="SingleTxt"/>
        <w:spacing w:after="0" w:line="120" w:lineRule="exact"/>
        <w:rPr>
          <w:sz w:val="10"/>
        </w:rPr>
      </w:pPr>
    </w:p>
    <w:p w:rsidR="00000000" w:rsidRDefault="00000000">
      <w:pPr>
        <w:pStyle w:val="SingleTxt"/>
        <w:rPr>
          <w:b/>
        </w:rPr>
      </w:pPr>
      <w:r>
        <w:t>10.</w:t>
      </w:r>
      <w:r>
        <w:tab/>
      </w:r>
      <w:r>
        <w:rPr>
          <w:b/>
        </w:rPr>
        <w:t>В 1994 году Босния и Герцеговина представила Комитету специальное устное сообщение о нарушениях прав женщин в ходе войны при уделении особого внимания массовым и систематическим изнасилованиям и прин</w:t>
      </w:r>
      <w:r>
        <w:rPr>
          <w:b/>
        </w:rPr>
        <w:t>у</w:t>
      </w:r>
      <w:r>
        <w:rPr>
          <w:b/>
        </w:rPr>
        <w:t>дительной беременности. Просьба представить информацию об уголовном преследовании за совершение таких преступлений и помощи, которая м</w:t>
      </w:r>
      <w:r>
        <w:rPr>
          <w:b/>
        </w:rPr>
        <w:t>о</w:t>
      </w:r>
      <w:r>
        <w:rPr>
          <w:b/>
        </w:rPr>
        <w:t>жет оказыват</w:t>
      </w:r>
      <w:r>
        <w:rPr>
          <w:b/>
        </w:rPr>
        <w:t>ь</w:t>
      </w:r>
      <w:r>
        <w:rPr>
          <w:b/>
        </w:rPr>
        <w:t>ся женщинам, ставшим жертвами такого насилия.</w:t>
      </w:r>
    </w:p>
    <w:p w:rsidR="00000000" w:rsidRDefault="00000000">
      <w:pPr>
        <w:pStyle w:val="SingleTxt"/>
      </w:pPr>
      <w:r>
        <w:tab/>
        <w:t>Суд Боснии и Герцеговины сообщает о том, что после создания департ</w:t>
      </w:r>
      <w:r>
        <w:t>а</w:t>
      </w:r>
      <w:r>
        <w:t>мента I по военным преступлениям в уголовном департаменте суда Боснии и Герцеговины в январе 2005 года этот департамент получил восемь исков. В ч</w:t>
      </w:r>
      <w:r>
        <w:t>е</w:t>
      </w:r>
      <w:r>
        <w:t>тырех из восьми исков лица обвиняются в преступных деяниях, связанных с изнасилованием (в каждом случае говорится о неоднократном изнасиловании). В настоящее время все эти дела находятся на этапе проведения расследований, и пока еще не было принято какого-либо окончательного постановл</w:t>
      </w:r>
      <w:r>
        <w:t>е</w:t>
      </w:r>
      <w:r>
        <w:t>ния/решения.</w:t>
      </w:r>
    </w:p>
    <w:p w:rsidR="00000000" w:rsidRDefault="00000000">
      <w:pPr>
        <w:pStyle w:val="SingleTxt"/>
        <w:rPr>
          <w:b/>
        </w:rPr>
      </w:pPr>
      <w:r>
        <w:t>11.</w:t>
      </w:r>
      <w:r>
        <w:tab/>
      </w:r>
      <w:r>
        <w:rPr>
          <w:b/>
        </w:rPr>
        <w:t>В докладе говорится о наличии относительно подробного законод</w:t>
      </w:r>
      <w:r>
        <w:rPr>
          <w:b/>
        </w:rPr>
        <w:t>а</w:t>
      </w:r>
      <w:r>
        <w:rPr>
          <w:b/>
        </w:rPr>
        <w:t>тельства, касающегося уголовных деяний и отношений в семье. В нем также отмечается, что «была предпринята инициатива по разработке з</w:t>
      </w:r>
      <w:r>
        <w:rPr>
          <w:b/>
        </w:rPr>
        <w:t>а</w:t>
      </w:r>
      <w:r>
        <w:rPr>
          <w:b/>
        </w:rPr>
        <w:t>кона о защите от насилия в семье при участии как государственного, так и негосударственного секторов». В докладе говорится о том (см. пункт 55), что в стране отсутствуют план действий и стратегия в области борьбы с насилием. Просьба представить подробную информацию об общей прав</w:t>
      </w:r>
      <w:r>
        <w:rPr>
          <w:b/>
        </w:rPr>
        <w:t>о</w:t>
      </w:r>
      <w:r>
        <w:rPr>
          <w:b/>
        </w:rPr>
        <w:t>вой основе для решения вопросов, связанных с насилием в отношении женщин, в частности о ходе подготовки предложенного закона о защите от насилия в семье. Просьба также указать, предпринимаются ли какие-либо усилия на государственном уровне для ускорения осуществления закон</w:t>
      </w:r>
      <w:r>
        <w:rPr>
          <w:b/>
        </w:rPr>
        <w:t>о</w:t>
      </w:r>
      <w:r>
        <w:rPr>
          <w:b/>
        </w:rPr>
        <w:t>дательных актов в рамках национального плана действий для предотвр</w:t>
      </w:r>
      <w:r>
        <w:rPr>
          <w:b/>
        </w:rPr>
        <w:t>а</w:t>
      </w:r>
      <w:r>
        <w:rPr>
          <w:b/>
        </w:rPr>
        <w:t>щения насилия в отношении женщин и защиты поте</w:t>
      </w:r>
      <w:r>
        <w:rPr>
          <w:b/>
        </w:rPr>
        <w:t>р</w:t>
      </w:r>
      <w:r>
        <w:rPr>
          <w:b/>
        </w:rPr>
        <w:t>певших.</w:t>
      </w:r>
    </w:p>
    <w:p w:rsidR="00000000" w:rsidRDefault="00000000">
      <w:pPr>
        <w:pStyle w:val="SingleTxt"/>
      </w:pPr>
      <w:r>
        <w:tab/>
        <w:t>Закон о защите от насилия в семье был принят в мае 2005 года в Федер</w:t>
      </w:r>
      <w:r>
        <w:t>а</w:t>
      </w:r>
      <w:r>
        <w:t>ции Боснии и Герцеговины и в ноябре 2005 года — в Республике Сербской. Этот закон регулирует вопросы защиты от насилия в семье, концепцию нас</w:t>
      </w:r>
      <w:r>
        <w:t>и</w:t>
      </w:r>
      <w:r>
        <w:t>лия в семье, положение лиц, рассматриваемых в качестве членов семьи с точки зрения этого закона, способы защиты членов семьи, а также виды и цели нак</w:t>
      </w:r>
      <w:r>
        <w:t>а</w:t>
      </w:r>
      <w:r>
        <w:t>заний в отношении лиц, совершающих акты насилия. Основная концепция н</w:t>
      </w:r>
      <w:r>
        <w:t>а</w:t>
      </w:r>
      <w:r>
        <w:t>стоящего Закона предусматривает удаление допускающего насилие лица из квартиры, дома или любого другого места жительства жертвы.</w:t>
      </w:r>
    </w:p>
    <w:p w:rsidR="00000000" w:rsidRDefault="00000000">
      <w:pPr>
        <w:pStyle w:val="SingleTxt"/>
      </w:pPr>
      <w:r>
        <w:tab/>
        <w:t>Как план действий Боснии и Герцеговины по гендерной проблематике, так и национальный план действий в соответствии с Пекинской декларацией включают вопросы насилия в отношении женщин, определяя мероприятия, обязанности и сроки для всех субъектов, с тем чтобы предупредить насилие в с</w:t>
      </w:r>
      <w:r>
        <w:t>е</w:t>
      </w:r>
      <w:r>
        <w:t>мье и обеспечить защиту жертв.</w:t>
      </w:r>
    </w:p>
    <w:p w:rsidR="00000000" w:rsidRDefault="00000000">
      <w:pPr>
        <w:pStyle w:val="SingleTxt"/>
      </w:pPr>
      <w:r>
        <w:tab/>
        <w:t>В Республике Сербской в настоящее время осуществляются мероприятия по разработке декларации об объявлении 2006 и 2007 годов годами борьбы с насилием в семье. С этой целью в Республике Сербской необходимо будет ра</w:t>
      </w:r>
      <w:r>
        <w:t>з</w:t>
      </w:r>
      <w:r>
        <w:t>работать стратегический план по борьбе с насилием в семье, что также потр</w:t>
      </w:r>
      <w:r>
        <w:t>е</w:t>
      </w:r>
      <w:r>
        <w:t>бует разработки стратегического плана в Боснии и Герцег</w:t>
      </w:r>
      <w:r>
        <w:t>о</w:t>
      </w:r>
      <w:r>
        <w:t xml:space="preserve">вине. </w:t>
      </w:r>
    </w:p>
    <w:p w:rsidR="00000000" w:rsidRDefault="00000000">
      <w:pPr>
        <w:pStyle w:val="SingleTxt"/>
        <w:rPr>
          <w:b/>
        </w:rPr>
      </w:pPr>
      <w:r>
        <w:t>12.</w:t>
      </w:r>
      <w:r>
        <w:tab/>
      </w:r>
      <w:r>
        <w:rPr>
          <w:b/>
        </w:rPr>
        <w:t>Просьба представить информацию о видах мер защиты, к которым в настоящее время могут прибегать в обоих образованиях женщины, ста</w:t>
      </w:r>
      <w:r>
        <w:rPr>
          <w:b/>
        </w:rPr>
        <w:t>в</w:t>
      </w:r>
      <w:r>
        <w:rPr>
          <w:b/>
        </w:rPr>
        <w:t>шие жертвами насилия, и о факторах, не позволяющих правительствам государства и образований усилить защиту женщин от насилия в б</w:t>
      </w:r>
      <w:r>
        <w:rPr>
          <w:b/>
        </w:rPr>
        <w:t>ы</w:t>
      </w:r>
      <w:r>
        <w:rPr>
          <w:b/>
        </w:rPr>
        <w:t>ту.</w:t>
      </w:r>
    </w:p>
    <w:p w:rsidR="00000000" w:rsidRDefault="00000000">
      <w:pPr>
        <w:pStyle w:val="SingleTxt"/>
      </w:pPr>
      <w:r>
        <w:tab/>
        <w:t>Меры защиты включают предусмотренные за правонарушения наказания в целях защиты от насилия в семье. Эти меры имеют целью предупреждение и искоренение насилия в семье, устранение последствий насилия, осуществление эффективных мер по перевоспитанию правонарушителей и устранение обсто</w:t>
      </w:r>
      <w:r>
        <w:t>я</w:t>
      </w:r>
      <w:r>
        <w:t>тельств, способствующих рецидивам насилия в семье. В отношении лиц, в</w:t>
      </w:r>
      <w:r>
        <w:t>и</w:t>
      </w:r>
      <w:r>
        <w:t>новных в насилии в семье, могут применяться следующие меры защиты:</w:t>
      </w:r>
    </w:p>
    <w:p w:rsidR="00000000" w:rsidRDefault="00000000">
      <w:pPr>
        <w:pStyle w:val="SingleTxt"/>
      </w:pPr>
      <w:r>
        <w:tab/>
        <w:t>a)</w:t>
      </w:r>
      <w:r>
        <w:tab/>
        <w:t>удаление из квартиры, дома или любого другого места проживания жертвы и запрет на возвращение в эту квартиру или дом или любое другое м</w:t>
      </w:r>
      <w:r>
        <w:t>е</w:t>
      </w:r>
      <w:r>
        <w:t>сто проживания жертвы;</w:t>
      </w:r>
    </w:p>
    <w:p w:rsidR="00000000" w:rsidRDefault="00000000">
      <w:pPr>
        <w:pStyle w:val="SingleTxt"/>
      </w:pPr>
      <w:r>
        <w:tab/>
        <w:t>b)</w:t>
      </w:r>
      <w:r>
        <w:tab/>
        <w:t>ограничение на приближение к жертве насилия;</w:t>
      </w:r>
    </w:p>
    <w:p w:rsidR="00000000" w:rsidRDefault="00000000">
      <w:pPr>
        <w:pStyle w:val="SingleTxt"/>
      </w:pPr>
      <w:r>
        <w:tab/>
        <w:t>c)</w:t>
      </w:r>
      <w:r>
        <w:tab/>
        <w:t>защита жертв насилия;</w:t>
      </w:r>
    </w:p>
    <w:p w:rsidR="00000000" w:rsidRDefault="00000000">
      <w:pPr>
        <w:pStyle w:val="SingleTxt"/>
      </w:pPr>
      <w:r>
        <w:tab/>
        <w:t>d)</w:t>
      </w:r>
      <w:r>
        <w:tab/>
        <w:t>ограничения в отношении связанного с насилием поведения или в отношении преследования жертвы;</w:t>
      </w:r>
    </w:p>
    <w:p w:rsidR="00000000" w:rsidRDefault="00000000">
      <w:pPr>
        <w:pStyle w:val="SingleTxt"/>
      </w:pPr>
      <w:r>
        <w:tab/>
        <w:t>e)</w:t>
      </w:r>
      <w:r>
        <w:tab/>
        <w:t>обязательная психосоциальная терапия;</w:t>
      </w:r>
    </w:p>
    <w:p w:rsidR="00000000" w:rsidRDefault="00000000">
      <w:pPr>
        <w:pStyle w:val="SingleTxt"/>
      </w:pPr>
      <w:r>
        <w:tab/>
        <w:t>f)</w:t>
      </w:r>
      <w:r>
        <w:tab/>
        <w:t>обязательное лечение от любых форм зависимости.</w:t>
      </w:r>
    </w:p>
    <w:p w:rsidR="00000000" w:rsidRDefault="00000000">
      <w:pPr>
        <w:pStyle w:val="SingleTxt"/>
      </w:pPr>
      <w:r>
        <w:tab/>
        <w:t>Лицо, виновное в совершении насилия в семье, обязано выполнять прин</w:t>
      </w:r>
      <w:r>
        <w:t>я</w:t>
      </w:r>
      <w:r>
        <w:t>тые меры защиты.</w:t>
      </w:r>
    </w:p>
    <w:p w:rsidR="00000000" w:rsidRDefault="00000000">
      <w:pPr>
        <w:pStyle w:val="SingleTxt"/>
      </w:pPr>
      <w:r>
        <w:tab/>
        <w:t xml:space="preserve">В отношении тех лиц, которые не выполняют принятые меры защиты, применяются штрафы в размере 2000–10 000 конвертируемых марок. </w:t>
      </w:r>
    </w:p>
    <w:p w:rsidR="00000000" w:rsidRDefault="00000000">
      <w:pPr>
        <w:pStyle w:val="SingleTxt"/>
      </w:pPr>
      <w:r>
        <w:tab/>
        <w:t>После принятия закона о защите от насилия в семье в сотрудничестве со всеми соответствующими учреждениями (министерствами) в обоих образов</w:t>
      </w:r>
      <w:r>
        <w:t>а</w:t>
      </w:r>
      <w:r>
        <w:t>ниях разрабатываются подзаконные акты по вопросам насилия в семье, с тем чтобы обеспечить лучшее и более эффективное осуществление настоящего з</w:t>
      </w:r>
      <w:r>
        <w:t>а</w:t>
      </w:r>
      <w:r>
        <w:t>кона.</w:t>
      </w:r>
    </w:p>
    <w:p w:rsidR="00000000" w:rsidRDefault="00000000">
      <w:pPr>
        <w:pStyle w:val="SingleTxt"/>
      </w:pPr>
      <w:r>
        <w:tab/>
        <w:t>К числу факторов, препятствующих улучшению защиты женщин от нас</w:t>
      </w:r>
      <w:r>
        <w:t>и</w:t>
      </w:r>
      <w:r>
        <w:t>лия в семье, относятся: во</w:t>
      </w:r>
      <w:r>
        <w:noBreakHyphen/>
        <w:t>первых, отсутствие необходимого потенциала для защиты от насилия в семье в соответствии с законом: суды перегружены нера</w:t>
      </w:r>
      <w:r>
        <w:t>с</w:t>
      </w:r>
      <w:r>
        <w:t>смотренными делами, прокуроры и полиция не располагают специалистами и экспертами для рассмотрения дел о насилии в семье, а центры социальной п</w:t>
      </w:r>
      <w:r>
        <w:t>о</w:t>
      </w:r>
      <w:r>
        <w:t>мощи не располагают помещениями, финансовыми ресурсами и кадрами для одновременной работы с жертвами и лицами, виновными в насилии. Проблема насилия в семье пока еще не признана в достаточной мере в качестве серье</w:t>
      </w:r>
      <w:r>
        <w:t>з</w:t>
      </w:r>
      <w:r>
        <w:t>ной социальной проблемы, отсутствие информации по</w:t>
      </w:r>
      <w:r>
        <w:noBreakHyphen/>
        <w:t>прежнему является прич</w:t>
      </w:r>
      <w:r>
        <w:t>и</w:t>
      </w:r>
      <w:r>
        <w:t>ной сохранения глубоко укоренившихся стереотипов, которые сводятся к тому, что это вопрос частной жизни и что государство не должно вмешиваться в с</w:t>
      </w:r>
      <w:r>
        <w:t>е</w:t>
      </w:r>
      <w:r>
        <w:t>мейные дела. Определение насилия в семье в качестве уголовно наказуемого правонарушения в уголовных кодексах образований и принятие законов о з</w:t>
      </w:r>
      <w:r>
        <w:t>а</w:t>
      </w:r>
      <w:r>
        <w:t>щите от насилия в семье должно обеспечить своевременную и адекватную р</w:t>
      </w:r>
      <w:r>
        <w:t>е</w:t>
      </w:r>
      <w:r>
        <w:t>акцию общества на такие случаи нас</w:t>
      </w:r>
      <w:r>
        <w:t>и</w:t>
      </w:r>
      <w:r>
        <w:t>лия.</w:t>
      </w:r>
    </w:p>
    <w:p w:rsidR="00000000" w:rsidRDefault="00000000">
      <w:pPr>
        <w:pStyle w:val="SingleTxt"/>
        <w:rPr>
          <w:b/>
        </w:rPr>
      </w:pPr>
      <w:r>
        <w:t>13.</w:t>
      </w:r>
      <w:r>
        <w:tab/>
      </w:r>
      <w:r>
        <w:rPr>
          <w:b/>
        </w:rPr>
        <w:t>Специальный докладчик Комиссии по правам человека по вопросу о насилии в отношении женщин, его причинах и последствиях в своем до</w:t>
      </w:r>
      <w:r>
        <w:rPr>
          <w:b/>
        </w:rPr>
        <w:t>к</w:t>
      </w:r>
      <w:r>
        <w:rPr>
          <w:b/>
        </w:rPr>
        <w:t>ладе (E/CN.4/2003/75/Add.1, пункт 1021) выразила озабоченность по поводу того, что женщины воздерживаются от представления информации о сл</w:t>
      </w:r>
      <w:r>
        <w:rPr>
          <w:b/>
        </w:rPr>
        <w:t>у</w:t>
      </w:r>
      <w:r>
        <w:rPr>
          <w:b/>
        </w:rPr>
        <w:t>чаях насилия в семье, поскольку в обществе традиционно царит патриа</w:t>
      </w:r>
      <w:r>
        <w:rPr>
          <w:b/>
        </w:rPr>
        <w:t>р</w:t>
      </w:r>
      <w:r>
        <w:rPr>
          <w:b/>
        </w:rPr>
        <w:t>хальный уклад, а насилие в быту считается обычным явлением. Она та</w:t>
      </w:r>
      <w:r>
        <w:rPr>
          <w:b/>
        </w:rPr>
        <w:t>к</w:t>
      </w:r>
      <w:r>
        <w:rPr>
          <w:b/>
        </w:rPr>
        <w:t>же обратила внимание на нежелание жертв насилия в быту обращаться в полицию, главным образом из</w:t>
      </w:r>
      <w:r>
        <w:rPr>
          <w:b/>
        </w:rPr>
        <w:noBreakHyphen/>
        <w:t>за опасений в отношении того, что их не поймут или что они могут подвергнуться еще большему порицанию за разглашение информации, касающейся их частной жизни, особенно в сл</w:t>
      </w:r>
      <w:r>
        <w:rPr>
          <w:b/>
        </w:rPr>
        <w:t>у</w:t>
      </w:r>
      <w:r>
        <w:rPr>
          <w:b/>
        </w:rPr>
        <w:t>чаях изнасилования или других форм сексуального посягательства. Эта озабоченность также отмечается и в докладе государства-участника (см. пункт 65). Какие меры были приняты правительствами государства и образований для поощрения представления сообщений, повышения степ</w:t>
      </w:r>
      <w:r>
        <w:rPr>
          <w:b/>
        </w:rPr>
        <w:t>е</w:t>
      </w:r>
      <w:r>
        <w:rPr>
          <w:b/>
        </w:rPr>
        <w:t>ни информированности женщин о своих правах и предоставления им до</w:t>
      </w:r>
      <w:r>
        <w:rPr>
          <w:b/>
        </w:rPr>
        <w:t>с</w:t>
      </w:r>
      <w:r>
        <w:rPr>
          <w:b/>
        </w:rPr>
        <w:t>тупа к юридической помощи, а также для расширения возможностей гос</w:t>
      </w:r>
      <w:r>
        <w:rPr>
          <w:b/>
        </w:rPr>
        <w:t>у</w:t>
      </w:r>
      <w:r>
        <w:rPr>
          <w:b/>
        </w:rPr>
        <w:t>дарственных должностных лиц в различных областях (например, сотру</w:t>
      </w:r>
      <w:r>
        <w:rPr>
          <w:b/>
        </w:rPr>
        <w:t>д</w:t>
      </w:r>
      <w:r>
        <w:rPr>
          <w:b/>
        </w:rPr>
        <w:t>ников полиции, социальных и медицинских работников) в целях оказания жертвам насилия в б</w:t>
      </w:r>
      <w:r>
        <w:rPr>
          <w:b/>
        </w:rPr>
        <w:t>ы</w:t>
      </w:r>
      <w:r>
        <w:rPr>
          <w:b/>
        </w:rPr>
        <w:t>ту помощи с учетом особых интересов женщин?</w:t>
      </w:r>
    </w:p>
    <w:p w:rsidR="00000000" w:rsidRDefault="00000000">
      <w:pPr>
        <w:pStyle w:val="SingleTxt"/>
      </w:pPr>
      <w:r>
        <w:tab/>
        <w:t>В разделе «Насилие в отношении женщин и торговля людьми» плана де</w:t>
      </w:r>
      <w:r>
        <w:t>й</w:t>
      </w:r>
      <w:r>
        <w:t>ствий Боснии и Герцеговины по гендерной проблематике предусмотрены м</w:t>
      </w:r>
      <w:r>
        <w:t>е</w:t>
      </w:r>
      <w:r>
        <w:t>роприятия по поощрению практики сообщения о случаях насилия, улучшению информированности женщин об их правах и предоставлению им доступа к правовой помощи, укреплению потенциала государственных служащих в ра</w:t>
      </w:r>
      <w:r>
        <w:t>з</w:t>
      </w:r>
      <w:r>
        <w:t>личных областях в целях оказания учитывающей гендерные аспекты поддер</w:t>
      </w:r>
      <w:r>
        <w:t>ж</w:t>
      </w:r>
      <w:r>
        <w:t>ки жертвам бытов</w:t>
      </w:r>
      <w:r>
        <w:t>о</w:t>
      </w:r>
      <w:r>
        <w:t>го насилия.</w:t>
      </w:r>
    </w:p>
    <w:p w:rsidR="00000000" w:rsidRDefault="00000000">
      <w:pPr>
        <w:pStyle w:val="SingleTxt"/>
      </w:pPr>
      <w:r>
        <w:tab/>
        <w:t>В сотрудничестве с компетентными учреждениями и неправительстве</w:t>
      </w:r>
      <w:r>
        <w:t>н</w:t>
      </w:r>
      <w:r>
        <w:t>ным сектором центры образований по гендерным вопросам приступили к ос</w:t>
      </w:r>
      <w:r>
        <w:t>у</w:t>
      </w:r>
      <w:r>
        <w:t>ществлению мероприятий по разработке стратегий предоставления бесплатной правовой помощи всем гражданам и, в частности, женщинам. Эти мероприятия включают анализ законодательства Боснии и Герцеговины и мероприятия, осуществляемые муниципальными службами в целях предоставления помощи гражданам. В то же время отсутствуют достаточные финансовые ресурсы, н</w:t>
      </w:r>
      <w:r>
        <w:t>е</w:t>
      </w:r>
      <w:r>
        <w:t>обходимые для осуществления этой стратегии.</w:t>
      </w:r>
    </w:p>
    <w:p w:rsidR="00000000" w:rsidRDefault="00000000">
      <w:pPr>
        <w:pStyle w:val="SingleTxt"/>
      </w:pPr>
      <w:r>
        <w:tab/>
        <w:t>Полиция района Брчко Боснии и Герцеговины сообщает о том, что с</w:t>
      </w:r>
      <w:r>
        <w:t>о</w:t>
      </w:r>
      <w:r>
        <w:t>трудники полиции района Брчко приняли участие в ряде практикумов по в</w:t>
      </w:r>
      <w:r>
        <w:t>о</w:t>
      </w:r>
      <w:r>
        <w:t>просам насилия в семье, организованных неправительственными организаци</w:t>
      </w:r>
      <w:r>
        <w:t>я</w:t>
      </w:r>
      <w:r>
        <w:t>ми. Полиция района Брчко использует специальную процедуру для рассмотр</w:t>
      </w:r>
      <w:r>
        <w:t>е</w:t>
      </w:r>
      <w:r>
        <w:t>ния этих преступных актов — особая форма по вопросам насилия в семье, к</w:t>
      </w:r>
      <w:r>
        <w:t>о</w:t>
      </w:r>
      <w:r>
        <w:t>торая заполняется и направляется в группу по преступлениям для дальнейшего расследования. Центр социальной  помощи и, если необходимо, центр псих</w:t>
      </w:r>
      <w:r>
        <w:t>и</w:t>
      </w:r>
      <w:r>
        <w:t>атрии района Брчко сразу получают информацию о каждом сообщаемом случае насилия в семье. Налажено очень хорошее сотрудничество полиции с этими учреждениями. Данные полиции района Брчко показывают, что 95 процентов жертв насилия в семье — это женщины, а 5 процентов — это пожилые лица, т.е. родители правонарушителей, или дети.</w:t>
      </w:r>
    </w:p>
    <w:p w:rsidR="00000000" w:rsidRDefault="00000000">
      <w:pPr>
        <w:pStyle w:val="SingleTxt"/>
      </w:pPr>
      <w:r>
        <w:tab/>
        <w:t>Во всех кантональных министерствах внутренних дел Боснии и Герцег</w:t>
      </w:r>
      <w:r>
        <w:t>о</w:t>
      </w:r>
      <w:r>
        <w:t>вины имеются координаторы по вопросам насилия в отношении женщин. П</w:t>
      </w:r>
      <w:r>
        <w:t>о</w:t>
      </w:r>
      <w:r>
        <w:t>лицейские структуры в ряде кантонов проводят кампании в целях улучшения информированности женщин об их правах и содействия сообщению о случаях насилия. Кантональное министерство Сараево сообщает о том, что оно прин</w:t>
      </w:r>
      <w:r>
        <w:t>я</w:t>
      </w:r>
      <w:r>
        <w:t>ло процедуры для работы с сотрудниками полиции по делам о насилии в семье, торговле людьми и подростковой преступности. Сотрудники полиции также проходят регулярную подготовку по вопросам обеспечения защиты жертв. Они также проходят специализированную подготовку (для координаторов), орган</w:t>
      </w:r>
      <w:r>
        <w:t>и</w:t>
      </w:r>
      <w:r>
        <w:t>зуемую прав</w:t>
      </w:r>
      <w:r>
        <w:t>и</w:t>
      </w:r>
      <w:r>
        <w:t>тельственными и неправительственными секторами.</w:t>
      </w:r>
    </w:p>
    <w:p w:rsidR="00000000" w:rsidRDefault="00000000">
      <w:pPr>
        <w:pStyle w:val="SingleTxt"/>
      </w:pPr>
      <w:r>
        <w:tab/>
        <w:t>Центр Республики Сербской по гендерным вопросам постоянно и активно поощряет работу «горячей линии» 1264 для жертв насилия в Республике Сер</w:t>
      </w:r>
      <w:r>
        <w:t>б</w:t>
      </w:r>
      <w:r>
        <w:t>ской. Этот номер телефона также распространяется участвующими в сотру</w:t>
      </w:r>
      <w:r>
        <w:t>д</w:t>
      </w:r>
      <w:r>
        <w:t>ничестве НПО. В ходе принятия закона о защите от насилия в семье и после его принятия Центр Республики Сербской по гендерным вопросам приступил к осуществлению ряда мероприятий с участием средств массовой информации в целях оповещения общественности об этом законе и его положениях.</w:t>
      </w:r>
    </w:p>
    <w:p w:rsidR="00000000" w:rsidRDefault="00000000">
      <w:pPr>
        <w:pStyle w:val="SingleTxt"/>
      </w:pPr>
      <w:r>
        <w:tab/>
        <w:t>В рамках проекта «Осуществление закона о равенстве мужчин и женщин и субрегионального проекта по гендерной проблематике», осуществлявшегося при поддержке Отделения ПРООН в Боснии и Герцеговине, Агентство Боснии и Герцеговины по вопросам равенства между мужчинами и женщинами и це</w:t>
      </w:r>
      <w:r>
        <w:t>н</w:t>
      </w:r>
      <w:r>
        <w:t>тры образований по гендерным вопросам предоставили субсидии проектам НПО, касающимся осуществления во всех областях Боснии и Герцеговины З</w:t>
      </w:r>
      <w:r>
        <w:t>а</w:t>
      </w:r>
      <w:r>
        <w:t>кона о равенстве мужчин и женщин, из которых один проект имел целью ок</w:t>
      </w:r>
      <w:r>
        <w:t>а</w:t>
      </w:r>
      <w:r>
        <w:t>зание с учетом гендерной специфики поддержки жертвам бытового насилия в 2006 году</w:t>
      </w:r>
      <w:r>
        <w:rPr>
          <w:rStyle w:val="FootnoteReference"/>
        </w:rPr>
        <w:footnoteReference w:id="5"/>
      </w:r>
      <w:r>
        <w:t>.</w:t>
      </w:r>
    </w:p>
    <w:p w:rsidR="00000000" w:rsidRDefault="00000000">
      <w:pPr>
        <w:pStyle w:val="SingleTxt"/>
      </w:pPr>
      <w:r>
        <w:tab/>
        <w:t>Неправительственные организации Боснии и Герцеговины организовали при поддержке Агентства Боснии и Герцеговины по вопросам равенства между мужчинами и женщинами и центрами образований по гендерным вопросам большое число кампаний/практикумов/семинаров в целях защиты жертв нас</w:t>
      </w:r>
      <w:r>
        <w:t>и</w:t>
      </w:r>
      <w:r>
        <w:t>лия, содействия уведомлению о случаях насилия в отношении женщин, улу</w:t>
      </w:r>
      <w:r>
        <w:t>ч</w:t>
      </w:r>
      <w:r>
        <w:t>шения информированности женщин об их правах и укрепления потенциала с</w:t>
      </w:r>
      <w:r>
        <w:t>о</w:t>
      </w:r>
      <w:r>
        <w:t>трудников полиции, социальных служб и служб системы здравоохранения</w:t>
      </w:r>
      <w:r>
        <w:rPr>
          <w:rStyle w:val="FootnoteReference"/>
        </w:rPr>
        <w:footnoteReference w:id="6"/>
      </w:r>
      <w:r>
        <w:t>. В целях увеличения числа сообщаемых случаев горячие телефонные линии функционируют круглосуточно семь дней в неделю. Для жертв насилия в Бо</w:t>
      </w:r>
      <w:r>
        <w:t>с</w:t>
      </w:r>
      <w:r>
        <w:t>нии и Герцеговине созданы семь приютов, располагающих приблизительно 135 местами. Они круглосуточно открыты для всех женщин и оказывают свои услуги бесплатно. В то же время число приютов недостаточно, и все они со</w:t>
      </w:r>
      <w:r>
        <w:t>з</w:t>
      </w:r>
      <w:r>
        <w:t>даны непр</w:t>
      </w:r>
      <w:r>
        <w:t>а</w:t>
      </w:r>
      <w:r>
        <w:t>вительственными организациями Боснии и Герцеговины.</w:t>
      </w:r>
    </w:p>
    <w:p w:rsidR="00000000" w:rsidRDefault="00000000">
      <w:pPr>
        <w:pStyle w:val="SingleTxt"/>
        <w:rPr>
          <w:b/>
        </w:rPr>
      </w:pPr>
      <w:r>
        <w:t>14.</w:t>
      </w:r>
      <w:r>
        <w:rPr>
          <w:b/>
        </w:rPr>
        <w:tab/>
        <w:t>Просьба представить информацию о мерах, принятых для налажив</w:t>
      </w:r>
      <w:r>
        <w:rPr>
          <w:b/>
        </w:rPr>
        <w:t>а</w:t>
      </w:r>
      <w:r>
        <w:rPr>
          <w:b/>
        </w:rPr>
        <w:t>ния систематического сбора данных о насилии в отношении женщин, в том числе о случаях насилия, и для преследования и наказания виновных в совершении актов насилия.</w:t>
      </w:r>
    </w:p>
    <w:p w:rsidR="00000000" w:rsidRDefault="00000000">
      <w:pPr>
        <w:pStyle w:val="SingleTxt"/>
      </w:pPr>
      <w:r>
        <w:tab/>
        <w:t>С учетом принятия нового закона о защите от насилия в семье в обоих образованиях подзаконные акты предусматривают создание центральной базы данных о виновных и жертвах насилия в семье, которые должны быть досту</w:t>
      </w:r>
      <w:r>
        <w:t>п</w:t>
      </w:r>
      <w:r>
        <w:t>ны для судов, прокуроров, полиции и центров социальной помощи.</w:t>
      </w:r>
    </w:p>
    <w:p w:rsidR="00000000" w:rsidRDefault="00000000">
      <w:pPr>
        <w:pStyle w:val="SingleTxt"/>
      </w:pPr>
      <w:r>
        <w:tab/>
        <w:t>До сих пор регистрацию случаев насилия в семье осуществляли департ</w:t>
      </w:r>
      <w:r>
        <w:t>а</w:t>
      </w:r>
      <w:r>
        <w:t>менты полиции, которые, однако, не располагают базами данных с разбивкой по признаку пола.</w:t>
      </w:r>
    </w:p>
    <w:p w:rsidR="00000000" w:rsidRDefault="00000000">
      <w:pPr>
        <w:pStyle w:val="SingleTxt"/>
      </w:pPr>
      <w:r>
        <w:tab/>
        <w:t>После подписания протокола о работе и сотрудничестве координацио</w:t>
      </w:r>
      <w:r>
        <w:t>н</w:t>
      </w:r>
      <w:r>
        <w:t>ным советом (министерства здравоохранения, социальной защиты, юстиции, полиции и «Фондасия локалне демокрацие» — НПО, занимающаяся вопросами насилия в семье) в целях предупреждения насилия в семье, защиты от него и борьбы с ним в кантоне Сараево там стала функционировать экспериментал</w:t>
      </w:r>
      <w:r>
        <w:t>ь</w:t>
      </w:r>
      <w:r>
        <w:t>ная база данных о насилии в отношении женщин. В других кантонах не ведется систематического сбора данных о насилии в отн</w:t>
      </w:r>
      <w:r>
        <w:t>о</w:t>
      </w:r>
      <w:r>
        <w:t>шении женщин.</w:t>
      </w:r>
    </w:p>
    <w:p w:rsidR="00000000" w:rsidRDefault="00000000">
      <w:pPr>
        <w:pStyle w:val="SingleTxt"/>
      </w:pPr>
      <w:r>
        <w:tab/>
        <w:t>В начале августа 2005 года Центр Республики Сербской по гендерным вопросам открыл уникальную линию помощи 1264 жертвам насилия в семье вне зависимости от их пола и возраста. В работе этой линии помощи участв</w:t>
      </w:r>
      <w:r>
        <w:t>у</w:t>
      </w:r>
      <w:r>
        <w:t>ют четыре партнерские НПО</w:t>
      </w:r>
      <w:r>
        <w:rPr>
          <w:rStyle w:val="FootnoteReference"/>
        </w:rPr>
        <w:footnoteReference w:id="7"/>
      </w:r>
      <w:r>
        <w:t>, и они принимают звонки на телефонах этой службы. Согласно последним сообщениям, с 1 августа 2005 года по 28 февраля 2006 года в Республике Сербской было зарегистрировано 1433 жертвы нас</w:t>
      </w:r>
      <w:r>
        <w:t>и</w:t>
      </w:r>
      <w:r>
        <w:t>лия. Из общего числа случаев, сообщенных службе 1264, 1395 жертв — же</w:t>
      </w:r>
      <w:r>
        <w:t>н</w:t>
      </w:r>
      <w:r>
        <w:t>щины и 38 — мужчины. Среди жертв насилия также имеется 34 ребенка: 18 девочек и 16 мальчиков. Анализ данных показывает, что большинство жертв — лица среднего возраста (от 30 до 50 лет), и они стали жертвами нас</w:t>
      </w:r>
      <w:r>
        <w:t>и</w:t>
      </w:r>
      <w:r>
        <w:t>лия со стороны их супругов. Также зафиксированы случаи насилия со стороны детей или родителей. Большинство жертв насилия, а также виновных в нем имеют среднее образование. Большинство мужчин, ставших жертвами нас</w:t>
      </w:r>
      <w:r>
        <w:t>и</w:t>
      </w:r>
      <w:r>
        <w:t>лия, — это безработные или пенсионеры, и, как правило, они являются детьми или пожилыми людьми. Работы не имеет почти одна треть женщин — жертв насилия, и более половины заняты либо на постоянной, либо на временной о</w:t>
      </w:r>
      <w:r>
        <w:t>с</w:t>
      </w:r>
      <w:r>
        <w:t>нове на «сером рынке труда», на срочных контрактах или находятся на пенсии. Жертвы сталкиваются с комбинированными формами насилия, которое пр</w:t>
      </w:r>
      <w:r>
        <w:t>о</w:t>
      </w:r>
      <w:r>
        <w:t>должается годами, — физическое, психическое, половое и экономическое н</w:t>
      </w:r>
      <w:r>
        <w:t>а</w:t>
      </w:r>
      <w:r>
        <w:t>силие. Согласно полученным данным, как мужчины, так и женщины редко о</w:t>
      </w:r>
      <w:r>
        <w:t>б</w:t>
      </w:r>
      <w:r>
        <w:t>ращаются за помощью в компетентные учреждения. В большинстве случаев женщины, ставшие жертвами насилия, обращаются в полицию, в то время как мужчины — в центры с</w:t>
      </w:r>
      <w:r>
        <w:t>о</w:t>
      </w:r>
      <w:r>
        <w:t>циальной помощи.</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Статья 6</w:t>
      </w:r>
    </w:p>
    <w:p w:rsidR="00000000" w:rsidRDefault="00000000">
      <w:pPr>
        <w:pStyle w:val="SingleTxt"/>
        <w:spacing w:after="0" w:line="120" w:lineRule="exact"/>
        <w:rPr>
          <w:sz w:val="10"/>
        </w:rPr>
      </w:pPr>
    </w:p>
    <w:p w:rsidR="00000000" w:rsidRDefault="00000000">
      <w:pPr>
        <w:pStyle w:val="SingleTxt"/>
      </w:pPr>
      <w:r>
        <w:t>15.</w:t>
      </w:r>
      <w:r>
        <w:tab/>
      </w:r>
      <w:r>
        <w:rPr>
          <w:b/>
        </w:rPr>
        <w:t>В своем докладе о посещении Боснии и Герцеговины Специальный докладчик Комиссии по правам человека по вопросу о торговле людьми, особенно женщинами и детьми, выразила озабоченность по поводу нек</w:t>
      </w:r>
      <w:r>
        <w:rPr>
          <w:b/>
        </w:rPr>
        <w:t>о</w:t>
      </w:r>
      <w:r>
        <w:rPr>
          <w:b/>
        </w:rPr>
        <w:t>торых несоответствий между федеральными законами государства и зак</w:t>
      </w:r>
      <w:r>
        <w:rPr>
          <w:b/>
        </w:rPr>
        <w:t>о</w:t>
      </w:r>
      <w:r>
        <w:rPr>
          <w:b/>
        </w:rPr>
        <w:t>нами образований, которые в сочетании с проблемами юрисдикции созд</w:t>
      </w:r>
      <w:r>
        <w:rPr>
          <w:b/>
        </w:rPr>
        <w:t>а</w:t>
      </w:r>
      <w:r>
        <w:rPr>
          <w:b/>
        </w:rPr>
        <w:t>ют дополнительные трудности для обеспечения соблюдения правовых норм и преследования правонарушителей (E/CN.4/2005/71/Add.1, пункт 8). Просьба представить информацию о шагах, предпринятых правительс</w:t>
      </w:r>
      <w:r>
        <w:rPr>
          <w:b/>
        </w:rPr>
        <w:t>т</w:t>
      </w:r>
      <w:r>
        <w:rPr>
          <w:b/>
        </w:rPr>
        <w:t>вом в целях согласования всех законов, касающихся торговли людьми. Просьба также представить информацию о том, были ли внесены попра</w:t>
      </w:r>
      <w:r>
        <w:rPr>
          <w:b/>
        </w:rPr>
        <w:t>в</w:t>
      </w:r>
      <w:r>
        <w:rPr>
          <w:b/>
        </w:rPr>
        <w:t>ки в закон о защите свидетелей в целях обеспечения защиты потерпевших после завершения судебного разбирательства и до обеспечения их репа</w:t>
      </w:r>
      <w:r>
        <w:rPr>
          <w:b/>
        </w:rPr>
        <w:t>т</w:t>
      </w:r>
      <w:r>
        <w:rPr>
          <w:b/>
        </w:rPr>
        <w:t>риации или реинтеграции.</w:t>
      </w:r>
    </w:p>
    <w:p w:rsidR="00000000" w:rsidRDefault="00000000">
      <w:pPr>
        <w:pStyle w:val="SingleTxt"/>
      </w:pPr>
      <w:r>
        <w:tab/>
        <w:t>Государственный координатор по борьбе с торговлей людьми и незако</w:t>
      </w:r>
      <w:r>
        <w:t>н</w:t>
      </w:r>
      <w:r>
        <w:t>ной иммиграцией заявляет, что озабоченность в отношении ряда несоответс</w:t>
      </w:r>
      <w:r>
        <w:t>т</w:t>
      </w:r>
      <w:r>
        <w:t>вий между законами государства и образований, которая создает дополнител</w:t>
      </w:r>
      <w:r>
        <w:t>ь</w:t>
      </w:r>
      <w:r>
        <w:t>ные препятствия на пути обеспечения эффективного уголовного преследов</w:t>
      </w:r>
      <w:r>
        <w:t>а</w:t>
      </w:r>
      <w:r>
        <w:t>ния, обоснована не в полной мере.</w:t>
      </w:r>
    </w:p>
    <w:p w:rsidR="00000000" w:rsidRDefault="00000000">
      <w:pPr>
        <w:pStyle w:val="SingleTxt"/>
      </w:pPr>
      <w:r>
        <w:tab/>
        <w:t>На уровне государства имеются уголовные кодексы, которые также сущ</w:t>
      </w:r>
      <w:r>
        <w:t>е</w:t>
      </w:r>
      <w:r>
        <w:t>ствуют на уровне образований и в районе Брчко, однако преступное деяние в форме торговли людьми определено только в уголовном кодексе Боснии и Ге</w:t>
      </w:r>
      <w:r>
        <w:t>р</w:t>
      </w:r>
      <w:r>
        <w:t>цеговины (статья 186). Помимо этого уголовного деяния также существуют другие уголовные акты, такие, как рабство и перевозка рабов (статья 185), м</w:t>
      </w:r>
      <w:r>
        <w:t>е</w:t>
      </w:r>
      <w:r>
        <w:t>ждународное посредничество в сфере проституции (статья 187) и незаконное изъятие удостоверений личности (статья 188), определяемые в уголовном к</w:t>
      </w:r>
      <w:r>
        <w:t>о</w:t>
      </w:r>
      <w:r>
        <w:t>дексе Боснии и Герцеговины и тесно связанные с ситуациями, схожими с то</w:t>
      </w:r>
      <w:r>
        <w:t>р</w:t>
      </w:r>
      <w:r>
        <w:t>говлей людьми и применимыми в таких случаях.</w:t>
      </w:r>
    </w:p>
    <w:p w:rsidR="00000000" w:rsidRDefault="00000000">
      <w:pPr>
        <w:pStyle w:val="SingleTxt"/>
      </w:pPr>
      <w:r>
        <w:tab/>
        <w:t>В уголовном кодексе Федерации Боснии и Герцеговины имеется статья о преступном вовлечении какого-либо лица в занятие проституцией (ст</w:t>
      </w:r>
      <w:r>
        <w:t>а</w:t>
      </w:r>
      <w:r>
        <w:t>тья 210).</w:t>
      </w:r>
    </w:p>
    <w:p w:rsidR="00000000" w:rsidRDefault="00000000">
      <w:pPr>
        <w:pStyle w:val="SingleTxt"/>
      </w:pPr>
      <w:r>
        <w:tab/>
        <w:t>В уголовном кодексе Республики Сербской имеется статья о преступной торговле людьми для целей проституции (ст</w:t>
      </w:r>
      <w:r>
        <w:t>а</w:t>
      </w:r>
      <w:r>
        <w:t>тья 198).</w:t>
      </w:r>
    </w:p>
    <w:p w:rsidR="00000000" w:rsidRDefault="00000000">
      <w:pPr>
        <w:pStyle w:val="SingleTxt"/>
      </w:pPr>
      <w:r>
        <w:tab/>
        <w:t>В уголовном кодексе района Брчко имеется статья о преступном вовлеч</w:t>
      </w:r>
      <w:r>
        <w:t>е</w:t>
      </w:r>
      <w:r>
        <w:t>нии какого-либо лица в занятие проституцией (ст</w:t>
      </w:r>
      <w:r>
        <w:t>а</w:t>
      </w:r>
      <w:r>
        <w:t>тья 207).</w:t>
      </w:r>
    </w:p>
    <w:p w:rsidR="00000000" w:rsidRDefault="00000000">
      <w:pPr>
        <w:pStyle w:val="SingleTxt"/>
      </w:pPr>
      <w:r>
        <w:tab/>
        <w:t>В то же время наличие упомянутых выше видов преступлений в кодексах образований не создает путаницу в работе учреждений, отвечающих за испо</w:t>
      </w:r>
      <w:r>
        <w:t>л</w:t>
      </w:r>
      <w:r>
        <w:t>нение законов, прокуроров и судей, поскольку проводится четкое различие м</w:t>
      </w:r>
      <w:r>
        <w:t>е</w:t>
      </w:r>
      <w:r>
        <w:t>жду этими преступлениями и противоправными актами, предусмотренными в уголовном кодексе Боснии и Герцеговины. Кроме того, положения закона Бо</w:t>
      </w:r>
      <w:r>
        <w:t>с</w:t>
      </w:r>
      <w:r>
        <w:t>нии и Герцеговины о суде и прокуратуре возлагают на эти институты исключ</w:t>
      </w:r>
      <w:r>
        <w:t>и</w:t>
      </w:r>
      <w:r>
        <w:t>тельную ответственность за уголовное и судебное преследование, за престу</w:t>
      </w:r>
      <w:r>
        <w:t>п</w:t>
      </w:r>
      <w:r>
        <w:t>ления, значащиеся в уголовном кодексе Боснии и Герцеговины, с тем чтобы и</w:t>
      </w:r>
      <w:r>
        <w:t>з</w:t>
      </w:r>
      <w:r>
        <w:t>бежать какого-либо недопонимания по вопросу об обязанностях в отношении реализ</w:t>
      </w:r>
      <w:r>
        <w:t>а</w:t>
      </w:r>
      <w:r>
        <w:t>ции этих процедур.</w:t>
      </w:r>
    </w:p>
    <w:p w:rsidR="00000000" w:rsidRDefault="00000000">
      <w:pPr>
        <w:pStyle w:val="SingleTxt"/>
      </w:pPr>
      <w:r>
        <w:tab/>
        <w:t>В Боснии и Герцеговине нет закона о защите свидетелей. Законы о защите подвергающихся опасности свидетелей действуют на уровне государства и о</w:t>
      </w:r>
      <w:r>
        <w:t>б</w:t>
      </w:r>
      <w:r>
        <w:t>разований. Эти законы обеспечивают защиту свидетелей, в отношении которых существует угроза в период проведения разбирательства, но не после заверш</w:t>
      </w:r>
      <w:r>
        <w:t>е</w:t>
      </w:r>
      <w:r>
        <w:t>ния слушаний дела в суде. Другой закон, который касается этой области, — это закон о программе защиты свидетелей Боснии и Герцеговины. Данный закон вступил в силу в 2004 году, и в январе 2005 года были приняты и вступили в силу изменения и поправки к нему. Этот закон позволяет применять меры з</w:t>
      </w:r>
      <w:r>
        <w:t>а</w:t>
      </w:r>
      <w:r>
        <w:t>щиты свидетелей до, в ходе и после судебного разбирательства. В 2005 году в рамках Государственного агентства расследований и защиты (ГАРЗ) был со</w:t>
      </w:r>
      <w:r>
        <w:t>з</w:t>
      </w:r>
      <w:r>
        <w:t>дан Департамент защиты свидетелей. Он обеспечивает реализацию упомянут</w:t>
      </w:r>
      <w:r>
        <w:t>о</w:t>
      </w:r>
      <w:r>
        <w:t>го выше закона. В частности, в 2005 году он обеспечил защиту шести свидет</w:t>
      </w:r>
      <w:r>
        <w:t>е</w:t>
      </w:r>
      <w:r>
        <w:t>лей — жертв торговли людьми.</w:t>
      </w:r>
    </w:p>
    <w:p w:rsidR="00000000" w:rsidRDefault="00000000">
      <w:pPr>
        <w:pStyle w:val="SingleTxt"/>
      </w:pPr>
      <w:r>
        <w:tab/>
        <w:t>В разделе Плана действий Боснии и Герцеговины по гендерной проблем</w:t>
      </w:r>
      <w:r>
        <w:t>а</w:t>
      </w:r>
      <w:r>
        <w:t xml:space="preserve">тике, посвященном вопросам </w:t>
      </w:r>
      <w:r>
        <w:rPr>
          <w:i/>
        </w:rPr>
        <w:t>насилия в отношении женщин и торговли люд</w:t>
      </w:r>
      <w:r>
        <w:rPr>
          <w:i/>
        </w:rPr>
        <w:t>ь</w:t>
      </w:r>
      <w:r>
        <w:rPr>
          <w:i/>
        </w:rPr>
        <w:t>ми</w:t>
      </w:r>
      <w:r>
        <w:t>, предусмотрены мероприятия в области непрерывного контроля и соглас</w:t>
      </w:r>
      <w:r>
        <w:t>о</w:t>
      </w:r>
      <w:r>
        <w:t>вания законодательства с международными документами, касающимися пред</w:t>
      </w:r>
      <w:r>
        <w:t>у</w:t>
      </w:r>
      <w:r>
        <w:t>преждения торговли людьми и помощи жертвам насилия в результате прост</w:t>
      </w:r>
      <w:r>
        <w:t>и</w:t>
      </w:r>
      <w:r>
        <w:t xml:space="preserve">туции и торговли людьми.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Статья 7</w:t>
      </w:r>
    </w:p>
    <w:p w:rsidR="00000000" w:rsidRDefault="00000000">
      <w:pPr>
        <w:pStyle w:val="SingleTxt"/>
        <w:spacing w:after="0" w:line="120" w:lineRule="exact"/>
        <w:rPr>
          <w:sz w:val="10"/>
        </w:rPr>
      </w:pPr>
    </w:p>
    <w:p w:rsidR="00000000" w:rsidRDefault="00000000">
      <w:pPr>
        <w:pStyle w:val="SingleTxt"/>
        <w:rPr>
          <w:b/>
        </w:rPr>
      </w:pPr>
      <w:r>
        <w:t>16.</w:t>
      </w:r>
      <w:r>
        <w:tab/>
      </w:r>
      <w:r>
        <w:rPr>
          <w:b/>
        </w:rPr>
        <w:t>В статье 15 Закона о равенстве мужчин и женщин Боснии и Герцег</w:t>
      </w:r>
      <w:r>
        <w:rPr>
          <w:b/>
        </w:rPr>
        <w:t>о</w:t>
      </w:r>
      <w:r>
        <w:rPr>
          <w:b/>
        </w:rPr>
        <w:t>вины предусматривается равное представительство мужчин и женщин в государственных органах во всех областях и на всех уровнях (см. пункт 113). Это требование до настоящего времени не соблюдалось. Какие усилия предпринимаются государством-участником для обеспеч</w:t>
      </w:r>
      <w:r>
        <w:rPr>
          <w:b/>
        </w:rPr>
        <w:t>е</w:t>
      </w:r>
      <w:r>
        <w:rPr>
          <w:b/>
        </w:rPr>
        <w:t>ния единообразного осуществления этого закона в обоих образованиях, но особенно в Республике Сербской? Предусматривают ли эти усилия прим</w:t>
      </w:r>
      <w:r>
        <w:rPr>
          <w:b/>
        </w:rPr>
        <w:t>е</w:t>
      </w:r>
      <w:r>
        <w:rPr>
          <w:b/>
        </w:rPr>
        <w:t>нение временных специальных мер в соответствии с пунктом 1 статьи 4 Конвенции и общей рекомендации Комитета № 25, таких, как параллел</w:t>
      </w:r>
      <w:r>
        <w:rPr>
          <w:b/>
        </w:rPr>
        <w:t>ь</w:t>
      </w:r>
      <w:r>
        <w:rPr>
          <w:b/>
        </w:rPr>
        <w:t>ное выдвижение кандидатур и установление целевых показателей и квот, для увеличения в директивных органах числа женщин, в том числе сел</w:t>
      </w:r>
      <w:r>
        <w:rPr>
          <w:b/>
        </w:rPr>
        <w:t>ь</w:t>
      </w:r>
      <w:r>
        <w:rPr>
          <w:b/>
        </w:rPr>
        <w:t>ских женщин и женщин из числа рома?</w:t>
      </w:r>
    </w:p>
    <w:p w:rsidR="00000000" w:rsidRDefault="00000000">
      <w:pPr>
        <w:pStyle w:val="SingleTxt"/>
      </w:pPr>
      <w:r>
        <w:tab/>
        <w:t>Законодательство Боснии и Герцеговины, в частности закон о равенстве между мужчинами и женщинами Боснии и Герцеговины, обеспечивает равную представленность женщин и мужчин в общественной жизни, во всех областях и на всех уровнях. Эта обязанность особо подчеркивается в законе Боснии и Герцеговины о выборах, который предусматривает, что по крайней мере третья часть женщин должна быть представлена в органах и учреждениях.</w:t>
      </w:r>
    </w:p>
    <w:p w:rsidR="00000000" w:rsidRDefault="00000000">
      <w:pPr>
        <w:pStyle w:val="SingleTxt"/>
      </w:pPr>
      <w:r>
        <w:tab/>
        <w:t>В то же время, согласно Конституции Боснии и Герцеговины, лица, пр</w:t>
      </w:r>
      <w:r>
        <w:t>и</w:t>
      </w:r>
      <w:r>
        <w:t>надлежащие к национальным меньшинствам, не могут занимать высшие пол</w:t>
      </w:r>
      <w:r>
        <w:t>и</w:t>
      </w:r>
      <w:r>
        <w:t>тические посты в структуре власти государства и образований. Только члены трех образующих Федерацию народов могут занимать пост президента (по о</w:t>
      </w:r>
      <w:r>
        <w:t>д</w:t>
      </w:r>
      <w:r>
        <w:t>ному от каждого из образующих федерацию народов) и входить в состав пал</w:t>
      </w:r>
      <w:r>
        <w:t>а</w:t>
      </w:r>
      <w:r>
        <w:t>ты народов Парламентской ассамблеи Боснии и Герцеговины (состоящей из 15 представителей, по 5 от каждого образующего федерацию народа). Допо</w:t>
      </w:r>
      <w:r>
        <w:t>л</w:t>
      </w:r>
      <w:r>
        <w:t>нительное положение об обеспечении интересов национальных меньшинств определено в специальных разделах закона Боснии и Герцеговины о выборах, в котором говорится о том, что национальные меньшинства должны иметь своих представителей в местных органах власти вне зависимости от переписи нас</w:t>
      </w:r>
      <w:r>
        <w:t>е</w:t>
      </w:r>
      <w:r>
        <w:t>ления для целей проведения выборов, если их доля в населении составляет до 3 процентов, а если этот показатель превышает 3 процента, они имеют право иметь по крайней мере двух представителей в местных органах власти (мун</w:t>
      </w:r>
      <w:r>
        <w:t>и</w:t>
      </w:r>
      <w:r>
        <w:t>ципальные ассамблеи). С НПО, участвующими в разработке предложений для кандидатов национальных меньшинств, была достигнута договоренность о том, чтобы одним из двух представителей была женщина.</w:t>
      </w:r>
    </w:p>
    <w:p w:rsidR="00000000" w:rsidRDefault="00000000">
      <w:pPr>
        <w:pStyle w:val="SingleTxt"/>
      </w:pPr>
      <w:r>
        <w:tab/>
        <w:t>Агентство Боснии и Герцеговины по вопросам равенства между мужч</w:t>
      </w:r>
      <w:r>
        <w:t>и</w:t>
      </w:r>
      <w:r>
        <w:t>нами и женщинами планирует учредить консультативный совет по делам же</w:t>
      </w:r>
      <w:r>
        <w:t>н</w:t>
      </w:r>
      <w:r>
        <w:t>щин-рома, включающий региональных представителей головных НПО, зан</w:t>
      </w:r>
      <w:r>
        <w:t>и</w:t>
      </w:r>
      <w:r>
        <w:t>мающихся вопросами женщин-рома.</w:t>
      </w:r>
    </w:p>
    <w:p w:rsidR="00000000" w:rsidRDefault="00000000">
      <w:pPr>
        <w:pStyle w:val="SingleTxt"/>
      </w:pPr>
      <w:r>
        <w:tab/>
        <w:t>Некоторые НПО занимаются поощрением участия сельских женщин и женщин-рома в общественной и государственной жизни</w:t>
      </w:r>
      <w:r>
        <w:rPr>
          <w:rStyle w:val="FootnoteReference"/>
        </w:rPr>
        <w:footnoteReference w:id="8"/>
      </w:r>
      <w:r>
        <w:t>.</w:t>
      </w:r>
    </w:p>
    <w:p w:rsidR="00000000" w:rsidRDefault="00000000">
      <w:pPr>
        <w:pStyle w:val="SingleTxt"/>
      </w:pPr>
      <w:r>
        <w:tab/>
        <w:t>В рамках проекта «Осуществление закона о гендерной проблематике и субрегионального гендерного проекта», реализуемого при поддержке отдел</w:t>
      </w:r>
      <w:r>
        <w:t>е</w:t>
      </w:r>
      <w:r>
        <w:t>ния ПРООН в Боснии и Герцеговине, Агентство Боснии и Герцеговины по в</w:t>
      </w:r>
      <w:r>
        <w:t>о</w:t>
      </w:r>
      <w:r>
        <w:t>просам равенства между мужчинами и женщинами и центры образований по гендерным вопросам предоставили субсидии проектам НПО в связи с осущ</w:t>
      </w:r>
      <w:r>
        <w:t>е</w:t>
      </w:r>
      <w:r>
        <w:t>ствлением деятельности во всех областях закона Боснии и Герцеговины о р</w:t>
      </w:r>
      <w:r>
        <w:t>а</w:t>
      </w:r>
      <w:r>
        <w:t>венстве мужчин и женщин, из которых восемь проектов связаны с учетом ге</w:t>
      </w:r>
      <w:r>
        <w:t>н</w:t>
      </w:r>
      <w:r>
        <w:t>дерной проблематики в государственной и общественной жизни в 2005 году и два проекта — в 2006 году</w:t>
      </w:r>
      <w:r>
        <w:rPr>
          <w:rStyle w:val="FootnoteReference"/>
        </w:rPr>
        <w:footnoteReference w:id="9"/>
      </w:r>
      <w:r>
        <w:t>.</w:t>
      </w:r>
    </w:p>
    <w:p w:rsidR="00000000" w:rsidRDefault="00000000">
      <w:pPr>
        <w:pStyle w:val="SingleTxt"/>
        <w:rPr>
          <w:b/>
        </w:rPr>
      </w:pPr>
      <w:r>
        <w:t>17.</w:t>
      </w:r>
      <w:r>
        <w:tab/>
      </w:r>
      <w:r>
        <w:rPr>
          <w:b/>
        </w:rPr>
        <w:t>В докладе отмечается (см. пункт 92), что, несмотря на наличие у мужчин и женщин равных прав на участие в голосовании, в некоторых сельских районах сохраняется практика «семейного голосования», в соо</w:t>
      </w:r>
      <w:r>
        <w:rPr>
          <w:b/>
        </w:rPr>
        <w:t>т</w:t>
      </w:r>
      <w:r>
        <w:rPr>
          <w:b/>
        </w:rPr>
        <w:t>ветствии с которой мужчины, являющиеся «главой семьи», принимают решение о том, как следует голосовать, которому женщины в большинстве случаев подчиняются». В Законе о выборах Боснии и Герцеговины уст</w:t>
      </w:r>
      <w:r>
        <w:rPr>
          <w:b/>
        </w:rPr>
        <w:t>а</w:t>
      </w:r>
      <w:r>
        <w:rPr>
          <w:b/>
        </w:rPr>
        <w:t>новлена система квот (см. пункт 98), согласно которой все партии обязаны соблюдать требование о том, чтобы по крайней мере одну треть выдвига</w:t>
      </w:r>
      <w:r>
        <w:rPr>
          <w:b/>
        </w:rPr>
        <w:t>е</w:t>
      </w:r>
      <w:r>
        <w:rPr>
          <w:b/>
        </w:rPr>
        <w:t>мых кандидатов составляли представители гендерного меньшинства. Как представляется, эта система квот в определенной степени уравновешив</w:t>
      </w:r>
      <w:r>
        <w:rPr>
          <w:b/>
        </w:rPr>
        <w:t>а</w:t>
      </w:r>
      <w:r>
        <w:rPr>
          <w:b/>
        </w:rPr>
        <w:t>ется наличием «открытых списков» (см. пункт 104), позволяющих избир</w:t>
      </w:r>
      <w:r>
        <w:rPr>
          <w:b/>
        </w:rPr>
        <w:t>а</w:t>
      </w:r>
      <w:r>
        <w:rPr>
          <w:b/>
        </w:rPr>
        <w:t>телям выбирать кандидатов независимо от их позиции, и «в нашем случае избиратели предпочитают кандидатов-мужчин». В связи с этим просьба сообщить о мерах, принимаемых на различных уровнях системы управл</w:t>
      </w:r>
      <w:r>
        <w:rPr>
          <w:b/>
        </w:rPr>
        <w:t>е</w:t>
      </w:r>
      <w:r>
        <w:rPr>
          <w:b/>
        </w:rPr>
        <w:t>ния для повышения степени осведомленности женщин об их правах в пл</w:t>
      </w:r>
      <w:r>
        <w:rPr>
          <w:b/>
        </w:rPr>
        <w:t>а</w:t>
      </w:r>
      <w:r>
        <w:rPr>
          <w:b/>
        </w:rPr>
        <w:t>не участия в голосовании в соответствии с их убеждениями и без всякого да</w:t>
      </w:r>
      <w:r>
        <w:rPr>
          <w:b/>
        </w:rPr>
        <w:t>в</w:t>
      </w:r>
      <w:r>
        <w:rPr>
          <w:b/>
        </w:rPr>
        <w:t>ления извне.</w:t>
      </w:r>
    </w:p>
    <w:p w:rsidR="00000000" w:rsidRDefault="00000000">
      <w:pPr>
        <w:pStyle w:val="SingleTxt"/>
      </w:pPr>
      <w:r>
        <w:tab/>
        <w:t>В соответствии с законом Боснии и Герцеговины о выборах и уголовным кодексом Федерации Боснии и Герцеговины в качестве правонарушения кв</w:t>
      </w:r>
      <w:r>
        <w:t>а</w:t>
      </w:r>
      <w:r>
        <w:t>лифицируется голосование в ходе выборов вместо другого лица. В ходе пров</w:t>
      </w:r>
      <w:r>
        <w:t>е</w:t>
      </w:r>
      <w:r>
        <w:t>дения выборов, а точнее, в ходе объяснения избирателям процедур голосования все участники, включая сотрудников избирательных органов, а также неправ</w:t>
      </w:r>
      <w:r>
        <w:t>и</w:t>
      </w:r>
      <w:r>
        <w:t>тельственных организаций, предупреждают избирателей о том, что, если кто</w:t>
      </w:r>
      <w:r>
        <w:noBreakHyphen/>
        <w:t>либо будет голосовать за них, это будет рассматриваться в качестве прав</w:t>
      </w:r>
      <w:r>
        <w:t>о</w:t>
      </w:r>
      <w:r>
        <w:t>нарушения. Просвещение избирателей осуществляется при помощи средств массовой информации, и особо подчеркивается, что каждый избиратель до</w:t>
      </w:r>
      <w:r>
        <w:t>л</w:t>
      </w:r>
      <w:r>
        <w:t>жен сам участвовать в голосовании. Кроме того, предусмотрено наказание за оказание давления на избирателей в связи с вопросом о том, каким образом они должны голосовать. Результаты выборов в Боснии и Герцеговине свидетельс</w:t>
      </w:r>
      <w:r>
        <w:t>т</w:t>
      </w:r>
      <w:r>
        <w:t>вуют о том, что среди избирателей имеется очень много женщин. Эта практика также демонстрирует, что в Боснии и Герцеговине некоторые семьи голосуют по указанию главы домашнего хозяйства, которым в большинстве случаев я</w:t>
      </w:r>
      <w:r>
        <w:t>в</w:t>
      </w:r>
      <w:r>
        <w:t>ляется мужчина.</w:t>
      </w:r>
    </w:p>
    <w:p w:rsidR="00000000" w:rsidRDefault="00000000">
      <w:pPr>
        <w:pStyle w:val="SingleTxt"/>
      </w:pPr>
      <w:r>
        <w:tab/>
        <w:t>Агентство Боснии и Герцеговины по вопросам равенства между мужч</w:t>
      </w:r>
      <w:r>
        <w:t>и</w:t>
      </w:r>
      <w:r>
        <w:t>нами и женщинами и центры образований по гендерным вопросам, а также другие механизмы</w:t>
      </w:r>
      <w:r>
        <w:rPr>
          <w:rStyle w:val="FootnoteReference"/>
        </w:rPr>
        <w:footnoteReference w:id="10"/>
      </w:r>
      <w:r>
        <w:t>, обеспечивающие учет гендерных аспектов, и НПО улу</w:t>
      </w:r>
      <w:r>
        <w:t>ч</w:t>
      </w:r>
      <w:r>
        <w:t>шают информированность женщин при помощи кампаний в средствах масс</w:t>
      </w:r>
      <w:r>
        <w:t>о</w:t>
      </w:r>
      <w:r>
        <w:t>вой и</w:t>
      </w:r>
      <w:r>
        <w:t>н</w:t>
      </w:r>
      <w:r>
        <w:t>формации.</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Статья 8</w:t>
      </w:r>
    </w:p>
    <w:p w:rsidR="00000000" w:rsidRDefault="00000000">
      <w:pPr>
        <w:pStyle w:val="SingleTxt"/>
        <w:spacing w:after="0" w:line="120" w:lineRule="exact"/>
        <w:rPr>
          <w:sz w:val="10"/>
        </w:rPr>
      </w:pPr>
    </w:p>
    <w:p w:rsidR="00000000" w:rsidRDefault="00000000">
      <w:pPr>
        <w:pStyle w:val="SingleTxt"/>
        <w:rPr>
          <w:b/>
        </w:rPr>
      </w:pPr>
      <w:r>
        <w:t>18.</w:t>
      </w:r>
      <w:r>
        <w:tab/>
      </w:r>
      <w:r>
        <w:rPr>
          <w:b/>
        </w:rPr>
        <w:t>В докладе отмечается (см. пункт 102), что женщины «в силу их тр</w:t>
      </w:r>
      <w:r>
        <w:rPr>
          <w:b/>
        </w:rPr>
        <w:t>а</w:t>
      </w:r>
      <w:r>
        <w:rPr>
          <w:b/>
        </w:rPr>
        <w:t>диционного положения в обществе по</w:t>
      </w:r>
      <w:r>
        <w:rPr>
          <w:b/>
        </w:rPr>
        <w:noBreakHyphen/>
        <w:t>прежнему недостаточно широко представлены в международных кругах и представительствах страны за рубежом». Просьба представить информацию о мерах, направленных на повышение уровня представленности женщин на руководящих должн</w:t>
      </w:r>
      <w:r>
        <w:rPr>
          <w:b/>
        </w:rPr>
        <w:t>о</w:t>
      </w:r>
      <w:r>
        <w:rPr>
          <w:b/>
        </w:rPr>
        <w:t>стях в министерстве иностранных дел, а также в дипломатических пре</w:t>
      </w:r>
      <w:r>
        <w:rPr>
          <w:b/>
        </w:rPr>
        <w:t>д</w:t>
      </w:r>
      <w:r>
        <w:rPr>
          <w:b/>
        </w:rPr>
        <w:t>ставительствах и консульских учрежден</w:t>
      </w:r>
      <w:r>
        <w:rPr>
          <w:b/>
        </w:rPr>
        <w:t>и</w:t>
      </w:r>
      <w:r>
        <w:rPr>
          <w:b/>
        </w:rPr>
        <w:t>ях.</w:t>
      </w:r>
    </w:p>
    <w:p w:rsidR="00000000" w:rsidRDefault="00000000">
      <w:pPr>
        <w:pStyle w:val="SingleTxt"/>
        <w:tabs>
          <w:tab w:val="clear" w:pos="6538"/>
          <w:tab w:val="clear" w:pos="7013"/>
          <w:tab w:val="clear" w:pos="7488"/>
          <w:tab w:val="clear" w:pos="7978"/>
          <w:tab w:val="clear" w:pos="845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hanging="1267"/>
      </w:pPr>
      <w:r>
        <w:tab/>
      </w:r>
      <w:r>
        <w:tab/>
      </w:r>
      <w:r>
        <w:tab/>
        <w:t>Министерство иностранных дел Боснии и Герцеговины представило и</w:t>
      </w:r>
      <w:r>
        <w:t>н</w:t>
      </w:r>
      <w:r>
        <w:t>формацию о числе женщин, занимающих руководящие должности в министе</w:t>
      </w:r>
      <w:r>
        <w:t>р</w:t>
      </w:r>
      <w:r>
        <w:t>стве (всего 23 же</w:t>
      </w:r>
      <w:r>
        <w:t>н</w:t>
      </w:r>
      <w:r>
        <w:t>щины):</w:t>
      </w:r>
    </w:p>
    <w:p w:rsidR="00000000" w:rsidRDefault="00000000">
      <w:pPr>
        <w:pStyle w:val="SingleTxt"/>
        <w:tabs>
          <w:tab w:val="right" w:pos="1685"/>
        </w:tabs>
        <w:ind w:left="1742" w:hanging="475"/>
      </w:pPr>
      <w:r>
        <w:tab/>
        <w:t>–</w:t>
      </w:r>
      <w:r>
        <w:tab/>
        <w:t>помощник министра 1</w:t>
      </w:r>
    </w:p>
    <w:p w:rsidR="00000000" w:rsidRDefault="00000000">
      <w:pPr>
        <w:pStyle w:val="SingleTxt"/>
        <w:tabs>
          <w:tab w:val="right" w:pos="1685"/>
        </w:tabs>
        <w:ind w:left="1742" w:hanging="475"/>
      </w:pPr>
      <w:r>
        <w:tab/>
        <w:t>–</w:t>
      </w:r>
      <w:r>
        <w:tab/>
        <w:t>глава кабинета 2</w:t>
      </w:r>
    </w:p>
    <w:p w:rsidR="00000000" w:rsidRDefault="00000000">
      <w:pPr>
        <w:pStyle w:val="SingleTxt"/>
        <w:tabs>
          <w:tab w:val="right" w:pos="1685"/>
        </w:tabs>
        <w:ind w:left="1742" w:hanging="475"/>
      </w:pPr>
      <w:r>
        <w:tab/>
        <w:t>–</w:t>
      </w:r>
      <w:r>
        <w:tab/>
        <w:t>начальники структурных подразделений 10</w:t>
      </w:r>
    </w:p>
    <w:p w:rsidR="00000000" w:rsidRDefault="00000000">
      <w:pPr>
        <w:pStyle w:val="SingleTxt"/>
        <w:tabs>
          <w:tab w:val="right" w:pos="1685"/>
        </w:tabs>
        <w:ind w:left="1742" w:hanging="475"/>
      </w:pPr>
      <w:r>
        <w:tab/>
        <w:t>–</w:t>
      </w:r>
      <w:r>
        <w:tab/>
        <w:t>послы и генеральные консулы 10.</w:t>
      </w:r>
    </w:p>
    <w:p w:rsidR="00000000" w:rsidRDefault="00000000">
      <w:pPr>
        <w:pStyle w:val="SingleTxt"/>
      </w:pPr>
      <w:r>
        <w:tab/>
        <w:t>В рамках реализации Закона Боснии и Герцеговины о равенстве между мужчинами и женщинами рабочая группа по вопросам общественной жизни рекомендовала президенту Боснии и Герцеговины, парламенту страны и па</w:t>
      </w:r>
      <w:r>
        <w:t>р</w:t>
      </w:r>
      <w:r>
        <w:t>ламентам образований разработать в соответствии с их конституционными полномочиями критерии, на основе которых будет обеспечиваться равная пре</w:t>
      </w:r>
      <w:r>
        <w:t>д</w:t>
      </w:r>
      <w:r>
        <w:t>ставленность мужчин и женщин на самых ответственных должностях и в д</w:t>
      </w:r>
      <w:r>
        <w:t>и</w:t>
      </w:r>
      <w:r>
        <w:t>пломатических представительствах, в парламентских и других международных делегациях, а также на переговорах по вопросам присоединения к процессу европейской интеграции.</w:t>
      </w:r>
    </w:p>
    <w:p w:rsidR="00000000" w:rsidRDefault="00000000">
      <w:pPr>
        <w:pStyle w:val="SingleTxt"/>
      </w:pPr>
      <w:r>
        <w:tab/>
        <w:t>Мероприятия, проведенные агентством гендерного равенства Боснии и Герцеговины в связи с осуществлением резолюции 1325 Совета Безопасности (учебная подготовка/совещания «за круглым столом»), также способствовали расширению понимания важного значения роста уровня представленности женщин на руководящих должностях в министерстве иностранных дел, в д</w:t>
      </w:r>
      <w:r>
        <w:t>и</w:t>
      </w:r>
      <w:r>
        <w:t>пломатических и консульских представительс</w:t>
      </w:r>
      <w:r>
        <w:t>т</w:t>
      </w:r>
      <w:r>
        <w:t xml:space="preserve">вах. </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Статья 10</w:t>
      </w:r>
    </w:p>
    <w:p w:rsidR="00000000" w:rsidRDefault="00000000">
      <w:pPr>
        <w:pStyle w:val="SingleTxt"/>
        <w:spacing w:after="0" w:line="120" w:lineRule="exact"/>
        <w:rPr>
          <w:sz w:val="10"/>
        </w:rPr>
      </w:pPr>
    </w:p>
    <w:p w:rsidR="00000000" w:rsidRDefault="00000000">
      <w:pPr>
        <w:pStyle w:val="SingleTxt"/>
        <w:rPr>
          <w:b/>
        </w:rPr>
      </w:pPr>
      <w:r>
        <w:t>19.</w:t>
      </w:r>
      <w:r>
        <w:tab/>
      </w:r>
      <w:r>
        <w:rPr>
          <w:b/>
        </w:rPr>
        <w:t>В докладе отмечается (см. пункт 128), что в обоих образованиях н</w:t>
      </w:r>
      <w:r>
        <w:rPr>
          <w:b/>
        </w:rPr>
        <w:t>а</w:t>
      </w:r>
      <w:r>
        <w:rPr>
          <w:b/>
        </w:rPr>
        <w:t>чался процесс образовательной реформы, направленной на согласование и модернизацию существующей системы образования, включая введение в действие новой правовой основы. Просьба представить подробную и</w:t>
      </w:r>
      <w:r>
        <w:rPr>
          <w:b/>
        </w:rPr>
        <w:t>н</w:t>
      </w:r>
      <w:r>
        <w:rPr>
          <w:b/>
        </w:rPr>
        <w:t>формацию об этой реформе, в том числе о новых законах и усилиях, пре</w:t>
      </w:r>
      <w:r>
        <w:rPr>
          <w:b/>
        </w:rPr>
        <w:t>д</w:t>
      </w:r>
      <w:r>
        <w:rPr>
          <w:b/>
        </w:rPr>
        <w:t>принимаемых для пересмотра стереотипных представлений о роли же</w:t>
      </w:r>
      <w:r>
        <w:rPr>
          <w:b/>
        </w:rPr>
        <w:t>н</w:t>
      </w:r>
      <w:r>
        <w:rPr>
          <w:b/>
        </w:rPr>
        <w:t>щин и мужчин, сохраняющихся в учебниках, учебных программах и взглядах и поведении учителей.</w:t>
      </w:r>
    </w:p>
    <w:p w:rsidR="00000000" w:rsidRDefault="00000000">
      <w:pPr>
        <w:pStyle w:val="SingleTxt"/>
      </w:pPr>
      <w:r>
        <w:tab/>
        <w:t>В разделе гендерного плана действий Боснии и Герцеговины, где освещ</w:t>
      </w:r>
      <w:r>
        <w:t>а</w:t>
      </w:r>
      <w:r>
        <w:t>ются вопросы повышения уровня образования на протяжении всей жизни, пр</w:t>
      </w:r>
      <w:r>
        <w:t>е</w:t>
      </w:r>
      <w:r>
        <w:t>дусмотрены меры по устранению стереотипных представлений о роли женщин и мужчин, сохраняющихся в учебниках, учебных программах и во взглядах и поведении учителей.</w:t>
      </w:r>
    </w:p>
    <w:p w:rsidR="00000000" w:rsidRDefault="00000000">
      <w:pPr>
        <w:pStyle w:val="SingleTxt"/>
      </w:pPr>
      <w:r>
        <w:tab/>
        <w:t>Рабочая группа по вопросам образования, учрежденная в рамках реализ</w:t>
      </w:r>
      <w:r>
        <w:t>а</w:t>
      </w:r>
      <w:r>
        <w:t>ции Закона Боснии и Герцеговины о равенстве между мужчинами и женщин</w:t>
      </w:r>
      <w:r>
        <w:t>а</w:t>
      </w:r>
      <w:r>
        <w:t>ми  сейчас работает над выявлением тех нормативных актов (законов и других актов), которые регулируют функционирование системы образования Боснии и Герц</w:t>
      </w:r>
      <w:r>
        <w:t>е</w:t>
      </w:r>
      <w:r>
        <w:t>говины:</w:t>
      </w:r>
    </w:p>
    <w:p w:rsidR="00000000" w:rsidRDefault="00000000">
      <w:pPr>
        <w:pStyle w:val="SingleTxt"/>
        <w:tabs>
          <w:tab w:val="right" w:pos="1685"/>
        </w:tabs>
        <w:ind w:left="1742" w:hanging="475"/>
      </w:pPr>
      <w:r>
        <w:tab/>
        <w:t>•</w:t>
      </w:r>
      <w:r>
        <w:tab/>
        <w:t>на государственном уровне принят рамочный закон о начальном и сре</w:t>
      </w:r>
      <w:r>
        <w:t>д</w:t>
      </w:r>
      <w:r>
        <w:t>нем образовании в Боснии и Герцеговине («Официальный вестник Боснии и Ге</w:t>
      </w:r>
      <w:r>
        <w:t>р</w:t>
      </w:r>
      <w:r>
        <w:t>цеговины», № 18/03);</w:t>
      </w:r>
    </w:p>
    <w:p w:rsidR="00000000" w:rsidRDefault="00000000">
      <w:pPr>
        <w:pStyle w:val="SingleTxt"/>
        <w:tabs>
          <w:tab w:val="right" w:pos="1685"/>
        </w:tabs>
        <w:ind w:left="1742" w:hanging="475"/>
      </w:pPr>
      <w:r>
        <w:tab/>
        <w:t>•</w:t>
      </w:r>
      <w:r>
        <w:tab/>
        <w:t>во всех десяти кантонах Федерации Боснии и Герцеговины приняты зак</w:t>
      </w:r>
      <w:r>
        <w:t>о</w:t>
      </w:r>
      <w:r>
        <w:t>ны об образовании (дошкольном, начальном и среднем образовании и и</w:t>
      </w:r>
      <w:r>
        <w:t>н</w:t>
      </w:r>
      <w:r>
        <w:t>спекции учебных программ, а в некоторых из них — о высшем и униве</w:t>
      </w:r>
      <w:r>
        <w:t>р</w:t>
      </w:r>
      <w:r>
        <w:t>сит</w:t>
      </w:r>
      <w:r>
        <w:t>е</w:t>
      </w:r>
      <w:r>
        <w:t>тском образовании) и ряд подзаконных актов;</w:t>
      </w:r>
    </w:p>
    <w:p w:rsidR="00000000" w:rsidRDefault="00000000">
      <w:pPr>
        <w:pStyle w:val="SingleTxt"/>
        <w:tabs>
          <w:tab w:val="right" w:pos="1685"/>
        </w:tabs>
        <w:ind w:left="1742" w:hanging="475"/>
      </w:pPr>
      <w:r>
        <w:tab/>
        <w:t>•</w:t>
      </w:r>
      <w:r>
        <w:tab/>
        <w:t>в Республике Сербской действуют четыре закона (о начальном, среднем, высшем и университетском образовании), а также ряд по</w:t>
      </w:r>
      <w:r>
        <w:t>д</w:t>
      </w:r>
      <w:r>
        <w:t>законных актов;</w:t>
      </w:r>
    </w:p>
    <w:p w:rsidR="00000000" w:rsidRDefault="00000000">
      <w:pPr>
        <w:pStyle w:val="SingleTxt"/>
        <w:tabs>
          <w:tab w:val="right" w:pos="1685"/>
        </w:tabs>
        <w:ind w:left="1742" w:hanging="475"/>
      </w:pPr>
      <w:r>
        <w:tab/>
        <w:t>•</w:t>
      </w:r>
      <w:r>
        <w:tab/>
        <w:t>в районе Брчко действует закон о начальном и среднем образовании для района Брчко Боснии и Герцеговины («Официальный вестник района Брчко Боснии и Герцеговины», № 9/01).</w:t>
      </w:r>
    </w:p>
    <w:p w:rsidR="00000000" w:rsidRDefault="00000000">
      <w:pPr>
        <w:pStyle w:val="SingleTxt"/>
      </w:pPr>
      <w:r>
        <w:tab/>
        <w:t>Рабочая группа вынесла рекомендации, сделав в них акцент на те части подвергнутых анализу законов, которые необходимо привести в соответствие с Законом Боснии и Герцеговины о равенстве между мужчинами и женщинами. Рабочая группа также проанализировала работу учреждений Боснии и Герцег</w:t>
      </w:r>
      <w:r>
        <w:t>о</w:t>
      </w:r>
      <w:r>
        <w:t>вины, образований и кантонов, отвечающих за образование; ознакомилась с р</w:t>
      </w:r>
      <w:r>
        <w:t>е</w:t>
      </w:r>
      <w:r>
        <w:t>зультатами исследований по вопросам дискриминации и насилия по признаку пола, с кодексом этики, которым руководствуются в своей работе образов</w:t>
      </w:r>
      <w:r>
        <w:t>а</w:t>
      </w:r>
      <w:r>
        <w:t>тельные учреждения, и гендерной статистикой в системе образов</w:t>
      </w:r>
      <w:r>
        <w:t>а</w:t>
      </w:r>
      <w:r>
        <w:t>ния.</w:t>
      </w:r>
    </w:p>
    <w:p w:rsidR="00000000" w:rsidRDefault="00000000">
      <w:pPr>
        <w:pStyle w:val="SingleTxt"/>
        <w:tabs>
          <w:tab w:val="right" w:pos="1685"/>
        </w:tabs>
        <w:ind w:left="1742" w:hanging="475"/>
      </w:pPr>
      <w:r>
        <w:tab/>
        <w:t>•</w:t>
      </w:r>
      <w:r>
        <w:tab/>
        <w:t>Агентство гендерного равенства Боснии и Герцеговины подготовило предложение по проекту проведения на базе Центра междисциплинарных последипломных исследований университета Сараево последипломных гендерных исследований в целях увеличения числа кадров и специал</w:t>
      </w:r>
      <w:r>
        <w:t>и</w:t>
      </w:r>
      <w:r>
        <w:t>стов в этой области.</w:t>
      </w:r>
    </w:p>
    <w:p w:rsidR="00000000" w:rsidRDefault="00000000">
      <w:pPr>
        <w:pStyle w:val="SingleTxt"/>
        <w:tabs>
          <w:tab w:val="right" w:pos="1685"/>
        </w:tabs>
        <w:ind w:left="1742" w:hanging="475"/>
      </w:pPr>
      <w:r>
        <w:tab/>
        <w:t>•</w:t>
      </w:r>
      <w:r>
        <w:tab/>
        <w:t>С участием директоров и преподавателей начальных и средних школ Ф</w:t>
      </w:r>
      <w:r>
        <w:t>е</w:t>
      </w:r>
      <w:r>
        <w:t xml:space="preserve">дерации Боснии и Герцеговины и Республики Сербской были проведены семинары на тему </w:t>
      </w:r>
      <w:r>
        <w:rPr>
          <w:b/>
        </w:rPr>
        <w:t>«</w:t>
      </w:r>
      <w:r>
        <w:t>Интеграция принципов гендерного равенства в обр</w:t>
      </w:r>
      <w:r>
        <w:t>а</w:t>
      </w:r>
      <w:r>
        <w:t>зовательную систему Боснии и Герцеговины</w:t>
      </w:r>
      <w:r>
        <w:rPr>
          <w:b/>
        </w:rPr>
        <w:t>»</w:t>
      </w:r>
      <w:r>
        <w:t>. На этих семинарах пр</w:t>
      </w:r>
      <w:r>
        <w:t>о</w:t>
      </w:r>
      <w:r>
        <w:t>блема гендерного равенства рассматривалась с правовой, медицинской, социально-культурной, теологической, философской и педагогической точек зрения. Гендерный центр Республики Сербской и ИБГИ Боснии и Герцеговины организовали курсы для преподавателей трех начальных школ и членов совета учащихся средней технической школы в Гр</w:t>
      </w:r>
      <w:r>
        <w:t>а</w:t>
      </w:r>
      <w:r>
        <w:t>дишке.</w:t>
      </w:r>
    </w:p>
    <w:p w:rsidR="00000000" w:rsidRDefault="00000000">
      <w:pPr>
        <w:pStyle w:val="SingleTxt"/>
        <w:tabs>
          <w:tab w:val="right" w:pos="1685"/>
        </w:tabs>
        <w:ind w:left="1742" w:hanging="475"/>
      </w:pPr>
      <w:r>
        <w:tab/>
        <w:t>•</w:t>
      </w:r>
      <w:r>
        <w:tab/>
        <w:t>Гендерный центр Федерации Боснии и Герцеговины приступил к осущ</w:t>
      </w:r>
      <w:r>
        <w:t>е</w:t>
      </w:r>
      <w:r>
        <w:t>ствлению проекта по интеграции гендерного компонента в экспериме</w:t>
      </w:r>
      <w:r>
        <w:t>н</w:t>
      </w:r>
      <w:r>
        <w:t>тальные школьные программы. Этот эксперимент проводился в кантоне Сараево, где в учебные программы трех средних и пяти начальных школ были включены занятия по гендерной проблемат</w:t>
      </w:r>
      <w:r>
        <w:t>и</w:t>
      </w:r>
      <w:r>
        <w:t>ке.</w:t>
      </w:r>
    </w:p>
    <w:p w:rsidR="00000000" w:rsidRDefault="00000000">
      <w:pPr>
        <w:pStyle w:val="SingleTxt"/>
        <w:tabs>
          <w:tab w:val="right" w:pos="1685"/>
        </w:tabs>
        <w:ind w:left="1742" w:hanging="475"/>
      </w:pPr>
      <w:r>
        <w:tab/>
        <w:t>•</w:t>
      </w:r>
      <w:r>
        <w:tab/>
        <w:t xml:space="preserve">В Баня Луке состоялась конференция на тему </w:t>
      </w:r>
      <w:r>
        <w:rPr>
          <w:b/>
        </w:rPr>
        <w:t>«</w:t>
      </w:r>
      <w:r>
        <w:t>Интеграция гендерной проблематики в систему образования</w:t>
      </w:r>
      <w:r>
        <w:rPr>
          <w:b/>
        </w:rPr>
        <w:t>»</w:t>
      </w:r>
      <w:r>
        <w:t>, организованная Гендерным це</w:t>
      </w:r>
      <w:r>
        <w:t>н</w:t>
      </w:r>
      <w:r>
        <w:t>тром Республики Сербской в сотрудничестве с Советом Европы и при поддержке Агентства гендерного равенства Боснии и Герцеговины. На конференции Босния и Герцеговина обменялась с государствами — чл</w:t>
      </w:r>
      <w:r>
        <w:t>е</w:t>
      </w:r>
      <w:r>
        <w:t>нами Совета Европы опытом включения гендерной проблематики в уче</w:t>
      </w:r>
      <w:r>
        <w:t>б</w:t>
      </w:r>
      <w:r>
        <w:t>ные программы образовательных учреждений всех уро</w:t>
      </w:r>
      <w:r>
        <w:t>в</w:t>
      </w:r>
      <w:r>
        <w:t>ней.</w:t>
      </w:r>
    </w:p>
    <w:p w:rsidR="00000000" w:rsidRDefault="00000000">
      <w:pPr>
        <w:pStyle w:val="SingleTxt"/>
        <w:tabs>
          <w:tab w:val="right" w:pos="1685"/>
        </w:tabs>
        <w:ind w:left="1742" w:hanging="475"/>
      </w:pPr>
      <w:r>
        <w:tab/>
        <w:t>•</w:t>
      </w:r>
      <w:r>
        <w:tab/>
        <w:t>Гендерный центр Республики Сербской сейчас осуществляет проект «Р</w:t>
      </w:r>
      <w:r>
        <w:t>о</w:t>
      </w:r>
      <w:r>
        <w:t>зовое и голубое» в детском саду «Наше детство» в Баня-Луке.</w:t>
      </w:r>
    </w:p>
    <w:p w:rsidR="00000000" w:rsidRDefault="00000000">
      <w:pPr>
        <w:pStyle w:val="SingleTxt"/>
        <w:tabs>
          <w:tab w:val="right" w:pos="1685"/>
        </w:tabs>
        <w:ind w:left="1742" w:hanging="475"/>
      </w:pPr>
      <w:r>
        <w:tab/>
        <w:t>•</w:t>
      </w:r>
      <w:r>
        <w:tab/>
        <w:t>В сотрудничестве с учителями начальной школы им. Борислава Станк</w:t>
      </w:r>
      <w:r>
        <w:t>о</w:t>
      </w:r>
      <w:r>
        <w:t>вича и при поддержке министерства образования и культуры Республики Сербской гендерный центр Республики Сербской подготовил сборник д</w:t>
      </w:r>
      <w:r>
        <w:t>о</w:t>
      </w:r>
      <w:r>
        <w:t>кументов по вопросам интерактивного обучения.</w:t>
      </w:r>
    </w:p>
    <w:p w:rsidR="00000000" w:rsidRDefault="00000000">
      <w:pPr>
        <w:pStyle w:val="SingleTxt"/>
        <w:tabs>
          <w:tab w:val="right" w:pos="1685"/>
        </w:tabs>
        <w:ind w:left="1742" w:hanging="475"/>
      </w:pPr>
      <w:r>
        <w:tab/>
        <w:t>•</w:t>
      </w:r>
      <w:r>
        <w:tab/>
        <w:t>В сотрудничестве с педагогическим институтом Республики Сербской, международной организацией «Сивитас», неправительственной организ</w:t>
      </w:r>
      <w:r>
        <w:t>а</w:t>
      </w:r>
      <w:r>
        <w:t>цией «Здраво да сте» из Баня-Луки и молодежным центром в Градишке гендерный центр Республики Сербской подготовил рабочие совещания с целью обеспечить учет гендерной проблематики при преподавании пре</w:t>
      </w:r>
      <w:r>
        <w:t>д</w:t>
      </w:r>
      <w:r>
        <w:t>мета «Демократия и права человека» в старших классах средней школы. Результаты этих совещаний были опубликованы в пособии по вопросам равенства полов. Для преподавателей предмета «Демократия и права ч</w:t>
      </w:r>
      <w:r>
        <w:t>е</w:t>
      </w:r>
      <w:r>
        <w:t>ловека» был организован двухдневный семинар.</w:t>
      </w:r>
    </w:p>
    <w:p w:rsidR="00000000" w:rsidRDefault="00000000">
      <w:pPr>
        <w:pStyle w:val="SingleTxt"/>
        <w:tabs>
          <w:tab w:val="right" w:pos="1685"/>
        </w:tabs>
        <w:ind w:left="1742" w:hanging="475"/>
      </w:pPr>
      <w:r>
        <w:tab/>
        <w:t>•</w:t>
      </w:r>
      <w:r>
        <w:tab/>
        <w:t>Гендерные центры Федерации Боснии и Герцеговины и Республики Сер</w:t>
      </w:r>
      <w:r>
        <w:t>б</w:t>
      </w:r>
      <w:r>
        <w:t>ской опубликовали брошюру «Как сгладить наши различия», предназн</w:t>
      </w:r>
      <w:r>
        <w:t>а</w:t>
      </w:r>
      <w:r>
        <w:t>ченную для молодежи и содержащую информацию о гендерной тематике, любви, безопасном сексе, гендерных стереотипах и вопросах брака, с</w:t>
      </w:r>
      <w:r>
        <w:t>е</w:t>
      </w:r>
      <w:r>
        <w:t>мьи, работы и занят</w:t>
      </w:r>
      <w:r>
        <w:t>о</w:t>
      </w:r>
      <w:r>
        <w:t xml:space="preserve">сти. </w:t>
      </w:r>
    </w:p>
    <w:p w:rsidR="00000000" w:rsidRDefault="00000000">
      <w:pPr>
        <w:pStyle w:val="SingleTxt"/>
      </w:pPr>
      <w:r>
        <w:tab/>
        <w:t>Ответственность за подготовку публикаций по вопросам интеграции ге</w:t>
      </w:r>
      <w:r>
        <w:t>н</w:t>
      </w:r>
      <w:r>
        <w:t>дерной проблематики в систему образования была возложена на гендерные центры образований. Все публикации получили широкое распространение как в Федерации Боснии и Герцеговины, так и в Республике Сербской.</w:t>
      </w:r>
    </w:p>
    <w:p w:rsidR="00000000" w:rsidRDefault="00000000">
      <w:pPr>
        <w:pStyle w:val="SingleTxt"/>
        <w:rPr>
          <w:b/>
        </w:rPr>
      </w:pPr>
      <w:r>
        <w:t>20.</w:t>
      </w:r>
      <w:r>
        <w:tab/>
      </w:r>
      <w:r>
        <w:rPr>
          <w:b/>
        </w:rPr>
        <w:t>Просьба сообщить о том, какие меры намерено принять правител</w:t>
      </w:r>
      <w:r>
        <w:rPr>
          <w:b/>
        </w:rPr>
        <w:t>ь</w:t>
      </w:r>
      <w:r>
        <w:rPr>
          <w:b/>
        </w:rPr>
        <w:t>ство для устранения наблюдающегося в обоих образованиях неравенства между девочками и мальчиками в том, что касается уровня образования, а также выбора предметов.</w:t>
      </w:r>
    </w:p>
    <w:p w:rsidR="00000000" w:rsidRDefault="00000000">
      <w:pPr>
        <w:pStyle w:val="SingleTxt"/>
      </w:pPr>
      <w:r>
        <w:tab/>
        <w:t>В разделе «Образование на протяжении всей жизни» гендерного плана действий Боснии и Герцеговины и в разделе «Женщины и образование» гос</w:t>
      </w:r>
      <w:r>
        <w:t>у</w:t>
      </w:r>
      <w:r>
        <w:t>дарственного гендерного плана действий предусмотрены мероприятия по ус</w:t>
      </w:r>
      <w:r>
        <w:t>т</w:t>
      </w:r>
      <w:r>
        <w:t>ранению существующего в настоящее время между девочками и мальчиками в сфере образования неравенства в том, что касается уровня образования, а та</w:t>
      </w:r>
      <w:r>
        <w:t>к</w:t>
      </w:r>
      <w:r>
        <w:t>же выбора предметов. Эти мероприятия включают проведение различных о</w:t>
      </w:r>
      <w:r>
        <w:t>б</w:t>
      </w:r>
      <w:r>
        <w:t>следований и программ с целью выйти на сбалансированные показатели охвата образованием мальчиков и девочек в целом и при изучении различных предм</w:t>
      </w:r>
      <w:r>
        <w:t>е</w:t>
      </w:r>
      <w:r>
        <w:t>тов.</w:t>
      </w:r>
    </w:p>
    <w:p w:rsidR="00000000" w:rsidRDefault="00000000">
      <w:pPr>
        <w:pStyle w:val="SingleTxt"/>
      </w:pPr>
      <w:r>
        <w:tab/>
        <w:t>Гендерные программы обучения, разрабатываемые Агентством гендерн</w:t>
      </w:r>
      <w:r>
        <w:t>о</w:t>
      </w:r>
      <w:r>
        <w:t>го равенства и гендерными центрами в сотрудничестве с образовательными учреждениями, вместе со всеми другими мерами, преследующими цель инт</w:t>
      </w:r>
      <w:r>
        <w:t>е</w:t>
      </w:r>
      <w:r>
        <w:t>грации гендерной проблематики в систему образования, позволят добиться гендерной сбалансир</w:t>
      </w:r>
      <w:r>
        <w:t>о</w:t>
      </w:r>
      <w:r>
        <w:t>ванности в школах.</w:t>
      </w:r>
    </w:p>
    <w:p w:rsidR="00000000" w:rsidRDefault="00000000">
      <w:pPr>
        <w:pStyle w:val="SingleTxt"/>
        <w:rPr>
          <w:b/>
        </w:rPr>
      </w:pPr>
      <w:r>
        <w:t>21.</w:t>
      </w:r>
      <w:r>
        <w:tab/>
      </w:r>
      <w:r>
        <w:rPr>
          <w:b/>
        </w:rPr>
        <w:t>Просьба сообщить о мерах, принятых правительствами государства и образований для обеспечения обучения девочек в сельских районах, нед</w:t>
      </w:r>
      <w:r>
        <w:rPr>
          <w:b/>
        </w:rPr>
        <w:t>о</w:t>
      </w:r>
      <w:r>
        <w:rPr>
          <w:b/>
        </w:rPr>
        <w:t>пущение ухода из школы этих девочек после четвертого класса, предо</w:t>
      </w:r>
      <w:r>
        <w:rPr>
          <w:b/>
        </w:rPr>
        <w:t>с</w:t>
      </w:r>
      <w:r>
        <w:rPr>
          <w:b/>
        </w:rPr>
        <w:t>тавления им более широких возможностей для получения среднего образ</w:t>
      </w:r>
      <w:r>
        <w:rPr>
          <w:b/>
        </w:rPr>
        <w:t>о</w:t>
      </w:r>
      <w:r>
        <w:rPr>
          <w:b/>
        </w:rPr>
        <w:t>вания и ликвидации неграмотности среди сельских женщин пожилого возраста.</w:t>
      </w:r>
    </w:p>
    <w:p w:rsidR="00000000" w:rsidRDefault="00000000">
      <w:pPr>
        <w:pStyle w:val="SingleTxt"/>
      </w:pPr>
      <w:r>
        <w:tab/>
        <w:t>В разделе «Образование на протяжении всей жизни» гендерного плана действий Боснии и Герцеговины и в разделе «Женщины и образование» гос</w:t>
      </w:r>
      <w:r>
        <w:t>у</w:t>
      </w:r>
      <w:r>
        <w:t>дарственного гендерного плана действий, в частности, предусматривается пр</w:t>
      </w:r>
      <w:r>
        <w:t>о</w:t>
      </w:r>
      <w:r>
        <w:t>ведение обследования с целью установить, сколько мальчиков и девочек не з</w:t>
      </w:r>
      <w:r>
        <w:t>а</w:t>
      </w:r>
      <w:r>
        <w:t>канчивают среднюю школу, определить, почему они уходят из школы, разраб</w:t>
      </w:r>
      <w:r>
        <w:t>о</w:t>
      </w:r>
      <w:r>
        <w:t>тать дополнительные меры, которые стимулировали бы мужчин и женщин пр</w:t>
      </w:r>
      <w:r>
        <w:t>о</w:t>
      </w:r>
      <w:r>
        <w:t>должать образование, обеспечивали более гибкие условия для учебы и спосо</w:t>
      </w:r>
      <w:r>
        <w:t>б</w:t>
      </w:r>
      <w:r>
        <w:t>ствовали расширению числа предметов, интересующих женщин, имеющих д</w:t>
      </w:r>
      <w:r>
        <w:t>е</w:t>
      </w:r>
      <w:r>
        <w:t>тей, работающих женщин, неработающих женщин, женщин, не закончивших школу, и т.д., а также созданию в сотрудничестве с государственным и частным секторами по крайней мере одного компьютерного центра в каждом сельском районе и ликвидации неграмотности среди женщин. Агентство гендерного р</w:t>
      </w:r>
      <w:r>
        <w:t>а</w:t>
      </w:r>
      <w:r>
        <w:t>венства приступило к проведению гендерной экспертизы программ обучения в высших учебных з</w:t>
      </w:r>
      <w:r>
        <w:t>а</w:t>
      </w:r>
      <w:r>
        <w:t>ведениях.</w:t>
      </w:r>
    </w:p>
    <w:p w:rsidR="00000000" w:rsidRDefault="00000000">
      <w:pPr>
        <w:pStyle w:val="SingleTxt"/>
      </w:pPr>
      <w:r>
        <w:tab/>
        <w:t>Агентство гендерного равенства Боснии и Герцеговины и гендерные це</w:t>
      </w:r>
      <w:r>
        <w:t>н</w:t>
      </w:r>
      <w:r>
        <w:t>тры образований в рамках реализации Закона о равенстве между женщинами и мужчинами и субрегионального гендерного проекта, в которой оказывает по</w:t>
      </w:r>
      <w:r>
        <w:t>д</w:t>
      </w:r>
      <w:r>
        <w:t>держку Отделение ПРООН в Боснии и Герцеговине, предоставили субсидии на осуществление проектов НПО во всех сферах законодательства Боснии и Ге</w:t>
      </w:r>
      <w:r>
        <w:t>р</w:t>
      </w:r>
      <w:r>
        <w:t>цеговины о равенстве полов, в том числе проекта в интересах девочек и же</w:t>
      </w:r>
      <w:r>
        <w:t>н</w:t>
      </w:r>
      <w:r>
        <w:t>щин в 2005 году</w:t>
      </w:r>
      <w:r>
        <w:rPr>
          <w:rStyle w:val="FootnoteReference"/>
        </w:rPr>
        <w:footnoteReference w:id="11"/>
      </w:r>
      <w:r>
        <w:t>.</w:t>
      </w:r>
    </w:p>
    <w:p w:rsidR="00000000" w:rsidRDefault="00000000">
      <w:pPr>
        <w:pStyle w:val="SingleTxt"/>
        <w:rPr>
          <w:b/>
        </w:rPr>
      </w:pPr>
      <w:r>
        <w:t>22.</w:t>
      </w:r>
      <w:r>
        <w:tab/>
      </w:r>
      <w:r>
        <w:rPr>
          <w:b/>
        </w:rPr>
        <w:t>В докладе отмечается, что неграмотность широко распространена среди женщин из числа рома. Просьба сообщить о том, какие меры план</w:t>
      </w:r>
      <w:r>
        <w:rPr>
          <w:b/>
        </w:rPr>
        <w:t>и</w:t>
      </w:r>
      <w:r>
        <w:rPr>
          <w:b/>
        </w:rPr>
        <w:t>руются или принимаются для решения проблемы высокой доли неграмо</w:t>
      </w:r>
      <w:r>
        <w:rPr>
          <w:b/>
        </w:rPr>
        <w:t>т</w:t>
      </w:r>
      <w:r>
        <w:rPr>
          <w:b/>
        </w:rPr>
        <w:t>ных среди же</w:t>
      </w:r>
      <w:r>
        <w:rPr>
          <w:b/>
        </w:rPr>
        <w:t>н</w:t>
      </w:r>
      <w:r>
        <w:rPr>
          <w:b/>
        </w:rPr>
        <w:t>щин из числа рома и обеспечения обучения девочек рома.</w:t>
      </w:r>
    </w:p>
    <w:p w:rsidR="00000000" w:rsidRDefault="00000000">
      <w:pPr>
        <w:pStyle w:val="SingleTxt"/>
      </w:pPr>
      <w:r>
        <w:tab/>
        <w:t>В разделе «Образование на протяжении всей жизни» гендерного плана действий Боснии и Герцеговины и в разделе «Женщины и образование» гос</w:t>
      </w:r>
      <w:r>
        <w:t>у</w:t>
      </w:r>
      <w:r>
        <w:t>дарственного гендерного плана действий также предусматриваются такие м</w:t>
      </w:r>
      <w:r>
        <w:t>е</w:t>
      </w:r>
      <w:r>
        <w:t>роприятия, как проведение исследования для определения степени охвата рома образованием (в частности женщин), уровня неграмотности в этой группе н</w:t>
      </w:r>
      <w:r>
        <w:t>а</w:t>
      </w:r>
      <w:r>
        <w:t>селения, причин этого, уровней образования, причин ухода из школы и т.д.</w:t>
      </w:r>
    </w:p>
    <w:p w:rsidR="00000000" w:rsidRDefault="00000000">
      <w:pPr>
        <w:pStyle w:val="SingleTxt"/>
      </w:pPr>
      <w:r>
        <w:tab/>
        <w:t>Совет по делам рома Совета министров Боснии и Герцеговины сообщил о том, что по инициативе министерства по правам человека и делам беженцев Боснии и Герцеговины, министерств просвещения образований и кантонов и неправительственных организаций, занимающихся вопросами рома, в 2004 году был принят план действий по удовлетворению потребностей рома и других национальных меньшинств Боснии и Герцеговины в сфере образования. В этом документе определены задачи по охвату образованием рома (и других меньшинств в Боснии и Герцеговине), соответствующие мероприятия и меры, сроки реализации и ответственные за реализацию органы. Главная ответстве</w:t>
      </w:r>
      <w:r>
        <w:t>н</w:t>
      </w:r>
      <w:r>
        <w:t>ность за осуществление плана возложена на министерства просвещения обр</w:t>
      </w:r>
      <w:r>
        <w:t>а</w:t>
      </w:r>
      <w:r>
        <w:t>зований и кантонов и местные органы власти, а также на департамент образ</w:t>
      </w:r>
      <w:r>
        <w:t>о</w:t>
      </w:r>
      <w:r>
        <w:t>вания района Брчко, педагогические институты и т.д. Несмотря на ряд трудн</w:t>
      </w:r>
      <w:r>
        <w:t>о</w:t>
      </w:r>
      <w:r>
        <w:t>стей и препятствий, встреченных на начальном этапе, работа по реализации плана продолжается, о чем свидетельствуют результаты, достигнутые в ра</w:t>
      </w:r>
      <w:r>
        <w:t>з</w:t>
      </w:r>
      <w:r>
        <w:t>личных секторах и сферах. Благодаря осуществлению общего плана действий будет также ликвидировано неравенство в положении женщин рома.</w:t>
      </w:r>
    </w:p>
    <w:p w:rsidR="00000000" w:rsidRDefault="00000000">
      <w:pPr>
        <w:pStyle w:val="SingleTxt"/>
      </w:pPr>
      <w:r>
        <w:tab/>
        <w:t>В рамках реализации закона о равенстве между мужчинами и женщинами субрегионального гендерного проекта, в которой оказывает поддержку отдел</w:t>
      </w:r>
      <w:r>
        <w:t>е</w:t>
      </w:r>
      <w:r>
        <w:t>ние ПРООН в Боснии и Герцеговине, Агентство гендерного равенства Боснии и Герцеговины и гендерные центры образований предоставили субсидии на осуществление проектов НПО во всех сферах законодательства Боснии и Ге</w:t>
      </w:r>
      <w:r>
        <w:t>р</w:t>
      </w:r>
      <w:r>
        <w:t>цеговины о равенстве полов, к числу которых относятся и проекты гендерного равенства в сфере образования р</w:t>
      </w:r>
      <w:r>
        <w:t>о</w:t>
      </w:r>
      <w:r>
        <w:t>ма</w:t>
      </w:r>
      <w:r>
        <w:rPr>
          <w:rStyle w:val="FootnoteReference"/>
        </w:rPr>
        <w:footnoteReference w:id="12"/>
      </w:r>
      <w:r>
        <w: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Статья 11</w:t>
      </w:r>
    </w:p>
    <w:p w:rsidR="00000000" w:rsidRDefault="00000000">
      <w:pPr>
        <w:pStyle w:val="SingleTxt"/>
        <w:spacing w:after="0" w:line="120" w:lineRule="exact"/>
        <w:rPr>
          <w:sz w:val="10"/>
        </w:rPr>
      </w:pPr>
    </w:p>
    <w:p w:rsidR="00000000" w:rsidRDefault="00000000">
      <w:pPr>
        <w:pStyle w:val="SingleTxt"/>
        <w:rPr>
          <w:b/>
        </w:rPr>
      </w:pPr>
      <w:r>
        <w:t>23.</w:t>
      </w:r>
      <w:r>
        <w:tab/>
      </w:r>
      <w:r>
        <w:rPr>
          <w:b/>
        </w:rPr>
        <w:t>В докладе отмечается (см. пункт 166), что в переходный период, в к</w:t>
      </w:r>
      <w:r>
        <w:rPr>
          <w:b/>
        </w:rPr>
        <w:t>о</w:t>
      </w:r>
      <w:r>
        <w:rPr>
          <w:b/>
        </w:rPr>
        <w:t>тором находится Босния и Герцеговина, работодатели, как правило, в пе</w:t>
      </w:r>
      <w:r>
        <w:rPr>
          <w:b/>
        </w:rPr>
        <w:t>р</w:t>
      </w:r>
      <w:r>
        <w:rPr>
          <w:b/>
        </w:rPr>
        <w:t>вую очередь увольняют женщин. Просьба представить информацию о том, о каких работодателях идет речь — из государственного или частного се</w:t>
      </w:r>
      <w:r>
        <w:rPr>
          <w:b/>
        </w:rPr>
        <w:t>к</w:t>
      </w:r>
      <w:r>
        <w:rPr>
          <w:b/>
        </w:rPr>
        <w:t>торов — и какие меры принимаются правительствами государства и обр</w:t>
      </w:r>
      <w:r>
        <w:rPr>
          <w:b/>
        </w:rPr>
        <w:t>а</w:t>
      </w:r>
      <w:r>
        <w:rPr>
          <w:b/>
        </w:rPr>
        <w:t>зований для предотвращения и пресечения развития этой тенденции в ц</w:t>
      </w:r>
      <w:r>
        <w:rPr>
          <w:b/>
        </w:rPr>
        <w:t>е</w:t>
      </w:r>
      <w:r>
        <w:rPr>
          <w:b/>
        </w:rPr>
        <w:t>лях всестороннего осуществления положений статьи 11 Конвенции.</w:t>
      </w:r>
    </w:p>
    <w:p w:rsidR="00000000" w:rsidRDefault="00000000">
      <w:pPr>
        <w:pStyle w:val="SingleTxt"/>
      </w:pPr>
      <w:r>
        <w:tab/>
        <w:t>Сколь-либо заметного успеха на этом направлении не достигнуто. Те ге</w:t>
      </w:r>
      <w:r>
        <w:t>н</w:t>
      </w:r>
      <w:r>
        <w:t>дерные учреждения, которые пытаются предупредить и пресечь эту тенде</w:t>
      </w:r>
      <w:r>
        <w:t>н</w:t>
      </w:r>
      <w:r>
        <w:t>цию, сталкиваются с различными трудностями, проистекающими из отсутс</w:t>
      </w:r>
      <w:r>
        <w:t>т</w:t>
      </w:r>
      <w:r>
        <w:t>вия понимания важности гендерных аспектов со стороны работодателей, нео</w:t>
      </w:r>
      <w:r>
        <w:t>с</w:t>
      </w:r>
      <w:r>
        <w:t>ведомленности трудящихся о своих правах, медлительности с исполнением действующего законодательства и т.д. В частности, Агентство гендерного р</w:t>
      </w:r>
      <w:r>
        <w:t>а</w:t>
      </w:r>
      <w:r>
        <w:t>венства Боснии и Герцеговины и гендерные центры образований ставят перед собой задачу наращивать роль женщин в профсоюзах, в том числе в работе женских профсоюзных форумов, и с этой целью планируют использовать ра</w:t>
      </w:r>
      <w:r>
        <w:t>з</w:t>
      </w:r>
      <w:r>
        <w:t>личные формы подготовки, разъяснять гендерную проблематику, финансир</w:t>
      </w:r>
      <w:r>
        <w:t>о</w:t>
      </w:r>
      <w:r>
        <w:t>вать различные проекты и учредить должность сотрудника, отвечающего за взаимодействие и контакты с профсоюзами. Цель состоит в том, чтобы пов</w:t>
      </w:r>
      <w:r>
        <w:t>ы</w:t>
      </w:r>
      <w:r>
        <w:t>сить роль женщин, научить их выявлять проблемы и помогать им в их реш</w:t>
      </w:r>
      <w:r>
        <w:t>е</w:t>
      </w:r>
      <w:r>
        <w:t>нии. Однако профсоюзы не воспользовались этими возможностями, и знач</w:t>
      </w:r>
      <w:r>
        <w:t>и</w:t>
      </w:r>
      <w:r>
        <w:t>тельных подвижек не произошло.</w:t>
      </w:r>
    </w:p>
    <w:p w:rsidR="00000000" w:rsidRDefault="00000000">
      <w:pPr>
        <w:pStyle w:val="SingleTxt"/>
      </w:pPr>
      <w:r>
        <w:tab/>
        <w:t>В плане действий Боснии и Герцеговины по гендерной проблематике пр</w:t>
      </w:r>
      <w:r>
        <w:t>е</w:t>
      </w:r>
      <w:r>
        <w:t>дусмотрено проведение различных исследований по вопросам представленн</w:t>
      </w:r>
      <w:r>
        <w:t>о</w:t>
      </w:r>
      <w:r>
        <w:t>сти мужчин и женщин в государственных и общественных организациях, м</w:t>
      </w:r>
      <w:r>
        <w:t>о</w:t>
      </w:r>
      <w:r>
        <w:t>ниторинг гендерных последствий возможного сокращения численности рабо</w:t>
      </w:r>
      <w:r>
        <w:t>т</w:t>
      </w:r>
      <w:r>
        <w:t>ников государственной администрации, создание базы данных и обнародов</w:t>
      </w:r>
      <w:r>
        <w:t>а</w:t>
      </w:r>
      <w:r>
        <w:t>ние точных сведений о гендерной структуре государственных служб и бывших государственных служащих с учетом положений Закона о равенстве между мужчинами и женщинами, проведение информационно-разъяснительной раб</w:t>
      </w:r>
      <w:r>
        <w:t>о</w:t>
      </w:r>
      <w:r>
        <w:t>ты с работодателями, трудящимися и ответственными инспекторами по праву не подвергаться дискриминации при трудоустройстве и на рабочем месте и применение положений Закона о равенстве между мужчинами и женщинами при назначении государственных служащих на руководящие должности в гос</w:t>
      </w:r>
      <w:r>
        <w:t>у</w:t>
      </w:r>
      <w:r>
        <w:t>дарственных органах.</w:t>
      </w:r>
    </w:p>
    <w:p w:rsidR="00000000" w:rsidRDefault="00000000">
      <w:pPr>
        <w:pStyle w:val="SingleTxt"/>
      </w:pPr>
      <w:r>
        <w:tab/>
        <w:t>В рамках реализации Закона Боснии и Герцеговины о равенстве между мужчинами и женщинами рабочая группа по вопросам труда и занятости пре</w:t>
      </w:r>
      <w:r>
        <w:t>д</w:t>
      </w:r>
      <w:r>
        <w:t>ставила рекомендации, направленные на то, чтобы четко прописать в Законе о труде запрет на расторжение трудового договора по причине экономических, технических и организационных трудностей работодателя с работающей же</w:t>
      </w:r>
      <w:r>
        <w:t>н</w:t>
      </w:r>
      <w:r>
        <w:t>щиной в период ее беременности и отпуска по беременности и родам и подг</w:t>
      </w:r>
      <w:r>
        <w:t>о</w:t>
      </w:r>
      <w:r>
        <w:t>товить программы с гендерным подходом к отслеживанию случаев нарушения прав в сферах труда, занятости и доступа к экономическим ресурсам и инфо</w:t>
      </w:r>
      <w:r>
        <w:t>р</w:t>
      </w:r>
      <w:r>
        <w:t>миров</w:t>
      </w:r>
      <w:r>
        <w:t>а</w:t>
      </w:r>
      <w:r>
        <w:t>нию о таких нарушениях.</w:t>
      </w:r>
    </w:p>
    <w:p w:rsidR="00000000" w:rsidRDefault="00000000">
      <w:pPr>
        <w:pStyle w:val="SingleTxt"/>
      </w:pPr>
      <w:r>
        <w:tab/>
        <w:t>Выводы и рекомендации рабочей группы по вопросам труда и занятости и доступа к экономическим ресурсам были направлены в представительства М</w:t>
      </w:r>
      <w:r>
        <w:t>е</w:t>
      </w:r>
      <w:r>
        <w:t>ждународного бюро труда в Женеве и Будапеште для получения от них замеч</w:t>
      </w:r>
      <w:r>
        <w:t>а</w:t>
      </w:r>
      <w:r>
        <w:t>ний и предложений. Поступившие замечания, а также дополнительные пре</w:t>
      </w:r>
      <w:r>
        <w:t>д</w:t>
      </w:r>
      <w:r>
        <w:t>ложения и рекомендации были переданы в Агентство гендерного равенства Боснии и Герцеговины. Они будут включены в рекомендации и в гендерный план действий Боснии и Герцеговины.</w:t>
      </w:r>
    </w:p>
    <w:p w:rsidR="00000000" w:rsidRDefault="00000000">
      <w:pPr>
        <w:pStyle w:val="SingleTxt"/>
      </w:pPr>
      <w:r>
        <w:tab/>
        <w:t>По информации министерства труда и социальной политики Федерации Боснии и Герцеговины, данных о практике распространения трудовых догов</w:t>
      </w:r>
      <w:r>
        <w:t>о</w:t>
      </w:r>
      <w:r>
        <w:t>ров с женщинами в частном и государственном секторах Федерации Боснии и Герцеговины не имеется. Сейчас во всех кантонах Федерации Боснии и Герц</w:t>
      </w:r>
      <w:r>
        <w:t>е</w:t>
      </w:r>
      <w:r>
        <w:t>говины внедряется уникальная информационная система по вопросам занят</w:t>
      </w:r>
      <w:r>
        <w:t>о</w:t>
      </w:r>
      <w:r>
        <w:t>сти, в которой будет регистрироваться соответствующая информация о пр</w:t>
      </w:r>
      <w:r>
        <w:t>е</w:t>
      </w:r>
      <w:r>
        <w:t>кращении трудовых отношений.</w:t>
      </w:r>
    </w:p>
    <w:p w:rsidR="00000000" w:rsidRDefault="00000000">
      <w:pPr>
        <w:pStyle w:val="SingleTxt"/>
      </w:pPr>
      <w:r>
        <w:tab/>
        <w:t>По информации инспекции охраны труда Республики Сербской (мин</w:t>
      </w:r>
      <w:r>
        <w:t>и</w:t>
      </w:r>
      <w:r>
        <w:t>стерство труда и защиты военнослужащих и инвалидов Республики Сербской), она располагает данными о том, в каком из секторов — государственном, о</w:t>
      </w:r>
      <w:r>
        <w:t>б</w:t>
      </w:r>
      <w:r>
        <w:t>щественном или частном — работодатели увольняют преимущественно же</w:t>
      </w:r>
      <w:r>
        <w:t>н</w:t>
      </w:r>
      <w:r>
        <w:t>щин.</w:t>
      </w:r>
    </w:p>
    <w:p w:rsidR="00000000" w:rsidRDefault="00000000">
      <w:pPr>
        <w:pStyle w:val="SingleTxt"/>
      </w:pPr>
      <w:r>
        <w:tab/>
        <w:t>Невозможно также определить численность женщин, которые работают, не заключая договора и не имея оплаченного страхового полиса, поскольку и</w:t>
      </w:r>
      <w:r>
        <w:t>н</w:t>
      </w:r>
      <w:r>
        <w:t>спекция охраны труда эти данные не собирает, а часть работающих не обращ</w:t>
      </w:r>
      <w:r>
        <w:t>а</w:t>
      </w:r>
      <w:r>
        <w:t>ется в инспекцию даже в тех случаях, когда нарушаются их права. Очень часто работающие отказываются подписать заявление с жалобой на дискриминацию, поскольку бремя доказательства возлагается на них самих.</w:t>
      </w:r>
    </w:p>
    <w:p w:rsidR="00000000" w:rsidRDefault="00000000">
      <w:pPr>
        <w:pStyle w:val="SingleTxt"/>
        <w:rPr>
          <w:b/>
        </w:rPr>
      </w:pPr>
      <w:r>
        <w:t>24.</w:t>
      </w:r>
      <w:r>
        <w:tab/>
      </w:r>
      <w:r>
        <w:rPr>
          <w:b/>
        </w:rPr>
        <w:t>Назовите причины особенно высокого уровня безработицы среди наиболее образованных женщин в Боснии и Герцеговине и сообщите, к</w:t>
      </w:r>
      <w:r>
        <w:rPr>
          <w:b/>
        </w:rPr>
        <w:t>а</w:t>
      </w:r>
      <w:r>
        <w:rPr>
          <w:b/>
        </w:rPr>
        <w:t>кие меры принимаются для содействия расширению экономических во</w:t>
      </w:r>
      <w:r>
        <w:rPr>
          <w:b/>
        </w:rPr>
        <w:t>з</w:t>
      </w:r>
      <w:r>
        <w:rPr>
          <w:b/>
        </w:rPr>
        <w:t>можностей этой группы женщин и какие достигнуты результаты.</w:t>
      </w:r>
    </w:p>
    <w:p w:rsidR="00000000" w:rsidRDefault="00000000">
      <w:pPr>
        <w:pStyle w:val="SingleTxt"/>
      </w:pPr>
      <w:r>
        <w:rPr>
          <w:b/>
        </w:rPr>
        <w:tab/>
      </w:r>
      <w:r>
        <w:t>В гендерном плане действий Боснии и Герцеговины предусмотрен ряд мероприятий, которые необходимо осуществить для сокращения масштабов нищеты среди женщин и улучшения их экономического положения, включая ликвидацию дискриминации по признаку пола на работе и при трудоустройс</w:t>
      </w:r>
      <w:r>
        <w:t>т</w:t>
      </w:r>
      <w:r>
        <w:t>ве и разработку новых макроэкономических стратегий развития. В Боснии и Герцеговине доля женщин в числе работающих составляет 37,2 процента. Меньше всего занятых женщин приходится на возрастную группу старше 50 лет, где женщин насчитывается больше, чем мужчин. Тридцати семи пр</w:t>
      </w:r>
      <w:r>
        <w:t>о</w:t>
      </w:r>
      <w:r>
        <w:t>центный уровень является очень низким с учетом того, что женщины соста</w:t>
      </w:r>
      <w:r>
        <w:t>в</w:t>
      </w:r>
      <w:r>
        <w:t>ляют 60 процентов работоспособного населения Боснии и Герцеговины</w:t>
      </w:r>
      <w:r>
        <w:rPr>
          <w:rStyle w:val="FootnoteReference"/>
        </w:rPr>
        <w:footnoteReference w:id="13"/>
      </w:r>
      <w:r>
        <w:t>.</w:t>
      </w:r>
    </w:p>
    <w:p w:rsidR="00000000" w:rsidRDefault="00000000">
      <w:pPr>
        <w:pStyle w:val="SingleTxt"/>
      </w:pPr>
      <w:r>
        <w:tab/>
        <w:t>В сотрудничестве с Группой планирования экономической политики (ГПЭП) Агентство гендерного равенства Боснии и Герцеговины постаралось учесть гендерную составляющую при подготовке документа о среднесрочной стратегии развития/стратегии сокращения масштабов нищеты. С этой целью в ГПЭП была создана рабочая группа по гендерной проблематике, которая отв</w:t>
      </w:r>
      <w:r>
        <w:t>е</w:t>
      </w:r>
      <w:r>
        <w:t>чает за осуществление этой стратегии. Агентство организовало професси</w:t>
      </w:r>
      <w:r>
        <w:t>о</w:t>
      </w:r>
      <w:r>
        <w:t xml:space="preserve">нальную подготовку по гендерным вопросам для этой и 22 других рабочих групп. Она преследовала цель разработать гендерную стратегию, нацеленную на сокращение масштабов нищеты среди женщин. </w:t>
      </w:r>
    </w:p>
    <w:p w:rsidR="00000000" w:rsidRDefault="00000000">
      <w:pPr>
        <w:pStyle w:val="SingleTxt"/>
      </w:pPr>
      <w:r>
        <w:tab/>
        <w:t>Согласно информации министерства труда и социальной защиты Федер</w:t>
      </w:r>
      <w:r>
        <w:t>а</w:t>
      </w:r>
      <w:r>
        <w:t>ции Боснии и Герцеговины, высокая безработица в целом и среди наиболее о</w:t>
      </w:r>
      <w:r>
        <w:t>б</w:t>
      </w:r>
      <w:r>
        <w:t>разованных женщин в частности обусловлена следующими причинами: очень медленными темпами экономического развития, недостаточным уровнем м</w:t>
      </w:r>
      <w:r>
        <w:t>о</w:t>
      </w:r>
      <w:r>
        <w:t>бильности рабочей силы и отсутствием увязки возможностей системы образ</w:t>
      </w:r>
      <w:r>
        <w:t>о</w:t>
      </w:r>
      <w:r>
        <w:t>вания с потребностями рынка труда. Устранение упомянутых выше причин и осуществление стимулирующих мер могли бы содействовать расширению во</w:t>
      </w:r>
      <w:r>
        <w:t>з</w:t>
      </w:r>
      <w:r>
        <w:t>можностей этой категории женщин.</w:t>
      </w:r>
    </w:p>
    <w:p w:rsidR="00000000" w:rsidRDefault="00000000">
      <w:pPr>
        <w:pStyle w:val="SingleTxt"/>
      </w:pPr>
      <w:r>
        <w:tab/>
        <w:t>Институт Республики Сербской по вопросам занятости до сих пор не осуществил ни одного проекта в интересах женщин как отдельной группы. С помощью программ института занятости к 31 января 2006 года были трудоус</w:t>
      </w:r>
      <w:r>
        <w:t>т</w:t>
      </w:r>
      <w:r>
        <w:t>роены 6606 человек, в том числе 3287 женщин (из них 265 — с высшим обр</w:t>
      </w:r>
      <w:r>
        <w:t>а</w:t>
      </w:r>
      <w:r>
        <w:t>зованием). В рамках реализации Закона о равенстве между мужчинами и же</w:t>
      </w:r>
      <w:r>
        <w:t>н</w:t>
      </w:r>
      <w:r>
        <w:t>щинами и субрегионального гендерного проекта, в которой оказывает по</w:t>
      </w:r>
      <w:r>
        <w:t>д</w:t>
      </w:r>
      <w:r>
        <w:t>держку отделение ПРООН в Боснии и Герцеговине, Агентство гендерного р</w:t>
      </w:r>
      <w:r>
        <w:t>а</w:t>
      </w:r>
      <w:r>
        <w:t>венства Боснии и Герцеговины и гендерные центры образований предоставили субсидии на осуществление проектов НПО во всех сферах законодательства Боснии и Герцеговины о равенстве полов, из которых один проект в 2005 году и еще один проект в 2006 году были нацелены на расширение экономических во</w:t>
      </w:r>
      <w:r>
        <w:t>з</w:t>
      </w:r>
      <w:r>
        <w:t>можностей женщин</w:t>
      </w:r>
      <w:r>
        <w:rPr>
          <w:rStyle w:val="FootnoteReference"/>
        </w:rPr>
        <w:footnoteReference w:id="14"/>
      </w:r>
      <w:r>
        <w:t>.</w:t>
      </w:r>
    </w:p>
    <w:p w:rsidR="00000000" w:rsidRDefault="00000000">
      <w:pPr>
        <w:pStyle w:val="SingleTxt"/>
      </w:pPr>
      <w:r>
        <w:t>25.</w:t>
      </w:r>
      <w:r>
        <w:tab/>
        <w:t>В докладе приводится информация о присутствии женщин в частном се</w:t>
      </w:r>
      <w:r>
        <w:t>к</w:t>
      </w:r>
      <w:r>
        <w:t>торе, в частности в качестве владельцев частных магазинов/мелких предпр</w:t>
      </w:r>
      <w:r>
        <w:t>и</w:t>
      </w:r>
      <w:r>
        <w:t>ятий в период 1999–2001 годов (см. пункты 172 и 173), в котором половина женщин являлись владельцами частных структур. Какие меры принимаются органами государства и образований для поддержки работы или самостоятел</w:t>
      </w:r>
      <w:r>
        <w:t>ь</w:t>
      </w:r>
      <w:r>
        <w:t>ной занятости женщин в частном секторе, в том числе за счет осуществления программ предоставления микрокредитов, обеспечения профессиональной подготовки и предоставления вспомогательных услуг? Просьба также уто</w:t>
      </w:r>
      <w:r>
        <w:t>ч</w:t>
      </w:r>
      <w:r>
        <w:t>нить, как регистрируются малые предприятия, принадлежащие женщинам, и распространяется ли на владельцев и работников этого сектора действие пл</w:t>
      </w:r>
      <w:r>
        <w:t>а</w:t>
      </w:r>
      <w:r>
        <w:t>нов медицинского страхования и на случай потери трудоспособности, а также пенсио</w:t>
      </w:r>
      <w:r>
        <w:t>н</w:t>
      </w:r>
      <w:r>
        <w:t>ных систем.</w:t>
      </w:r>
    </w:p>
    <w:p w:rsidR="00000000" w:rsidRDefault="00000000">
      <w:pPr>
        <w:pStyle w:val="SingleTxt"/>
      </w:pPr>
      <w:r>
        <w:tab/>
        <w:t>Рабочая группа по вопросам труда и занятости рекомендовала наладить партнерские связи между правительствами и неправительственными организ</w:t>
      </w:r>
      <w:r>
        <w:t>а</w:t>
      </w:r>
      <w:r>
        <w:t>циями и частным сектором в целях выработки и реализации стратегии разв</w:t>
      </w:r>
      <w:r>
        <w:t>и</w:t>
      </w:r>
      <w:r>
        <w:t>тия предпринимательства, в частности формирования более подходящих усл</w:t>
      </w:r>
      <w:r>
        <w:t>о</w:t>
      </w:r>
      <w:r>
        <w:t>вий для стимулирования женского предпринимательства, а также для разрабо</w:t>
      </w:r>
      <w:r>
        <w:t>т</w:t>
      </w:r>
      <w:r>
        <w:t>ки специальных программ развития сельского хозяйства, в том числе в обла</w:t>
      </w:r>
      <w:r>
        <w:t>с</w:t>
      </w:r>
      <w:r>
        <w:t>тях образования и расширения возможностей женщин, и проведения предвар</w:t>
      </w:r>
      <w:r>
        <w:t>и</w:t>
      </w:r>
      <w:r>
        <w:t>тельного квалификационного отбора и формирования местных фондов для предоставления небольших субсидий на цели развития.</w:t>
      </w:r>
    </w:p>
    <w:p w:rsidR="00000000" w:rsidRDefault="00000000">
      <w:pPr>
        <w:pStyle w:val="SingleTxt"/>
      </w:pPr>
      <w:r>
        <w:tab/>
        <w:t>В гендерном плане действий Боснии и Герцеговины также предусматр</w:t>
      </w:r>
      <w:r>
        <w:t>и</w:t>
      </w:r>
      <w:r>
        <w:t>ваются такие мероприятия, как принятие Советом министров Боснии и Герц</w:t>
      </w:r>
      <w:r>
        <w:t>е</w:t>
      </w:r>
      <w:r>
        <w:t>говины и правительствами Федерации Боснии и Герцеговины и Республики Сербской постановлений, направленных на развитие предпринимательства, особенно женского, а также подготовка специальных информационных мат</w:t>
      </w:r>
      <w:r>
        <w:t>е</w:t>
      </w:r>
      <w:r>
        <w:t>риалов для женщин-предпринимателей и осуществление конструктивных мер в целях поощрения и развития женского предпринимательства, т.е. обеспечения равного соотношения мужчин и женщин среди владельцев частных предпр</w:t>
      </w:r>
      <w:r>
        <w:t>и</w:t>
      </w:r>
      <w:r>
        <w:t>ятий.</w:t>
      </w:r>
    </w:p>
    <w:p w:rsidR="00000000" w:rsidRDefault="00000000">
      <w:pPr>
        <w:pStyle w:val="SingleTxt"/>
      </w:pPr>
      <w:r>
        <w:tab/>
        <w:t>Министерство труда и социальной политики Федерации Боснии и Герц</w:t>
      </w:r>
      <w:r>
        <w:t>е</w:t>
      </w:r>
      <w:r>
        <w:t>говины сообщило о том, что меры, принимаемые Институтом занятости Фед</w:t>
      </w:r>
      <w:r>
        <w:t>е</w:t>
      </w:r>
      <w:r>
        <w:t>рации Боснии и Герцеговины и кантональными службами, способствуют ра</w:t>
      </w:r>
      <w:r>
        <w:t>з</w:t>
      </w:r>
      <w:r>
        <w:t>витию самостоятельной занятости среди всех категорий безработных, незав</w:t>
      </w:r>
      <w:r>
        <w:t>и</w:t>
      </w:r>
      <w:r>
        <w:t>симо от пола, и созвучны критериям, опубликованным в средствах массовой информации. В обеспечении самостоятельной занятости на основе микрокр</w:t>
      </w:r>
      <w:r>
        <w:t>е</w:t>
      </w:r>
      <w:r>
        <w:t>дитов службы труд</w:t>
      </w:r>
      <w:r>
        <w:t>о</w:t>
      </w:r>
      <w:r>
        <w:t>устройства не участвуют.</w:t>
      </w:r>
    </w:p>
    <w:p w:rsidR="00000000" w:rsidRDefault="00000000">
      <w:pPr>
        <w:pStyle w:val="SingleTxt"/>
      </w:pPr>
      <w:r>
        <w:tab/>
        <w:t>Владельцы частных компаний обязаны выплачивать страховые взносы, если они работают в компании, и они обязаны выплачивать взносы за всех р</w:t>
      </w:r>
      <w:r>
        <w:t>а</w:t>
      </w:r>
      <w:r>
        <w:t>ботников, занятых как в частном, так и в государственном секторах. Согласно данным обследования рынка труда, проведенного Всемирным банком, показ</w:t>
      </w:r>
      <w:r>
        <w:t>а</w:t>
      </w:r>
      <w:r>
        <w:t>тели занятости в неформальном секторе Федерации Боснии и Герцеговины (без уплаты налогов, установленных законом) очень высокие (36 процентов) и д</w:t>
      </w:r>
      <w:r>
        <w:t>е</w:t>
      </w:r>
      <w:r>
        <w:t xml:space="preserve">монстрируют тенденцию к росту. </w:t>
      </w:r>
    </w:p>
    <w:p w:rsidR="00000000" w:rsidRDefault="00000000">
      <w:pPr>
        <w:pStyle w:val="SingleTxt"/>
      </w:pPr>
      <w:r>
        <w:tab/>
        <w:t>Согласно данным Статистического института Федерации Боснии и Герц</w:t>
      </w:r>
      <w:r>
        <w:t>е</w:t>
      </w:r>
      <w:r>
        <w:t>говины, из общего числа работающих женщин 30 процентов заняты в небол</w:t>
      </w:r>
      <w:r>
        <w:t>ь</w:t>
      </w:r>
      <w:r>
        <w:t>ших компаниях и большинство относятся к возрастной группе 35–39 лет.</w:t>
      </w:r>
    </w:p>
    <w:p w:rsidR="00000000" w:rsidRDefault="00000000">
      <w:pPr>
        <w:pStyle w:val="SingleTxt"/>
      </w:pPr>
      <w:r>
        <w:tab/>
        <w:t>Министерство развития, предпринимательства и бизнеса Федерации Бо</w:t>
      </w:r>
      <w:r>
        <w:t>с</w:t>
      </w:r>
      <w:r>
        <w:t>нии и Герцеговины сообщало о том, что оно не располагает данными с разби</w:t>
      </w:r>
      <w:r>
        <w:t>в</w:t>
      </w:r>
      <w:r>
        <w:t>кой по признаку пола, чтобы установить число зарегистрированных юридич</w:t>
      </w:r>
      <w:r>
        <w:t>е</w:t>
      </w:r>
      <w:r>
        <w:t>ских и физических лиц по секторам, чьими юридическими представителями являются женщины, и число владельцев и работников предприятий частного сектора, охваченных медицинским страхованием, страхованием по нетрудосп</w:t>
      </w:r>
      <w:r>
        <w:t>о</w:t>
      </w:r>
      <w:r>
        <w:t>собности и пенсионными системами. Министерство опубликовало объявление об отборе кандидатов на получение субсидий, предоставляемых женщ</w:t>
      </w:r>
      <w:r>
        <w:t>и</w:t>
      </w:r>
      <w:r>
        <w:t>нам-предпринимателям, на основании постановления правительства Федерации Боснии и Герцеговины о принятии программы распределения ресурсов.</w:t>
      </w:r>
    </w:p>
    <w:p w:rsidR="00000000" w:rsidRDefault="00000000">
      <w:pPr>
        <w:pStyle w:val="SingleTxt"/>
      </w:pPr>
      <w:r>
        <w:tab/>
        <w:t>В сельских районах Боснии и Герцеговины и Республики Сербской мин</w:t>
      </w:r>
      <w:r>
        <w:t>и</w:t>
      </w:r>
      <w:r>
        <w:t>стерства сельского и лесного хозяйства и водных ресурсов координируют ос</w:t>
      </w:r>
      <w:r>
        <w:t>у</w:t>
      </w:r>
      <w:r>
        <w:t>щ</w:t>
      </w:r>
      <w:r>
        <w:t>е</w:t>
      </w:r>
      <w:r>
        <w:t>ствление двух следующих проектов:</w:t>
      </w:r>
    </w:p>
    <w:p w:rsidR="00000000" w:rsidRDefault="00000000">
      <w:pPr>
        <w:pStyle w:val="SingleTxt"/>
      </w:pPr>
      <w:r>
        <w:tab/>
        <w:t>а)</w:t>
      </w:r>
      <w:r>
        <w:tab/>
        <w:t>проекта развития животноводства и финансирования сельских ра</w:t>
      </w:r>
      <w:r>
        <w:t>й</w:t>
      </w:r>
      <w:r>
        <w:t>онов, спонсором которого выступает Международный фонд сельскохозяйс</w:t>
      </w:r>
      <w:r>
        <w:t>т</w:t>
      </w:r>
      <w:r>
        <w:t>венного развития (МФСР);</w:t>
      </w:r>
    </w:p>
    <w:p w:rsidR="00000000" w:rsidRDefault="00000000">
      <w:pPr>
        <w:pStyle w:val="SingleTxt"/>
      </w:pPr>
      <w:r>
        <w:tab/>
        <w:t>b)</w:t>
      </w:r>
      <w:r>
        <w:tab/>
        <w:t>проекта развития мелких коммерческих сельскохозяйственных пре</w:t>
      </w:r>
      <w:r>
        <w:t>д</w:t>
      </w:r>
      <w:r>
        <w:t>приятий, финансируемого Всемирным банком.</w:t>
      </w:r>
    </w:p>
    <w:p w:rsidR="00000000" w:rsidRDefault="00000000">
      <w:pPr>
        <w:pStyle w:val="SingleTxt"/>
      </w:pPr>
      <w:r>
        <w:tab/>
        <w:t>Ни один из этих проектов не ставит своей задачей развитие самосто</w:t>
      </w:r>
      <w:r>
        <w:t>я</w:t>
      </w:r>
      <w:r>
        <w:t>тельной занятости женщин. Кредиты предоставляются на одинаковых услов</w:t>
      </w:r>
      <w:r>
        <w:t>и</w:t>
      </w:r>
      <w:r>
        <w:t>ях как мужчинам, так и женщинам, без позитивной или негативной дискрим</w:t>
      </w:r>
      <w:r>
        <w:t>и</w:t>
      </w:r>
      <w:r>
        <w:t>нации. То, что в обоих проектах кредиты предоставляются сельским жителям через банки, которые не требуют от них регистрации (ранее обязательной), можно рассматривать как шаг вперед. Другое усовершенствование, особенно важное для женщин, состоит в том, что кредиты теперь обеспечиваются гара</w:t>
      </w:r>
      <w:r>
        <w:t>н</w:t>
      </w:r>
      <w:r>
        <w:t>тами, а не под залог недвижимого имущества, которым чаще всего владеют мужчины.</w:t>
      </w:r>
    </w:p>
    <w:p w:rsidR="00000000" w:rsidRDefault="00000000">
      <w:pPr>
        <w:pStyle w:val="SingleTxt"/>
      </w:pPr>
      <w:r>
        <w:tab/>
        <w:t>В проектах этих министерств создание специальных фондов для предо</w:t>
      </w:r>
      <w:r>
        <w:t>с</w:t>
      </w:r>
      <w:r>
        <w:t>тавления кредитов женщинам не предусмотрено. Однако эти министерства п</w:t>
      </w:r>
      <w:r>
        <w:t>о</w:t>
      </w:r>
      <w:r>
        <w:t>стоянно призывают женщин подавать заявки на получение кредита, поэтому позитивные результаты можно отнести на счет и этих камп</w:t>
      </w:r>
      <w:r>
        <w:t>а</w:t>
      </w:r>
      <w:r>
        <w:t>ний.</w:t>
      </w:r>
    </w:p>
    <w:p w:rsidR="00000000" w:rsidRDefault="00000000">
      <w:pPr>
        <w:pStyle w:val="SingleTxt"/>
      </w:pPr>
      <w:r>
        <w:tab/>
        <w:t>В соответствии с действующим законодательством мелкие сельскохозя</w:t>
      </w:r>
      <w:r>
        <w:t>й</w:t>
      </w:r>
      <w:r>
        <w:t>ственные производители не обязаны регистрировать свои предприятия, поэт</w:t>
      </w:r>
      <w:r>
        <w:t>о</w:t>
      </w:r>
      <w:r>
        <w:t>му они не охвачены регулируемыми планами медицинского и пенсионного страхования. По данным этих министерств, они в состоянии оплатить свою м</w:t>
      </w:r>
      <w:r>
        <w:t>е</w:t>
      </w:r>
      <w:r>
        <w:t>дицинскую страховку по отдельности на добровольной основе, чего нельзя сказать о пенсионном страховании и страховании по нетрудоспособности.</w:t>
      </w:r>
    </w:p>
    <w:p w:rsidR="00000000" w:rsidRDefault="00000000">
      <w:pPr>
        <w:pStyle w:val="SingleTxt"/>
      </w:pPr>
      <w:r>
        <w:tab/>
        <w:t>Министерства не следят за тем, насколько регулярно владельцы предпр</w:t>
      </w:r>
      <w:r>
        <w:t>и</w:t>
      </w:r>
      <w:r>
        <w:t>ятий, которые получают кредиты в рамках проектов, выплачивают зарплату своим работникам и производят различные налоговые отчисления.</w:t>
      </w:r>
    </w:p>
    <w:p w:rsidR="00000000" w:rsidRDefault="00000000">
      <w:pPr>
        <w:pStyle w:val="SingleTxt"/>
      </w:pPr>
      <w:r>
        <w:tab/>
        <w:t>Согласно данным Фонда развития и занятости Республики Сербской, с 1 января 2001 года по 31 декабря 2005 года осуществлено два проекта по обе</w:t>
      </w:r>
      <w:r>
        <w:t>с</w:t>
      </w:r>
      <w:r>
        <w:t>печению их занятости: срочный экспериментальный проект профессиональной переориентации бывших солдат Республики Сербской и второй проект расш</w:t>
      </w:r>
      <w:r>
        <w:t>и</w:t>
      </w:r>
      <w:r>
        <w:t xml:space="preserve">рение занятости. В 2004–2005 годах было трудоустроено 102 человека, в том числе 39 женщин, или 38,24 процента. Тридцать одна женщина устроилась на работу по найму, а восемь открыли собственное дело. </w:t>
      </w:r>
    </w:p>
    <w:p w:rsidR="00000000" w:rsidRDefault="00000000">
      <w:pPr>
        <w:pStyle w:val="SingleTxt"/>
      </w:pPr>
      <w:r>
        <w:tab/>
        <w:t>По линии проекта реализации местных инициатив Фонда развития и з</w:t>
      </w:r>
      <w:r>
        <w:t>а</w:t>
      </w:r>
      <w:r>
        <w:t>нятости в 2002–2005 годах женщинам было предоставлено 31 542 микрокред</w:t>
      </w:r>
      <w:r>
        <w:t>и</w:t>
      </w:r>
      <w:r>
        <w:t>та, или 35,97 процента, а мужчинам — 56 139 микрокредитов, или 64,03 пр</w:t>
      </w:r>
      <w:r>
        <w:t>о</w:t>
      </w:r>
      <w:r>
        <w:t>цента.</w:t>
      </w:r>
    </w:p>
    <w:p w:rsidR="00000000" w:rsidRDefault="00000000">
      <w:pPr>
        <w:pStyle w:val="SingleTxt"/>
      </w:pPr>
      <w:r>
        <w:tab/>
        <w:t>Некоторые НПО оказывают поддержку в трудоустройстве или самосто</w:t>
      </w:r>
      <w:r>
        <w:t>я</w:t>
      </w:r>
      <w:r>
        <w:t>тельной занятости женщин в частном секторе, в том числе предоставляют им микрокредиты, организуют их профессиональную подготовку и оказывают другие услуги</w:t>
      </w:r>
      <w:r>
        <w:rPr>
          <w:rStyle w:val="FootnoteReference"/>
        </w:rPr>
        <w:footnoteReference w:id="15"/>
      </w:r>
      <w:r>
        <w: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Статья 12</w:t>
      </w:r>
    </w:p>
    <w:p w:rsidR="00000000" w:rsidRDefault="00000000">
      <w:pPr>
        <w:pStyle w:val="SingleTxt"/>
        <w:spacing w:after="0" w:line="120" w:lineRule="exact"/>
        <w:rPr>
          <w:sz w:val="10"/>
        </w:rPr>
      </w:pPr>
    </w:p>
    <w:p w:rsidR="00000000" w:rsidRDefault="00000000">
      <w:pPr>
        <w:pStyle w:val="SingleTxt"/>
      </w:pPr>
      <w:r>
        <w:t>26.</w:t>
      </w:r>
      <w:r>
        <w:tab/>
      </w:r>
      <w:r>
        <w:rPr>
          <w:b/>
        </w:rPr>
        <w:t>В докладе отмечается, что аборты используются в качестве одного из методов планирования семьи, что приводит к существенному увеличению коэффициента материнской смертности (см. пункт 223). В нем также ук</w:t>
      </w:r>
      <w:r>
        <w:rPr>
          <w:b/>
        </w:rPr>
        <w:t>а</w:t>
      </w:r>
      <w:r>
        <w:rPr>
          <w:b/>
        </w:rPr>
        <w:t>зывается, что половое воспитание по</w:t>
      </w:r>
      <w:r>
        <w:rPr>
          <w:b/>
        </w:rPr>
        <w:noBreakHyphen/>
        <w:t>прежнему является недостаточным и что беременность среди подростков является широко распространенным явлением, приводящим к вступлению в брак до достижения законного возраста (см. пункт 225). Какие шаги предпринимаются для обеспечения того, чтобы женщины и мужчины, включая подростков, имели доступ к информации об услугах по охране репродуктивного здоровья и методах планирования семьи и к доступным методам контрацепции? В частности, какие имеются планы для сокращения числа случаев беременности среди подростков?</w:t>
      </w:r>
    </w:p>
    <w:p w:rsidR="00000000" w:rsidRDefault="00000000">
      <w:pPr>
        <w:pStyle w:val="SingleTxt"/>
      </w:pPr>
      <w:r>
        <w:tab/>
        <w:t>В разделе «Охрана здоровья, профилактика и защита» гендерного Плана действий Боснии и Герцеговины, в частности, предусмотрено проведение м</w:t>
      </w:r>
      <w:r>
        <w:t>е</w:t>
      </w:r>
      <w:r>
        <w:t>роприятий по улучшению состояния репродуктивного и сексуального здоровья мужчин и женщин, сокращению показателей смертности и снижению забол</w:t>
      </w:r>
      <w:r>
        <w:t>е</w:t>
      </w:r>
      <w:r>
        <w:t>ваемости женщин и мужчин, в том числе усилению их защиты от ВИЧ-инфекции и болезней, передаваемых половым путем, с помощью профилакт</w:t>
      </w:r>
      <w:r>
        <w:t>и</w:t>
      </w:r>
      <w:r>
        <w:t>ческих мер и кампаний, повышения ответственности родителей и улучшения ухода за детьми и мер по планированию семьи в сельских районах. После пр</w:t>
      </w:r>
      <w:r>
        <w:t>и</w:t>
      </w:r>
      <w:r>
        <w:t>нятия гендерного Плана действий по Боснии и Герцеговине Советом минис</w:t>
      </w:r>
      <w:r>
        <w:t>т</w:t>
      </w:r>
      <w:r>
        <w:t>ров Боснии и Герцеговины основную ответственность за его осуществление несут министе</w:t>
      </w:r>
      <w:r>
        <w:t>р</w:t>
      </w:r>
      <w:r>
        <w:t xml:space="preserve">ство здравоохранения и медицинские заведения образований. </w:t>
      </w:r>
    </w:p>
    <w:p w:rsidR="00000000" w:rsidRDefault="00000000">
      <w:pPr>
        <w:pStyle w:val="SingleTxt"/>
      </w:pPr>
      <w:r>
        <w:tab/>
        <w:t>В таких публикациях Агентства гендерного равенства Боснии и Герцег</w:t>
      </w:r>
      <w:r>
        <w:t>о</w:t>
      </w:r>
      <w:r>
        <w:t>вины и гендерных центров образований, как «Сборник документов по интера</w:t>
      </w:r>
      <w:r>
        <w:t>к</w:t>
      </w:r>
      <w:r>
        <w:t>тивной программе обучения» и «Как сгладить наши различия», содержится информация о методах контрацепции и планировании семьи. Они адаптиров</w:t>
      </w:r>
      <w:r>
        <w:t>а</w:t>
      </w:r>
      <w:r>
        <w:t>ны для подростков и распространяются в школах в целях повышения инфо</w:t>
      </w:r>
      <w:r>
        <w:t>р</w:t>
      </w:r>
      <w:r>
        <w:t>мированности по этим в</w:t>
      </w:r>
      <w:r>
        <w:t>о</w:t>
      </w:r>
      <w:r>
        <w:t>просам.</w:t>
      </w:r>
    </w:p>
    <w:p w:rsidR="00000000" w:rsidRDefault="00000000">
      <w:pPr>
        <w:pStyle w:val="SingleTxt"/>
      </w:pPr>
      <w:r>
        <w:tab/>
        <w:t>Совет министров Боснии и Герцеговины и Фонд Организации Объед</w:t>
      </w:r>
      <w:r>
        <w:t>и</w:t>
      </w:r>
      <w:r>
        <w:t>ненных Наций в области народонаселения приняли план действий по реализ</w:t>
      </w:r>
      <w:r>
        <w:t>а</w:t>
      </w:r>
      <w:r>
        <w:t>ции программы страны на 2005–2008 годы, который предусматривает дост</w:t>
      </w:r>
      <w:r>
        <w:t>и</w:t>
      </w:r>
      <w:r>
        <w:t>жение следующих результатов в сфере здравоохранения: разработка эксперт</w:t>
      </w:r>
      <w:r>
        <w:t>а</w:t>
      </w:r>
      <w:r>
        <w:t>ми стандартов ведения информационно-разъяснительной работы среди мол</w:t>
      </w:r>
      <w:r>
        <w:t>о</w:t>
      </w:r>
      <w:r>
        <w:t>дых людей их сверстниками и формирование учитывающих интересы молод</w:t>
      </w:r>
      <w:r>
        <w:t>е</w:t>
      </w:r>
      <w:r>
        <w:t>жи подходов для включения в стратегии охраны здоровья и медико-санитарного просвещения в секторе здравоохранения. Политика гендерного равенства созвучна решениям, принятым на Международной конференции по народонаселению и развитию (МКНР), в том числе в таких областях, как охр</w:t>
      </w:r>
      <w:r>
        <w:t>а</w:t>
      </w:r>
      <w:r>
        <w:t>на сексуального и репродуктивного здоровья и защита репродуктивных прав; молодежная политика также строится на решениях МКНР, включая те из них, которые к</w:t>
      </w:r>
      <w:r>
        <w:t>а</w:t>
      </w:r>
      <w:r>
        <w:t xml:space="preserve">саются взаимоотношений полов и защиты прав. </w:t>
      </w:r>
    </w:p>
    <w:p w:rsidR="00000000" w:rsidRDefault="00000000">
      <w:pPr>
        <w:pStyle w:val="SingleTxt"/>
      </w:pPr>
      <w:r>
        <w:tab/>
        <w:t>В программе работы комиссии гендерного равенства муниципалитета З</w:t>
      </w:r>
      <w:r>
        <w:t>а</w:t>
      </w:r>
      <w:r>
        <w:t>видовичи на 2006 год предусматривается проведение в сотрудничестве с це</w:t>
      </w:r>
      <w:r>
        <w:t>н</w:t>
      </w:r>
      <w:r>
        <w:t>тром социальной работы, судом, полицией, институтом охраны здоровья и о</w:t>
      </w:r>
      <w:r>
        <w:t>б</w:t>
      </w:r>
      <w:r>
        <w:t>разовательными учреждениями мероприятий по улучшению информированн</w:t>
      </w:r>
      <w:r>
        <w:t>о</w:t>
      </w:r>
      <w:r>
        <w:t>сти о мерах по охране репродуктивного здоровья и планированию семьи, а также о методах контрацепции.</w:t>
      </w:r>
    </w:p>
    <w:p w:rsidR="00000000" w:rsidRDefault="00000000">
      <w:pPr>
        <w:pStyle w:val="SingleTxt"/>
        <w:rPr>
          <w:b/>
        </w:rPr>
      </w:pPr>
      <w:r>
        <w:t>27.</w:t>
      </w:r>
      <w:r>
        <w:tab/>
      </w:r>
      <w:r>
        <w:rPr>
          <w:b/>
        </w:rPr>
        <w:t>Данные о предоставлении медицинского обслуживания относятся к 2001 году. Просьба представить информацию о том, была ли проведена р</w:t>
      </w:r>
      <w:r>
        <w:rPr>
          <w:b/>
        </w:rPr>
        <w:t>е</w:t>
      </w:r>
      <w:r>
        <w:rPr>
          <w:b/>
        </w:rPr>
        <w:t>форма системы здравоохранения и получили ли женщины какие-либо в</w:t>
      </w:r>
      <w:r>
        <w:rPr>
          <w:b/>
        </w:rPr>
        <w:t>ы</w:t>
      </w:r>
      <w:r>
        <w:rPr>
          <w:b/>
        </w:rPr>
        <w:t>годы от этой реформы, в частности женщины, травмированные в резул</w:t>
      </w:r>
      <w:r>
        <w:rPr>
          <w:b/>
        </w:rPr>
        <w:t>ь</w:t>
      </w:r>
      <w:r>
        <w:rPr>
          <w:b/>
        </w:rPr>
        <w:t>тате войны и таких связанных с войной преступлений, как изнасилование, женщ</w:t>
      </w:r>
      <w:r>
        <w:rPr>
          <w:b/>
        </w:rPr>
        <w:t>и</w:t>
      </w:r>
      <w:r>
        <w:rPr>
          <w:b/>
        </w:rPr>
        <w:t xml:space="preserve">ны-инвалиды и женщины в сельских районах. </w:t>
      </w:r>
    </w:p>
    <w:p w:rsidR="00000000" w:rsidRDefault="00000000">
      <w:pPr>
        <w:pStyle w:val="SingleTxt"/>
      </w:pPr>
      <w:r>
        <w:tab/>
        <w:t>В разделе «Охрана здоровья, профилактика и защита» гендерного плана действий Боснии и Герцеговины в числе других предусмотрены и мероприятия по улучшению охраны здоровья мужчин и женщин, обеспечению доступа к о</w:t>
      </w:r>
      <w:r>
        <w:t>с</w:t>
      </w:r>
      <w:r>
        <w:t>новным медицинским услугам для мужчин, женщин и детей, не имеющих м</w:t>
      </w:r>
      <w:r>
        <w:t>е</w:t>
      </w:r>
      <w:r>
        <w:t>дицинской страховки, укреплению кадров специалистов, работающих в сел</w:t>
      </w:r>
      <w:r>
        <w:t>ь</w:t>
      </w:r>
      <w:r>
        <w:t>ских медицинских пунктах, посредством организации для них курсов повыш</w:t>
      </w:r>
      <w:r>
        <w:t>е</w:t>
      </w:r>
      <w:r>
        <w:t>ния квалификации, принятию профилактических мер в связи со злоупотребл</w:t>
      </w:r>
      <w:r>
        <w:t>е</w:t>
      </w:r>
      <w:r>
        <w:t>ниями, которые совершаются в системе здравоохранения в отношении женщин и по расширению доступа к бесплатным ортопедическим изделиям для инв</w:t>
      </w:r>
      <w:r>
        <w:t>а</w:t>
      </w:r>
      <w:r>
        <w:t>лидов и бесплатным услугам для лиц с особыми потребностями. После прин</w:t>
      </w:r>
      <w:r>
        <w:t>я</w:t>
      </w:r>
      <w:r>
        <w:t>тия Советом министров Боснии и Герцеговины гендерного плана действий Боснии и Герцеговины основную ответственность за его осуществление несут министерства здравоохранения и медицинские заведения обр</w:t>
      </w:r>
      <w:r>
        <w:t>а</w:t>
      </w:r>
      <w:r>
        <w:t>зований.</w:t>
      </w:r>
    </w:p>
    <w:p w:rsidR="00000000" w:rsidRDefault="00000000">
      <w:pPr>
        <w:pStyle w:val="SingleTxt"/>
      </w:pPr>
      <w:r>
        <w:tab/>
        <w:t>Институт охраны здоровья Федерации Боснии и Герцеговины не может ответить ни на один из заданных вопросов (вопросы 26 и 27), поскольку не располагают такими данными. При регулярных статистических обследованиях данные с разбивкой по признаку пола собираются только по умершим. Не им</w:t>
      </w:r>
      <w:r>
        <w:t>е</w:t>
      </w:r>
      <w:r>
        <w:t>ется данных о женщинах, травмированных в результате войны и связанных с войной преступлений, равно как и о беременностях и абортах в разбивке по возрастным группам. Поэтому никакой работы с беременными женщинами н</w:t>
      </w:r>
      <w:r>
        <w:t>е</w:t>
      </w:r>
      <w:r>
        <w:t>совершеннолетнего возраста до сих пор не ведется. По мнению института, о</w:t>
      </w:r>
      <w:r>
        <w:t>д</w:t>
      </w:r>
      <w:r>
        <w:t>на из основных проблем заключается в отсутствии учета услуг, оказываемых государственными медицинскими заведениями и частными учреждениями (число которых за время реформы увеличилось). Информационно-разъяснительная работа, которую ведут неправительственные организации, в целом имеет важное значение, однако требуются анализ этих программ, а та</w:t>
      </w:r>
      <w:r>
        <w:t>к</w:t>
      </w:r>
      <w:r>
        <w:t>же оценка их воздействия на целевые группы молодежи, и в частности же</w:t>
      </w:r>
      <w:r>
        <w:t>н</w:t>
      </w:r>
      <w:r>
        <w:t>ские. Кроме инициатив самого института, направленных на защиту от насилия, и проведения одного совещания «за круглым столом», трудно привести к</w:t>
      </w:r>
      <w:r>
        <w:t>а</w:t>
      </w:r>
      <w:r>
        <w:t>кие</w:t>
      </w:r>
      <w:r>
        <w:noBreakHyphen/>
        <w:t>либо другие примеры сотрудничества с этими учреждениями и работник</w:t>
      </w:r>
      <w:r>
        <w:t>а</w:t>
      </w:r>
      <w:r>
        <w:t>ми системы здравоохранения. Пока они не проявляют особого интереса к эт</w:t>
      </w:r>
      <w:r>
        <w:t>о</w:t>
      </w:r>
      <w:r>
        <w:t>му. Сотрудничество с неправительственными организациями также нельзя н</w:t>
      </w:r>
      <w:r>
        <w:t>а</w:t>
      </w:r>
      <w:r>
        <w:t>звать успешным, за исключением отдельных случаев. Поэтому Институт реш</w:t>
      </w:r>
      <w:r>
        <w:t>и</w:t>
      </w:r>
      <w:r>
        <w:t>тельно рекомендует оказывать конструктивную поддержку развитию межсе</w:t>
      </w:r>
      <w:r>
        <w:t>к</w:t>
      </w:r>
      <w:r>
        <w:t>торального сотрудничества и активизации меропри</w:t>
      </w:r>
      <w:r>
        <w:t>я</w:t>
      </w:r>
      <w:r>
        <w:t>тий.</w:t>
      </w:r>
    </w:p>
    <w:p w:rsidR="00000000" w:rsidRDefault="00000000">
      <w:pPr>
        <w:pStyle w:val="SingleTxt"/>
      </w:pPr>
      <w:r>
        <w:tab/>
        <w:t>Медицинское страхование женщин, ставших жертвами войны, осущест</w:t>
      </w:r>
      <w:r>
        <w:t>в</w:t>
      </w:r>
      <w:r>
        <w:t>ляется только в кантоне Сараево. В других же кантонах ничего не делается, чтобы улучшить положение женщин, травмированных в результате войны и связа</w:t>
      </w:r>
      <w:r>
        <w:t>н</w:t>
      </w:r>
      <w:r>
        <w:t>ных с ней преступлений.</w:t>
      </w:r>
    </w:p>
    <w:p w:rsidR="00000000" w:rsidRDefault="00000000">
      <w:pPr>
        <w:pStyle w:val="SingleTxt"/>
      </w:pPr>
      <w:r>
        <w:tab/>
        <w:t>Программы психосоциальной помощи обеспечиваются только за счет усилий неправительственных организаций через внешних доноров, поскольку системой здравоохранения это направление считается менее важным по сра</w:t>
      </w:r>
      <w:r>
        <w:t>в</w:t>
      </w:r>
      <w:r>
        <w:t>нению с другими проблемами, которыми ей приходится заниматься.</w:t>
      </w:r>
    </w:p>
    <w:p w:rsidR="00000000" w:rsidRDefault="00000000">
      <w:pPr>
        <w:pStyle w:val="SingleTxt"/>
      </w:pPr>
      <w:r>
        <w:tab/>
        <w:t>Согласно данным группы координации проектов министерства здрав</w:t>
      </w:r>
      <w:r>
        <w:t>о</w:t>
      </w:r>
      <w:r>
        <w:t>охранения и социальной защиты Республики Сербской, в настоящее время осуществляются следующие проекты: первичного медико-санитарного обсл</w:t>
      </w:r>
      <w:r>
        <w:t>у</w:t>
      </w:r>
      <w:r>
        <w:t>живания, базовых медицинских услуг, базовых мер по охране здоровья, техн</w:t>
      </w:r>
      <w:r>
        <w:t>и</w:t>
      </w:r>
      <w:r>
        <w:t>ческой помощи в обеспечении социального страхования и укрепления сектора здравоохранения. Женщины, равно как и мужчины Республики Сербской, и</w:t>
      </w:r>
      <w:r>
        <w:t>з</w:t>
      </w:r>
      <w:r>
        <w:t>влекают пользу из реализации этих проектов, свидетельством чему является улучшение состояния дел в сфере здравоохранения (повышение технической оснащенности и т.д.). В то же время женщинам, травмированным в результате войны и связанных с ней преступлений, женщинам-инвалидам и сельским женщинам адресная помощь в рамках этих проектов не оказывается. Они пол</w:t>
      </w:r>
      <w:r>
        <w:t>ь</w:t>
      </w:r>
      <w:r>
        <w:t>зуются одинаковыми с другими группами населения Республики Сербской льготами.</w:t>
      </w:r>
    </w:p>
    <w:p w:rsidR="00000000" w:rsidRDefault="00000000">
      <w:pPr>
        <w:pStyle w:val="SingleTxt"/>
        <w:rPr>
          <w:lang w:val="en-US"/>
        </w:rPr>
      </w:pPr>
      <w:r>
        <w:tab/>
        <w:t>В муниципалитете Завидовичи проводится реформа системы здравоохр</w:t>
      </w:r>
      <w:r>
        <w:t>а</w:t>
      </w:r>
      <w:r>
        <w:t>нения, результаты которой являются удовлетворительными, однако он не ра</w:t>
      </w:r>
      <w:r>
        <w:t>с</w:t>
      </w:r>
      <w:r>
        <w:t>полагает возможностями для оказания помощи женщинам, травмированным в результате войны и связанных с ней преступлений, т.е. женщинам, подвер</w:t>
      </w:r>
      <w:r>
        <w:t>г</w:t>
      </w:r>
      <w:r>
        <w:t>нувшимся изнасилованию, женщинам-инвалидам и т.д.</w:t>
      </w:r>
    </w:p>
    <w:p w:rsidR="00000000" w:rsidRDefault="00000000">
      <w:pPr>
        <w:pStyle w:val="SingleTxt"/>
        <w:spacing w:after="0" w:line="120" w:lineRule="exact"/>
        <w:rPr>
          <w:sz w:val="10"/>
          <w:lang w:val="en-US"/>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Статья 14</w:t>
      </w:r>
    </w:p>
    <w:p w:rsidR="00000000" w:rsidRDefault="00000000">
      <w:pPr>
        <w:pStyle w:val="SingleTxt"/>
        <w:keepNext/>
        <w:keepLines/>
        <w:spacing w:after="0" w:line="120" w:lineRule="exact"/>
        <w:rPr>
          <w:sz w:val="10"/>
        </w:rPr>
      </w:pPr>
    </w:p>
    <w:p w:rsidR="00000000" w:rsidRDefault="00000000">
      <w:pPr>
        <w:pStyle w:val="SingleTxt"/>
        <w:keepNext/>
        <w:keepLines/>
        <w:rPr>
          <w:b/>
        </w:rPr>
      </w:pPr>
      <w:r>
        <w:t>28.</w:t>
      </w:r>
      <w:r>
        <w:tab/>
      </w:r>
      <w:r>
        <w:rPr>
          <w:b/>
        </w:rPr>
        <w:t>Просьба сообщить, какие меры были приняты правительствами г</w:t>
      </w:r>
      <w:r>
        <w:rPr>
          <w:b/>
        </w:rPr>
        <w:t>о</w:t>
      </w:r>
      <w:r>
        <w:rPr>
          <w:b/>
        </w:rPr>
        <w:t>сударства и образований для улучшения положения сельских, в том числе пожилых сельских, женщин, с точки зрения их доступа к образованию, трудоустройству, микрокредитам и помощи. Просьба также сообщить о том, какие усилия были предприняты для повышения степени осведо</w:t>
      </w:r>
      <w:r>
        <w:rPr>
          <w:b/>
        </w:rPr>
        <w:t>м</w:t>
      </w:r>
      <w:r>
        <w:rPr>
          <w:b/>
        </w:rPr>
        <w:t>ленности женщин и предоставления женщинам более широких возможн</w:t>
      </w:r>
      <w:r>
        <w:rPr>
          <w:b/>
        </w:rPr>
        <w:t>о</w:t>
      </w:r>
      <w:r>
        <w:rPr>
          <w:b/>
        </w:rPr>
        <w:t>стей для осуществления своих прав, таких, как имущественные права и права наследования.</w:t>
      </w:r>
    </w:p>
    <w:p w:rsidR="00000000" w:rsidRDefault="00000000">
      <w:pPr>
        <w:pStyle w:val="SingleTxt"/>
        <w:rPr>
          <w:lang w:val="en-US"/>
        </w:rPr>
      </w:pPr>
    </w:p>
    <w:p w:rsidR="00000000" w:rsidRDefault="00000000">
      <w:pPr>
        <w:pStyle w:val="SingleTxt"/>
      </w:pPr>
      <w:r>
        <w:tab/>
        <w:t>Наиболее наглядным примером возможной дискриминации является то, что женщины, как правило, не владеют имуществом и в большинстве случаев не могут открыть свое дело. В первую очередь это касается, как ни странно, сельских женщин, способных внести свой вклад в укрепление домашнего х</w:t>
      </w:r>
      <w:r>
        <w:t>о</w:t>
      </w:r>
      <w:r>
        <w:t>зяйства и иметь самостоятельный заработок.</w:t>
      </w:r>
    </w:p>
    <w:p w:rsidR="00000000" w:rsidRDefault="00000000">
      <w:pPr>
        <w:pStyle w:val="SingleTxt"/>
      </w:pPr>
      <w:r>
        <w:tab/>
        <w:t>Основным препятствием на пути доступа к экономическим ресурсам я</w:t>
      </w:r>
      <w:r>
        <w:t>в</w:t>
      </w:r>
      <w:r>
        <w:t>ляется традиционное отношение к женщинам в том, что касается владения имуществом, которое, как привило, принадлежит членам семьи мужского п</w:t>
      </w:r>
      <w:r>
        <w:t>о</w:t>
      </w:r>
      <w:r>
        <w:t>ла</w:t>
      </w:r>
      <w:r>
        <w:rPr>
          <w:rStyle w:val="FootnoteReference"/>
        </w:rPr>
        <w:footnoteReference w:id="16"/>
      </w:r>
      <w:r>
        <w:t>.</w:t>
      </w:r>
    </w:p>
    <w:p w:rsidR="00000000" w:rsidRDefault="00000000">
      <w:pPr>
        <w:pStyle w:val="SingleTxt"/>
      </w:pPr>
      <w:r>
        <w:tab/>
        <w:t>В Гендерном плане действий Боснии и Герцеговины предусмотрены меры поддержки сельских женщин, например в обеспечении их доступа к образов</w:t>
      </w:r>
      <w:r>
        <w:t>а</w:t>
      </w:r>
      <w:r>
        <w:t>нию, занятости, микрокредитам и помощи. Кроме того, предусмотрены меры, направленные на улучшение информированности женщин путем проведения кампаний об их правах, включая право на бесплатную юридическую п</w:t>
      </w:r>
      <w:r>
        <w:t>о</w:t>
      </w:r>
      <w:r>
        <w:t>мощь.</w:t>
      </w:r>
    </w:p>
    <w:p w:rsidR="00000000" w:rsidRDefault="00000000">
      <w:pPr>
        <w:pStyle w:val="SingleTxt"/>
      </w:pPr>
      <w:r>
        <w:tab/>
        <w:t>Благодаря осуществлению своего проекта по развитию животноводства и финансированию сельских районов, спонсором которого выступает Междун</w:t>
      </w:r>
      <w:r>
        <w:t>а</w:t>
      </w:r>
      <w:r>
        <w:t>родный фонд сельскохозяйственного развития (МФСР), министерства сельск</w:t>
      </w:r>
      <w:r>
        <w:t>о</w:t>
      </w:r>
      <w:r>
        <w:t>го и лесного хозяйства и водных ресурсов образований оказывают заметное влияние на положение сельских женщин всех возрастов:</w:t>
      </w:r>
    </w:p>
    <w:p w:rsidR="00000000" w:rsidRDefault="00000000">
      <w:pPr>
        <w:pStyle w:val="SingleTxt"/>
        <w:tabs>
          <w:tab w:val="right" w:pos="1685"/>
        </w:tabs>
        <w:ind w:left="1742" w:hanging="475"/>
      </w:pPr>
      <w:r>
        <w:tab/>
        <w:t>•</w:t>
      </w:r>
      <w:r>
        <w:tab/>
        <w:t>обеспечивая им доступ к кредитам на одинаковых с мужчинами условиях (на сегодняшний день среди получивших кредиты женщины составляют 20 процентов);</w:t>
      </w:r>
    </w:p>
    <w:p w:rsidR="00000000" w:rsidRDefault="00000000">
      <w:pPr>
        <w:pStyle w:val="SingleTxt"/>
        <w:tabs>
          <w:tab w:val="right" w:pos="1685"/>
        </w:tabs>
        <w:ind w:left="1742" w:hanging="475"/>
      </w:pPr>
      <w:r>
        <w:tab/>
        <w:t>•</w:t>
      </w:r>
      <w:r>
        <w:tab/>
        <w:t>организуя специальную подготовку и добиваясь активного участия в ней сельских женщин (на сегодняшний день женщины составляют 24 проце</w:t>
      </w:r>
      <w:r>
        <w:t>н</w:t>
      </w:r>
      <w:r>
        <w:t>та от всего числа участников);</w:t>
      </w:r>
    </w:p>
    <w:p w:rsidR="00000000" w:rsidRDefault="00000000">
      <w:pPr>
        <w:pStyle w:val="SingleTxt"/>
        <w:tabs>
          <w:tab w:val="right" w:pos="1685"/>
        </w:tabs>
        <w:ind w:left="1742" w:hanging="475"/>
      </w:pPr>
      <w:r>
        <w:tab/>
        <w:t>•</w:t>
      </w:r>
      <w:r>
        <w:tab/>
        <w:t>восстанавливая инфраструктуру в сельских районах, что идет на пользу как мужчинам, так и женщинам, однако в зависимости от объекта инфр</w:t>
      </w:r>
      <w:r>
        <w:t>а</w:t>
      </w:r>
      <w:r>
        <w:t>структуры и специфики конкретной деревни, может принести больше пользы женщинам (водоснабжение домашних хозяйств, восстановление сельских школ, реконструкция улиц и т.д.);</w:t>
      </w:r>
    </w:p>
    <w:p w:rsidR="00000000" w:rsidRDefault="00000000">
      <w:pPr>
        <w:pStyle w:val="SingleTxt"/>
        <w:tabs>
          <w:tab w:val="right" w:pos="1685"/>
        </w:tabs>
        <w:ind w:left="1742" w:hanging="475"/>
      </w:pPr>
      <w:r>
        <w:tab/>
        <w:t>•</w:t>
      </w:r>
      <w:r>
        <w:tab/>
        <w:t>привлекая женщин к установлению приоритетов в работе во восстановл</w:t>
      </w:r>
      <w:r>
        <w:t>е</w:t>
      </w:r>
      <w:r>
        <w:t>нию объектов сельской инфраструктуры (31 процент участников собр</w:t>
      </w:r>
      <w:r>
        <w:t>а</w:t>
      </w:r>
      <w:r>
        <w:t>ний — женщины) и к организации и контролю за ходом работ (47 проце</w:t>
      </w:r>
      <w:r>
        <w:t>н</w:t>
      </w:r>
      <w:r>
        <w:t>тов членов сельских строительных советов — женщ</w:t>
      </w:r>
      <w:r>
        <w:t>и</w:t>
      </w:r>
      <w:r>
        <w:t>ны);</w:t>
      </w:r>
    </w:p>
    <w:p w:rsidR="00000000" w:rsidRDefault="00000000">
      <w:pPr>
        <w:pStyle w:val="SingleTxt"/>
        <w:tabs>
          <w:tab w:val="right" w:pos="1685"/>
        </w:tabs>
        <w:ind w:left="1742" w:hanging="475"/>
      </w:pPr>
      <w:r>
        <w:tab/>
        <w:t>•</w:t>
      </w:r>
      <w:r>
        <w:tab/>
        <w:t>закупая тару под молоко и организуя закупку молока в ряде муниципал</w:t>
      </w:r>
      <w:r>
        <w:t>и</w:t>
      </w:r>
      <w:r>
        <w:t>тетов, что позволяет женщинам как основным поставщикам молока пол</w:t>
      </w:r>
      <w:r>
        <w:t>у</w:t>
      </w:r>
      <w:r>
        <w:t>чать наличные деньги;</w:t>
      </w:r>
    </w:p>
    <w:p w:rsidR="00000000" w:rsidRDefault="00000000">
      <w:pPr>
        <w:pStyle w:val="SingleTxt"/>
        <w:tabs>
          <w:tab w:val="right" w:pos="1685"/>
        </w:tabs>
        <w:ind w:left="1742" w:hanging="475"/>
      </w:pPr>
      <w:r>
        <w:tab/>
        <w:t>•</w:t>
      </w:r>
      <w:r>
        <w:tab/>
        <w:t>предоставляя субсидии на приобретение доильных аппаратов, значител</w:t>
      </w:r>
      <w:r>
        <w:t>ь</w:t>
      </w:r>
      <w:r>
        <w:t>но облегчающих процесс доения, традиционно считающийся «женской» работой;</w:t>
      </w:r>
    </w:p>
    <w:p w:rsidR="00000000" w:rsidRDefault="00000000">
      <w:pPr>
        <w:pStyle w:val="SingleTxt"/>
        <w:tabs>
          <w:tab w:val="right" w:pos="1685"/>
        </w:tabs>
        <w:ind w:left="1742" w:hanging="475"/>
      </w:pPr>
      <w:r>
        <w:br w:type="page"/>
      </w:r>
      <w:r>
        <w:tab/>
        <w:t>•</w:t>
      </w:r>
      <w:r>
        <w:tab/>
        <w:t>создавая объединения сельскохозяйственных производителей, в которые все более охотно вступают женщины (в 2003 году — 7 процентов, а в 2005 году — 30 процентов);</w:t>
      </w:r>
    </w:p>
    <w:p w:rsidR="00000000" w:rsidRDefault="00000000">
      <w:pPr>
        <w:pStyle w:val="SingleTxt"/>
        <w:tabs>
          <w:tab w:val="right" w:pos="1685"/>
        </w:tabs>
        <w:ind w:left="1742" w:hanging="475"/>
      </w:pPr>
      <w:r>
        <w:tab/>
        <w:t>•</w:t>
      </w:r>
      <w:r>
        <w:tab/>
        <w:t>приобретая специальное оборудование, чтобы повысить занятость же</w:t>
      </w:r>
      <w:r>
        <w:t>н</w:t>
      </w:r>
      <w:r>
        <w:t>щин и стоимость некоторых видов сельскохозяйственной продукции, к</w:t>
      </w:r>
      <w:r>
        <w:t>о</w:t>
      </w:r>
      <w:r>
        <w:t>торая еще не имеет рыночной стоимости (шерсть, лекарственные раст</w:t>
      </w:r>
      <w:r>
        <w:t>е</w:t>
      </w:r>
      <w:r>
        <w:t>ния и т.д.).</w:t>
      </w:r>
    </w:p>
    <w:p w:rsidR="00000000" w:rsidRDefault="00000000">
      <w:pPr>
        <w:pStyle w:val="SingleTxt"/>
      </w:pPr>
      <w:r>
        <w:tab/>
        <w:t>Кроме того, в рамках проекта развития животноводства и финансиров</w:t>
      </w:r>
      <w:r>
        <w:t>а</w:t>
      </w:r>
      <w:r>
        <w:t>ния сельских районов министерства уделят особое внимание положению и проблемам женщин в сельских районах. Так, в 2003 году было проведено ге</w:t>
      </w:r>
      <w:r>
        <w:t>н</w:t>
      </w:r>
      <w:r>
        <w:t>дерное обследование, которое будет повторено в ближайшем времени. Осно</w:t>
      </w:r>
      <w:r>
        <w:t>в</w:t>
      </w:r>
      <w:r>
        <w:t>ной целью обследования был анализ гендерного компонента в сельских ра</w:t>
      </w:r>
      <w:r>
        <w:t>й</w:t>
      </w:r>
      <w:r>
        <w:t>онах и вынесение предложений по обеспечению гендерного равенства. Обсл</w:t>
      </w:r>
      <w:r>
        <w:t>е</w:t>
      </w:r>
      <w:r>
        <w:t xml:space="preserve">дование проводилось в семи муниципалитетах, где выборочно было опрошено 140 человек: 70 женщин и 70 мужчин. </w:t>
      </w:r>
    </w:p>
    <w:p w:rsidR="00000000" w:rsidRDefault="00000000">
      <w:pPr>
        <w:pStyle w:val="SingleTxt"/>
      </w:pPr>
      <w:r>
        <w:tab/>
        <w:t>Некоторые неправительственные организации также осуществляют мер</w:t>
      </w:r>
      <w:r>
        <w:t>о</w:t>
      </w:r>
      <w:r>
        <w:t>приятия, направленные на улучшение положения сельских женщин, в том чи</w:t>
      </w:r>
      <w:r>
        <w:t>с</w:t>
      </w:r>
      <w:r>
        <w:t>ле пожилых, в таких областях, как доступ к образованию, занятость, микр</w:t>
      </w:r>
      <w:r>
        <w:t>о</w:t>
      </w:r>
      <w:r>
        <w:t>кредитование и пом</w:t>
      </w:r>
      <w:r>
        <w:t>о</w:t>
      </w:r>
      <w:r>
        <w:t>щь</w:t>
      </w:r>
      <w:r>
        <w:rPr>
          <w:rStyle w:val="FootnoteReference"/>
        </w:rPr>
        <w:footnoteReference w:id="17"/>
      </w:r>
      <w:r>
        <w: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Статья 16</w:t>
      </w:r>
    </w:p>
    <w:p w:rsidR="00000000" w:rsidRDefault="00000000">
      <w:pPr>
        <w:pStyle w:val="SingleTxt"/>
        <w:spacing w:after="0" w:line="120" w:lineRule="exact"/>
        <w:rPr>
          <w:sz w:val="10"/>
        </w:rPr>
      </w:pPr>
    </w:p>
    <w:p w:rsidR="00000000" w:rsidRDefault="00000000">
      <w:pPr>
        <w:pStyle w:val="SingleTxt"/>
        <w:rPr>
          <w:b/>
        </w:rPr>
      </w:pPr>
      <w:r>
        <w:t>29.</w:t>
      </w:r>
      <w:r>
        <w:tab/>
      </w:r>
      <w:r>
        <w:rPr>
          <w:b/>
        </w:rPr>
        <w:t>Просьба представить дополнительную информацию о положении д</w:t>
      </w:r>
      <w:r>
        <w:rPr>
          <w:b/>
        </w:rPr>
        <w:t>о</w:t>
      </w:r>
      <w:r>
        <w:rPr>
          <w:b/>
        </w:rPr>
        <w:t>мохозяйств, возглавляемых женщинами. Она должна включать информ</w:t>
      </w:r>
      <w:r>
        <w:rPr>
          <w:b/>
        </w:rPr>
        <w:t>а</w:t>
      </w:r>
      <w:r>
        <w:rPr>
          <w:b/>
        </w:rPr>
        <w:t>цию о процентной доле таких домохозяйств в сравнении с домохозяйств</w:t>
      </w:r>
      <w:r>
        <w:rPr>
          <w:b/>
        </w:rPr>
        <w:t>а</w:t>
      </w:r>
      <w:r>
        <w:rPr>
          <w:b/>
        </w:rPr>
        <w:t>ми, в которых имеются оба родителя, их экономическом положении и м</w:t>
      </w:r>
      <w:r>
        <w:rPr>
          <w:b/>
        </w:rPr>
        <w:t>е</w:t>
      </w:r>
      <w:r>
        <w:rPr>
          <w:b/>
        </w:rPr>
        <w:t>рах, принимаемых правительствами государства и образований для ок</w:t>
      </w:r>
      <w:r>
        <w:rPr>
          <w:b/>
        </w:rPr>
        <w:t>а</w:t>
      </w:r>
      <w:r>
        <w:rPr>
          <w:b/>
        </w:rPr>
        <w:t>зания помощи домохозяйствам, возглавляемым женщинами, в частности вдовам и материям-одиночкам после развода.</w:t>
      </w:r>
    </w:p>
    <w:p w:rsidR="00000000" w:rsidRDefault="00000000">
      <w:pPr>
        <w:pStyle w:val="SingleTxt"/>
      </w:pPr>
      <w:r>
        <w:tab/>
        <w:t>Во всех разделах Гендерного плана действий Боснии и Герцеговины пр</w:t>
      </w:r>
      <w:r>
        <w:t>е</w:t>
      </w:r>
      <w:r>
        <w:t>дусматриваются мероприятия, которые необходимо осуществлять, чтобы улучшить положение женщин, возглавляющих домохозяйства, в том числе о</w:t>
      </w:r>
      <w:r>
        <w:t>х</w:t>
      </w:r>
      <w:r>
        <w:t>ватить их медицинским обслуживанием, создать университет «третьего возра</w:t>
      </w:r>
      <w:r>
        <w:t>с</w:t>
      </w:r>
      <w:r>
        <w:t>та», обеспечить возможности для предварительного квалификационного отб</w:t>
      </w:r>
      <w:r>
        <w:t>о</w:t>
      </w:r>
      <w:r>
        <w:t>ра и дополнительной подготовки, согласовать производственные и семейные обязанности (различные услуги по уходу за детьми и прочие услуги) и т.д. В докладе о положении женщин, возглавляющих домохозяйства в Боснии и Герцегов</w:t>
      </w:r>
      <w:r>
        <w:t>и</w:t>
      </w:r>
      <w:r>
        <w:t>не</w:t>
      </w:r>
      <w:r>
        <w:rPr>
          <w:rStyle w:val="FootnoteReference"/>
        </w:rPr>
        <w:footnoteReference w:id="18"/>
      </w:r>
      <w:r>
        <w:t>, говорится:</w:t>
      </w:r>
    </w:p>
    <w:p w:rsidR="00000000" w:rsidRDefault="00000000">
      <w:pPr>
        <w:pStyle w:val="SingleTxt"/>
      </w:pPr>
      <w:r>
        <w:tab/>
        <w:t>«В Боснии и Герцеговине женщины возглавляют меньшую часть дома</w:t>
      </w:r>
      <w:r>
        <w:t>ш</w:t>
      </w:r>
      <w:r>
        <w:t>них хозяйств (25 процентов). Поражает воображение тот факт, что во главе 78 процентов от общего числа возглавляемых женщинами домашних хозяйств Боснии и Герцеговины стоят вдовы.</w:t>
      </w:r>
    </w:p>
    <w:p w:rsidR="00000000" w:rsidRDefault="00000000">
      <w:pPr>
        <w:pStyle w:val="SingleTxt"/>
      </w:pPr>
      <w:r>
        <w:tab/>
        <w:t>Удивительно, что по результатам проведенного опроса, 81 процент глав домашних хозяйств считают, они живут в относительно неплохих или хороших условиях. Представляется также, что в большинстве этих домашних хозяйств есть электричество и водопровод. Значительное их число также пользуется г</w:t>
      </w:r>
      <w:r>
        <w:t>а</w:t>
      </w:r>
      <w:r>
        <w:t>рантированным правом собственности. Шестьдесят пять процентов возгла</w:t>
      </w:r>
      <w:r>
        <w:t>в</w:t>
      </w:r>
      <w:r>
        <w:t>ляемых женщинами хозяйств находятся в их личной собственности, и еще 6 процентов — в стадии их перевода в личную собственность одним из членов домашнего хозяйства согласно закону о приватизации государственного им</w:t>
      </w:r>
      <w:r>
        <w:t>у</w:t>
      </w:r>
      <w:r>
        <w:t>щества. Эта ситуация очень напоминает ситуацию с домохозяйствами, возгла</w:t>
      </w:r>
      <w:r>
        <w:t>в</w:t>
      </w:r>
      <w:r>
        <w:t>ляемыми мужчинами, 68 процентов из которых занимают их владельцы. По сравнению с этой ситуацией, когда домашние хозяйства находятся в личной собственности или сдаются в аренду, лишь 22 процента домохозяйств, возгла</w:t>
      </w:r>
      <w:r>
        <w:t>в</w:t>
      </w:r>
      <w:r>
        <w:t>ляемых женщинами, относятся к категории временных, незаконных или ав</w:t>
      </w:r>
      <w:r>
        <w:t>а</w:t>
      </w:r>
      <w:r>
        <w:t>рийных.</w:t>
      </w:r>
    </w:p>
    <w:p w:rsidR="00000000" w:rsidRDefault="00000000">
      <w:pPr>
        <w:pStyle w:val="SingleTxt"/>
      </w:pPr>
      <w:r>
        <w:tab/>
        <w:t>Судя по всему, в категорию лиц с плохими жилищными условиями след</w:t>
      </w:r>
      <w:r>
        <w:t>у</w:t>
      </w:r>
      <w:r>
        <w:t>ет включить и большинство из 18 процентов женщин, возглавляющих дома</w:t>
      </w:r>
      <w:r>
        <w:t>ш</w:t>
      </w:r>
      <w:r>
        <w:t>ние хозяйства, которые относят себя к вынужденным переселенцам или беже</w:t>
      </w:r>
      <w:r>
        <w:t>н</w:t>
      </w:r>
      <w:r>
        <w:t>цам.</w:t>
      </w:r>
    </w:p>
    <w:p w:rsidR="00000000" w:rsidRDefault="00000000">
      <w:pPr>
        <w:pStyle w:val="SingleTxt"/>
      </w:pPr>
      <w:r>
        <w:tab/>
        <w:t>Нельзя не упомянуть и о том, что в Республике Сербской доля женщин, возглавляющих домашние хозяйства с хорошими жилищными условиями, зн</w:t>
      </w:r>
      <w:r>
        <w:t>а</w:t>
      </w:r>
      <w:r>
        <w:t>чительно ниже. Двадцать пять процентов живут в плохих или очень плохих у</w:t>
      </w:r>
      <w:r>
        <w:t>с</w:t>
      </w:r>
      <w:r>
        <w:t>ловиях против 15 процентов в Федерации Боснии и Герцеговины. Это означает, что в Республике Сербской число женщин, возглавляющих домашние хозяйс</w:t>
      </w:r>
      <w:r>
        <w:t>т</w:t>
      </w:r>
      <w:r>
        <w:t>ва с плохими жилищными условиями, почти в два раза выше, чем в Федерации Боснии и Герцеговины. Еще более разительными являются различия между этими образованиями в материальном обеспечении одиноких женщин. Тр</w:t>
      </w:r>
      <w:r>
        <w:t>и</w:t>
      </w:r>
      <w:r>
        <w:t>дцать один процент одиноких женщин в Республике Сербской находят свои у</w:t>
      </w:r>
      <w:r>
        <w:t>с</w:t>
      </w:r>
      <w:r>
        <w:t>ловия жизни плохими, тогда как в Федерации Боснии и Герцеговины так сч</w:t>
      </w:r>
      <w:r>
        <w:t>и</w:t>
      </w:r>
      <w:r>
        <w:t>тают лишь 15 процентов одиноких женщин. В Республике Сербской телефо</w:t>
      </w:r>
      <w:r>
        <w:t>н</w:t>
      </w:r>
      <w:r>
        <w:t>ная связь развита слабее, и, по всей видимости, положение вряд ли улучшится для пожилых лиц и после приватизации, особенно в том, что касается телеф</w:t>
      </w:r>
      <w:r>
        <w:t>о</w:t>
      </w:r>
      <w:r>
        <w:t>низации бедных сельских домох</w:t>
      </w:r>
      <w:r>
        <w:t>о</w:t>
      </w:r>
      <w:r>
        <w:t>зяйств.</w:t>
      </w:r>
    </w:p>
    <w:p w:rsidR="00000000" w:rsidRDefault="00000000">
      <w:pPr>
        <w:pStyle w:val="SingleTxt"/>
      </w:pPr>
      <w:r>
        <w:tab/>
        <w:t>Учреждения Организации Объединенных Наций располагают всеми во</w:t>
      </w:r>
      <w:r>
        <w:t>з</w:t>
      </w:r>
      <w:r>
        <w:t>можностями для оказания помощи Боснии и Герцеговине в выработке полит</w:t>
      </w:r>
      <w:r>
        <w:t>и</w:t>
      </w:r>
      <w:r>
        <w:t>ки, которая позволила бы улучшить положение женщин, возглавляющих д</w:t>
      </w:r>
      <w:r>
        <w:t>о</w:t>
      </w:r>
      <w:r>
        <w:t>машние хозяйства. В настоящем докладе рекомендуется подойти к проблеме стареющих вдов с двух сторон: с одной стороны, помогать молодым женщинам развивать свои способности, чтобы в долгосрочном плане улучшить свое уя</w:t>
      </w:r>
      <w:r>
        <w:t>з</w:t>
      </w:r>
      <w:r>
        <w:t>вимое положение в пожилом возрасте, а с другой стороны, активизировать усилия по улучшению нынешнего положения пожилых женщин. Для этого н</w:t>
      </w:r>
      <w:r>
        <w:t>е</w:t>
      </w:r>
      <w:r>
        <w:t>обходимо:</w:t>
      </w:r>
    </w:p>
    <w:p w:rsidR="00000000" w:rsidRDefault="00000000">
      <w:pPr>
        <w:pStyle w:val="SingleTxt"/>
      </w:pPr>
      <w:r>
        <w:tab/>
        <w:t>a)</w:t>
      </w:r>
      <w:r>
        <w:tab/>
        <w:t>оказывать поддержку молодым женщинам и д</w:t>
      </w:r>
      <w:r>
        <w:t>е</w:t>
      </w:r>
      <w:r>
        <w:t>вочкам-подросткам;</w:t>
      </w:r>
    </w:p>
    <w:p w:rsidR="00000000" w:rsidRDefault="00000000">
      <w:pPr>
        <w:pStyle w:val="SingleTxt"/>
      </w:pPr>
      <w:r>
        <w:tab/>
        <w:t>b)</w:t>
      </w:r>
      <w:r>
        <w:tab/>
        <w:t>содействовать разработке национальной политики в поддержку п</w:t>
      </w:r>
      <w:r>
        <w:t>о</w:t>
      </w:r>
      <w:r>
        <w:t>жилых лиц.</w:t>
      </w:r>
    </w:p>
    <w:p w:rsidR="00000000" w:rsidRDefault="00000000">
      <w:pPr>
        <w:pStyle w:val="SingleTxt"/>
        <w:rPr>
          <w:b/>
        </w:rPr>
      </w:pPr>
      <w:r>
        <w:t>30.</w:t>
      </w:r>
      <w:r>
        <w:tab/>
      </w:r>
      <w:r>
        <w:rPr>
          <w:b/>
        </w:rPr>
        <w:t>Просьба представить информацию о положении женщин, которые являлись ранее или являются в настоящее время беженцами или внутре</w:t>
      </w:r>
      <w:r>
        <w:rPr>
          <w:b/>
        </w:rPr>
        <w:t>н</w:t>
      </w:r>
      <w:r>
        <w:rPr>
          <w:b/>
        </w:rPr>
        <w:t>не перемещенными лицами, в частности женщин, у которых мужья пр</w:t>
      </w:r>
      <w:r>
        <w:rPr>
          <w:b/>
        </w:rPr>
        <w:t>о</w:t>
      </w:r>
      <w:r>
        <w:rPr>
          <w:b/>
        </w:rPr>
        <w:t>пали без вести, вдов и оставленных женщин. В этой связи просьба указать, какие шаги были предприняты для содействия воссоединению семей и п</w:t>
      </w:r>
      <w:r>
        <w:rPr>
          <w:b/>
        </w:rPr>
        <w:t>о</w:t>
      </w:r>
      <w:r>
        <w:rPr>
          <w:b/>
        </w:rPr>
        <w:t>вторному вступлению в права собственности, а также предоставлению этой уязвимой группе женщин помощи в вопросах, связанных с восст</w:t>
      </w:r>
      <w:r>
        <w:rPr>
          <w:b/>
        </w:rPr>
        <w:t>а</w:t>
      </w:r>
      <w:r>
        <w:rPr>
          <w:b/>
        </w:rPr>
        <w:t>новлением и возвращением к нормал</w:t>
      </w:r>
      <w:r>
        <w:rPr>
          <w:b/>
        </w:rPr>
        <w:t>ь</w:t>
      </w:r>
      <w:r>
        <w:rPr>
          <w:b/>
        </w:rPr>
        <w:t>ной жизни.</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Гендерная и возрастная структура перемещенных лиц в Боснии и Герцеговине</w:t>
      </w:r>
      <w:r>
        <w:rPr>
          <w:rStyle w:val="FootnoteReference"/>
          <w:b w:val="0"/>
        </w:rPr>
        <w:footnoteReference w:id="19"/>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836"/>
        <w:gridCol w:w="99"/>
        <w:gridCol w:w="864"/>
        <w:gridCol w:w="846"/>
        <w:gridCol w:w="108"/>
        <w:gridCol w:w="783"/>
        <w:gridCol w:w="864"/>
        <w:gridCol w:w="90"/>
        <w:gridCol w:w="774"/>
        <w:gridCol w:w="900"/>
        <w:gridCol w:w="738"/>
        <w:gridCol w:w="594"/>
      </w:tblGrid>
      <w:tr w:rsidR="00000000">
        <w:tblPrEx>
          <w:tblCellMar>
            <w:top w:w="0" w:type="dxa"/>
            <w:left w:w="0" w:type="dxa"/>
            <w:bottom w:w="0" w:type="dxa"/>
            <w:right w:w="0" w:type="dxa"/>
          </w:tblCellMar>
        </w:tblPrEx>
        <w:trPr>
          <w:cantSplit/>
          <w:tblHeader/>
        </w:trPr>
        <w:tc>
          <w:tcPr>
            <w:tcW w:w="8496" w:type="dxa"/>
            <w:gridSpan w:val="12"/>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1" w:after="40" w:line="160" w:lineRule="exact"/>
              <w:ind w:right="43"/>
              <w:jc w:val="center"/>
              <w:rPr>
                <w:i/>
                <w:sz w:val="14"/>
              </w:rPr>
            </w:pPr>
            <w:r>
              <w:rPr>
                <w:i/>
                <w:sz w:val="14"/>
              </w:rPr>
              <w:t>Гендерная и возрастная структура перемещенных лиц в Боснии и Герцеговине — в разбивке по образ</w:t>
            </w:r>
            <w:r>
              <w:rPr>
                <w:i/>
                <w:sz w:val="14"/>
              </w:rPr>
              <w:t>о</w:t>
            </w:r>
            <w:r>
              <w:rPr>
                <w:i/>
                <w:sz w:val="14"/>
              </w:rPr>
              <w:t>ваниям</w:t>
            </w:r>
          </w:p>
        </w:tc>
      </w:tr>
      <w:tr w:rsidR="00000000">
        <w:tblPrEx>
          <w:tblCellMar>
            <w:top w:w="0" w:type="dxa"/>
            <w:left w:w="0" w:type="dxa"/>
            <w:bottom w:w="0" w:type="dxa"/>
            <w:right w:w="0" w:type="dxa"/>
          </w:tblCellMar>
        </w:tblPrEx>
        <w:trPr>
          <w:cantSplit/>
          <w:tblHeader/>
        </w:trPr>
        <w:tc>
          <w:tcPr>
            <w:tcW w:w="1836" w:type="dxa"/>
            <w:shd w:val="clear" w:color="auto" w:fill="FFFFFF"/>
            <w:vAlign w:val="bottom"/>
          </w:tcPr>
          <w:p w:rsidR="00000000" w:rsidRDefault="00000000">
            <w:pPr>
              <w:tabs>
                <w:tab w:val="left" w:pos="288"/>
                <w:tab w:val="left" w:pos="576"/>
                <w:tab w:val="left" w:pos="864"/>
                <w:tab w:val="left" w:pos="1152"/>
              </w:tabs>
              <w:spacing w:before="40" w:after="40" w:line="160" w:lineRule="exact"/>
              <w:ind w:right="43"/>
              <w:rPr>
                <w:i/>
                <w:sz w:val="14"/>
              </w:rPr>
            </w:pPr>
            <w:r>
              <w:rPr>
                <w:i/>
                <w:sz w:val="14"/>
              </w:rPr>
              <w:t>Пол</w:t>
            </w:r>
          </w:p>
        </w:tc>
        <w:tc>
          <w:tcPr>
            <w:tcW w:w="99" w:type="dxa"/>
            <w:shd w:val="clear" w:color="auto" w:fill="FFFFFF"/>
            <w:vAlign w:val="bottom"/>
          </w:tcPr>
          <w:p w:rsidR="00000000" w:rsidRDefault="00000000">
            <w:pPr>
              <w:tabs>
                <w:tab w:val="left" w:pos="288"/>
                <w:tab w:val="left" w:pos="576"/>
                <w:tab w:val="left" w:pos="864"/>
                <w:tab w:val="left" w:pos="1152"/>
              </w:tabs>
              <w:spacing w:before="40" w:after="40" w:line="160" w:lineRule="exact"/>
              <w:ind w:right="43"/>
              <w:jc w:val="right"/>
              <w:rPr>
                <w:i/>
                <w:sz w:val="14"/>
              </w:rPr>
            </w:pPr>
          </w:p>
        </w:tc>
        <w:tc>
          <w:tcPr>
            <w:tcW w:w="864" w:type="dxa"/>
            <w:tcBorders>
              <w:bottom w:val="single" w:sz="4" w:space="0" w:color="auto"/>
            </w:tcBorders>
            <w:shd w:val="clear" w:color="auto" w:fill="FFFFFF"/>
            <w:vAlign w:val="bottom"/>
          </w:tcPr>
          <w:p w:rsidR="00000000" w:rsidRDefault="00000000">
            <w:pPr>
              <w:tabs>
                <w:tab w:val="left" w:pos="288"/>
                <w:tab w:val="left" w:pos="576"/>
                <w:tab w:val="left" w:pos="864"/>
                <w:tab w:val="left" w:pos="1152"/>
              </w:tabs>
              <w:spacing w:before="40" w:after="40" w:line="160" w:lineRule="exact"/>
              <w:ind w:right="43"/>
              <w:jc w:val="center"/>
              <w:rPr>
                <w:i/>
                <w:sz w:val="14"/>
              </w:rPr>
            </w:pPr>
            <w:r>
              <w:rPr>
                <w:i/>
                <w:sz w:val="14"/>
              </w:rPr>
              <w:t>М</w:t>
            </w:r>
          </w:p>
        </w:tc>
        <w:tc>
          <w:tcPr>
            <w:tcW w:w="846" w:type="dxa"/>
            <w:tcBorders>
              <w:bottom w:val="single" w:sz="4" w:space="0" w:color="auto"/>
            </w:tcBorders>
            <w:shd w:val="clear" w:color="auto" w:fill="FFFFFF"/>
            <w:vAlign w:val="bottom"/>
          </w:tcPr>
          <w:p w:rsidR="00000000" w:rsidRDefault="00000000">
            <w:pPr>
              <w:tabs>
                <w:tab w:val="left" w:pos="288"/>
                <w:tab w:val="left" w:pos="576"/>
                <w:tab w:val="left" w:pos="864"/>
                <w:tab w:val="left" w:pos="1152"/>
              </w:tabs>
              <w:spacing w:before="40" w:after="40" w:line="160" w:lineRule="exact"/>
              <w:ind w:right="43"/>
              <w:jc w:val="center"/>
              <w:rPr>
                <w:i/>
                <w:sz w:val="14"/>
              </w:rPr>
            </w:pPr>
            <w:r>
              <w:rPr>
                <w:i/>
                <w:sz w:val="14"/>
              </w:rPr>
              <w:t>Ж</w:t>
            </w:r>
          </w:p>
        </w:tc>
        <w:tc>
          <w:tcPr>
            <w:tcW w:w="108" w:type="dxa"/>
            <w:shd w:val="clear" w:color="auto" w:fill="FFFFFF"/>
            <w:vAlign w:val="bottom"/>
          </w:tcPr>
          <w:p w:rsidR="00000000" w:rsidRDefault="00000000">
            <w:pPr>
              <w:tabs>
                <w:tab w:val="left" w:pos="288"/>
                <w:tab w:val="left" w:pos="576"/>
                <w:tab w:val="left" w:pos="864"/>
                <w:tab w:val="left" w:pos="1152"/>
              </w:tabs>
              <w:spacing w:before="40" w:after="40" w:line="160" w:lineRule="exact"/>
              <w:ind w:right="43"/>
              <w:jc w:val="right"/>
              <w:rPr>
                <w:i/>
                <w:sz w:val="14"/>
              </w:rPr>
            </w:pPr>
          </w:p>
        </w:tc>
        <w:tc>
          <w:tcPr>
            <w:tcW w:w="783" w:type="dxa"/>
            <w:tcBorders>
              <w:bottom w:val="single" w:sz="4" w:space="0" w:color="auto"/>
            </w:tcBorders>
            <w:shd w:val="clear" w:color="auto" w:fill="FFFFFF"/>
            <w:vAlign w:val="bottom"/>
          </w:tcPr>
          <w:p w:rsidR="00000000" w:rsidRDefault="00000000">
            <w:pPr>
              <w:tabs>
                <w:tab w:val="left" w:pos="288"/>
                <w:tab w:val="left" w:pos="576"/>
                <w:tab w:val="left" w:pos="864"/>
                <w:tab w:val="left" w:pos="1152"/>
              </w:tabs>
              <w:spacing w:before="40" w:after="40" w:line="160" w:lineRule="exact"/>
              <w:ind w:right="43"/>
              <w:jc w:val="center"/>
              <w:rPr>
                <w:i/>
                <w:sz w:val="14"/>
              </w:rPr>
            </w:pPr>
            <w:r>
              <w:rPr>
                <w:i/>
                <w:sz w:val="14"/>
              </w:rPr>
              <w:t>М</w:t>
            </w:r>
          </w:p>
        </w:tc>
        <w:tc>
          <w:tcPr>
            <w:tcW w:w="864" w:type="dxa"/>
            <w:tcBorders>
              <w:bottom w:val="single" w:sz="4" w:space="0" w:color="auto"/>
            </w:tcBorders>
            <w:shd w:val="clear" w:color="auto" w:fill="FFFFFF"/>
            <w:vAlign w:val="bottom"/>
          </w:tcPr>
          <w:p w:rsidR="00000000" w:rsidRDefault="00000000">
            <w:pPr>
              <w:tabs>
                <w:tab w:val="left" w:pos="288"/>
                <w:tab w:val="left" w:pos="576"/>
                <w:tab w:val="left" w:pos="864"/>
                <w:tab w:val="left" w:pos="1152"/>
              </w:tabs>
              <w:spacing w:before="40" w:after="40" w:line="160" w:lineRule="exact"/>
              <w:ind w:right="43"/>
              <w:jc w:val="center"/>
              <w:rPr>
                <w:i/>
                <w:sz w:val="14"/>
              </w:rPr>
            </w:pPr>
            <w:r>
              <w:rPr>
                <w:i/>
                <w:sz w:val="14"/>
              </w:rPr>
              <w:t>Ж</w:t>
            </w:r>
          </w:p>
        </w:tc>
        <w:tc>
          <w:tcPr>
            <w:tcW w:w="90" w:type="dxa"/>
            <w:shd w:val="clear" w:color="auto" w:fill="FFFFFF"/>
            <w:vAlign w:val="bottom"/>
          </w:tcPr>
          <w:p w:rsidR="00000000" w:rsidRDefault="00000000">
            <w:pPr>
              <w:tabs>
                <w:tab w:val="left" w:pos="288"/>
                <w:tab w:val="left" w:pos="576"/>
                <w:tab w:val="left" w:pos="864"/>
                <w:tab w:val="left" w:pos="1152"/>
              </w:tabs>
              <w:spacing w:before="40" w:after="40" w:line="160" w:lineRule="exact"/>
              <w:ind w:right="43"/>
              <w:jc w:val="right"/>
              <w:rPr>
                <w:i/>
                <w:sz w:val="14"/>
              </w:rPr>
            </w:pPr>
          </w:p>
        </w:tc>
        <w:tc>
          <w:tcPr>
            <w:tcW w:w="774" w:type="dxa"/>
            <w:tcBorders>
              <w:bottom w:val="single" w:sz="4" w:space="0" w:color="auto"/>
            </w:tcBorders>
            <w:shd w:val="clear" w:color="auto" w:fill="FFFFFF"/>
            <w:vAlign w:val="bottom"/>
          </w:tcPr>
          <w:p w:rsidR="00000000" w:rsidRDefault="00000000">
            <w:pPr>
              <w:tabs>
                <w:tab w:val="left" w:pos="288"/>
                <w:tab w:val="left" w:pos="576"/>
                <w:tab w:val="left" w:pos="864"/>
                <w:tab w:val="left" w:pos="1152"/>
              </w:tabs>
              <w:spacing w:before="40" w:after="40" w:line="160" w:lineRule="exact"/>
              <w:ind w:right="43"/>
              <w:jc w:val="center"/>
              <w:rPr>
                <w:i/>
                <w:sz w:val="14"/>
              </w:rPr>
            </w:pPr>
            <w:r>
              <w:rPr>
                <w:i/>
                <w:sz w:val="14"/>
              </w:rPr>
              <w:t>М</w:t>
            </w:r>
          </w:p>
        </w:tc>
        <w:tc>
          <w:tcPr>
            <w:tcW w:w="900" w:type="dxa"/>
            <w:tcBorders>
              <w:bottom w:val="single" w:sz="4" w:space="0" w:color="auto"/>
            </w:tcBorders>
            <w:shd w:val="clear" w:color="auto" w:fill="FFFFFF"/>
            <w:vAlign w:val="bottom"/>
          </w:tcPr>
          <w:p w:rsidR="00000000" w:rsidRDefault="00000000">
            <w:pPr>
              <w:tabs>
                <w:tab w:val="left" w:pos="288"/>
                <w:tab w:val="left" w:pos="576"/>
                <w:tab w:val="left" w:pos="864"/>
                <w:tab w:val="left" w:pos="1152"/>
              </w:tabs>
              <w:spacing w:before="40" w:after="40" w:line="160" w:lineRule="exact"/>
              <w:ind w:right="43"/>
              <w:jc w:val="center"/>
              <w:rPr>
                <w:i/>
                <w:sz w:val="14"/>
              </w:rPr>
            </w:pPr>
            <w:r>
              <w:rPr>
                <w:i/>
                <w:sz w:val="14"/>
              </w:rPr>
              <w:t>Ж</w:t>
            </w:r>
          </w:p>
        </w:tc>
        <w:tc>
          <w:tcPr>
            <w:tcW w:w="738" w:type="dxa"/>
            <w:shd w:val="clear" w:color="auto" w:fill="FFFFFF"/>
            <w:vAlign w:val="bottom"/>
          </w:tcPr>
          <w:p w:rsidR="00000000" w:rsidRDefault="00000000">
            <w:pPr>
              <w:tabs>
                <w:tab w:val="left" w:pos="288"/>
                <w:tab w:val="left" w:pos="576"/>
                <w:tab w:val="left" w:pos="864"/>
                <w:tab w:val="left" w:pos="1152"/>
              </w:tabs>
              <w:spacing w:before="40" w:after="40" w:line="160" w:lineRule="exact"/>
              <w:ind w:right="43"/>
              <w:jc w:val="right"/>
              <w:rPr>
                <w:i/>
                <w:sz w:val="14"/>
              </w:rPr>
            </w:pPr>
          </w:p>
        </w:tc>
        <w:tc>
          <w:tcPr>
            <w:tcW w:w="594" w:type="dxa"/>
            <w:shd w:val="clear" w:color="auto" w:fill="FFFFFF"/>
            <w:vAlign w:val="bottom"/>
          </w:tcPr>
          <w:p w:rsidR="00000000" w:rsidRDefault="00000000">
            <w:pPr>
              <w:tabs>
                <w:tab w:val="left" w:pos="288"/>
                <w:tab w:val="left" w:pos="576"/>
                <w:tab w:val="left" w:pos="864"/>
                <w:tab w:val="left" w:pos="1152"/>
              </w:tabs>
              <w:spacing w:before="40" w:after="40" w:line="160" w:lineRule="exact"/>
              <w:ind w:right="43"/>
              <w:jc w:val="right"/>
              <w:rPr>
                <w:i/>
                <w:sz w:val="14"/>
              </w:rPr>
            </w:pPr>
          </w:p>
        </w:tc>
      </w:tr>
      <w:tr w:rsidR="00000000">
        <w:tblPrEx>
          <w:tblCellMar>
            <w:top w:w="0" w:type="dxa"/>
            <w:left w:w="0" w:type="dxa"/>
            <w:bottom w:w="0" w:type="dxa"/>
            <w:right w:w="0" w:type="dxa"/>
          </w:tblCellMar>
        </w:tblPrEx>
        <w:trPr>
          <w:cantSplit/>
          <w:tblHeader/>
        </w:trPr>
        <w:tc>
          <w:tcPr>
            <w:tcW w:w="1836" w:type="dxa"/>
            <w:shd w:val="clear" w:color="auto" w:fill="FFFFFF"/>
            <w:vAlign w:val="bottom"/>
          </w:tcPr>
          <w:p w:rsidR="00000000" w:rsidRDefault="00000000">
            <w:pPr>
              <w:tabs>
                <w:tab w:val="left" w:pos="288"/>
                <w:tab w:val="left" w:pos="576"/>
                <w:tab w:val="left" w:pos="864"/>
                <w:tab w:val="left" w:pos="1152"/>
              </w:tabs>
              <w:spacing w:before="40" w:after="81" w:line="160" w:lineRule="exact"/>
              <w:ind w:right="43"/>
              <w:rPr>
                <w:i/>
                <w:sz w:val="14"/>
              </w:rPr>
            </w:pPr>
            <w:r>
              <w:rPr>
                <w:i/>
                <w:sz w:val="14"/>
              </w:rPr>
              <w:t>Возрастная группа</w:t>
            </w:r>
          </w:p>
        </w:tc>
        <w:tc>
          <w:tcPr>
            <w:tcW w:w="1809" w:type="dxa"/>
            <w:gridSpan w:val="3"/>
            <w:shd w:val="clear" w:color="auto" w:fill="FFFFFF"/>
            <w:vAlign w:val="bottom"/>
          </w:tcPr>
          <w:p w:rsidR="00000000" w:rsidRDefault="00000000">
            <w:pPr>
              <w:tabs>
                <w:tab w:val="left" w:pos="288"/>
                <w:tab w:val="left" w:pos="576"/>
                <w:tab w:val="left" w:pos="864"/>
                <w:tab w:val="left" w:pos="1152"/>
              </w:tabs>
              <w:spacing w:before="40" w:after="81" w:line="160" w:lineRule="exact"/>
              <w:ind w:right="43"/>
              <w:jc w:val="center"/>
              <w:rPr>
                <w:i/>
                <w:sz w:val="14"/>
              </w:rPr>
            </w:pPr>
            <w:r>
              <w:rPr>
                <w:i/>
                <w:sz w:val="14"/>
              </w:rPr>
              <w:t>Федерация Бо</w:t>
            </w:r>
            <w:r>
              <w:rPr>
                <w:i/>
                <w:sz w:val="14"/>
              </w:rPr>
              <w:t>с</w:t>
            </w:r>
            <w:r>
              <w:rPr>
                <w:i/>
                <w:sz w:val="14"/>
              </w:rPr>
              <w:t xml:space="preserve">нии </w:t>
            </w:r>
            <w:r>
              <w:rPr>
                <w:i/>
                <w:sz w:val="14"/>
              </w:rPr>
              <w:br/>
              <w:t>и Герцегов</w:t>
            </w:r>
            <w:r>
              <w:rPr>
                <w:i/>
                <w:sz w:val="14"/>
              </w:rPr>
              <w:t>и</w:t>
            </w:r>
            <w:r>
              <w:rPr>
                <w:i/>
                <w:sz w:val="14"/>
              </w:rPr>
              <w:t>ны</w:t>
            </w:r>
          </w:p>
        </w:tc>
        <w:tc>
          <w:tcPr>
            <w:tcW w:w="1755" w:type="dxa"/>
            <w:gridSpan w:val="3"/>
            <w:shd w:val="clear" w:color="auto" w:fill="FFFFFF"/>
            <w:vAlign w:val="bottom"/>
          </w:tcPr>
          <w:p w:rsidR="00000000" w:rsidRDefault="00000000">
            <w:pPr>
              <w:tabs>
                <w:tab w:val="left" w:pos="288"/>
                <w:tab w:val="left" w:pos="576"/>
                <w:tab w:val="left" w:pos="864"/>
                <w:tab w:val="left" w:pos="1152"/>
              </w:tabs>
              <w:spacing w:before="40" w:after="81" w:line="160" w:lineRule="exact"/>
              <w:ind w:right="43"/>
              <w:jc w:val="center"/>
              <w:rPr>
                <w:i/>
                <w:sz w:val="14"/>
              </w:rPr>
            </w:pPr>
            <w:r>
              <w:rPr>
                <w:i/>
                <w:sz w:val="14"/>
              </w:rPr>
              <w:t>Республика Сербская</w:t>
            </w:r>
          </w:p>
        </w:tc>
        <w:tc>
          <w:tcPr>
            <w:tcW w:w="1764" w:type="dxa"/>
            <w:gridSpan w:val="3"/>
            <w:shd w:val="clear" w:color="auto" w:fill="FFFFFF"/>
            <w:vAlign w:val="bottom"/>
          </w:tcPr>
          <w:p w:rsidR="00000000" w:rsidRDefault="00000000">
            <w:pPr>
              <w:tabs>
                <w:tab w:val="left" w:pos="288"/>
                <w:tab w:val="left" w:pos="576"/>
                <w:tab w:val="left" w:pos="864"/>
                <w:tab w:val="left" w:pos="1152"/>
              </w:tabs>
              <w:spacing w:before="40" w:after="81" w:line="160" w:lineRule="exact"/>
              <w:ind w:right="43"/>
              <w:jc w:val="center"/>
              <w:rPr>
                <w:i/>
                <w:sz w:val="14"/>
              </w:rPr>
            </w:pPr>
            <w:r>
              <w:rPr>
                <w:i/>
                <w:sz w:val="14"/>
              </w:rPr>
              <w:t>Босния и Герц</w:t>
            </w:r>
            <w:r>
              <w:rPr>
                <w:i/>
                <w:sz w:val="14"/>
              </w:rPr>
              <w:t>е</w:t>
            </w:r>
            <w:r>
              <w:rPr>
                <w:i/>
                <w:sz w:val="14"/>
              </w:rPr>
              <w:t>говина</w:t>
            </w:r>
          </w:p>
        </w:tc>
        <w:tc>
          <w:tcPr>
            <w:tcW w:w="738" w:type="dxa"/>
            <w:shd w:val="clear" w:color="auto" w:fill="FFFFFF"/>
            <w:vAlign w:val="bottom"/>
          </w:tcPr>
          <w:p w:rsidR="00000000" w:rsidRDefault="00000000">
            <w:pPr>
              <w:tabs>
                <w:tab w:val="left" w:pos="288"/>
                <w:tab w:val="left" w:pos="576"/>
                <w:tab w:val="left" w:pos="864"/>
                <w:tab w:val="left" w:pos="1152"/>
              </w:tabs>
              <w:spacing w:before="40" w:after="81" w:line="160" w:lineRule="exact"/>
              <w:ind w:right="43"/>
              <w:jc w:val="right"/>
              <w:rPr>
                <w:i/>
                <w:sz w:val="14"/>
              </w:rPr>
            </w:pPr>
            <w:r>
              <w:rPr>
                <w:b/>
                <w:i/>
                <w:sz w:val="14"/>
              </w:rPr>
              <w:t>Всего</w:t>
            </w:r>
          </w:p>
        </w:tc>
        <w:tc>
          <w:tcPr>
            <w:tcW w:w="594" w:type="dxa"/>
            <w:shd w:val="clear" w:color="auto" w:fill="FFFFFF"/>
            <w:vAlign w:val="bottom"/>
          </w:tcPr>
          <w:p w:rsidR="00000000" w:rsidRDefault="00000000">
            <w:pPr>
              <w:tabs>
                <w:tab w:val="left" w:pos="288"/>
                <w:tab w:val="left" w:pos="576"/>
                <w:tab w:val="left" w:pos="864"/>
                <w:tab w:val="left" w:pos="1152"/>
              </w:tabs>
              <w:spacing w:before="40" w:after="81" w:line="160" w:lineRule="exact"/>
              <w:ind w:right="43"/>
              <w:jc w:val="right"/>
              <w:rPr>
                <w:i/>
                <w:sz w:val="14"/>
              </w:rPr>
            </w:pPr>
            <w:r>
              <w:rPr>
                <w:i/>
                <w:sz w:val="14"/>
              </w:rPr>
              <w:t>В пр</w:t>
            </w:r>
            <w:r>
              <w:rPr>
                <w:i/>
                <w:sz w:val="14"/>
              </w:rPr>
              <w:t>о</w:t>
            </w:r>
            <w:r>
              <w:rPr>
                <w:i/>
                <w:sz w:val="14"/>
              </w:rPr>
              <w:t>це</w:t>
            </w:r>
            <w:r>
              <w:rPr>
                <w:i/>
                <w:sz w:val="14"/>
              </w:rPr>
              <w:t>н</w:t>
            </w:r>
            <w:r>
              <w:rPr>
                <w:i/>
                <w:sz w:val="14"/>
              </w:rPr>
              <w:t>тах</w:t>
            </w:r>
          </w:p>
        </w:tc>
      </w:tr>
      <w:tr w:rsidR="00000000">
        <w:tblPrEx>
          <w:tblCellMar>
            <w:top w:w="0" w:type="dxa"/>
            <w:left w:w="0" w:type="dxa"/>
            <w:bottom w:w="0" w:type="dxa"/>
            <w:right w:w="0" w:type="dxa"/>
          </w:tblCellMar>
        </w:tblPrEx>
        <w:trPr>
          <w:trHeight w:hRule="exact" w:val="115"/>
          <w:tblHeader/>
        </w:trPr>
        <w:tc>
          <w:tcPr>
            <w:tcW w:w="183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963"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46"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91"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64" w:type="dxa"/>
            <w:gridSpan w:val="2"/>
            <w:tcBorders>
              <w:top w:val="single" w:sz="12" w:space="0" w:color="auto"/>
            </w:tcBorders>
            <w:shd w:val="clear" w:color="auto" w:fill="FFFFFF"/>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00" w:type="dxa"/>
            <w:tcBorders>
              <w:top w:val="single" w:sz="12" w:space="0" w:color="auto"/>
            </w:tcBorders>
            <w:shd w:val="clear" w:color="auto" w:fill="FFFFFF"/>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738" w:type="dxa"/>
            <w:tcBorders>
              <w:top w:val="single" w:sz="12" w:space="0" w:color="auto"/>
            </w:tcBorders>
            <w:shd w:val="clear" w:color="auto" w:fill="FFFFFF"/>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594" w:type="dxa"/>
            <w:tcBorders>
              <w:top w:val="single" w:sz="12" w:space="0" w:color="auto"/>
            </w:tcBorders>
            <w:shd w:val="clear" w:color="auto" w:fill="FFFFFF"/>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836"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0–5 лет</w:t>
            </w:r>
          </w:p>
        </w:tc>
        <w:tc>
          <w:tcPr>
            <w:tcW w:w="963" w:type="dxa"/>
            <w:gridSpan w:val="2"/>
            <w:vAlign w:val="bottom"/>
          </w:tcPr>
          <w:p w:rsidR="00000000" w:rsidRDefault="00000000">
            <w:pPr>
              <w:tabs>
                <w:tab w:val="decimal" w:pos="576"/>
              </w:tabs>
              <w:spacing w:before="40" w:after="40" w:line="210" w:lineRule="exact"/>
              <w:ind w:right="40"/>
              <w:rPr>
                <w:sz w:val="17"/>
              </w:rPr>
            </w:pPr>
            <w:r>
              <w:rPr>
                <w:sz w:val="17"/>
              </w:rPr>
              <w:t>1,661</w:t>
            </w:r>
          </w:p>
        </w:tc>
        <w:tc>
          <w:tcPr>
            <w:tcW w:w="846" w:type="dxa"/>
            <w:vAlign w:val="bottom"/>
          </w:tcPr>
          <w:p w:rsidR="00000000" w:rsidRDefault="00000000">
            <w:pPr>
              <w:tabs>
                <w:tab w:val="decimal" w:pos="441"/>
              </w:tabs>
              <w:spacing w:before="40" w:after="40" w:line="210" w:lineRule="exact"/>
              <w:ind w:right="40"/>
              <w:rPr>
                <w:sz w:val="17"/>
              </w:rPr>
            </w:pPr>
            <w:r>
              <w:rPr>
                <w:sz w:val="17"/>
              </w:rPr>
              <w:t>1,618</w:t>
            </w:r>
          </w:p>
        </w:tc>
        <w:tc>
          <w:tcPr>
            <w:tcW w:w="891" w:type="dxa"/>
            <w:gridSpan w:val="2"/>
            <w:vAlign w:val="bottom"/>
          </w:tcPr>
          <w:p w:rsidR="00000000" w:rsidRDefault="00000000">
            <w:pPr>
              <w:tabs>
                <w:tab w:val="decimal" w:pos="486"/>
              </w:tabs>
              <w:spacing w:before="40" w:after="40" w:line="210" w:lineRule="exact"/>
              <w:ind w:right="40"/>
              <w:rPr>
                <w:sz w:val="17"/>
              </w:rPr>
            </w:pPr>
            <w:r>
              <w:rPr>
                <w:sz w:val="17"/>
              </w:rPr>
              <w:t>1,273</w:t>
            </w:r>
          </w:p>
        </w:tc>
        <w:tc>
          <w:tcPr>
            <w:tcW w:w="864" w:type="dxa"/>
            <w:vAlign w:val="bottom"/>
          </w:tcPr>
          <w:p w:rsidR="00000000" w:rsidRDefault="00000000">
            <w:pPr>
              <w:tabs>
                <w:tab w:val="decimal" w:pos="468"/>
              </w:tabs>
              <w:spacing w:before="40" w:after="40" w:line="210" w:lineRule="exact"/>
              <w:ind w:right="40"/>
              <w:rPr>
                <w:sz w:val="17"/>
              </w:rPr>
            </w:pPr>
            <w:r>
              <w:rPr>
                <w:sz w:val="17"/>
              </w:rPr>
              <w:t>1,206</w:t>
            </w:r>
          </w:p>
        </w:tc>
        <w:tc>
          <w:tcPr>
            <w:tcW w:w="864" w:type="dxa"/>
            <w:gridSpan w:val="2"/>
            <w:shd w:val="clear" w:color="auto" w:fill="FFFFFF"/>
            <w:vAlign w:val="bottom"/>
          </w:tcPr>
          <w:p w:rsidR="00000000" w:rsidRDefault="00000000">
            <w:pPr>
              <w:tabs>
                <w:tab w:val="decimal" w:pos="477"/>
              </w:tabs>
              <w:spacing w:before="40" w:after="40" w:line="210" w:lineRule="exact"/>
              <w:ind w:right="40"/>
              <w:rPr>
                <w:sz w:val="17"/>
              </w:rPr>
            </w:pPr>
            <w:r>
              <w:rPr>
                <w:sz w:val="17"/>
              </w:rPr>
              <w:t>2,934</w:t>
            </w:r>
          </w:p>
        </w:tc>
        <w:tc>
          <w:tcPr>
            <w:tcW w:w="900" w:type="dxa"/>
            <w:shd w:val="clear" w:color="auto" w:fill="FFFFFF"/>
            <w:vAlign w:val="bottom"/>
          </w:tcPr>
          <w:p w:rsidR="00000000" w:rsidRDefault="00000000">
            <w:pPr>
              <w:tabs>
                <w:tab w:val="decimal" w:pos="468"/>
              </w:tabs>
              <w:spacing w:before="40" w:after="40" w:line="210" w:lineRule="exact"/>
              <w:ind w:right="40"/>
              <w:rPr>
                <w:sz w:val="17"/>
              </w:rPr>
            </w:pPr>
            <w:r>
              <w:rPr>
                <w:sz w:val="17"/>
              </w:rPr>
              <w:t>2,824</w:t>
            </w:r>
          </w:p>
        </w:tc>
        <w:tc>
          <w:tcPr>
            <w:tcW w:w="738" w:type="dxa"/>
            <w:shd w:val="clear" w:color="auto" w:fill="FFFFFF"/>
            <w:vAlign w:val="bottom"/>
          </w:tcPr>
          <w:p w:rsidR="00000000" w:rsidRDefault="00000000">
            <w:pPr>
              <w:tabs>
                <w:tab w:val="decimal" w:pos="369"/>
              </w:tabs>
              <w:spacing w:before="40" w:after="40" w:line="210" w:lineRule="exact"/>
              <w:ind w:right="40"/>
              <w:rPr>
                <w:b/>
                <w:sz w:val="17"/>
              </w:rPr>
            </w:pPr>
            <w:r>
              <w:rPr>
                <w:b/>
                <w:sz w:val="17"/>
              </w:rPr>
              <w:t>5,758</w:t>
            </w:r>
          </w:p>
        </w:tc>
        <w:tc>
          <w:tcPr>
            <w:tcW w:w="594" w:type="dxa"/>
            <w:shd w:val="clear" w:color="auto" w:fill="FFFFFF"/>
            <w:vAlign w:val="bottom"/>
          </w:tcPr>
          <w:p w:rsidR="00000000" w:rsidRDefault="00000000">
            <w:pPr>
              <w:tabs>
                <w:tab w:val="decimal" w:pos="468"/>
              </w:tabs>
              <w:spacing w:before="40" w:after="40" w:line="210" w:lineRule="exact"/>
              <w:ind w:right="40"/>
              <w:rPr>
                <w:sz w:val="17"/>
              </w:rPr>
            </w:pPr>
            <w:r>
              <w:rPr>
                <w:sz w:val="17"/>
              </w:rPr>
              <w:t>3</w:t>
            </w:r>
          </w:p>
        </w:tc>
      </w:tr>
      <w:tr w:rsidR="00000000">
        <w:tblPrEx>
          <w:tblCellMar>
            <w:top w:w="0" w:type="dxa"/>
            <w:left w:w="0" w:type="dxa"/>
            <w:bottom w:w="0" w:type="dxa"/>
            <w:right w:w="0" w:type="dxa"/>
          </w:tblCellMar>
        </w:tblPrEx>
        <w:tc>
          <w:tcPr>
            <w:tcW w:w="1836"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5–18 лет</w:t>
            </w:r>
          </w:p>
        </w:tc>
        <w:tc>
          <w:tcPr>
            <w:tcW w:w="963" w:type="dxa"/>
            <w:gridSpan w:val="2"/>
            <w:vAlign w:val="bottom"/>
          </w:tcPr>
          <w:p w:rsidR="00000000" w:rsidRDefault="00000000">
            <w:pPr>
              <w:tabs>
                <w:tab w:val="decimal" w:pos="576"/>
              </w:tabs>
              <w:spacing w:before="40" w:after="40" w:line="210" w:lineRule="exact"/>
              <w:ind w:right="40"/>
              <w:rPr>
                <w:sz w:val="17"/>
              </w:rPr>
            </w:pPr>
            <w:r>
              <w:rPr>
                <w:sz w:val="17"/>
              </w:rPr>
              <w:t>9,919</w:t>
            </w:r>
          </w:p>
        </w:tc>
        <w:tc>
          <w:tcPr>
            <w:tcW w:w="846" w:type="dxa"/>
            <w:vAlign w:val="bottom"/>
          </w:tcPr>
          <w:p w:rsidR="00000000" w:rsidRDefault="00000000">
            <w:pPr>
              <w:tabs>
                <w:tab w:val="decimal" w:pos="441"/>
              </w:tabs>
              <w:spacing w:before="40" w:after="40" w:line="210" w:lineRule="exact"/>
              <w:ind w:right="40"/>
              <w:rPr>
                <w:sz w:val="17"/>
              </w:rPr>
            </w:pPr>
            <w:r>
              <w:rPr>
                <w:sz w:val="17"/>
              </w:rPr>
              <w:t>9,518</w:t>
            </w:r>
          </w:p>
        </w:tc>
        <w:tc>
          <w:tcPr>
            <w:tcW w:w="891" w:type="dxa"/>
            <w:gridSpan w:val="2"/>
            <w:vAlign w:val="bottom"/>
          </w:tcPr>
          <w:p w:rsidR="00000000" w:rsidRDefault="00000000">
            <w:pPr>
              <w:tabs>
                <w:tab w:val="decimal" w:pos="486"/>
              </w:tabs>
              <w:spacing w:before="40" w:after="40" w:line="210" w:lineRule="exact"/>
              <w:ind w:right="40"/>
              <w:rPr>
                <w:sz w:val="17"/>
              </w:rPr>
            </w:pPr>
            <w:r>
              <w:rPr>
                <w:sz w:val="17"/>
              </w:rPr>
              <w:t>6,737</w:t>
            </w:r>
          </w:p>
        </w:tc>
        <w:tc>
          <w:tcPr>
            <w:tcW w:w="864" w:type="dxa"/>
            <w:vAlign w:val="bottom"/>
          </w:tcPr>
          <w:p w:rsidR="00000000" w:rsidRDefault="00000000">
            <w:pPr>
              <w:tabs>
                <w:tab w:val="decimal" w:pos="468"/>
              </w:tabs>
              <w:spacing w:before="40" w:after="40" w:line="210" w:lineRule="exact"/>
              <w:ind w:right="40"/>
              <w:rPr>
                <w:sz w:val="17"/>
              </w:rPr>
            </w:pPr>
            <w:r>
              <w:rPr>
                <w:sz w:val="17"/>
              </w:rPr>
              <w:t>6,615</w:t>
            </w:r>
          </w:p>
        </w:tc>
        <w:tc>
          <w:tcPr>
            <w:tcW w:w="864" w:type="dxa"/>
            <w:gridSpan w:val="2"/>
            <w:shd w:val="clear" w:color="auto" w:fill="FFFFFF"/>
            <w:vAlign w:val="bottom"/>
          </w:tcPr>
          <w:p w:rsidR="00000000" w:rsidRDefault="00000000">
            <w:pPr>
              <w:tabs>
                <w:tab w:val="decimal" w:pos="477"/>
              </w:tabs>
              <w:spacing w:before="40" w:after="40" w:line="210" w:lineRule="exact"/>
              <w:ind w:right="40"/>
              <w:rPr>
                <w:sz w:val="17"/>
              </w:rPr>
            </w:pPr>
            <w:r>
              <w:rPr>
                <w:sz w:val="17"/>
              </w:rPr>
              <w:t>16,656</w:t>
            </w:r>
          </w:p>
        </w:tc>
        <w:tc>
          <w:tcPr>
            <w:tcW w:w="900" w:type="dxa"/>
            <w:shd w:val="clear" w:color="auto" w:fill="FFFFFF"/>
            <w:vAlign w:val="bottom"/>
          </w:tcPr>
          <w:p w:rsidR="00000000" w:rsidRDefault="00000000">
            <w:pPr>
              <w:tabs>
                <w:tab w:val="decimal" w:pos="468"/>
              </w:tabs>
              <w:spacing w:before="40" w:after="40" w:line="210" w:lineRule="exact"/>
              <w:ind w:right="40"/>
              <w:rPr>
                <w:sz w:val="17"/>
              </w:rPr>
            </w:pPr>
            <w:r>
              <w:rPr>
                <w:sz w:val="17"/>
              </w:rPr>
              <w:t>16,133</w:t>
            </w:r>
          </w:p>
        </w:tc>
        <w:tc>
          <w:tcPr>
            <w:tcW w:w="738" w:type="dxa"/>
            <w:shd w:val="clear" w:color="auto" w:fill="FFFFFF"/>
            <w:vAlign w:val="bottom"/>
          </w:tcPr>
          <w:p w:rsidR="00000000" w:rsidRDefault="00000000">
            <w:pPr>
              <w:tabs>
                <w:tab w:val="decimal" w:pos="369"/>
              </w:tabs>
              <w:spacing w:before="40" w:after="40" w:line="210" w:lineRule="exact"/>
              <w:ind w:right="40"/>
              <w:rPr>
                <w:b/>
                <w:sz w:val="17"/>
              </w:rPr>
            </w:pPr>
            <w:r>
              <w:rPr>
                <w:b/>
                <w:sz w:val="17"/>
              </w:rPr>
              <w:t>32,789</w:t>
            </w:r>
          </w:p>
        </w:tc>
        <w:tc>
          <w:tcPr>
            <w:tcW w:w="594" w:type="dxa"/>
            <w:shd w:val="clear" w:color="auto" w:fill="FFFFFF"/>
            <w:vAlign w:val="bottom"/>
          </w:tcPr>
          <w:p w:rsidR="00000000" w:rsidRDefault="00000000">
            <w:pPr>
              <w:tabs>
                <w:tab w:val="decimal" w:pos="468"/>
              </w:tabs>
              <w:spacing w:before="40" w:after="40" w:line="210" w:lineRule="exact"/>
              <w:ind w:right="40"/>
              <w:rPr>
                <w:sz w:val="17"/>
              </w:rPr>
            </w:pPr>
            <w:r>
              <w:rPr>
                <w:sz w:val="17"/>
              </w:rPr>
              <w:t>18</w:t>
            </w:r>
          </w:p>
        </w:tc>
      </w:tr>
      <w:tr w:rsidR="00000000">
        <w:tblPrEx>
          <w:tblCellMar>
            <w:top w:w="0" w:type="dxa"/>
            <w:left w:w="0" w:type="dxa"/>
            <w:bottom w:w="0" w:type="dxa"/>
            <w:right w:w="0" w:type="dxa"/>
          </w:tblCellMar>
        </w:tblPrEx>
        <w:tc>
          <w:tcPr>
            <w:tcW w:w="1836"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18–65 лет</w:t>
            </w:r>
          </w:p>
        </w:tc>
        <w:tc>
          <w:tcPr>
            <w:tcW w:w="963" w:type="dxa"/>
            <w:gridSpan w:val="2"/>
            <w:vAlign w:val="bottom"/>
          </w:tcPr>
          <w:p w:rsidR="00000000" w:rsidRDefault="00000000">
            <w:pPr>
              <w:tabs>
                <w:tab w:val="decimal" w:pos="576"/>
              </w:tabs>
              <w:spacing w:before="40" w:after="40" w:line="210" w:lineRule="exact"/>
              <w:ind w:right="40"/>
              <w:rPr>
                <w:sz w:val="17"/>
              </w:rPr>
            </w:pPr>
            <w:r>
              <w:rPr>
                <w:sz w:val="17"/>
              </w:rPr>
              <w:t>28,641</w:t>
            </w:r>
          </w:p>
        </w:tc>
        <w:tc>
          <w:tcPr>
            <w:tcW w:w="846" w:type="dxa"/>
            <w:vAlign w:val="bottom"/>
          </w:tcPr>
          <w:p w:rsidR="00000000" w:rsidRDefault="00000000">
            <w:pPr>
              <w:tabs>
                <w:tab w:val="decimal" w:pos="441"/>
              </w:tabs>
              <w:spacing w:before="40" w:after="40" w:line="210" w:lineRule="exact"/>
              <w:ind w:right="40"/>
              <w:rPr>
                <w:sz w:val="17"/>
              </w:rPr>
            </w:pPr>
            <w:r>
              <w:rPr>
                <w:sz w:val="17"/>
              </w:rPr>
              <w:t>32,598</w:t>
            </w:r>
          </w:p>
        </w:tc>
        <w:tc>
          <w:tcPr>
            <w:tcW w:w="891" w:type="dxa"/>
            <w:gridSpan w:val="2"/>
            <w:vAlign w:val="bottom"/>
          </w:tcPr>
          <w:p w:rsidR="00000000" w:rsidRDefault="00000000">
            <w:pPr>
              <w:tabs>
                <w:tab w:val="decimal" w:pos="486"/>
              </w:tabs>
              <w:spacing w:before="40" w:after="40" w:line="210" w:lineRule="exact"/>
              <w:ind w:right="40"/>
              <w:rPr>
                <w:sz w:val="17"/>
              </w:rPr>
            </w:pPr>
            <w:r>
              <w:rPr>
                <w:sz w:val="17"/>
              </w:rPr>
              <w:t>28,780</w:t>
            </w:r>
          </w:p>
        </w:tc>
        <w:tc>
          <w:tcPr>
            <w:tcW w:w="864" w:type="dxa"/>
            <w:vAlign w:val="bottom"/>
          </w:tcPr>
          <w:p w:rsidR="00000000" w:rsidRDefault="00000000">
            <w:pPr>
              <w:tabs>
                <w:tab w:val="decimal" w:pos="468"/>
              </w:tabs>
              <w:spacing w:before="40" w:after="40" w:line="210" w:lineRule="exact"/>
              <w:ind w:right="40"/>
              <w:rPr>
                <w:sz w:val="17"/>
              </w:rPr>
            </w:pPr>
            <w:r>
              <w:rPr>
                <w:sz w:val="17"/>
              </w:rPr>
              <w:t>27,800</w:t>
            </w:r>
          </w:p>
        </w:tc>
        <w:tc>
          <w:tcPr>
            <w:tcW w:w="864" w:type="dxa"/>
            <w:gridSpan w:val="2"/>
            <w:shd w:val="clear" w:color="auto" w:fill="FFFFFF"/>
            <w:vAlign w:val="bottom"/>
          </w:tcPr>
          <w:p w:rsidR="00000000" w:rsidRDefault="00000000">
            <w:pPr>
              <w:tabs>
                <w:tab w:val="decimal" w:pos="477"/>
              </w:tabs>
              <w:spacing w:before="40" w:after="40" w:line="210" w:lineRule="exact"/>
              <w:ind w:right="40"/>
              <w:rPr>
                <w:sz w:val="17"/>
              </w:rPr>
            </w:pPr>
            <w:r>
              <w:rPr>
                <w:sz w:val="17"/>
              </w:rPr>
              <w:t>57,421</w:t>
            </w:r>
          </w:p>
        </w:tc>
        <w:tc>
          <w:tcPr>
            <w:tcW w:w="900" w:type="dxa"/>
            <w:shd w:val="clear" w:color="auto" w:fill="FFFFFF"/>
            <w:vAlign w:val="bottom"/>
          </w:tcPr>
          <w:p w:rsidR="00000000" w:rsidRDefault="00000000">
            <w:pPr>
              <w:tabs>
                <w:tab w:val="decimal" w:pos="468"/>
              </w:tabs>
              <w:spacing w:before="40" w:after="40" w:line="210" w:lineRule="exact"/>
              <w:ind w:right="40"/>
              <w:rPr>
                <w:sz w:val="17"/>
              </w:rPr>
            </w:pPr>
            <w:r>
              <w:rPr>
                <w:sz w:val="17"/>
              </w:rPr>
              <w:t>60,398</w:t>
            </w:r>
          </w:p>
        </w:tc>
        <w:tc>
          <w:tcPr>
            <w:tcW w:w="738" w:type="dxa"/>
            <w:shd w:val="clear" w:color="auto" w:fill="FFFFFF"/>
            <w:vAlign w:val="bottom"/>
          </w:tcPr>
          <w:p w:rsidR="00000000" w:rsidRDefault="00000000">
            <w:pPr>
              <w:tabs>
                <w:tab w:val="decimal" w:pos="369"/>
              </w:tabs>
              <w:spacing w:before="40" w:after="40" w:line="210" w:lineRule="exact"/>
              <w:ind w:right="40"/>
              <w:rPr>
                <w:b/>
                <w:sz w:val="17"/>
              </w:rPr>
            </w:pPr>
            <w:r>
              <w:rPr>
                <w:b/>
                <w:sz w:val="17"/>
              </w:rPr>
              <w:t>117,819</w:t>
            </w:r>
          </w:p>
        </w:tc>
        <w:tc>
          <w:tcPr>
            <w:tcW w:w="594" w:type="dxa"/>
            <w:shd w:val="clear" w:color="auto" w:fill="FFFFFF"/>
            <w:vAlign w:val="bottom"/>
          </w:tcPr>
          <w:p w:rsidR="00000000" w:rsidRDefault="00000000">
            <w:pPr>
              <w:tabs>
                <w:tab w:val="decimal" w:pos="468"/>
              </w:tabs>
              <w:spacing w:before="40" w:after="40" w:line="210" w:lineRule="exact"/>
              <w:ind w:right="40"/>
              <w:rPr>
                <w:sz w:val="17"/>
              </w:rPr>
            </w:pPr>
            <w:r>
              <w:rPr>
                <w:sz w:val="17"/>
              </w:rPr>
              <w:t>64</w:t>
            </w:r>
          </w:p>
        </w:tc>
      </w:tr>
      <w:tr w:rsidR="00000000">
        <w:tblPrEx>
          <w:tblCellMar>
            <w:top w:w="0" w:type="dxa"/>
            <w:left w:w="0" w:type="dxa"/>
            <w:bottom w:w="0" w:type="dxa"/>
            <w:right w:w="0" w:type="dxa"/>
          </w:tblCellMar>
        </w:tblPrEx>
        <w:tc>
          <w:tcPr>
            <w:tcW w:w="1836"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Старше 65 лет</w:t>
            </w:r>
          </w:p>
        </w:tc>
        <w:tc>
          <w:tcPr>
            <w:tcW w:w="963" w:type="dxa"/>
            <w:gridSpan w:val="2"/>
            <w:vAlign w:val="bottom"/>
          </w:tcPr>
          <w:p w:rsidR="00000000" w:rsidRDefault="00000000">
            <w:pPr>
              <w:tabs>
                <w:tab w:val="decimal" w:pos="576"/>
              </w:tabs>
              <w:spacing w:before="40" w:after="40" w:line="210" w:lineRule="exact"/>
              <w:ind w:right="40"/>
              <w:rPr>
                <w:sz w:val="17"/>
              </w:rPr>
            </w:pPr>
            <w:r>
              <w:rPr>
                <w:sz w:val="17"/>
              </w:rPr>
              <w:t>5,093</w:t>
            </w:r>
          </w:p>
        </w:tc>
        <w:tc>
          <w:tcPr>
            <w:tcW w:w="846" w:type="dxa"/>
            <w:vAlign w:val="bottom"/>
          </w:tcPr>
          <w:p w:rsidR="00000000" w:rsidRDefault="00000000">
            <w:pPr>
              <w:tabs>
                <w:tab w:val="decimal" w:pos="441"/>
              </w:tabs>
              <w:spacing w:before="40" w:after="40" w:line="210" w:lineRule="exact"/>
              <w:ind w:right="40"/>
              <w:rPr>
                <w:sz w:val="17"/>
              </w:rPr>
            </w:pPr>
            <w:r>
              <w:rPr>
                <w:sz w:val="17"/>
              </w:rPr>
              <w:t>7,947</w:t>
            </w:r>
          </w:p>
        </w:tc>
        <w:tc>
          <w:tcPr>
            <w:tcW w:w="891" w:type="dxa"/>
            <w:gridSpan w:val="2"/>
            <w:vAlign w:val="bottom"/>
          </w:tcPr>
          <w:p w:rsidR="00000000" w:rsidRDefault="00000000">
            <w:pPr>
              <w:tabs>
                <w:tab w:val="decimal" w:pos="486"/>
              </w:tabs>
              <w:spacing w:before="40" w:after="40" w:line="210" w:lineRule="exact"/>
              <w:ind w:right="40"/>
              <w:rPr>
                <w:sz w:val="17"/>
              </w:rPr>
            </w:pPr>
            <w:r>
              <w:rPr>
                <w:sz w:val="17"/>
              </w:rPr>
              <w:t>5,595</w:t>
            </w:r>
          </w:p>
        </w:tc>
        <w:tc>
          <w:tcPr>
            <w:tcW w:w="864" w:type="dxa"/>
            <w:vAlign w:val="bottom"/>
          </w:tcPr>
          <w:p w:rsidR="00000000" w:rsidRDefault="00000000">
            <w:pPr>
              <w:tabs>
                <w:tab w:val="decimal" w:pos="468"/>
              </w:tabs>
              <w:spacing w:before="40" w:after="40" w:line="210" w:lineRule="exact"/>
              <w:ind w:right="40"/>
              <w:rPr>
                <w:sz w:val="17"/>
              </w:rPr>
            </w:pPr>
            <w:r>
              <w:rPr>
                <w:sz w:val="17"/>
              </w:rPr>
              <w:t>7,496</w:t>
            </w:r>
          </w:p>
        </w:tc>
        <w:tc>
          <w:tcPr>
            <w:tcW w:w="864" w:type="dxa"/>
            <w:gridSpan w:val="2"/>
            <w:shd w:val="clear" w:color="auto" w:fill="FFFFFF"/>
            <w:vAlign w:val="bottom"/>
          </w:tcPr>
          <w:p w:rsidR="00000000" w:rsidRDefault="00000000">
            <w:pPr>
              <w:tabs>
                <w:tab w:val="decimal" w:pos="477"/>
              </w:tabs>
              <w:spacing w:before="40" w:after="40" w:line="210" w:lineRule="exact"/>
              <w:ind w:right="40"/>
              <w:rPr>
                <w:sz w:val="17"/>
              </w:rPr>
            </w:pPr>
            <w:r>
              <w:rPr>
                <w:sz w:val="17"/>
              </w:rPr>
              <w:t>10,688</w:t>
            </w:r>
          </w:p>
        </w:tc>
        <w:tc>
          <w:tcPr>
            <w:tcW w:w="900" w:type="dxa"/>
            <w:shd w:val="clear" w:color="auto" w:fill="FFFFFF"/>
            <w:vAlign w:val="bottom"/>
          </w:tcPr>
          <w:p w:rsidR="00000000" w:rsidRDefault="00000000">
            <w:pPr>
              <w:tabs>
                <w:tab w:val="decimal" w:pos="468"/>
              </w:tabs>
              <w:spacing w:before="40" w:after="40" w:line="210" w:lineRule="exact"/>
              <w:ind w:right="40"/>
              <w:rPr>
                <w:sz w:val="17"/>
              </w:rPr>
            </w:pPr>
            <w:r>
              <w:rPr>
                <w:sz w:val="17"/>
              </w:rPr>
              <w:t>15,443</w:t>
            </w:r>
          </w:p>
        </w:tc>
        <w:tc>
          <w:tcPr>
            <w:tcW w:w="738" w:type="dxa"/>
            <w:shd w:val="clear" w:color="auto" w:fill="FFFFFF"/>
            <w:vAlign w:val="bottom"/>
          </w:tcPr>
          <w:p w:rsidR="00000000" w:rsidRDefault="00000000">
            <w:pPr>
              <w:tabs>
                <w:tab w:val="decimal" w:pos="369"/>
              </w:tabs>
              <w:spacing w:before="40" w:after="40" w:line="210" w:lineRule="exact"/>
              <w:ind w:right="40"/>
              <w:rPr>
                <w:b/>
                <w:sz w:val="17"/>
              </w:rPr>
            </w:pPr>
            <w:r>
              <w:rPr>
                <w:b/>
                <w:sz w:val="17"/>
              </w:rPr>
              <w:t>26,131</w:t>
            </w:r>
          </w:p>
        </w:tc>
        <w:tc>
          <w:tcPr>
            <w:tcW w:w="594" w:type="dxa"/>
            <w:shd w:val="clear" w:color="auto" w:fill="FFFFFF"/>
            <w:vAlign w:val="bottom"/>
          </w:tcPr>
          <w:p w:rsidR="00000000" w:rsidRDefault="00000000">
            <w:pPr>
              <w:tabs>
                <w:tab w:val="decimal" w:pos="468"/>
              </w:tabs>
              <w:spacing w:before="40" w:after="40" w:line="210" w:lineRule="exact"/>
              <w:ind w:right="40"/>
              <w:rPr>
                <w:sz w:val="17"/>
              </w:rPr>
            </w:pPr>
            <w:r>
              <w:rPr>
                <w:sz w:val="17"/>
              </w:rPr>
              <w:t>14</w:t>
            </w:r>
          </w:p>
        </w:tc>
      </w:tr>
      <w:tr w:rsidR="00000000">
        <w:tblPrEx>
          <w:tblCellMar>
            <w:top w:w="0" w:type="dxa"/>
            <w:left w:w="0" w:type="dxa"/>
            <w:bottom w:w="0" w:type="dxa"/>
            <w:right w:w="0" w:type="dxa"/>
          </w:tblCellMar>
        </w:tblPrEx>
        <w:tc>
          <w:tcPr>
            <w:tcW w:w="1836" w:type="dxa"/>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Данные отсутс</w:t>
            </w:r>
            <w:r>
              <w:rPr>
                <w:sz w:val="17"/>
              </w:rPr>
              <w:t>т</w:t>
            </w:r>
            <w:r>
              <w:rPr>
                <w:sz w:val="17"/>
              </w:rPr>
              <w:t>вуют</w:t>
            </w:r>
          </w:p>
        </w:tc>
        <w:tc>
          <w:tcPr>
            <w:tcW w:w="963" w:type="dxa"/>
            <w:gridSpan w:val="2"/>
            <w:vAlign w:val="bottom"/>
          </w:tcPr>
          <w:p w:rsidR="00000000" w:rsidRDefault="00000000">
            <w:pPr>
              <w:tabs>
                <w:tab w:val="decimal" w:pos="576"/>
              </w:tabs>
              <w:spacing w:before="40" w:after="81" w:line="210" w:lineRule="exact"/>
              <w:ind w:right="40"/>
              <w:rPr>
                <w:sz w:val="17"/>
              </w:rPr>
            </w:pPr>
            <w:r>
              <w:rPr>
                <w:sz w:val="17"/>
              </w:rPr>
              <w:t>436</w:t>
            </w:r>
          </w:p>
        </w:tc>
        <w:tc>
          <w:tcPr>
            <w:tcW w:w="846" w:type="dxa"/>
            <w:vAlign w:val="bottom"/>
          </w:tcPr>
          <w:p w:rsidR="00000000" w:rsidRDefault="00000000">
            <w:pPr>
              <w:tabs>
                <w:tab w:val="decimal" w:pos="441"/>
              </w:tabs>
              <w:spacing w:before="40" w:after="81" w:line="210" w:lineRule="exact"/>
              <w:ind w:right="40"/>
              <w:rPr>
                <w:sz w:val="17"/>
              </w:rPr>
            </w:pPr>
            <w:r>
              <w:rPr>
                <w:sz w:val="17"/>
              </w:rPr>
              <w:t>662</w:t>
            </w:r>
          </w:p>
        </w:tc>
        <w:tc>
          <w:tcPr>
            <w:tcW w:w="891" w:type="dxa"/>
            <w:gridSpan w:val="2"/>
            <w:vAlign w:val="bottom"/>
          </w:tcPr>
          <w:p w:rsidR="00000000" w:rsidRDefault="00000000">
            <w:pPr>
              <w:tabs>
                <w:tab w:val="decimal" w:pos="486"/>
              </w:tabs>
              <w:spacing w:before="40" w:after="81" w:line="210" w:lineRule="exact"/>
              <w:ind w:right="40"/>
              <w:rPr>
                <w:sz w:val="17"/>
              </w:rPr>
            </w:pPr>
            <w:r>
              <w:rPr>
                <w:sz w:val="17"/>
              </w:rPr>
              <w:t>134</w:t>
            </w:r>
          </w:p>
        </w:tc>
        <w:tc>
          <w:tcPr>
            <w:tcW w:w="864" w:type="dxa"/>
            <w:vAlign w:val="bottom"/>
          </w:tcPr>
          <w:p w:rsidR="00000000" w:rsidRDefault="00000000">
            <w:pPr>
              <w:tabs>
                <w:tab w:val="decimal" w:pos="468"/>
              </w:tabs>
              <w:spacing w:before="40" w:after="81" w:line="210" w:lineRule="exact"/>
              <w:ind w:right="40"/>
              <w:rPr>
                <w:sz w:val="17"/>
              </w:rPr>
            </w:pPr>
            <w:r>
              <w:rPr>
                <w:sz w:val="17"/>
              </w:rPr>
              <w:t>243</w:t>
            </w:r>
          </w:p>
        </w:tc>
        <w:tc>
          <w:tcPr>
            <w:tcW w:w="864" w:type="dxa"/>
            <w:gridSpan w:val="2"/>
            <w:shd w:val="clear" w:color="auto" w:fill="FFFFFF"/>
            <w:vAlign w:val="bottom"/>
          </w:tcPr>
          <w:p w:rsidR="00000000" w:rsidRDefault="00000000">
            <w:pPr>
              <w:tabs>
                <w:tab w:val="decimal" w:pos="477"/>
              </w:tabs>
              <w:spacing w:before="40" w:after="81" w:line="210" w:lineRule="exact"/>
              <w:ind w:right="40"/>
              <w:rPr>
                <w:sz w:val="17"/>
              </w:rPr>
            </w:pPr>
            <w:r>
              <w:rPr>
                <w:sz w:val="17"/>
              </w:rPr>
              <w:t>570</w:t>
            </w:r>
          </w:p>
        </w:tc>
        <w:tc>
          <w:tcPr>
            <w:tcW w:w="900" w:type="dxa"/>
            <w:shd w:val="clear" w:color="auto" w:fill="FFFFFF"/>
            <w:vAlign w:val="bottom"/>
          </w:tcPr>
          <w:p w:rsidR="00000000" w:rsidRDefault="00000000">
            <w:pPr>
              <w:tabs>
                <w:tab w:val="decimal" w:pos="468"/>
              </w:tabs>
              <w:spacing w:before="40" w:after="81" w:line="210" w:lineRule="exact"/>
              <w:ind w:right="40"/>
              <w:rPr>
                <w:sz w:val="17"/>
              </w:rPr>
            </w:pPr>
            <w:r>
              <w:rPr>
                <w:sz w:val="17"/>
              </w:rPr>
              <w:t>905</w:t>
            </w:r>
          </w:p>
        </w:tc>
        <w:tc>
          <w:tcPr>
            <w:tcW w:w="738" w:type="dxa"/>
            <w:shd w:val="clear" w:color="auto" w:fill="FFFFFF"/>
            <w:vAlign w:val="bottom"/>
          </w:tcPr>
          <w:p w:rsidR="00000000" w:rsidRDefault="00000000">
            <w:pPr>
              <w:tabs>
                <w:tab w:val="decimal" w:pos="369"/>
              </w:tabs>
              <w:spacing w:before="40" w:after="81" w:line="210" w:lineRule="exact"/>
              <w:ind w:right="40"/>
              <w:rPr>
                <w:b/>
                <w:sz w:val="17"/>
              </w:rPr>
            </w:pPr>
            <w:r>
              <w:rPr>
                <w:b/>
                <w:sz w:val="17"/>
              </w:rPr>
              <w:t>1,475</w:t>
            </w:r>
          </w:p>
        </w:tc>
        <w:tc>
          <w:tcPr>
            <w:tcW w:w="594" w:type="dxa"/>
            <w:shd w:val="clear" w:color="auto" w:fill="FFFFFF"/>
            <w:vAlign w:val="bottom"/>
          </w:tcPr>
          <w:p w:rsidR="00000000" w:rsidRDefault="00000000">
            <w:pPr>
              <w:tabs>
                <w:tab w:val="decimal" w:pos="468"/>
              </w:tabs>
              <w:spacing w:before="40" w:after="81" w:line="210" w:lineRule="exact"/>
              <w:ind w:right="40"/>
              <w:rPr>
                <w:sz w:val="17"/>
              </w:rPr>
            </w:pPr>
            <w:r>
              <w:rPr>
                <w:sz w:val="17"/>
              </w:rPr>
              <w:t>1</w:t>
            </w:r>
          </w:p>
        </w:tc>
      </w:tr>
      <w:tr w:rsidR="00000000">
        <w:tblPrEx>
          <w:tblCellMar>
            <w:top w:w="0" w:type="dxa"/>
            <w:left w:w="0" w:type="dxa"/>
            <w:bottom w:w="0" w:type="dxa"/>
            <w:right w:w="0" w:type="dxa"/>
          </w:tblCellMar>
        </w:tblPrEx>
        <w:tc>
          <w:tcPr>
            <w:tcW w:w="1836" w:type="dxa"/>
            <w:tcBorders>
              <w:top w:val="single" w:sz="4" w:space="0" w:color="auto"/>
              <w:bottom w:val="single" w:sz="4" w:space="0" w:color="auto"/>
            </w:tcBorders>
            <w:shd w:val="clear" w:color="auto" w:fill="FFFFFF"/>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ab/>
              <w:t>Всего</w:t>
            </w:r>
          </w:p>
        </w:tc>
        <w:tc>
          <w:tcPr>
            <w:tcW w:w="963" w:type="dxa"/>
            <w:gridSpan w:val="2"/>
            <w:tcBorders>
              <w:top w:val="single" w:sz="4" w:space="0" w:color="auto"/>
              <w:bottom w:val="single" w:sz="4" w:space="0" w:color="auto"/>
            </w:tcBorders>
            <w:shd w:val="clear" w:color="auto" w:fill="FFFFFF"/>
            <w:vAlign w:val="bottom"/>
          </w:tcPr>
          <w:p w:rsidR="00000000" w:rsidRDefault="00000000">
            <w:pPr>
              <w:tabs>
                <w:tab w:val="decimal" w:pos="576"/>
              </w:tabs>
              <w:spacing w:before="81" w:after="81" w:line="210" w:lineRule="exact"/>
              <w:ind w:right="40"/>
              <w:rPr>
                <w:b/>
                <w:sz w:val="17"/>
              </w:rPr>
            </w:pPr>
            <w:r>
              <w:rPr>
                <w:b/>
                <w:sz w:val="17"/>
              </w:rPr>
              <w:t>45,750</w:t>
            </w:r>
          </w:p>
        </w:tc>
        <w:tc>
          <w:tcPr>
            <w:tcW w:w="846" w:type="dxa"/>
            <w:tcBorders>
              <w:top w:val="single" w:sz="4" w:space="0" w:color="auto"/>
              <w:bottom w:val="single" w:sz="4" w:space="0" w:color="auto"/>
            </w:tcBorders>
            <w:shd w:val="clear" w:color="auto" w:fill="FFFFFF"/>
            <w:vAlign w:val="bottom"/>
          </w:tcPr>
          <w:p w:rsidR="00000000" w:rsidRDefault="00000000">
            <w:pPr>
              <w:tabs>
                <w:tab w:val="decimal" w:pos="441"/>
              </w:tabs>
              <w:spacing w:before="81" w:after="81" w:line="210" w:lineRule="exact"/>
              <w:ind w:right="40"/>
              <w:rPr>
                <w:b/>
                <w:sz w:val="17"/>
              </w:rPr>
            </w:pPr>
            <w:r>
              <w:rPr>
                <w:b/>
                <w:sz w:val="17"/>
              </w:rPr>
              <w:t>52,343</w:t>
            </w:r>
          </w:p>
        </w:tc>
        <w:tc>
          <w:tcPr>
            <w:tcW w:w="891" w:type="dxa"/>
            <w:gridSpan w:val="2"/>
            <w:tcBorders>
              <w:top w:val="single" w:sz="4" w:space="0" w:color="auto"/>
              <w:bottom w:val="single" w:sz="4" w:space="0" w:color="auto"/>
            </w:tcBorders>
            <w:shd w:val="clear" w:color="auto" w:fill="FFFFFF"/>
            <w:vAlign w:val="bottom"/>
          </w:tcPr>
          <w:p w:rsidR="00000000" w:rsidRDefault="00000000">
            <w:pPr>
              <w:tabs>
                <w:tab w:val="decimal" w:pos="486"/>
              </w:tabs>
              <w:spacing w:before="81" w:after="81" w:line="210" w:lineRule="exact"/>
              <w:ind w:right="40"/>
              <w:rPr>
                <w:b/>
                <w:sz w:val="17"/>
              </w:rPr>
            </w:pPr>
            <w:r>
              <w:rPr>
                <w:b/>
                <w:sz w:val="17"/>
              </w:rPr>
              <w:t>42,519</w:t>
            </w:r>
          </w:p>
        </w:tc>
        <w:tc>
          <w:tcPr>
            <w:tcW w:w="864" w:type="dxa"/>
            <w:tcBorders>
              <w:top w:val="single" w:sz="4" w:space="0" w:color="auto"/>
              <w:bottom w:val="single" w:sz="4" w:space="0" w:color="auto"/>
            </w:tcBorders>
            <w:shd w:val="clear" w:color="auto" w:fill="FFFFFF"/>
            <w:vAlign w:val="bottom"/>
          </w:tcPr>
          <w:p w:rsidR="00000000" w:rsidRDefault="00000000">
            <w:pPr>
              <w:tabs>
                <w:tab w:val="decimal" w:pos="468"/>
              </w:tabs>
              <w:spacing w:before="81" w:after="81" w:line="210" w:lineRule="exact"/>
              <w:ind w:right="40"/>
              <w:rPr>
                <w:b/>
                <w:sz w:val="17"/>
              </w:rPr>
            </w:pPr>
            <w:r>
              <w:rPr>
                <w:b/>
                <w:sz w:val="17"/>
              </w:rPr>
              <w:t>43,360</w:t>
            </w:r>
          </w:p>
        </w:tc>
        <w:tc>
          <w:tcPr>
            <w:tcW w:w="864" w:type="dxa"/>
            <w:gridSpan w:val="2"/>
            <w:tcBorders>
              <w:top w:val="single" w:sz="4" w:space="0" w:color="auto"/>
              <w:bottom w:val="single" w:sz="4" w:space="0" w:color="auto"/>
            </w:tcBorders>
            <w:shd w:val="clear" w:color="auto" w:fill="FFFFFF"/>
            <w:vAlign w:val="bottom"/>
          </w:tcPr>
          <w:p w:rsidR="00000000" w:rsidRDefault="00000000">
            <w:pPr>
              <w:tabs>
                <w:tab w:val="decimal" w:pos="477"/>
              </w:tabs>
              <w:spacing w:before="81" w:after="81" w:line="210" w:lineRule="exact"/>
              <w:ind w:right="40"/>
              <w:rPr>
                <w:b/>
                <w:sz w:val="17"/>
              </w:rPr>
            </w:pPr>
            <w:r>
              <w:rPr>
                <w:b/>
                <w:sz w:val="17"/>
              </w:rPr>
              <w:t>88,269</w:t>
            </w:r>
          </w:p>
        </w:tc>
        <w:tc>
          <w:tcPr>
            <w:tcW w:w="900" w:type="dxa"/>
            <w:tcBorders>
              <w:top w:val="single" w:sz="4" w:space="0" w:color="auto"/>
              <w:bottom w:val="single" w:sz="4" w:space="0" w:color="auto"/>
            </w:tcBorders>
            <w:shd w:val="clear" w:color="auto" w:fill="FFFFFF"/>
            <w:vAlign w:val="bottom"/>
          </w:tcPr>
          <w:p w:rsidR="00000000" w:rsidRDefault="00000000">
            <w:pPr>
              <w:tabs>
                <w:tab w:val="decimal" w:pos="468"/>
              </w:tabs>
              <w:spacing w:before="81" w:after="81" w:line="210" w:lineRule="exact"/>
              <w:ind w:right="40"/>
              <w:rPr>
                <w:b/>
                <w:sz w:val="17"/>
              </w:rPr>
            </w:pPr>
            <w:r>
              <w:rPr>
                <w:b/>
                <w:sz w:val="17"/>
              </w:rPr>
              <w:t>95,703</w:t>
            </w:r>
          </w:p>
        </w:tc>
        <w:tc>
          <w:tcPr>
            <w:tcW w:w="738" w:type="dxa"/>
            <w:tcBorders>
              <w:top w:val="single" w:sz="4" w:space="0" w:color="auto"/>
              <w:bottom w:val="single" w:sz="4" w:space="0" w:color="auto"/>
            </w:tcBorders>
            <w:shd w:val="clear" w:color="auto" w:fill="FFFFFF"/>
            <w:vAlign w:val="bottom"/>
          </w:tcPr>
          <w:p w:rsidR="00000000" w:rsidRDefault="00000000">
            <w:pPr>
              <w:tabs>
                <w:tab w:val="decimal" w:pos="369"/>
              </w:tabs>
              <w:spacing w:before="81" w:after="81" w:line="210" w:lineRule="exact"/>
              <w:ind w:right="40"/>
              <w:rPr>
                <w:b/>
                <w:sz w:val="17"/>
              </w:rPr>
            </w:pPr>
            <w:r>
              <w:rPr>
                <w:b/>
                <w:sz w:val="17"/>
              </w:rPr>
              <w:t>183,972</w:t>
            </w:r>
          </w:p>
        </w:tc>
        <w:tc>
          <w:tcPr>
            <w:tcW w:w="594" w:type="dxa"/>
            <w:tcBorders>
              <w:top w:val="single" w:sz="4" w:space="0" w:color="auto"/>
              <w:bottom w:val="single" w:sz="4" w:space="0" w:color="auto"/>
            </w:tcBorders>
            <w:shd w:val="clear" w:color="auto" w:fill="FFFFFF"/>
            <w:vAlign w:val="bottom"/>
          </w:tcPr>
          <w:p w:rsidR="00000000" w:rsidRDefault="00000000">
            <w:pPr>
              <w:tabs>
                <w:tab w:val="decimal" w:pos="468"/>
              </w:tabs>
              <w:spacing w:before="81" w:after="81" w:line="210" w:lineRule="exact"/>
              <w:ind w:right="40"/>
              <w:rPr>
                <w:b/>
                <w:sz w:val="17"/>
              </w:rPr>
            </w:pPr>
            <w:r>
              <w:rPr>
                <w:b/>
                <w:sz w:val="17"/>
              </w:rPr>
              <w:t>100</w:t>
            </w:r>
          </w:p>
        </w:tc>
      </w:tr>
      <w:tr w:rsidR="00000000">
        <w:tblPrEx>
          <w:tblCellMar>
            <w:top w:w="0" w:type="dxa"/>
            <w:left w:w="0" w:type="dxa"/>
            <w:bottom w:w="0" w:type="dxa"/>
            <w:right w:w="0" w:type="dxa"/>
          </w:tblCellMar>
        </w:tblPrEx>
        <w:trPr>
          <w:cantSplit/>
        </w:trPr>
        <w:tc>
          <w:tcPr>
            <w:tcW w:w="1836" w:type="dxa"/>
            <w:tcBorders>
              <w:bottom w:val="single" w:sz="12" w:space="0" w:color="auto"/>
            </w:tcBorders>
            <w:shd w:val="clear" w:color="auto" w:fill="FFFFFF"/>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ab/>
              <w:t>В процентах</w:t>
            </w:r>
          </w:p>
        </w:tc>
        <w:tc>
          <w:tcPr>
            <w:tcW w:w="963" w:type="dxa"/>
            <w:gridSpan w:val="2"/>
            <w:tcBorders>
              <w:bottom w:val="single" w:sz="12" w:space="0" w:color="auto"/>
            </w:tcBorders>
            <w:shd w:val="clear" w:color="auto" w:fill="FFFFFF"/>
            <w:vAlign w:val="bottom"/>
          </w:tcPr>
          <w:p w:rsidR="00000000" w:rsidRDefault="00000000">
            <w:pPr>
              <w:tabs>
                <w:tab w:val="decimal" w:pos="576"/>
              </w:tabs>
              <w:spacing w:before="81" w:after="40" w:line="210" w:lineRule="exact"/>
              <w:ind w:right="40"/>
              <w:rPr>
                <w:sz w:val="17"/>
              </w:rPr>
            </w:pPr>
            <w:r>
              <w:rPr>
                <w:sz w:val="17"/>
              </w:rPr>
              <w:t>47</w:t>
            </w:r>
          </w:p>
        </w:tc>
        <w:tc>
          <w:tcPr>
            <w:tcW w:w="846" w:type="dxa"/>
            <w:tcBorders>
              <w:bottom w:val="single" w:sz="12" w:space="0" w:color="auto"/>
            </w:tcBorders>
            <w:shd w:val="clear" w:color="auto" w:fill="FFFFFF"/>
            <w:vAlign w:val="bottom"/>
          </w:tcPr>
          <w:p w:rsidR="00000000" w:rsidRDefault="00000000">
            <w:pPr>
              <w:tabs>
                <w:tab w:val="decimal" w:pos="441"/>
              </w:tabs>
              <w:spacing w:before="81" w:after="40" w:line="210" w:lineRule="exact"/>
              <w:ind w:right="40"/>
              <w:rPr>
                <w:sz w:val="17"/>
              </w:rPr>
            </w:pPr>
            <w:r>
              <w:rPr>
                <w:sz w:val="17"/>
              </w:rPr>
              <w:t>53</w:t>
            </w:r>
          </w:p>
        </w:tc>
        <w:tc>
          <w:tcPr>
            <w:tcW w:w="891" w:type="dxa"/>
            <w:gridSpan w:val="2"/>
            <w:tcBorders>
              <w:bottom w:val="single" w:sz="12" w:space="0" w:color="auto"/>
            </w:tcBorders>
            <w:shd w:val="clear" w:color="auto" w:fill="FFFFFF"/>
            <w:vAlign w:val="bottom"/>
          </w:tcPr>
          <w:p w:rsidR="00000000" w:rsidRDefault="00000000">
            <w:pPr>
              <w:tabs>
                <w:tab w:val="decimal" w:pos="486"/>
              </w:tabs>
              <w:spacing w:before="81" w:after="40" w:line="210" w:lineRule="exact"/>
              <w:ind w:right="40"/>
              <w:rPr>
                <w:sz w:val="17"/>
              </w:rPr>
            </w:pPr>
            <w:r>
              <w:rPr>
                <w:sz w:val="17"/>
              </w:rPr>
              <w:t>50</w:t>
            </w:r>
          </w:p>
        </w:tc>
        <w:tc>
          <w:tcPr>
            <w:tcW w:w="864" w:type="dxa"/>
            <w:tcBorders>
              <w:bottom w:val="single" w:sz="12" w:space="0" w:color="auto"/>
            </w:tcBorders>
            <w:shd w:val="clear" w:color="auto" w:fill="FFFFFF"/>
            <w:vAlign w:val="bottom"/>
          </w:tcPr>
          <w:p w:rsidR="00000000" w:rsidRDefault="00000000">
            <w:pPr>
              <w:tabs>
                <w:tab w:val="decimal" w:pos="468"/>
              </w:tabs>
              <w:spacing w:before="81" w:after="40" w:line="210" w:lineRule="exact"/>
              <w:ind w:right="40"/>
              <w:rPr>
                <w:sz w:val="17"/>
              </w:rPr>
            </w:pPr>
            <w:r>
              <w:rPr>
                <w:sz w:val="17"/>
              </w:rPr>
              <w:t>51</w:t>
            </w:r>
          </w:p>
        </w:tc>
        <w:tc>
          <w:tcPr>
            <w:tcW w:w="864" w:type="dxa"/>
            <w:gridSpan w:val="2"/>
            <w:tcBorders>
              <w:bottom w:val="single" w:sz="12" w:space="0" w:color="auto"/>
            </w:tcBorders>
            <w:shd w:val="clear" w:color="auto" w:fill="FFFFFF"/>
            <w:vAlign w:val="bottom"/>
          </w:tcPr>
          <w:p w:rsidR="00000000" w:rsidRDefault="00000000">
            <w:pPr>
              <w:tabs>
                <w:tab w:val="decimal" w:pos="477"/>
              </w:tabs>
              <w:spacing w:before="81" w:after="40" w:line="210" w:lineRule="exact"/>
              <w:ind w:right="40"/>
              <w:rPr>
                <w:sz w:val="17"/>
              </w:rPr>
            </w:pPr>
            <w:r>
              <w:rPr>
                <w:sz w:val="17"/>
              </w:rPr>
              <w:t>48</w:t>
            </w:r>
          </w:p>
        </w:tc>
        <w:tc>
          <w:tcPr>
            <w:tcW w:w="900" w:type="dxa"/>
            <w:tcBorders>
              <w:bottom w:val="single" w:sz="12" w:space="0" w:color="auto"/>
            </w:tcBorders>
            <w:shd w:val="clear" w:color="auto" w:fill="FFFFFF"/>
            <w:vAlign w:val="bottom"/>
          </w:tcPr>
          <w:p w:rsidR="00000000" w:rsidRDefault="00000000">
            <w:pPr>
              <w:tabs>
                <w:tab w:val="decimal" w:pos="468"/>
              </w:tabs>
              <w:spacing w:before="81" w:after="40" w:line="210" w:lineRule="exact"/>
              <w:ind w:right="40"/>
              <w:rPr>
                <w:sz w:val="17"/>
              </w:rPr>
            </w:pPr>
            <w:r>
              <w:rPr>
                <w:sz w:val="17"/>
              </w:rPr>
              <w:t>52</w:t>
            </w:r>
          </w:p>
        </w:tc>
        <w:tc>
          <w:tcPr>
            <w:tcW w:w="1332" w:type="dxa"/>
            <w:gridSpan w:val="2"/>
            <w:tcBorders>
              <w:bottom w:val="single" w:sz="12" w:space="0" w:color="auto"/>
            </w:tcBorders>
            <w:shd w:val="clear" w:color="auto" w:fill="FFFFFF"/>
            <w:vAlign w:val="bottom"/>
          </w:tcPr>
          <w:p w:rsidR="00000000" w:rsidRDefault="00000000">
            <w:pPr>
              <w:tabs>
                <w:tab w:val="decimal" w:pos="623"/>
              </w:tabs>
              <w:spacing w:before="81" w:after="40" w:line="210" w:lineRule="exact"/>
              <w:ind w:right="40"/>
              <w:rPr>
                <w:sz w:val="17"/>
              </w:rPr>
            </w:pPr>
            <w:r>
              <w:rPr>
                <w:b/>
                <w:sz w:val="17"/>
              </w:rPr>
              <w:t>100</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Как видно из гендерной структуры, среди перемещенных лиц число же</w:t>
      </w:r>
      <w:r>
        <w:t>н</w:t>
      </w:r>
      <w:r>
        <w:t>щин, прошедших повторную регистрацию больше, чем число мужчин. Разница составляет приблизительно 6 процентов. В Боснии и Герцеговине в качестве перемещенных лиц (повторно) зарегистрировалась значительная доля из почти 32 процентов домашних хозяйств, возглавляемых женщинами. В Федерации Боснии и Герцеговины насчитывается 33 148 женщин, возглавляющих дома</w:t>
      </w:r>
      <w:r>
        <w:t>ш</w:t>
      </w:r>
      <w:r>
        <w:t>ние хозяйства, а в Республике Сербской — 18 861 женщина.</w:t>
      </w:r>
    </w:p>
    <w:p w:rsidR="00000000" w:rsidRDefault="00000000">
      <w:pPr>
        <w:pStyle w:val="SingleTxt"/>
      </w:pPr>
      <w:r>
        <w:tab/>
        <w:t>В Республике Сербской первая официальная регистрация перемещенных лиц была проведена в 2000 году. Тогда было зарегистрировано 80 008 перем</w:t>
      </w:r>
      <w:r>
        <w:t>е</w:t>
      </w:r>
      <w:r>
        <w:t>щенных мужчин и 81 578 перемещенных женщин.</w:t>
      </w:r>
    </w:p>
    <w:p w:rsidR="00000000" w:rsidRDefault="00000000">
      <w:pPr>
        <w:pStyle w:val="SingleTxt"/>
      </w:pPr>
      <w:r>
        <w:tab/>
        <w:t>Согласно данным о возвращенном жилье, оно было возвращено 4644 женщинам, возглавляющим домашние хозяйства, а всего перемещенным лицам в Республике Сер</w:t>
      </w:r>
      <w:r>
        <w:t>б</w:t>
      </w:r>
      <w:r>
        <w:t>ской было возвращено 24 528 единиц жилья.</w:t>
      </w:r>
    </w:p>
    <w:p w:rsidR="00000000" w:rsidRDefault="00000000">
      <w:pPr>
        <w:pStyle w:val="SingleTxt"/>
      </w:pPr>
      <w:r>
        <w:tab/>
        <w:t>Согласно данным об отремонтированном жилье, в Республике Сербской было отремонтировано 890 единиц жилья женщин, возглавляющих перем</w:t>
      </w:r>
      <w:r>
        <w:t>е</w:t>
      </w:r>
      <w:r>
        <w:t>щенные семьи. В 2005 году еще 65 семьям из этой категории было отремонт</w:t>
      </w:r>
      <w:r>
        <w:t>и</w:t>
      </w:r>
      <w:r>
        <w:t>ровано жилье или оказана материальная помощь.</w:t>
      </w:r>
    </w:p>
    <w:p w:rsidR="00000000" w:rsidRDefault="00000000">
      <w:pPr>
        <w:pStyle w:val="SingleTxt"/>
      </w:pPr>
      <w:r>
        <w:tab/>
        <w:t>Часть женщин, возглавляющих домашние хозяйства, есть те, кто не смо</w:t>
      </w:r>
      <w:r>
        <w:t>г</w:t>
      </w:r>
      <w:r>
        <w:t>ли вернуться в свои дома по причине их сноса или плохого состояния (4824 семьи), а часть отказ</w:t>
      </w:r>
      <w:r>
        <w:t>а</w:t>
      </w:r>
      <w:r>
        <w:t>лась от возвращения (1034 семьи).</w:t>
      </w:r>
    </w:p>
    <w:p w:rsidR="00000000" w:rsidRDefault="00000000">
      <w:pPr>
        <w:pStyle w:val="SingleTxt"/>
      </w:pPr>
      <w:r>
        <w:tab/>
        <w:t>По данным министерства Республики Сербской, по делам беженцев и п</w:t>
      </w:r>
      <w:r>
        <w:t>е</w:t>
      </w:r>
      <w:r>
        <w:t>ремещенных лиц, в 2005 году общее число беженцев составило 8043 человека, в том числе 4044 женщины и 3999 мужчин.</w:t>
      </w:r>
    </w:p>
    <w:p w:rsidR="00000000" w:rsidRDefault="00000000">
      <w:pPr>
        <w:pStyle w:val="SingleTxt"/>
      </w:pPr>
      <w:r>
        <w:tab/>
        <w:t>С 2000 по 2005 год статус беженцев имели 8426 мужчин и 8422 женщины. Часть женщин, возглавляющих домашние хозяйства, не смогла вернуться в свои дома по причине их сноса или плохого состояния (205 семей), а часть о</w:t>
      </w:r>
      <w:r>
        <w:t>т</w:t>
      </w:r>
      <w:r>
        <w:t>казалась от возвращения (274 семьи).</w:t>
      </w:r>
    </w:p>
    <w:p w:rsidR="00000000" w:rsidRDefault="00000000">
      <w:pPr>
        <w:pStyle w:val="SingleTxt"/>
      </w:pPr>
      <w:r>
        <w:tab/>
        <w:t>По сообщениям министерства Федерации Боснии и Герцеговины по делам беженцев и перемещенных лиц сейчас проходит регистрация перемещенных лиц и беженцев. На сегодняшний день данные имеются только по перемеще</w:t>
      </w:r>
      <w:r>
        <w:t>н</w:t>
      </w:r>
      <w:r>
        <w:t>ным лицам: по состоянию на 31 января 2006 года насчитывалось 33 782 пер</w:t>
      </w:r>
      <w:r>
        <w:t>е</w:t>
      </w:r>
      <w:r>
        <w:t>мещенные семьи и 99 501 перемещенное лицо, в том числе 53 047 женщин (53,31 процента).</w:t>
      </w:r>
    </w:p>
    <w:p w:rsidR="00000000" w:rsidRDefault="00000000">
      <w:pPr>
        <w:pStyle w:val="SingleTxt"/>
      </w:pPr>
      <w:r>
        <w:tab/>
        <w:t>В ходе последней регистрации из 10 796 перемещенных лиц, заявивших о своем нежелании возвратиться в свои дома, 2013 человек объяснили это соо</w:t>
      </w:r>
      <w:r>
        <w:t>б</w:t>
      </w:r>
      <w:r>
        <w:t>ражениями безопасности, 892 — травматическим стрессом, 809 — опасениями подвергнуться изгнанию (53 процента — женщины). Министерства обоих о</w:t>
      </w:r>
      <w:r>
        <w:t>б</w:t>
      </w:r>
      <w:r>
        <w:t>разований строят свою работу в соответствии с действующим законодательс</w:t>
      </w:r>
      <w:r>
        <w:t>т</w:t>
      </w:r>
      <w:r>
        <w:t>вом и, в частности, дополнительными требованиями, предъявляемыми мин</w:t>
      </w:r>
      <w:r>
        <w:t>и</w:t>
      </w:r>
      <w:r>
        <w:t>стерствами к получателям помощи на строительство и ремонт жилья, которая оказывается в первую очередь семьям инвалидов войны, семьям погибших в</w:t>
      </w:r>
      <w:r>
        <w:t>о</w:t>
      </w:r>
      <w:r>
        <w:t>еннослужащих, матерям-одиночкам и т.д. Женщинам, возглавляющим дома</w:t>
      </w:r>
      <w:r>
        <w:t>ш</w:t>
      </w:r>
      <w:r>
        <w:t>ние хозяйства, уделяется особое внимание. В Федерации Боснии и Герцегов</w:t>
      </w:r>
      <w:r>
        <w:t>и</w:t>
      </w:r>
      <w:r>
        <w:t>ны, согласно данным анализа распределения помощи на восстановление и обеспечение стабильного возвращения, 23,30 процента среди всех получателей помощи составляют женщины, возглавляющие домашние хозяйства. Однако имеющихся в распоряжении министерств ресурсов недостаточно для удовл</w:t>
      </w:r>
      <w:r>
        <w:t>е</w:t>
      </w:r>
      <w:r>
        <w:t>творения потребностей всех уязвимых категорий, включая женщин-жертв во</w:t>
      </w:r>
      <w:r>
        <w:t>й</w:t>
      </w:r>
      <w:r>
        <w:t>ны.</w:t>
      </w:r>
    </w:p>
    <w:p w:rsidR="00000000" w:rsidRDefault="00000000">
      <w:pPr>
        <w:pStyle w:val="SingleTxt"/>
        <w:rPr>
          <w:b/>
        </w:rPr>
      </w:pPr>
      <w:r>
        <w:t>31,</w:t>
      </w:r>
      <w:r>
        <w:tab/>
      </w:r>
      <w:r>
        <w:rPr>
          <w:b/>
        </w:rPr>
        <w:t>Представитель Генерального секретаря по правам человека внутре</w:t>
      </w:r>
      <w:r>
        <w:rPr>
          <w:b/>
        </w:rPr>
        <w:t>н</w:t>
      </w:r>
      <w:r>
        <w:rPr>
          <w:b/>
        </w:rPr>
        <w:t>не перемещенных лиц после своего визита в Боснию и Герцеговину в июне 2005 года рекомендовал начать предпринимать систематические усилия для отыскания прочных решений для особо уязвимых групп, таких, как травмированные лица или инвалиды, пожилые лица, не получающие п</w:t>
      </w:r>
      <w:r>
        <w:rPr>
          <w:b/>
        </w:rPr>
        <w:t>о</w:t>
      </w:r>
      <w:r>
        <w:rPr>
          <w:b/>
        </w:rPr>
        <w:t>мощи от семьи, представители рома и другие лица, которые вероятнее всего не смогут вернуться в свои бывшие дома. Просьба представить и</w:t>
      </w:r>
      <w:r>
        <w:rPr>
          <w:b/>
        </w:rPr>
        <w:t>н</w:t>
      </w:r>
      <w:r>
        <w:rPr>
          <w:b/>
        </w:rPr>
        <w:t>формацию о доле женщин в этих категориях и о шагах, предпринимаемых правительствами государства и образований для выполнения этой рек</w:t>
      </w:r>
      <w:r>
        <w:rPr>
          <w:b/>
        </w:rPr>
        <w:t>о</w:t>
      </w:r>
      <w:r>
        <w:rPr>
          <w:b/>
        </w:rPr>
        <w:t>мендации, и о тех выгодах, которые женщины получат в результате пр</w:t>
      </w:r>
      <w:r>
        <w:rPr>
          <w:b/>
        </w:rPr>
        <w:t>и</w:t>
      </w:r>
      <w:r>
        <w:rPr>
          <w:b/>
        </w:rPr>
        <w:t>нятия этих мер.</w:t>
      </w:r>
    </w:p>
    <w:p w:rsidR="00000000" w:rsidRDefault="00000000">
      <w:pPr>
        <w:pStyle w:val="SingleTxt"/>
      </w:pPr>
      <w:r>
        <w:tab/>
        <w:t>Эти вопросы регулируются законодательством образований. Данные о д</w:t>
      </w:r>
      <w:r>
        <w:t>о</w:t>
      </w:r>
      <w:r>
        <w:t>ле женщин зависят от конкретной категории уязвимых групп.</w:t>
      </w:r>
    </w:p>
    <w:p w:rsidR="00000000" w:rsidRDefault="00000000">
      <w:pPr>
        <w:pStyle w:val="SingleTxt"/>
      </w:pPr>
      <w:r>
        <w:tab/>
        <w:t>Согласно Закону Федерации Боснии и Герцеговины о социальной защите и защите гражданских жертв войны и семей с детьми под гражданскими жер</w:t>
      </w:r>
      <w:r>
        <w:t>т</w:t>
      </w:r>
      <w:r>
        <w:t>вами войны пон</w:t>
      </w:r>
      <w:r>
        <w:t>и</w:t>
      </w:r>
      <w:r>
        <w:t>маются:</w:t>
      </w:r>
    </w:p>
    <w:p w:rsidR="00000000" w:rsidRDefault="00000000">
      <w:pPr>
        <w:pStyle w:val="SingleTxt"/>
        <w:ind w:left="1742"/>
      </w:pPr>
      <w:r>
        <w:t>«1)</w:t>
      </w:r>
      <w:r>
        <w:tab/>
        <w:t>Лица, физический ущерб которым по меньшей мере на 60 процентов был причинен в результате увечья, нанесенного во время/в результ</w:t>
      </w:r>
      <w:r>
        <w:t>а</w:t>
      </w:r>
      <w:r>
        <w:t>те:</w:t>
      </w:r>
    </w:p>
    <w:p w:rsidR="00000000" w:rsidRDefault="00000000">
      <w:pPr>
        <w:pStyle w:val="SingleTxt"/>
        <w:ind w:left="1742" w:hanging="475"/>
      </w:pPr>
      <w:r>
        <w:tab/>
      </w:r>
      <w:r>
        <w:tab/>
        <w:t>a)</w:t>
      </w:r>
      <w:r>
        <w:tab/>
        <w:t>притеснения или пленения в ходе войны или в результате неп</w:t>
      </w:r>
      <w:r>
        <w:t>о</w:t>
      </w:r>
      <w:r>
        <w:t>сре</w:t>
      </w:r>
      <w:r>
        <w:t>д</w:t>
      </w:r>
      <w:r>
        <w:t>ственной угрозы войны;</w:t>
      </w:r>
    </w:p>
    <w:p w:rsidR="00000000" w:rsidRDefault="00000000">
      <w:pPr>
        <w:pStyle w:val="SingleTxt"/>
        <w:ind w:left="1742" w:hanging="475"/>
      </w:pPr>
      <w:r>
        <w:tab/>
      </w:r>
      <w:r>
        <w:tab/>
        <w:t>b)</w:t>
      </w:r>
      <w:r>
        <w:tab/>
        <w:t>военных действий (бомбардировок, уличных боев, взрыва в</w:t>
      </w:r>
      <w:r>
        <w:t>о</w:t>
      </w:r>
      <w:r>
        <w:t>енных материалов, выстрела пули);</w:t>
      </w:r>
    </w:p>
    <w:p w:rsidR="00000000" w:rsidRDefault="00000000">
      <w:pPr>
        <w:pStyle w:val="SingleTxt"/>
      </w:pPr>
      <w:r>
        <w:tab/>
      </w:r>
      <w:r>
        <w:tab/>
        <w:t>c)</w:t>
      </w:r>
      <w:r>
        <w:tab/>
        <w:t>взрыва военных материалов, оставшихся после войны;</w:t>
      </w:r>
    </w:p>
    <w:p w:rsidR="00000000" w:rsidRDefault="00000000">
      <w:pPr>
        <w:pStyle w:val="SingleTxt"/>
        <w:ind w:left="1742" w:hanging="475"/>
      </w:pPr>
      <w:r>
        <w:tab/>
      </w:r>
      <w:r>
        <w:tab/>
        <w:t>d)</w:t>
      </w:r>
      <w:r>
        <w:tab/>
        <w:t>совершения ряда террористических актов, угрожающих без</w:t>
      </w:r>
      <w:r>
        <w:t>о</w:t>
      </w:r>
      <w:r>
        <w:t>пасности и конституционному порядку Федерации Боснии и Герцег</w:t>
      </w:r>
      <w:r>
        <w:t>о</w:t>
      </w:r>
      <w:r>
        <w:t>вины.</w:t>
      </w:r>
    </w:p>
    <w:p w:rsidR="00000000" w:rsidRDefault="00000000">
      <w:pPr>
        <w:pStyle w:val="SingleTxt"/>
        <w:ind w:left="1742" w:hanging="475"/>
      </w:pPr>
      <w:r>
        <w:tab/>
        <w:t>2.</w:t>
      </w:r>
      <w:r>
        <w:tab/>
        <w:t>Инвалидом считается лицо, состояние которого по меньшей мере на 60 процентов обусловлено каким-нибудь заболеванием или ухудшилось в результате о</w:t>
      </w:r>
      <w:r>
        <w:t>б</w:t>
      </w:r>
      <w:r>
        <w:t xml:space="preserve">стоятельств, указанных в пункте 1 настоящей статьи. </w:t>
      </w:r>
    </w:p>
    <w:p w:rsidR="00000000" w:rsidRDefault="00000000">
      <w:pPr>
        <w:pStyle w:val="SingleTxt"/>
        <w:ind w:left="1742" w:hanging="475"/>
      </w:pPr>
      <w:r>
        <w:tab/>
        <w:t>3.</w:t>
      </w:r>
      <w:r>
        <w:tab/>
        <w:t>Гражданской жертвой войны является также лицо, которое умерло (в результате естественной смерти или аварии или исчезло в обстоятельс</w:t>
      </w:r>
      <w:r>
        <w:t>т</w:t>
      </w:r>
      <w:r>
        <w:t>вах, указанных в пункте 1 настоящей статьи».</w:t>
      </w:r>
    </w:p>
    <w:p w:rsidR="00000000" w:rsidRDefault="00000000">
      <w:pPr>
        <w:pStyle w:val="SingleTxt"/>
      </w:pPr>
      <w:r>
        <w:tab/>
        <w:t>В настоящее время проводится много кампаний и других мероприятий, организованных в целях расширения определения «гражданская жертва во</w:t>
      </w:r>
      <w:r>
        <w:t>й</w:t>
      </w:r>
      <w:r>
        <w:t>ны», фигурирующего в законодательном предложении Федерации Боснии и Герцеговины о внесении изменений и добавлений в Закон о социальной защ</w:t>
      </w:r>
      <w:r>
        <w:t>и</w:t>
      </w:r>
      <w:r>
        <w:t>те, защите гражданских жертв войны и семей с детьми. Определение должно также распространяться на женщин, травмированных в результате войны и связанных с ней преступлений, в том числе на женщин, подвергнувшихся и</w:t>
      </w:r>
      <w:r>
        <w:t>з</w:t>
      </w:r>
      <w:r>
        <w:t>насилованию и пыткам и содержавшихся в концентрационных лагерях. Пре</w:t>
      </w:r>
      <w:r>
        <w:t>д</w:t>
      </w:r>
      <w:r>
        <w:t>лагается следующая формул</w:t>
      </w:r>
      <w:r>
        <w:t>и</w:t>
      </w:r>
      <w:r>
        <w:t>ровка:</w:t>
      </w:r>
    </w:p>
    <w:p w:rsidR="00000000" w:rsidRDefault="00000000">
      <w:pPr>
        <w:pStyle w:val="SingleTxt"/>
        <w:ind w:left="1742" w:hanging="475"/>
      </w:pPr>
      <w:r>
        <w:tab/>
      </w:r>
      <w:r>
        <w:tab/>
        <w:t>«Для целей настоящего закона под гражданской жертвой войны п</w:t>
      </w:r>
      <w:r>
        <w:t>о</w:t>
      </w:r>
      <w:r>
        <w:t>нимается лицо, которому лично либо коллективно были причинены физ</w:t>
      </w:r>
      <w:r>
        <w:t>и</w:t>
      </w:r>
      <w:r>
        <w:t>ческий или психологический вред, эмоциональные страдания или знач</w:t>
      </w:r>
      <w:r>
        <w:t>и</w:t>
      </w:r>
      <w:r>
        <w:t>тельный ущерб здоровью в ходе:</w:t>
      </w:r>
    </w:p>
    <w:p w:rsidR="00000000" w:rsidRDefault="00000000">
      <w:pPr>
        <w:pStyle w:val="SingleTxt"/>
        <w:ind w:left="1742" w:hanging="475"/>
      </w:pPr>
      <w:r>
        <w:tab/>
      </w:r>
      <w:r>
        <w:tab/>
        <w:t>1)</w:t>
      </w:r>
      <w:r>
        <w:tab/>
        <w:t>пыток и бесчеловечного или унижающего достоинство обращ</w:t>
      </w:r>
      <w:r>
        <w:t>е</w:t>
      </w:r>
      <w:r>
        <w:t>ния, полового насилия, изнасилования или незаконного наказания или з</w:t>
      </w:r>
      <w:r>
        <w:t>а</w:t>
      </w:r>
      <w:r>
        <w:t>ключения под стражу (в тюрьму, концентрационный лагерь, лагерь пр</w:t>
      </w:r>
      <w:r>
        <w:t>и</w:t>
      </w:r>
      <w:r>
        <w:t>нудительного труда) во время войны или при наличии непосредственной угрозы во</w:t>
      </w:r>
      <w:r>
        <w:t>й</w:t>
      </w:r>
      <w:r>
        <w:t>ны».</w:t>
      </w:r>
    </w:p>
    <w:p w:rsidR="00000000" w:rsidRDefault="00000000">
      <w:pPr>
        <w:pStyle w:val="SingleTxt"/>
      </w:pPr>
      <w:r>
        <w:tab/>
        <w:t>Такие инициативы и кампании еще более активизировались после прис</w:t>
      </w:r>
      <w:r>
        <w:t>у</w:t>
      </w:r>
      <w:r>
        <w:t>ждения на Берлинском кинофестивале приза «Золотой медведь» фильму «Грбавица» Ясмилы Жбанич, кинорежиссера и продюсера, которая рассказала в этом фильме о судьбе женщины, изнасилованной во время войны в Боснии и Герцеговине и родившей ребенка, и о многочисленных проблемах, с которыми она сталкивается в послевоенное время.</w:t>
      </w:r>
    </w:p>
    <w:p w:rsidR="00000000" w:rsidRDefault="00000000">
      <w:pPr>
        <w:pStyle w:val="SingleTxt"/>
      </w:pPr>
      <w:r>
        <w:tab/>
        <w:t>В Республике Сербской это определение полностью включено в Закон о защите гражданских жертв войны и с 1993 года распространяется на женщин-жертв войны.</w:t>
      </w:r>
    </w:p>
    <w:p w:rsidR="00000000" w:rsidRDefault="00000000">
      <w:pPr>
        <w:pStyle w:val="SingleTxt"/>
        <w:rPr>
          <w:b/>
        </w:rPr>
      </w:pPr>
      <w:r>
        <w:t>32.</w:t>
      </w:r>
      <w:r>
        <w:tab/>
      </w:r>
      <w:r>
        <w:rPr>
          <w:b/>
        </w:rPr>
        <w:t>Какие программы имеются или разрабатываются для решения пр</w:t>
      </w:r>
      <w:r>
        <w:rPr>
          <w:b/>
        </w:rPr>
        <w:t>о</w:t>
      </w:r>
      <w:r>
        <w:rPr>
          <w:b/>
        </w:rPr>
        <w:t>блемы отсутствия у женщин рома документов, необходимых для получ</w:t>
      </w:r>
      <w:r>
        <w:rPr>
          <w:b/>
        </w:rPr>
        <w:t>е</w:t>
      </w:r>
      <w:r>
        <w:rPr>
          <w:b/>
        </w:rPr>
        <w:t>ния услуг, требующихся для осуществления основных гражданских, пол</w:t>
      </w:r>
      <w:r>
        <w:rPr>
          <w:b/>
        </w:rPr>
        <w:t>и</w:t>
      </w:r>
      <w:r>
        <w:rPr>
          <w:b/>
        </w:rPr>
        <w:t>тических, социальных и экономических прав, таких, как свидетельство о рождении, удостов</w:t>
      </w:r>
      <w:r>
        <w:rPr>
          <w:b/>
        </w:rPr>
        <w:t>е</w:t>
      </w:r>
      <w:r>
        <w:rPr>
          <w:b/>
        </w:rPr>
        <w:t>рение личности или паспорт.</w:t>
      </w:r>
    </w:p>
    <w:p w:rsidR="00000000" w:rsidRDefault="00000000">
      <w:pPr>
        <w:pStyle w:val="SingleTxt"/>
      </w:pPr>
      <w:r>
        <w:tab/>
        <w:t>По инициативе Совета по делам рома, Совета министров Боснии и Герц</w:t>
      </w:r>
      <w:r>
        <w:t>е</w:t>
      </w:r>
      <w:r>
        <w:t>говины, Совета рома Боснии и Герцеговины, ОБСЕ и ряда муниципалитетов Боснии и Герцеговины в 2003–2005 годах были осуществлены различные м</w:t>
      </w:r>
      <w:r>
        <w:t>е</w:t>
      </w:r>
      <w:r>
        <w:t>роприятия. В результате удалось добиться значительного прогресса в регис</w:t>
      </w:r>
      <w:r>
        <w:t>т</w:t>
      </w:r>
      <w:r>
        <w:t>рации рома в государственных органах, регистрирующих акты гражданского состояния. После этих кампаний многие рома получили удостоверения личн</w:t>
      </w:r>
      <w:r>
        <w:t>о</w:t>
      </w:r>
      <w:r>
        <w:t>сти, водительские права, паспорта и т.д. Однако предстоит еще проделать зн</w:t>
      </w:r>
      <w:r>
        <w:t>а</w:t>
      </w:r>
      <w:r>
        <w:t>чительную работу.</w:t>
      </w:r>
    </w:p>
    <w:p w:rsidR="00000000" w:rsidRDefault="00000000">
      <w:pPr>
        <w:pStyle w:val="SingleTxt"/>
      </w:pPr>
      <w:r>
        <w:tab/>
        <w:t>В Совете министров Боснии и Герцеговины сейчас обсуждается проект CIPS, т.е. речь идет о министерстве Боснии и Герцеговины по гражданским д</w:t>
      </w:r>
      <w:r>
        <w:t>е</w:t>
      </w:r>
      <w:r>
        <w:t>лам, которое в последние два с половиной года занимается регистрацией и в</w:t>
      </w:r>
      <w:r>
        <w:t>ы</w:t>
      </w:r>
      <w:r>
        <w:t>дачей личных документов гражданам Боснии и Герцеговины и отвечает за р</w:t>
      </w:r>
      <w:r>
        <w:t>е</w:t>
      </w:r>
      <w:r>
        <w:t>гистрацию всех актов гражданского состояния рома и выдачу им личных док</w:t>
      </w:r>
      <w:r>
        <w:t>у</w:t>
      </w:r>
      <w:r>
        <w:t>ментов. Совет министров Боснии и Герцеговины также рекомендовал мин</w:t>
      </w:r>
      <w:r>
        <w:t>и</w:t>
      </w:r>
      <w:r>
        <w:t>стерствам образований и местной администрации, кантональным и муниц</w:t>
      </w:r>
      <w:r>
        <w:t>и</w:t>
      </w:r>
      <w:r>
        <w:t>пальным министерствам и службам, отвечающим за эти вопросы, создать соо</w:t>
      </w:r>
      <w:r>
        <w:t>т</w:t>
      </w:r>
      <w:r>
        <w:t>ветствующую организационную базу и выделить необходимые людские и ф</w:t>
      </w:r>
      <w:r>
        <w:t>и</w:t>
      </w:r>
      <w:r>
        <w:t>нансовые ресурсы для решения этой проблемы в 2006 году. Эта работа будет проводиться в сотрудничестве с неправительственными организациями рома, т.е. сетью НПО р</w:t>
      </w:r>
      <w:r>
        <w:t>о</w:t>
      </w:r>
      <w:r>
        <w:t>ма.</w:t>
      </w:r>
    </w:p>
    <w:p w:rsidR="00000000" w:rsidRDefault="00000000">
      <w:pPr>
        <w:pStyle w:val="SingleTxt"/>
      </w:pPr>
      <w:r>
        <w:tab/>
        <w:t>Полиция района Брчко Боснии и Герцеговины сообщила о том, что при наличии у женщины рома необходимых справок она может получать личные документы (паспорт и удостоверение личности) в соответствующих учрежд</w:t>
      </w:r>
      <w:r>
        <w:t>е</w:t>
      </w:r>
      <w:r>
        <w:t>ниях, как и любой другой гражданин района Брчко Боснии и Герцеговины. Министерство внутренних дел кантона Сараево также сообщило об отсутствии каких бы то ни было проблем с выдачей личных документов (паспортов и уд</w:t>
      </w:r>
      <w:r>
        <w:t>о</w:t>
      </w:r>
      <w:r>
        <w:t>стоверений личности) женщинам рома. Они выдаются всем гражданам в уст</w:t>
      </w:r>
      <w:r>
        <w:t>а</w:t>
      </w:r>
      <w:r>
        <w:t xml:space="preserve">новленном законом порядке.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Факультативный протокол</w:t>
      </w:r>
    </w:p>
    <w:p w:rsidR="00000000" w:rsidRDefault="00000000">
      <w:pPr>
        <w:pStyle w:val="SingleTxt"/>
        <w:spacing w:after="0" w:line="120" w:lineRule="exact"/>
        <w:rPr>
          <w:sz w:val="10"/>
        </w:rPr>
      </w:pPr>
    </w:p>
    <w:p w:rsidR="00000000" w:rsidRDefault="00000000">
      <w:pPr>
        <w:pStyle w:val="SingleTxt"/>
        <w:rPr>
          <w:b/>
        </w:rPr>
      </w:pPr>
      <w:r>
        <w:t>33.</w:t>
      </w:r>
      <w:r>
        <w:tab/>
      </w:r>
      <w:r>
        <w:rPr>
          <w:b/>
        </w:rPr>
        <w:t>Просьба представить информацию о разрабатываемых или принятых правительством мерах для распространения информации о Факультати</w:t>
      </w:r>
      <w:r>
        <w:rPr>
          <w:b/>
        </w:rPr>
        <w:t>в</w:t>
      </w:r>
      <w:r>
        <w:rPr>
          <w:b/>
        </w:rPr>
        <w:t>ном протоколе и поощрения его применения</w:t>
      </w:r>
    </w:p>
    <w:p w:rsidR="00000000" w:rsidRDefault="00000000">
      <w:pPr>
        <w:pStyle w:val="SingleTxt"/>
      </w:pPr>
      <w:r>
        <w:tab/>
        <w:t>В рамках регионального гендерного проекта, в реализации которого ок</w:t>
      </w:r>
      <w:r>
        <w:t>а</w:t>
      </w:r>
      <w:r>
        <w:t>зывает поддержку отделение ООН в Боснии и Герцеговине, Агентство генде</w:t>
      </w:r>
      <w:r>
        <w:t>р</w:t>
      </w:r>
      <w:r>
        <w:t>ного равенства Боснии и Герцеговины обеспечивает публикацию Конвенции о ликвидации всех форм дискриминации в отношении женщин и Факультативн</w:t>
      </w:r>
      <w:r>
        <w:t>о</w:t>
      </w:r>
      <w:r>
        <w:t>го протокола к ней (на четырех языках: боснийском, хорватском, сербском и английском) для целей ее более широкого распростран</w:t>
      </w:r>
      <w:r>
        <w:t>е</w:t>
      </w:r>
      <w:r>
        <w:t xml:space="preserve">ния. </w:t>
      </w:r>
    </w:p>
    <w:p w:rsidR="00000000" w:rsidRDefault="00000000">
      <w:pPr>
        <w:pStyle w:val="SingleTxt"/>
      </w:pPr>
      <w:r>
        <w:tab/>
        <w:t>В ходе подготовки ответов на вопросы, касающиеся рассмотрения перв</w:t>
      </w:r>
      <w:r>
        <w:t>о</w:t>
      </w:r>
      <w:r>
        <w:t>начального и периодического докладов Боснии и Герцеговины об осуществл</w:t>
      </w:r>
      <w:r>
        <w:t>е</w:t>
      </w:r>
      <w:r>
        <w:t>нии Конвенции о ликвидации всех форм дискриминации в отношении женщин, Агентство гендерного равенства Боснии и Герцеговины связывалось с рядом институтов и организаций Боснии и Герцеговины. Среди них: министерство иностранных дел Боснии и Герцеговины, министерство Боснии и Герцеговины по правам человека и делам беженцев, Совет по делам рома Совета министров Боснии и Герцеговины, Суд Боснии и Герцеговины, Управление уполномоче</w:t>
      </w:r>
      <w:r>
        <w:t>н</w:t>
      </w:r>
      <w:r>
        <w:t>ных Боснии и Герцеговины по правам человека, Управление национального к</w:t>
      </w:r>
      <w:r>
        <w:t>о</w:t>
      </w:r>
      <w:r>
        <w:t>ординатора по вопросам борьбы с торговлей людьми, Ассоциация работодат</w:t>
      </w:r>
      <w:r>
        <w:t>е</w:t>
      </w:r>
      <w:r>
        <w:t>лей Боснии и Герцеговины, гендерные центры Федерации Боснии и Герцегов</w:t>
      </w:r>
      <w:r>
        <w:t>и</w:t>
      </w:r>
      <w:r>
        <w:t>ны и Республики Сербской, институт омбудсмена Федерации Боснии и Герц</w:t>
      </w:r>
      <w:r>
        <w:t>е</w:t>
      </w:r>
      <w:r>
        <w:t>говины, министерство развития, предпринимательства и бизнеса Федерации Боснии и Герцеговины, министерство труда и социальной политики Боснии и Герцеговины, министерство здравоохранения Федерации Боснии и Герцегов</w:t>
      </w:r>
      <w:r>
        <w:t>и</w:t>
      </w:r>
      <w:r>
        <w:t>ны, министерство сельского и лесного хозяйства и водных ресурсов Федерации Боснии и Герцеговины, министерство Федерации Боснии и Герцеговины по д</w:t>
      </w:r>
      <w:r>
        <w:t>е</w:t>
      </w:r>
      <w:r>
        <w:t>лам перемещенных лиц и беженцев, Институт охраны здоровья Федерации Боснии и Герцеговины, Верховный суд Федерации Боснии и Герцеговины, Управление прокурора Федерации Боснии и Герцеговины, кантональные мин</w:t>
      </w:r>
      <w:r>
        <w:t>и</w:t>
      </w:r>
      <w:r>
        <w:t>стерства внутренних дел, кантональные суды, центр социальной работы кант</w:t>
      </w:r>
      <w:r>
        <w:t>о</w:t>
      </w:r>
      <w:r>
        <w:t>на Сараево, министерство здравоохранения и социальной защиты Республики Сербской, группа координации проектов охраны здоровья министерства здр</w:t>
      </w:r>
      <w:r>
        <w:t>а</w:t>
      </w:r>
      <w:r>
        <w:t>воохранения и социальной защиты Республики Сербской, министерство обр</w:t>
      </w:r>
      <w:r>
        <w:t>а</w:t>
      </w:r>
      <w:r>
        <w:t>зования и культуры Республики Сербской, министерство Республики Сербской по делам беженцев и перемещенных лиц, министерство экономики, энергетики и развития Республики Сербской, Агентство развития малых и средних пре</w:t>
      </w:r>
      <w:r>
        <w:t>д</w:t>
      </w:r>
      <w:r>
        <w:t>приятий Республики Сербской, группа координации сельскохозяйственных проектов министерства сельского и лесного хозяйства и водных ресурсов Ре</w:t>
      </w:r>
      <w:r>
        <w:t>с</w:t>
      </w:r>
      <w:r>
        <w:t>публики Сербской, инспекция охраны труда Республики Сербской, Секретар</w:t>
      </w:r>
      <w:r>
        <w:t>и</w:t>
      </w:r>
      <w:r>
        <w:t>ат Республики Сербской по вопросам сотрудничества с Гаагским трибуналом, Фонд развития и занятости Республики Сербской, Институт занятости Респу</w:t>
      </w:r>
      <w:r>
        <w:t>б</w:t>
      </w:r>
      <w:r>
        <w:t>лики Сербской, Ассоциация профсоюзов Республики Сербской, Омбудсмен Республики Сербской, Управление прокурора Республики Сербской, реги</w:t>
      </w:r>
      <w:r>
        <w:t>о</w:t>
      </w:r>
      <w:r>
        <w:t>нальный суд в Баня-Луке, региональный суд в Добое, региональный суд в Во</w:t>
      </w:r>
      <w:r>
        <w:t>с</w:t>
      </w:r>
      <w:r>
        <w:t>точном Сараево, региональный суд Биелине, региональный суд Требине, а та</w:t>
      </w:r>
      <w:r>
        <w:t>к</w:t>
      </w:r>
      <w:r>
        <w:t>же такие международные организации, как ПРООН и УДКПЧ и местные н</w:t>
      </w:r>
      <w:r>
        <w:t>е</w:t>
      </w:r>
      <w:r>
        <w:t>правительственные женские организации.</w:t>
      </w:r>
    </w:p>
    <w:p w:rsidR="00000000" w:rsidRDefault="00000000">
      <w:pPr>
        <w:pStyle w:val="SingleTxt"/>
        <w:spacing w:after="0" w:line="240" w:lineRule="auto"/>
      </w:pPr>
      <w:r>
        <w:rPr>
          <w:w w:val="100"/>
        </w:rPr>
        <w:pict>
          <v:line id="_x0000_s2050" style="position:absolute;left:0;text-align:left;z-index:1;mso-position-horizontal:absolute;mso-position-horizontal-relative:text;mso-position-vertical:absolute;mso-position-vertical-relative:text" from="210.25pt,30pt" to="282.25pt,30pt" o:allowincell="f" strokeweight=".25pt"/>
        </w:pict>
      </w:r>
    </w:p>
    <w:sectPr w:rsidR="00000000">
      <w:endnotePr>
        <w:numFmt w:val="decimal"/>
      </w:endnotePr>
      <w:type w:val="continuous"/>
      <w:pgSz w:w="12240" w:h="15840" w:code="1"/>
      <w:pgMar w:top="1742" w:right="1195" w:bottom="1898" w:left="1195" w:header="576" w:footer="103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NO&gt;&gt;N0628670R&lt;&lt;ODS JOB NO&gt;&gt;</w:t>
      </w:r>
    </w:p>
    <w:p w:rsidR="00000000" w:rsidRDefault="00000000">
      <w:pPr>
        <w:pStyle w:val="CommentText"/>
      </w:pPr>
      <w:r>
        <w:t>&lt;&lt;ODS DOC SYMBOL1&gt;&gt;CEDAW/C/BIH/Q/3/Add.1&lt;&lt;ODS DOC SYMBOL1&gt;&gt;</w:t>
      </w:r>
    </w:p>
    <w:p w:rsidR="00000000" w:rsidRDefault="00000000">
      <w:pPr>
        <w:pStyle w:val="CommentText"/>
      </w:pPr>
      <w:r>
        <w:t>&lt;&lt;ODS DOC SYMBOL2&gt;&gt;&lt;&lt;ODS DOC SYMBOL2&gt;&gt;</w:t>
      </w:r>
    </w:p>
  </w:comment>
  <w:comment w:id="1"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NO&gt;&gt;N0628670R&lt;&lt;ODS JOB NO&gt;&gt;</w:t>
      </w:r>
    </w:p>
    <w:p w:rsidR="00000000" w:rsidRDefault="00000000">
      <w:pPr>
        <w:pStyle w:val="CommentText"/>
      </w:pPr>
      <w:r>
        <w:t>&lt;&lt;ODS DOC SYMBOL1&gt;&gt;&lt;&lt;ODS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ode 3of9 4.6">
    <w:altName w:val="Times New Roman"/>
    <w:panose1 w:val="00000000000000000000"/>
    <w:charset w:val="00"/>
    <w:family w:val="roman"/>
    <w:notTrueType/>
    <w:pitch w:val="default"/>
    <w:sig w:usb0="04BCF608" w:usb1="00000008" w:usb2="04BCF608" w:usb3="00000008"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42</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43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t>06-28670 (R)    040506    040506</w:t>
    </w:r>
  </w:p>
  <w:p w:rsidR="00000000" w:rsidRDefault="00000000">
    <w:pPr>
      <w:pStyle w:val="Footer"/>
      <w:spacing w:before="120" w:line="240" w:lineRule="exact"/>
      <w:rPr>
        <w:rFonts w:ascii="Barcode 3 of 9 by request" w:hAnsi="Barcode 3 of 9 by request"/>
        <w:b w:val="0"/>
        <w:spacing w:val="4"/>
        <w:w w:val="103"/>
        <w:sz w:val="24"/>
      </w:rPr>
    </w:pPr>
    <w:r>
      <w:rPr>
        <w:rFonts w:ascii="Barcode 3 of 9 by request" w:hAnsi="Barcode 3 of 9 by request"/>
        <w:b w:val="0"/>
        <w:spacing w:val="4"/>
        <w:w w:val="103"/>
        <w:sz w:val="24"/>
      </w:rPr>
      <w:t>*0628670*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t>06-28670 (R)    040506    040506</w:t>
    </w:r>
  </w:p>
  <w:p w:rsidR="00000000" w:rsidRDefault="00000000">
    <w:pPr>
      <w:pStyle w:val="Footer"/>
      <w:spacing w:before="60" w:line="200" w:lineRule="exact"/>
      <w:rPr>
        <w:rFonts w:ascii="Code 3of9 4.6" w:hAnsi="Code 3of9 4.6"/>
        <w:b w:val="0"/>
        <w:sz w:val="20"/>
      </w:rPr>
    </w:pPr>
    <w:r>
      <w:rPr>
        <w:rFonts w:ascii="Code 3of9 4.6" w:hAnsi="Code 3of9 4.6"/>
        <w:b w:val="0"/>
        <w:sz w:val="20"/>
      </w:rPr>
      <w:t>*0628670*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spacing w:after="80"/>
        <w:ind w:left="792"/>
        <w:rPr>
          <w:sz w:val="16"/>
        </w:rPr>
      </w:pPr>
      <w:r>
        <w:rPr>
          <w:sz w:val="16"/>
        </w:rPr>
        <w:t>__________________</w:t>
      </w:r>
    </w:p>
  </w:footnote>
  <w:footnote w:type="continuationSeparator" w:id="0">
    <w:p w:rsidR="00000000" w:rsidRDefault="00000000">
      <w:pPr>
        <w:pStyle w:val="Footer"/>
        <w:spacing w:after="80"/>
        <w:ind w:left="792"/>
        <w:rPr>
          <w:sz w:val="16"/>
        </w:rPr>
      </w:pPr>
      <w:r>
        <w:rPr>
          <w:sz w:val="16"/>
        </w:rPr>
        <w:t>__________________</w:t>
      </w:r>
    </w:p>
  </w:footnote>
  <w:footnote w:id="1">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t>*</w:t>
      </w:r>
      <w:r>
        <w:tab/>
        <w:t>Публикуется без официального редактирования.</w:t>
      </w:r>
    </w:p>
  </w:footnote>
  <w:footnote w:id="2">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Статистическое управление Боснии и Герцеговины и статистические институты образований.</w:t>
      </w:r>
    </w:p>
  </w:footnote>
  <w:footnote w:id="3">
    <w:p w:rsidR="00000000" w:rsidRDefault="00000000">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ab/>
        <w:t>Более подробная информация о мероприятиях по учету гендерной проблематики в сфере образования представлена в пункте A19.</w:t>
      </w:r>
    </w:p>
  </w:footnote>
  <w:footnote w:id="4">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Ассоциация граждан «Куча пламена мира» из Тузлы осуществила в августе 2005 года проект, который позволил подготовить репортаж под названием «Осуществление закона о равенстве мужчин и женщин в Боснии и Герцеговине в муниципалитете Тузлы». Цель этого репортажа заключалась в представлении общей картины о положении с равенством полов в этом муниципалитете и улучшении информированности населения относительно равенства полов во всех областях частной и профессиональной жизни. Были проведены интервью с представителями всех областей, охватываемых законом о равенстве полов. Этот репортаж неоднократно транслировался по кантональным и национальным телеканалам.</w:t>
      </w:r>
    </w:p>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tab/>
        <w:t>НПО «Веста» из Тузлы получила субсидии для осуществления проекта «Учитывающие гендерные аспекты репортажи журналистов и укрепление потенциала для представления средств массовой информации в советах по гендерной проблематике».</w:t>
      </w:r>
    </w:p>
  </w:footnote>
  <w:footnote w:id="5">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НПО «Фондасиа локальне демокрацие» — проект укрепления потенциала «Сети безопасности при помощи передачи знаний».</w:t>
      </w:r>
    </w:p>
  </w:footnote>
  <w:footnote w:id="6">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В муниципалитете Завидовичи была создана ассоциация граждан «Дети и матери», которая совместно с комиссией муниципалитета по вопросам равенства полов, центром социальной работы, институтом здравоохранения и поликлиникой, департаментом полиции Завидовичи, начальной и средней школами муниципалитета осуществила мероприятия по защите детей и матерей. Были организованы практикумы и общественные слушания по следующим вопросам: профилактика и охрана здоровья и защита жертв насилия.</w:t>
      </w:r>
    </w:p>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tab/>
      </w:r>
      <w:r>
        <w:tab/>
        <w:t>НПО «Природа» организовала три совещания за круглым столом с участием представителей полиции, центров социальной помощи, судов, местных органов власти и НПО. Выводы этих совещаний были затем распространены среди всех соответствующих учреждений и опубликованы в средствах массовой информации. Она также представляет в ее помещениях информацию о том, куда и каким образом можно сообщать о таких случаях. В стратегическом плане комиссии муниципалитета по гендерной проблематике, который был разработан в сотрудничестве с НПО, одна из стратегических целей заключается в информировании не только жертв насилия, но также и общественности по вопросу о необходимости проведения совместных мероприятий в целях сокращения числа случаев насилия в семье.</w:t>
      </w:r>
    </w:p>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tab/>
      </w:r>
      <w:r>
        <w:tab/>
        <w:t>НПО «Референтна група Тузла» обеспечивает улучшение информированности и предоставляет бесплатную правовую помощь своим бенефициарам. Она организовала практикум «Творческие методы урегулирования конфликтов», с тем чтобы укрепить потенциал полиции, социальных работников, психологов, педагогов и преподавателей в кантоне Тузлы в целях обеспечения большей степени учета гендерных аспектов в рамках их поддержки, оказываемой жертвам насилия.</w:t>
      </w:r>
    </w:p>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tab/>
      </w:r>
      <w:r>
        <w:tab/>
        <w:t>После создания в 1998 году НПО «ЛАРА» Биелина оказывает бесплатную правовую помощь жертвам бытового насилия в семье из числа женщин. В своем центре для женщин она создала специальную группу, включающую юрисконсультов, которые каждый день принимают и консультируют жертв насилия. Ее адвокат бесплатно представляет женщин, ставших жертвами насилия, в ходе слушаний/судебных разбирательств (в отношении обвиняемых по вопросам попечительства над детьми, раздела общего имущества и в ходе слушания большого числа дел, касающихся занятости, когда женщины остаются без работы по причине беременности). За последние восемь лет она наладила активное сотрудничество с учреждениями, занимающимися вопросами насилия (полицией, центрами социальной помощи, учреждениями здравоохранения). Она на регулярной основе проводит совещания с представителями учреждений в целях обмена практическим опытом и информацией о совместных мероприятиях. Она организовала профессиональную подготовку для сотрудников полиции по вопросам насилия в семье. Кроме того, она организовала обучение женщин сельских районов (20 деревень) по вопросам, касающимся их прав. В результате проведения этих практикумов увеличилось число женщин, обращающихся за помощью.</w:t>
      </w:r>
    </w:p>
  </w:footnote>
  <w:footnote w:id="7">
    <w:p w:rsidR="00000000" w:rsidRDefault="00000000">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ab/>
      </w:r>
      <w:r>
        <w:rPr>
          <w:lang w:val="en-US"/>
        </w:rPr>
        <w:t>Udružene žene Banja Luka, Budućnost Modriča, Lara Bijeljina and Ženski centar Trebinje.</w:t>
      </w:r>
    </w:p>
  </w:footnote>
  <w:footnote w:id="8">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Целевая группа Боснии и Герцеговины по гендерной проблематике, проект «Женщины-рома могут делать это», организовала конференцию; ее выводы были широко распространены среди организационных механизмов по гендерной проблематике, при этом к ним была обращена просьба учитывать эти выводы в ходе их работы.</w:t>
      </w:r>
    </w:p>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tab/>
      </w:r>
      <w:r>
        <w:tab/>
        <w:t>В муниципалитете Завидовичи действует ассоциация граждан «Женщины-рома», которая занимается вопросами улучшения положения женщин-рома. Она тесно сотрудничает с ассоциацией граждан «Дети и матери». В работе ассоциации «Женщины-рома» также участвуют женщины из сельских районов муниципалитета, такие, как ассоциация граждан «Ловника».</w:t>
      </w:r>
    </w:p>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tab/>
      </w:r>
      <w:r>
        <w:tab/>
        <w:t>НПО «Лара» организует подготовку женщин-рома в городах и сельских районах в целях поощрения их к участию в общественных мероприятиях и деятельности.</w:t>
      </w:r>
    </w:p>
  </w:footnote>
  <w:footnote w:id="9">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НПО «Лара» Биелина — проект «Женщина Боснии и Герцеговины — от закона к реальному равенству»; НПО «Мост» Вишеград — проект «Осуществление закона о равенстве мужчин и женщин в четырех городах восточной части Боснии и Герцеговины»; НПО «Жене с уне» Бихач — проект «Мы сильнее, когда мы равны»; «Женский центр» Требине — проект «Мои права человека женщины»; НПО «Природа» Братунац — проект «Осуществление закона о равенстве мужчин и женщин в местной общине»; «ЛИ</w:t>
      </w:r>
      <w:r>
        <w:noBreakHyphen/>
        <w:t>женщины» Ливно — проект «У нас есть закон — давайте выполнять его»; «Жена Боснии и Герцеговины» Мостар — проект «Информационно-пропагандистская деятельность в целях полного осуществления статьи 15 закона о равенстве мужчин и женщин в Боснии и Герцеговине»; «Форум жена» Братунац — проект «Разработка стратегии в интересах осуществления закона о равенстве мужчин и женщин на местном уровне»; НПО «Астра» и «Жезеро» — проект «Укрепление роли женщин на основе равенства во всех областях общественной жизни»; Центр по улучшению Брчко (КУБ) — проект «Равенство мужчин и женщин в сфере государственного управления района Брчко».</w:t>
      </w:r>
    </w:p>
  </w:footnote>
  <w:footnote w:id="10">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Поскольку в 2006 году в Боснии и Герцеговине будут проводиться выборы, программа работы Комиссии по вопросам равенства между мужчинами и женщинами муниципалитета Завидовичи на 2006 год включает, в качестве одной из основных целей, кампанию улучшения информированности женщин об их праве на волеизъявление в соответствии с собственными убеждениями, не подвергаясь давлению извне.</w:t>
      </w:r>
    </w:p>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tab/>
      </w:r>
      <w:r>
        <w:tab/>
        <w:t>В октябре 2004 года в ходе местных выборов в Боснии и Герцеговине неправительственная организация «Лара» провела обследование, которое показало, что в сельских районах в выборах уровень участия женщин на 50</w:t>
      </w:r>
      <w:r>
        <w:rPr>
          <w:lang w:val="en-US"/>
        </w:rPr>
        <w:t> </w:t>
      </w:r>
      <w:r>
        <w:t>процентов ниже, чем в городских. Очень низкая активность участия в выборах сельских женщин заставляет эту неправительственную организацию проводить перед выборами кампании, специально рассчитанные на женщин. С женщинами проводятся встречи с участием включенных в списки кандидатов-женщин, которые рассказывают о себе и своих планах.</w:t>
      </w:r>
    </w:p>
  </w:footnote>
  <w:footnote w:id="11">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НПО «Про и Контра», Приедор — проект «Гендерное равенство ради нашего будущего».</w:t>
      </w:r>
    </w:p>
  </w:footnote>
  <w:footnote w:id="12">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«Юро Ром» и «Болья Будукност» — проект «Исследования и мониторинг гендерного воздействия в общинах рома».</w:t>
      </w:r>
    </w:p>
  </w:footnote>
  <w:footnote w:id="13">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Доклад о развитии человека, «Достижение целей в области развития, сформулированных в Декларации тысячелетия, в Боснии и Герцеговине», ПРООН, 2003 год.</w:t>
      </w:r>
    </w:p>
  </w:footnote>
  <w:footnote w:id="14">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НПО «Виктория 99» Яйце — проект «Улучшение экономического положения женщин через их представленность и образование»; НПО «Инициатива в интересах развития человека» — проект «Разрыв в доходах мужчин и женщин в Боснии и Герцеговине».</w:t>
      </w:r>
    </w:p>
  </w:footnote>
  <w:footnote w:id="15">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НПО «Референтна група»</w:t>
      </w:r>
      <w:r>
        <w:rPr>
          <w:lang w:val="en-US"/>
        </w:rPr>
        <w:t xml:space="preserve"> </w:t>
      </w:r>
      <w:r>
        <w:t>из Тузлы организует для женщин курсы шитья, обучает парикмахерскому делу и обращению с компьютерами и т.д. Ее центр, объединяющий женщин-предпринимателей, также помогает женщинам открыть свое дело, устроиться на постоянную или временную работу (стирка, мытье автомобилей, чистка ковров, уборка помещений, уход за пожилыми лицами и т.д.). Все работницы охвачены медицинским страхованием.</w:t>
      </w:r>
    </w:p>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tab/>
      </w:r>
      <w:r>
        <w:tab/>
        <w:t>НПО «Лара» организует для женщин семинары, на которых выступают работники организаций, предоставляющих микрокредиты, а женщинам даются ответы и консультации о том, как открыть собственное дело.</w:t>
      </w:r>
    </w:p>
  </w:footnote>
  <w:footnote w:id="16">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Закон Боснии и Герцеговины о равенстве между мужчинами и женщинами «Работа, занятость и доступ ко всем формам экономических ресурсов» — выводы и рекомендации Рабочей группы, Агентство гендерного равенства, 2005 год.</w:t>
      </w:r>
    </w:p>
  </w:footnote>
  <w:footnote w:id="17">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НПО «Природа» привлекает пожилых сельских женщин к организации женских групп, подготовке членов этих групп и к работе в сельских районах. Для оказания им помощи в реализации их имущественных и наследственных прав эта неправительственная организация предоставляет информацию и консультирует по юридическим вопросам, направляя своих представителей на места и организуя там собрания и семинары. Однако, по мнению организации, ее работа не приносит больших результатов, поскольку сельские женщины считают нормальным положение, когда они не имеют имущественных и наследственных прав, полагая, что эти права «естественным образом принадлежат» мужьям, братьям и т.д. Требуется настойчивая работа и много времени, чтобы изменить эту ситуацию.</w:t>
      </w:r>
    </w:p>
  </w:footnote>
  <w:footnote w:id="18">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НПО «ЛАРА» постоянно работает с женщинами в сельских районах, с тем чтобы поощрять их к отстаиванию их прав. </w:t>
      </w:r>
      <w:r>
        <w:rPr>
          <w:lang w:val="en-US"/>
        </w:rPr>
        <w:t>“Female Headed Households in BiH”, May 2003, Ren Kukanesen, United Nations in Bosnia and Herzegovina.</w:t>
      </w:r>
    </w:p>
  </w:footnote>
  <w:footnote w:id="19">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Pr>
          <w:i/>
        </w:rPr>
        <w:t>Министерство по правам человека и делам беженцев: Доклад о (повторной) регистрации перемещенных лиц в Боснии и Герцеговине, декабрь 2005 года</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28.8pt;width:7in;height:50.4pt;z-index:2;mso-position-horizontal:absolute;mso-position-horizontal-relative:text;mso-position-vertical:absolute;mso-position-vertical-relative:page" o:allowincell="f" stroked="f">
          <v:textbox style="mso-rotate-with-shape:t" inset="0,0,0,0">
            <w:txbxContent>
              <w:tbl>
                <w:tblPr>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CEDAW/C/BIH/Q/3/Add.1</w:t>
                      </w:r>
                    </w:p>
                  </w:tc>
                  <w:tc>
                    <w:tcPr>
                      <w:tcW w:w="5047" w:type="dxa"/>
                      <w:vAlign w:val="bottom"/>
                    </w:tcPr>
                    <w:p w:rsidR="00000000" w:rsidRDefault="00000000">
                      <w:pPr>
                        <w:pStyle w:val="Header"/>
                      </w:pPr>
                    </w:p>
                  </w:tc>
                </w:tr>
              </w:tbl>
              <w:p w:rsidR="00000000" w:rsidRDefault="00000000"/>
            </w:txbxContent>
          </v:textbox>
          <w10:wrap anchory="page"/>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28.8pt;width:7in;height:50.4pt;z-index:1;mso-position-horizontal:absolute;mso-position-horizontal-relative:text;mso-position-vertical:absolute;mso-position-vertical-relative:page" o:allowincell="f" stroked="f">
          <v:textbox style="mso-rotate-with-shape:t" inset="0,0,0,0">
            <w:txbxContent>
              <w:tbl>
                <w:tblPr>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CEDAW/C/BIH/Q/3/Add.1</w:t>
                      </w:r>
                    </w:p>
                  </w:tc>
                </w:tr>
              </w:tbl>
              <w:p w:rsidR="00000000" w:rsidRDefault="00000000"/>
            </w:txbxContent>
          </v:textbox>
          <w10:wrap anchory="page"/>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3154"/>
      <w:gridCol w:w="245"/>
      <w:gridCol w:w="1828"/>
      <w:gridCol w:w="245"/>
      <w:gridCol w:w="3140"/>
    </w:tblGrid>
    <w:tr w:rsidR="00000000">
      <w:tblPrEx>
        <w:tblCellMar>
          <w:top w:w="0" w:type="dxa"/>
          <w:left w:w="0" w:type="dxa"/>
          <w:bottom w:w="0" w:type="dxa"/>
          <w:right w:w="0" w:type="dxa"/>
        </w:tblCellMar>
      </w:tblPrEx>
      <w:trPr>
        <w:cantSplit/>
        <w:trHeight w:hRule="exact" w:val="864"/>
      </w:trPr>
      <w:tc>
        <w:tcPr>
          <w:tcW w:w="4421" w:type="dxa"/>
          <w:gridSpan w:val="2"/>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Организация Объединенных Наций</w:t>
          </w:r>
        </w:p>
      </w:tc>
      <w:tc>
        <w:tcPr>
          <w:tcW w:w="245" w:type="dxa"/>
          <w:tcBorders>
            <w:top w:val="nil"/>
            <w:left w:val="nil"/>
            <w:bottom w:val="nil"/>
            <w:right w:val="nil"/>
          </w:tcBorders>
          <w:vAlign w:val="bottom"/>
        </w:tcPr>
        <w:p w:rsidR="00000000" w:rsidRDefault="00000000">
          <w:pPr>
            <w:pStyle w:val="Header"/>
            <w:spacing w:after="120"/>
          </w:pPr>
        </w:p>
      </w:tc>
      <w:tc>
        <w:tcPr>
          <w:tcW w:w="5213" w:type="dxa"/>
          <w:gridSpan w:val="3"/>
          <w:tcBorders>
            <w:top w:val="nil"/>
            <w:left w:val="nil"/>
            <w:bottom w:val="nil"/>
            <w:right w:val="nil"/>
          </w:tcBorders>
          <w:vAlign w:val="bottom"/>
        </w:tcPr>
        <w:p w:rsidR="00000000" w:rsidRDefault="00000000">
          <w:pPr>
            <w:pStyle w:val="Header"/>
            <w:spacing w:after="20"/>
            <w:jc w:val="right"/>
            <w:rPr>
              <w:sz w:val="20"/>
            </w:rPr>
          </w:pPr>
          <w:r>
            <w:rPr>
              <w:sz w:val="40"/>
            </w:rPr>
            <w:t>CEDAW</w:t>
          </w:r>
          <w:r>
            <w:rPr>
              <w:sz w:val="20"/>
            </w:rPr>
            <w:t>/C/BIH/Q/3/Add.1</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Конвенция о ликвидации всех форм дискриминации в отношении женщин</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27 March 2006</w:t>
          </w:r>
        </w:p>
        <w:p w:rsidR="00000000" w:rsidRDefault="00000000">
          <w:r>
            <w:t>Russian</w:t>
          </w:r>
        </w:p>
        <w:p w:rsidR="00000000" w:rsidRDefault="00000000">
          <w:r>
            <w:t>Original: English</w:t>
          </w:r>
        </w:p>
      </w:tc>
    </w:tr>
  </w:tbl>
  <w:p w:rsidR="00000000" w:rsidRDefault="00000000">
    <w:pPr>
      <w:pStyle w:val="Header"/>
      <w:spacing w:line="20" w:lineRule="exact"/>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3154"/>
      <w:gridCol w:w="245"/>
      <w:gridCol w:w="1828"/>
      <w:gridCol w:w="245"/>
      <w:gridCol w:w="3140"/>
    </w:tblGrid>
    <w:tr w:rsidR="00000000">
      <w:tblPrEx>
        <w:tblCellMar>
          <w:top w:w="0" w:type="dxa"/>
          <w:left w:w="0" w:type="dxa"/>
          <w:bottom w:w="0" w:type="dxa"/>
          <w:right w:w="0" w:type="dxa"/>
        </w:tblCellMar>
      </w:tblPrEx>
      <w:trPr>
        <w:cantSplit/>
        <w:trHeight w:hRule="exact" w:val="864"/>
      </w:trPr>
      <w:tc>
        <w:tcPr>
          <w:tcW w:w="4421" w:type="dxa"/>
          <w:gridSpan w:val="2"/>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Организация Объединенных Наций</w:t>
          </w:r>
        </w:p>
      </w:tc>
      <w:tc>
        <w:tcPr>
          <w:tcW w:w="245" w:type="dxa"/>
          <w:tcBorders>
            <w:top w:val="nil"/>
            <w:left w:val="nil"/>
            <w:bottom w:val="nil"/>
            <w:right w:val="nil"/>
          </w:tcBorders>
          <w:vAlign w:val="bottom"/>
        </w:tcPr>
        <w:p w:rsidR="00000000" w:rsidRDefault="00000000">
          <w:pPr>
            <w:pStyle w:val="Header"/>
            <w:spacing w:after="120"/>
          </w:pPr>
        </w:p>
      </w:tc>
      <w:tc>
        <w:tcPr>
          <w:tcW w:w="5213" w:type="dxa"/>
          <w:gridSpan w:val="3"/>
          <w:tcBorders>
            <w:top w:val="nil"/>
            <w:left w:val="nil"/>
            <w:bottom w:val="nil"/>
            <w:right w:val="nil"/>
          </w:tcBorders>
          <w:vAlign w:val="bottom"/>
        </w:tcPr>
        <w:p w:rsidR="00000000" w:rsidRDefault="00000000">
          <w:pPr>
            <w:pStyle w:val="Header"/>
            <w:spacing w:after="20"/>
            <w:jc w:val="right"/>
            <w:rPr>
              <w:sz w:val="20"/>
            </w:rPr>
          </w:pP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pP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27 March 2006</w:t>
          </w:r>
        </w:p>
        <w:p w:rsidR="00000000" w:rsidRDefault="00000000">
          <w:r>
            <w:t>Russian</w:t>
          </w:r>
        </w:p>
        <w:p w:rsidR="00000000" w:rsidRDefault="00000000">
          <w:r>
            <w:t>Original: English</w:t>
          </w:r>
        </w:p>
      </w:tc>
    </w:tr>
  </w:tbl>
  <w:p w:rsidR="00000000" w:rsidRDefault="00000000">
    <w:pPr>
      <w:pStyle w:val="Header"/>
      <w:spacing w:line="20" w:lineRule="exac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9CAD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372B8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3CEA3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3C2E390"/>
    <w:lvl w:ilvl="0">
      <w:start w:val="1"/>
      <w:numFmt w:val="decimal"/>
      <w:pStyle w:val="ListNumber2"/>
      <w:lvlText w:val="%1."/>
      <w:lvlJc w:val="left"/>
      <w:pPr>
        <w:tabs>
          <w:tab w:val="num" w:pos="643"/>
        </w:tabs>
        <w:ind w:left="643" w:hanging="360"/>
      </w:pPr>
    </w:lvl>
  </w:abstractNum>
  <w:abstractNum w:abstractNumId="4">
    <w:nsid w:val="FFFFFF88"/>
    <w:multiLevelType w:val="singleLevel"/>
    <w:tmpl w:val="A450318C"/>
    <w:lvl w:ilvl="0">
      <w:start w:val="1"/>
      <w:numFmt w:val="decimal"/>
      <w:pStyle w:val="ListNumber"/>
      <w:lvlText w:val="%1."/>
      <w:lvlJc w:val="left"/>
      <w:pPr>
        <w:tabs>
          <w:tab w:val="num" w:pos="360"/>
        </w:tabs>
        <w:ind w:left="360" w:hanging="360"/>
      </w:pPr>
    </w:lvl>
  </w:abstractNum>
  <w:abstractNum w:abstractNumId="5">
    <w:nsid w:val="2BB16AA8"/>
    <w:multiLevelType w:val="multilevel"/>
    <w:tmpl w:val="19820D8E"/>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312"/>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4176"/>
        </w:tabs>
        <w:ind w:left="3888" w:hanging="432"/>
      </w:pPr>
    </w:lvl>
    <w:lvl w:ilvl="7">
      <w:start w:val="1"/>
      <w:numFmt w:val="none"/>
      <w:lvlText w:val=""/>
      <w:lvlJc w:val="left"/>
      <w:pPr>
        <w:tabs>
          <w:tab w:val="num" w:pos="4248"/>
        </w:tabs>
        <w:ind w:left="3888" w:firstLine="0"/>
      </w:pPr>
    </w:lvl>
    <w:lvl w:ilvl="8">
      <w:start w:val="1"/>
      <w:numFmt w:val="none"/>
      <w:suff w:val="nothing"/>
      <w:lvlText w:val=""/>
      <w:lvlJc w:val="left"/>
      <w:pPr>
        <w:ind w:left="3888" w:firstLine="0"/>
      </w:pPr>
    </w:lvl>
  </w:abstractNum>
  <w:abstractNum w:abstractNumId="6">
    <w:nsid w:val="34DC129E"/>
    <w:multiLevelType w:val="singleLevel"/>
    <w:tmpl w:val="03EE3166"/>
    <w:lvl w:ilvl="0">
      <w:start w:val="1"/>
      <w:numFmt w:val="decimal"/>
      <w:pStyle w:val="ListContinue2"/>
      <w:lvlText w:val="%1."/>
      <w:lvlJc w:val="right"/>
      <w:pPr>
        <w:tabs>
          <w:tab w:val="num" w:pos="792"/>
        </w:tabs>
        <w:ind w:left="792" w:hanging="317"/>
      </w:pPr>
      <w:rPr>
        <w:rFonts w:hint="default"/>
      </w:rPr>
    </w:lvl>
  </w:abstractNum>
  <w:abstractNum w:abstractNumId="7">
    <w:nsid w:val="5FF27F2B"/>
    <w:multiLevelType w:val="multilevel"/>
    <w:tmpl w:val="68AAAA24"/>
    <w:name w:val="TOC"/>
    <w:lvl w:ilvl="0">
      <w:start w:val="1"/>
      <w:numFmt w:val="upperRoman"/>
      <w:lvlText w:val="%1."/>
      <w:lvlJc w:val="right"/>
      <w:pPr>
        <w:tabs>
          <w:tab w:val="num" w:pos="1296"/>
        </w:tabs>
        <w:ind w:left="1296" w:hanging="216"/>
      </w:pPr>
    </w:lvl>
    <w:lvl w:ilvl="1">
      <w:start w:val="1"/>
      <w:numFmt w:val="upperLetter"/>
      <w:lvlText w:val="%2."/>
      <w:lvlJc w:val="left"/>
      <w:pPr>
        <w:tabs>
          <w:tab w:val="num" w:pos="-32406"/>
        </w:tabs>
        <w:ind w:left="-32766" w:firstLine="0"/>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312"/>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4176"/>
        </w:tabs>
        <w:ind w:left="3888" w:hanging="432"/>
      </w:pPr>
    </w:lvl>
    <w:lvl w:ilvl="7">
      <w:start w:val="1"/>
      <w:numFmt w:val="none"/>
      <w:lvlText w:val=""/>
      <w:lvlJc w:val="left"/>
      <w:pPr>
        <w:tabs>
          <w:tab w:val="num" w:pos="4248"/>
        </w:tabs>
        <w:ind w:left="3888" w:firstLine="0"/>
      </w:pPr>
    </w:lvl>
    <w:lvl w:ilvl="8">
      <w:start w:val="1"/>
      <w:numFmt w:val="none"/>
      <w:suff w:val="nothing"/>
      <w:lvlText w:val=""/>
      <w:lvlJc w:val="left"/>
      <w:pPr>
        <w:ind w:left="3888" w:firstLine="0"/>
      </w:pPr>
    </w:lvl>
  </w:abstractNum>
  <w:num w:numId="1">
    <w:abstractNumId w:val="6"/>
  </w:num>
  <w:num w:numId="2">
    <w:abstractNumId w:val="4"/>
  </w:num>
  <w:num w:numId="3">
    <w:abstractNumId w:val="4"/>
  </w:num>
  <w:num w:numId="4">
    <w:abstractNumId w:val="3"/>
  </w:num>
  <w:num w:numId="5">
    <w:abstractNumId w:val="3"/>
  </w:num>
  <w:num w:numId="6">
    <w:abstractNumId w:val="2"/>
  </w:num>
  <w:num w:numId="7">
    <w:abstractNumId w:val="2"/>
  </w:num>
  <w:num w:numId="8">
    <w:abstractNumId w:val="1"/>
  </w:num>
  <w:num w:numId="9">
    <w:abstractNumId w:val="1"/>
  </w:num>
  <w:num w:numId="10">
    <w:abstractNumId w:val="0"/>
  </w:num>
  <w:num w:numId="11">
    <w:abstractNumId w:val="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activeWritingStyle w:appName="MSWord" w:lang="ru-RU" w:vendorID="1" w:dllVersion="512" w:checkStyle="1"/>
  <w:doNotTrackMoves/>
  <w:defaultTabStop w:val="475"/>
  <w:autoHyphenation/>
  <w:hyphenationZone w:val="2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noColumnBalance/>
    <w:printColBlack/>
    <w:showBreaksInFrames/>
    <w:suppressBottomSpacing/>
    <w:suppressTopSpacing/>
    <w:suppressTopSpacingWP/>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4/05/2006 14:10:40"/>
    <w:docVar w:name="DocCategory" w:val="Doc"/>
    <w:docVar w:name="DocType" w:val="Final"/>
    <w:docVar w:name="JobNo" w:val="0628670R"/>
    <w:docVar w:name="OandT" w:val=" "/>
    <w:docVar w:name="Symbol1" w:val="CEDAW/C/BIH/Q/3/Add.1"/>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ru-RU"/>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M">
    <w:name w:val="_ H __M"/>
    <w:basedOn w:val="Normal"/>
    <w:next w:val="Normal"/>
    <w:pPr>
      <w:keepNext/>
      <w:keepLines/>
      <w:suppressAutoHyphens/>
      <w:spacing w:line="360" w:lineRule="exact"/>
      <w:outlineLvl w:val="0"/>
    </w:pPr>
    <w:rPr>
      <w:b/>
      <w:spacing w:val="-3"/>
      <w:w w:val="99"/>
      <w:sz w:val="34"/>
    </w:rPr>
  </w:style>
  <w:style w:type="paragraph" w:customStyle="1" w:styleId="H1">
    <w:name w:val="_ H_1"/>
    <w:basedOn w:val="Normal"/>
    <w:next w:val="Normal"/>
    <w:pPr>
      <w:suppressAutoHyphens/>
      <w:spacing w:line="270" w:lineRule="exact"/>
      <w:outlineLvl w:val="0"/>
    </w:pPr>
    <w:rPr>
      <w:b/>
      <w:sz w:val="24"/>
    </w:rPr>
  </w:style>
  <w:style w:type="paragraph" w:customStyle="1" w:styleId="HCh">
    <w:name w:val="_ H _Ch"/>
    <w:basedOn w:val="H1"/>
    <w:next w:val="Normal"/>
    <w:pPr>
      <w:keepNext/>
      <w:keepLines/>
      <w:spacing w:line="300" w:lineRule="exact"/>
    </w:pPr>
    <w:rPr>
      <w:spacing w:val="-2"/>
      <w:sz w:val="28"/>
    </w:rPr>
  </w:style>
  <w:style w:type="paragraph" w:customStyle="1" w:styleId="H23">
    <w:name w:val="_ H_2/3"/>
    <w:basedOn w:val="H1"/>
    <w:next w:val="SingleTxt"/>
    <w:pPr>
      <w:keepNext/>
      <w:keepLines/>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styleId="ListContinue2">
    <w:name w:val="List Continue 2"/>
    <w:basedOn w:val="Normal"/>
    <w:next w:val="Normal"/>
    <w:semiHidden/>
    <w:pPr>
      <w:numPr>
        <w:numId w:val="1"/>
      </w:numPr>
      <w:spacing w:after="120"/>
    </w:pPr>
  </w:style>
  <w:style w:type="paragraph" w:styleId="ListNumber">
    <w:name w:val="List Number"/>
    <w:basedOn w:val="H1"/>
    <w:next w:val="Normal"/>
    <w:semiHidden/>
    <w:pPr>
      <w:numPr>
        <w:numId w:val="3"/>
      </w:numPr>
      <w:tabs>
        <w:tab w:val="clear" w:pos="360"/>
        <w:tab w:val="num" w:pos="792"/>
      </w:tabs>
      <w:ind w:left="792" w:hanging="317"/>
    </w:pPr>
  </w:style>
  <w:style w:type="paragraph" w:styleId="ListNumber2">
    <w:name w:val="List Number 2"/>
    <w:basedOn w:val="H23"/>
    <w:next w:val="Normal"/>
    <w:semiHidden/>
    <w:pPr>
      <w:numPr>
        <w:numId w:val="5"/>
      </w:numPr>
      <w:tabs>
        <w:tab w:val="clear" w:pos="643"/>
        <w:tab w:val="num" w:pos="792"/>
      </w:tabs>
      <w:ind w:left="792" w:hanging="317"/>
    </w:pPr>
  </w:style>
  <w:style w:type="paragraph" w:styleId="ListNumber3">
    <w:name w:val="List Number 3"/>
    <w:basedOn w:val="H23"/>
    <w:next w:val="Normal"/>
    <w:semiHidden/>
    <w:pPr>
      <w:numPr>
        <w:numId w:val="7"/>
      </w:numPr>
      <w:tabs>
        <w:tab w:val="clear" w:pos="926"/>
        <w:tab w:val="num" w:pos="792"/>
      </w:tabs>
      <w:ind w:left="792" w:hanging="317"/>
    </w:pPr>
  </w:style>
  <w:style w:type="paragraph" w:styleId="ListNumber4">
    <w:name w:val="List Number 4"/>
    <w:basedOn w:val="H4"/>
    <w:next w:val="Normal"/>
    <w:semiHidden/>
    <w:pPr>
      <w:numPr>
        <w:numId w:val="9"/>
      </w:numPr>
      <w:tabs>
        <w:tab w:val="clear" w:pos="1209"/>
        <w:tab w:val="num" w:pos="792"/>
      </w:tabs>
      <w:ind w:left="792" w:hanging="317"/>
    </w:pPr>
  </w:style>
  <w:style w:type="paragraph" w:styleId="ListNumber5">
    <w:name w:val="List Number 5"/>
    <w:basedOn w:val="Normal"/>
    <w:next w:val="Normal"/>
    <w:semiHidden/>
    <w:pPr>
      <w:numPr>
        <w:numId w:val="11"/>
      </w:numPr>
      <w:tabs>
        <w:tab w:val="clear" w:pos="1492"/>
        <w:tab w:val="num" w:pos="792"/>
      </w:tabs>
      <w:ind w:left="792" w:hanging="317"/>
    </w:p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customStyle="1" w:styleId="AnnexHdg">
    <w:name w:val="Annex Hdg"/>
    <w:basedOn w:val="Normal"/>
    <w:pPr>
      <w:keepNext/>
      <w:keepLines/>
      <w:suppressAutoHyphens/>
      <w:spacing w:after="120" w:line="240" w:lineRule="auto"/>
      <w:jc w:val="center"/>
    </w:pPr>
    <w:rPr>
      <w:b/>
      <w:noProof/>
      <w:spacing w:val="0"/>
      <w:w w:val="100"/>
      <w:sz w:val="18"/>
    </w:rPr>
  </w:style>
  <w:style w:type="paragraph" w:customStyle="1" w:styleId="AnnexeHdg">
    <w:name w:val="Annexe Hdg"/>
    <w:basedOn w:val="Normal"/>
    <w:pPr>
      <w:keepNext/>
      <w:keepLines/>
      <w:spacing w:after="120" w:line="240" w:lineRule="auto"/>
      <w:jc w:val="center"/>
    </w:pPr>
    <w:rPr>
      <w:b/>
      <w:i/>
      <w:spacing w:val="0"/>
      <w:w w:val="100"/>
      <w:lang w:val="fr-FR"/>
    </w:rPr>
  </w:style>
  <w:style w:type="paragraph" w:customStyle="1" w:styleId="Annexital">
    <w:name w:val="Annex ital"/>
    <w:basedOn w:val="Normal"/>
    <w:autoRedefine/>
    <w:pPr>
      <w:keepNext/>
      <w:spacing w:after="100" w:line="220" w:lineRule="exact"/>
    </w:pPr>
    <w:rPr>
      <w:i/>
      <w:sz w:val="18"/>
      <w:lang w:val="en-GB"/>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43</Pages>
  <Words>16834</Words>
  <Characters>95955</Characters>
  <Application>Microsoft Office Word</Application>
  <DocSecurity>4</DocSecurity>
  <Lines>799</Lines>
  <Paragraphs>191</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117839</CharactersWithSpaces>
  <SharedDoc>false</SharedDoc>
  <HLinks>
    <vt:vector size="12" baseType="variant">
      <vt:variant>
        <vt:i4>4522087</vt:i4>
      </vt:variant>
      <vt:variant>
        <vt:i4>253232</vt:i4>
      </vt:variant>
      <vt:variant>
        <vt:i4>1025</vt:i4>
      </vt:variant>
      <vt:variant>
        <vt:i4>1</vt:i4>
      </vt:variant>
      <vt:variant>
        <vt:lpwstr>C:\Program Files\Microsoft Office\WordMacros\_unlogo.wpg</vt:lpwstr>
      </vt:variant>
      <vt:variant>
        <vt:lpwstr/>
      </vt:variant>
      <vt:variant>
        <vt:i4>4522087</vt:i4>
      </vt:variant>
      <vt:variant>
        <vt:i4>253650</vt:i4>
      </vt:variant>
      <vt:variant>
        <vt:i4>1026</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Natalia.Kanaykina</dc:creator>
  <cp:keywords/>
  <dc:description/>
  <cp:lastModifiedBy>Nadejda Kozlova</cp:lastModifiedBy>
  <cp:revision>4</cp:revision>
  <cp:lastPrinted>2006-05-05T01:54:00Z</cp:lastPrinted>
  <dcterms:created xsi:type="dcterms:W3CDTF">2006-05-05T01:38:00Z</dcterms:created>
  <dcterms:modified xsi:type="dcterms:W3CDTF">2006-05-05T02:01:00Z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0628670</vt:lpwstr>
  </property>
  <property fmtid="{D5CDD505-2E9C-101B-9397-08002B2CF9AE}" pid="3" name="Symbol1">
    <vt:lpwstr>CEDAW/C/BIH/Q/3/Add.1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43</vt:lpwstr>
  </property>
  <property fmtid="{D5CDD505-2E9C-101B-9397-08002B2CF9AE}" pid="8" name="Operator">
    <vt:lpwstr>Kozlova</vt:lpwstr>
  </property>
</Properties>
</file>