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2CE2" w14:textId="77777777" w:rsidR="00A25139" w:rsidRPr="009B13E4" w:rsidRDefault="00A25139" w:rsidP="00A25139">
      <w:pPr>
        <w:spacing w:line="240" w:lineRule="auto"/>
        <w:rPr>
          <w:sz w:val="2"/>
          <w:lang w:val="es-ES_tradnl"/>
        </w:rPr>
        <w:sectPr w:rsidR="00A25139" w:rsidRPr="009B13E4" w:rsidSect="00360E3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B13E4">
        <w:rPr>
          <w:rStyle w:val="CommentReference"/>
          <w:szCs w:val="20"/>
          <w:lang w:val="es-ES_tradnl"/>
        </w:rPr>
        <w:commentReference w:id="0"/>
      </w:r>
    </w:p>
    <w:p w14:paraId="736ADFBF" w14:textId="77777777" w:rsidR="00360E3C" w:rsidRPr="009B13E4" w:rsidRDefault="00360E3C" w:rsidP="00360E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9B13E4">
        <w:rPr>
          <w:lang w:val="es-ES_tradnl"/>
        </w:rPr>
        <w:t>Comité para la Eliminación de la Discriminación contra la Mujer</w:t>
      </w:r>
    </w:p>
    <w:p w14:paraId="745B8765" w14:textId="77777777" w:rsidR="00360E3C" w:rsidRPr="009B13E4" w:rsidRDefault="00360E3C" w:rsidP="00360E3C">
      <w:pPr>
        <w:pStyle w:val="SingleTxt"/>
        <w:spacing w:after="0" w:line="120" w:lineRule="exact"/>
        <w:rPr>
          <w:sz w:val="10"/>
          <w:lang w:val="es-ES_tradnl"/>
        </w:rPr>
      </w:pPr>
    </w:p>
    <w:p w14:paraId="490CBB29" w14:textId="77777777" w:rsidR="00360E3C" w:rsidRPr="009B13E4" w:rsidRDefault="00360E3C" w:rsidP="00360E3C">
      <w:pPr>
        <w:pStyle w:val="SingleTxt"/>
        <w:spacing w:after="0" w:line="120" w:lineRule="exact"/>
        <w:rPr>
          <w:sz w:val="10"/>
          <w:lang w:val="es-ES_tradnl"/>
        </w:rPr>
      </w:pPr>
    </w:p>
    <w:p w14:paraId="0BD9340E" w14:textId="77777777" w:rsidR="00360E3C" w:rsidRPr="009B13E4" w:rsidRDefault="00360E3C" w:rsidP="00360E3C">
      <w:pPr>
        <w:pStyle w:val="SingleTxt"/>
        <w:spacing w:after="0" w:line="120" w:lineRule="exact"/>
        <w:rPr>
          <w:sz w:val="10"/>
          <w:lang w:val="es-ES_tradnl"/>
        </w:rPr>
      </w:pPr>
    </w:p>
    <w:p w14:paraId="6616A476" w14:textId="16A15706" w:rsidR="00360E3C" w:rsidRPr="009B13E4" w:rsidRDefault="00360E3C" w:rsidP="00360E3C">
      <w:pPr>
        <w:pStyle w:val="TitleHCH"/>
        <w:rPr>
          <w:lang w:val="es-ES_tradnl"/>
        </w:rPr>
      </w:pPr>
      <w:r w:rsidRPr="009B13E4">
        <w:rPr>
          <w:lang w:val="es-ES_tradnl"/>
        </w:rPr>
        <w:tab/>
      </w:r>
      <w:r w:rsidRPr="009B13E4">
        <w:rPr>
          <w:lang w:val="es-ES_tradnl"/>
        </w:rPr>
        <w:tab/>
        <w:t>Información recibida de Bulgaria relativa al seguimiento de las observaciones finales sobre su octavo informe periódico</w:t>
      </w:r>
      <w:r w:rsidRPr="009B13E4">
        <w:rPr>
          <w:b w:val="0"/>
          <w:spacing w:val="4"/>
          <w:sz w:val="20"/>
          <w:lang w:val="es-ES_tradnl"/>
        </w:rPr>
        <w:footnoteReference w:customMarkFollows="1" w:id="1"/>
        <w:t>*</w:t>
      </w:r>
    </w:p>
    <w:p w14:paraId="3DD4ACCA" w14:textId="77777777" w:rsidR="00360E3C" w:rsidRPr="009B13E4" w:rsidRDefault="00360E3C" w:rsidP="00360E3C">
      <w:pPr>
        <w:pStyle w:val="SingleTxt"/>
        <w:spacing w:after="0" w:line="120" w:lineRule="exact"/>
        <w:rPr>
          <w:sz w:val="10"/>
          <w:lang w:val="es-ES_tradnl"/>
        </w:rPr>
      </w:pPr>
    </w:p>
    <w:p w14:paraId="456D1311" w14:textId="77777777" w:rsidR="00360E3C" w:rsidRPr="009B13E4" w:rsidRDefault="00360E3C" w:rsidP="00360E3C">
      <w:pPr>
        <w:pStyle w:val="SingleTxt"/>
        <w:spacing w:after="0" w:line="120" w:lineRule="exact"/>
        <w:rPr>
          <w:sz w:val="10"/>
          <w:lang w:val="es-ES_tradnl"/>
        </w:rPr>
      </w:pPr>
    </w:p>
    <w:p w14:paraId="0DB0294C" w14:textId="22F5A94F" w:rsidR="00360E3C" w:rsidRPr="009B13E4" w:rsidRDefault="00360E3C" w:rsidP="00360E3C">
      <w:pPr>
        <w:pStyle w:val="SingleTxt"/>
        <w:jc w:val="right"/>
        <w:rPr>
          <w:lang w:val="es-ES_tradnl"/>
        </w:rPr>
      </w:pPr>
      <w:r w:rsidRPr="009B13E4">
        <w:rPr>
          <w:lang w:val="es-ES_tradnl"/>
        </w:rPr>
        <w:t>[Fecha de recepción: 10 de marzo de 2022]</w:t>
      </w:r>
    </w:p>
    <w:p w14:paraId="6E43B1D5" w14:textId="77777777" w:rsidR="00360E3C" w:rsidRPr="009B13E4" w:rsidRDefault="00360E3C" w:rsidP="00360E3C">
      <w:pPr>
        <w:pStyle w:val="SingleTxt"/>
        <w:spacing w:after="0" w:line="120" w:lineRule="exact"/>
        <w:rPr>
          <w:b/>
          <w:bCs/>
          <w:sz w:val="10"/>
          <w:lang w:val="es-ES_tradnl"/>
        </w:rPr>
      </w:pPr>
    </w:p>
    <w:p w14:paraId="29E4B84E" w14:textId="77777777" w:rsidR="00360E3C" w:rsidRPr="009B13E4" w:rsidRDefault="00360E3C">
      <w:pPr>
        <w:suppressAutoHyphens w:val="0"/>
        <w:spacing w:after="200" w:line="276" w:lineRule="auto"/>
        <w:rPr>
          <w:b/>
          <w:spacing w:val="2"/>
          <w:kern w:val="14"/>
          <w:lang w:val="es-ES_tradnl"/>
        </w:rPr>
      </w:pPr>
      <w:r w:rsidRPr="009B13E4">
        <w:rPr>
          <w:lang w:val="es-ES_tradnl"/>
        </w:rPr>
        <w:br w:type="page"/>
      </w:r>
    </w:p>
    <w:p w14:paraId="3A2D07B3" w14:textId="43763BE6" w:rsidR="00360E3C" w:rsidRPr="009B13E4" w:rsidRDefault="00360E3C" w:rsidP="00AF26E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B13E4">
        <w:rPr>
          <w:lang w:val="es-ES_tradnl"/>
        </w:rPr>
        <w:lastRenderedPageBreak/>
        <w:tab/>
      </w:r>
      <w:r w:rsidRPr="009B13E4">
        <w:rPr>
          <w:lang w:val="es-ES_tradnl"/>
        </w:rPr>
        <w:tab/>
        <w:t>Información adicional</w:t>
      </w:r>
    </w:p>
    <w:p w14:paraId="4E45E784" w14:textId="467F4255" w:rsidR="00360E3C" w:rsidRPr="009B13E4" w:rsidRDefault="00360E3C" w:rsidP="00360E3C">
      <w:pPr>
        <w:pStyle w:val="SingleTxt"/>
        <w:spacing w:after="0" w:line="120" w:lineRule="exact"/>
        <w:rPr>
          <w:sz w:val="10"/>
          <w:lang w:val="es-ES_tradnl"/>
        </w:rPr>
      </w:pPr>
    </w:p>
    <w:p w14:paraId="1B2080FC" w14:textId="77777777" w:rsidR="00360E3C" w:rsidRPr="009B13E4" w:rsidRDefault="00360E3C" w:rsidP="00360E3C">
      <w:pPr>
        <w:pStyle w:val="SingleTxt"/>
        <w:spacing w:after="0" w:line="120" w:lineRule="exact"/>
        <w:rPr>
          <w:sz w:val="10"/>
          <w:lang w:val="es-ES_tradnl"/>
        </w:rPr>
      </w:pPr>
    </w:p>
    <w:p w14:paraId="6C8D359E" w14:textId="481DECEB" w:rsidR="00360E3C" w:rsidRPr="009B13E4" w:rsidRDefault="00360E3C" w:rsidP="00360E3C">
      <w:pPr>
        <w:pStyle w:val="SingleTxt"/>
        <w:numPr>
          <w:ilvl w:val="0"/>
          <w:numId w:val="8"/>
        </w:numPr>
        <w:tabs>
          <w:tab w:val="num" w:pos="2804"/>
        </w:tabs>
        <w:ind w:left="1267"/>
        <w:rPr>
          <w:lang w:val="es-ES_tradnl"/>
        </w:rPr>
      </w:pPr>
      <w:r w:rsidRPr="009B13E4">
        <w:rPr>
          <w:lang w:val="es-ES_tradnl"/>
        </w:rPr>
        <w:t>Las autoridades búlgaras han estudiado detenidamente las observaciones finales del Comité para la Eliminación de la Discriminación contra la Mujer (en adelante “el Comité”) sobre el octavo informe periódico presentado por Bulgaria (</w:t>
      </w:r>
      <w:hyperlink r:id="rId17" w:history="1">
        <w:r w:rsidRPr="009B13E4">
          <w:rPr>
            <w:rStyle w:val="Hyperlink"/>
            <w:lang w:val="es-ES_tradnl"/>
          </w:rPr>
          <w:t>CEDAW/C/BGR/CO/8</w:t>
        </w:r>
      </w:hyperlink>
      <w:r w:rsidRPr="009B13E4">
        <w:rPr>
          <w:lang w:val="es-ES_tradnl"/>
        </w:rPr>
        <w:t>). En relación con el párrafo 50 del informe, las autoridades búlgaras desean proporcionar la siguiente información.</w:t>
      </w:r>
    </w:p>
    <w:p w14:paraId="004F50D5" w14:textId="7DDCB658" w:rsidR="00360E3C" w:rsidRPr="009B13E4" w:rsidRDefault="00360E3C" w:rsidP="00360E3C">
      <w:pPr>
        <w:pStyle w:val="SingleTxt"/>
        <w:spacing w:after="0" w:line="120" w:lineRule="exact"/>
        <w:rPr>
          <w:sz w:val="10"/>
          <w:lang w:val="es-ES_tradnl"/>
        </w:rPr>
      </w:pPr>
    </w:p>
    <w:p w14:paraId="174C4C4D" w14:textId="6517F146" w:rsidR="00360E3C" w:rsidRPr="009B13E4" w:rsidRDefault="00360E3C" w:rsidP="00360E3C">
      <w:pPr>
        <w:pStyle w:val="SingleTxt"/>
        <w:spacing w:after="0" w:line="120" w:lineRule="exact"/>
        <w:rPr>
          <w:sz w:val="10"/>
          <w:lang w:val="es-ES_tradnl"/>
        </w:rPr>
      </w:pPr>
    </w:p>
    <w:p w14:paraId="004ED534" w14:textId="7CF0A4FE" w:rsidR="00360E3C" w:rsidRPr="009B13E4" w:rsidRDefault="00360E3C" w:rsidP="006762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9B13E4">
        <w:rPr>
          <w:lang w:val="es-ES_tradnl"/>
        </w:rPr>
        <w:tab/>
        <w:t>I.</w:t>
      </w:r>
      <w:r w:rsidRPr="009B13E4">
        <w:rPr>
          <w:lang w:val="es-ES_tradnl"/>
        </w:rPr>
        <w:tab/>
        <w:t>Información adicional relativa a los párrafos 16 a) y 16 b) de las observaciones finales</w:t>
      </w:r>
      <w:bookmarkStart w:id="1" w:name="_Hlk98092575"/>
      <w:bookmarkEnd w:id="1"/>
    </w:p>
    <w:p w14:paraId="36F69A5C" w14:textId="794C197B" w:rsidR="00360E3C" w:rsidRPr="009B13E4" w:rsidRDefault="00360E3C" w:rsidP="00360E3C">
      <w:pPr>
        <w:pStyle w:val="SingleTxt"/>
        <w:spacing w:after="0" w:line="120" w:lineRule="exact"/>
        <w:rPr>
          <w:sz w:val="10"/>
          <w:lang w:val="es-ES_tradnl"/>
        </w:rPr>
      </w:pPr>
    </w:p>
    <w:p w14:paraId="777A8994" w14:textId="32FCE362" w:rsidR="00360E3C" w:rsidRPr="009B13E4" w:rsidRDefault="00360E3C" w:rsidP="00360E3C">
      <w:pPr>
        <w:pStyle w:val="SingleTxt"/>
        <w:spacing w:after="0" w:line="120" w:lineRule="exact"/>
        <w:rPr>
          <w:sz w:val="10"/>
          <w:lang w:val="es-ES_tradnl"/>
        </w:rPr>
      </w:pPr>
    </w:p>
    <w:p w14:paraId="6B55E775" w14:textId="24117F6E" w:rsidR="00360E3C" w:rsidRPr="009B13E4" w:rsidRDefault="00360E3C" w:rsidP="00360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B13E4">
        <w:rPr>
          <w:lang w:val="es-ES_tradnl"/>
        </w:rPr>
        <w:tab/>
      </w:r>
      <w:r w:rsidRPr="009B13E4">
        <w:rPr>
          <w:lang w:val="es-ES_tradnl"/>
        </w:rPr>
        <w:tab/>
        <w:t xml:space="preserve">Organizaciones de la sociedad civil </w:t>
      </w:r>
    </w:p>
    <w:p w14:paraId="4A02E3E6" w14:textId="77777777" w:rsidR="00360E3C" w:rsidRPr="009B13E4" w:rsidRDefault="00360E3C" w:rsidP="00360E3C">
      <w:pPr>
        <w:pStyle w:val="SingleTxt"/>
        <w:spacing w:after="0" w:line="120" w:lineRule="exact"/>
        <w:ind w:left="1854"/>
        <w:rPr>
          <w:i/>
          <w:iCs/>
          <w:sz w:val="10"/>
          <w:lang w:val="es-ES_tradnl"/>
        </w:rPr>
      </w:pPr>
    </w:p>
    <w:p w14:paraId="599D5CDA" w14:textId="4E52653E" w:rsidR="00360E3C" w:rsidRPr="00BE3F53" w:rsidRDefault="00360E3C" w:rsidP="00360E3C">
      <w:pPr>
        <w:pStyle w:val="SingleTxt"/>
        <w:numPr>
          <w:ilvl w:val="0"/>
          <w:numId w:val="8"/>
        </w:numPr>
        <w:tabs>
          <w:tab w:val="num" w:pos="2804"/>
        </w:tabs>
        <w:ind w:left="1267"/>
        <w:rPr>
          <w:bCs/>
          <w:lang w:val="es-ES_tradnl"/>
        </w:rPr>
      </w:pPr>
      <w:r w:rsidRPr="009B13E4">
        <w:rPr>
          <w:i/>
          <w:iCs/>
          <w:lang w:val="es-ES_tradnl"/>
        </w:rPr>
        <w:t>§ 16 a) Garantice la existencia de un entorno seguro, de derecho y de hecho, en el cual las organizaciones que trabajan por los derechos de la mujer y la igualdad de género</w:t>
      </w:r>
      <w:r w:rsidRPr="009B13E4">
        <w:rPr>
          <w:vertAlign w:val="superscript"/>
          <w:lang w:val="es-ES_tradnl"/>
        </w:rPr>
        <w:footnoteReference w:id="2"/>
      </w:r>
      <w:r w:rsidRPr="009B13E4">
        <w:rPr>
          <w:i/>
          <w:iCs/>
          <w:lang w:val="es-ES_tradnl"/>
        </w:rPr>
        <w:t xml:space="preserve"> participen sistemáticamente en la elaboración y aplicación de la legislación y las políticas pertinentes.</w:t>
      </w:r>
    </w:p>
    <w:p w14:paraId="05000E43" w14:textId="77777777" w:rsidR="00360E3C" w:rsidRPr="009B13E4" w:rsidRDefault="00360E3C" w:rsidP="00360E3C">
      <w:pPr>
        <w:pStyle w:val="SingleTxt"/>
        <w:numPr>
          <w:ilvl w:val="0"/>
          <w:numId w:val="8"/>
        </w:numPr>
        <w:tabs>
          <w:tab w:val="num" w:pos="2804"/>
        </w:tabs>
        <w:ind w:left="1267"/>
        <w:rPr>
          <w:lang w:val="es-ES_tradnl"/>
        </w:rPr>
      </w:pPr>
      <w:r w:rsidRPr="009B13E4">
        <w:rPr>
          <w:lang w:val="es-ES_tradnl"/>
        </w:rPr>
        <w:t xml:space="preserve">Las organizaciones que trabajan por los derechos de la mujer participan activamente en los grupos de trabajo encargados de redactar enmiendas legislativas y en las mesas redondas e iniciativas nacionales y regionales pertinentes. No existen restricciones ni impedimentos para su participación en la elaboración y aplicación de la legislación y las políticas pertinentes. Su participación en todas las modalidades de trabajo es muy valorada y tiene un efecto positivo duradero. </w:t>
      </w:r>
    </w:p>
    <w:p w14:paraId="6E2FC580" w14:textId="10128821" w:rsidR="00360E3C" w:rsidRPr="009B13E4" w:rsidRDefault="00360E3C" w:rsidP="00360E3C">
      <w:pPr>
        <w:pStyle w:val="SingleTxt"/>
        <w:numPr>
          <w:ilvl w:val="0"/>
          <w:numId w:val="8"/>
        </w:numPr>
        <w:tabs>
          <w:tab w:val="num" w:pos="2804"/>
        </w:tabs>
        <w:ind w:left="1267"/>
        <w:rPr>
          <w:lang w:val="es-ES_tradnl"/>
        </w:rPr>
      </w:pPr>
      <w:r w:rsidRPr="009B13E4">
        <w:rPr>
          <w:lang w:val="es-ES_tradnl"/>
        </w:rPr>
        <w:t xml:space="preserve">La estrategia nacional para la promoción de la igualdad de género se viene aplicando desde 2005 a través de planes de acción anuales de alcance nacional. Esos planes, que son aprobados por el Consejo de Ministros, contienen medidas específicas propuestas por las distintas instituciones y organizaciones en el ámbito de competencia de cada una de ellas en relación con las esferas prioritarias de la estrategia, los órganos responsables, los mecanismos de financiación y los indicadores para la aplicación. </w:t>
      </w:r>
    </w:p>
    <w:p w14:paraId="39B8C34D" w14:textId="77777777" w:rsidR="00360E3C" w:rsidRPr="009B13E4" w:rsidRDefault="00360E3C" w:rsidP="00360E3C">
      <w:pPr>
        <w:pStyle w:val="SingleTxt"/>
        <w:numPr>
          <w:ilvl w:val="0"/>
          <w:numId w:val="8"/>
        </w:numPr>
        <w:tabs>
          <w:tab w:val="num" w:pos="2804"/>
        </w:tabs>
        <w:ind w:left="1267"/>
        <w:rPr>
          <w:bCs/>
          <w:lang w:val="es-ES_tradnl"/>
        </w:rPr>
      </w:pPr>
      <w:r w:rsidRPr="009B13E4">
        <w:rPr>
          <w:lang w:val="es-ES_tradnl"/>
        </w:rPr>
        <w:t>El Programa de Desarrollo de los Recursos Humanos 2021-2027, financiado a través del Fondo Social Europeo Plus, ha confirmado que el principio de creación de alianzas es un elemento clave de la buena gestión del Programa. De conformidad con el Reglamento 2021/1060 de la Unión Europea, se garantiza la participación de los asociados a nivel nacional, regional y local en función de sus competencias. Entre ellos se encuentran las autoridades públicas, los interlocutores socioeconómicos, los empleadores, las organizaciones no gubernamentales (ONG) y las organizaciones que promueven la inclusión social, los derechos humanos, la igualdad entre mujeres y hombres, la no discriminación y los derechos de las personas con discapacidad.</w:t>
      </w:r>
    </w:p>
    <w:p w14:paraId="002927EF" w14:textId="77777777" w:rsidR="00360E3C" w:rsidRPr="009B13E4" w:rsidRDefault="00360E3C" w:rsidP="00360E3C">
      <w:pPr>
        <w:pStyle w:val="SingleTxt"/>
        <w:numPr>
          <w:ilvl w:val="0"/>
          <w:numId w:val="8"/>
        </w:numPr>
        <w:tabs>
          <w:tab w:val="num" w:pos="2804"/>
        </w:tabs>
        <w:ind w:left="1267"/>
        <w:rPr>
          <w:bCs/>
          <w:lang w:val="es-ES_tradnl"/>
        </w:rPr>
      </w:pPr>
      <w:r w:rsidRPr="009B13E4">
        <w:rPr>
          <w:lang w:val="es-ES_tradnl"/>
        </w:rPr>
        <w:t>La implicación de todos los interesados, incluidas las ONG, también está garantizada por el grupo de trabajo temático creado específicamente para la elaboración del nuevo Programa de Desarrollo de los Recursos Humanos 2021-2027. Los representantes de las ONG que trabajan en el ámbito de la igualdad de género y la no discriminación participan activamente en los grupos de trabajo temáticos. Estos mecanismos ofrecen la posibilidad de que todos los asociados participen activamente en el proceso de programación y contribuyan al desarrollo del Programa.</w:t>
      </w:r>
    </w:p>
    <w:p w14:paraId="45EDAFD3" w14:textId="77777777" w:rsidR="00360E3C" w:rsidRPr="009B13E4" w:rsidRDefault="00360E3C" w:rsidP="00360E3C">
      <w:pPr>
        <w:pStyle w:val="SingleTxt"/>
        <w:numPr>
          <w:ilvl w:val="0"/>
          <w:numId w:val="8"/>
        </w:numPr>
        <w:tabs>
          <w:tab w:val="num" w:pos="2804"/>
        </w:tabs>
        <w:ind w:left="1267"/>
        <w:rPr>
          <w:bCs/>
          <w:lang w:val="es-ES_tradnl"/>
        </w:rPr>
      </w:pPr>
      <w:r w:rsidRPr="009B13E4">
        <w:rPr>
          <w:lang w:val="es-ES_tradnl"/>
        </w:rPr>
        <w:lastRenderedPageBreak/>
        <w:t>Los representantes de los interlocutores sociales y las ONG, así como otros interesados, participarán también en el Comité de Seguimiento del Programa de Desarrollo de los Recursos Humanos 2021-2027.</w:t>
      </w:r>
    </w:p>
    <w:p w14:paraId="4A7F0DBE" w14:textId="77777777" w:rsidR="00360E3C" w:rsidRPr="009B13E4" w:rsidRDefault="00360E3C" w:rsidP="00360E3C">
      <w:pPr>
        <w:pStyle w:val="SingleTxt"/>
        <w:numPr>
          <w:ilvl w:val="0"/>
          <w:numId w:val="8"/>
        </w:numPr>
        <w:tabs>
          <w:tab w:val="num" w:pos="2804"/>
        </w:tabs>
        <w:ind w:left="1267"/>
        <w:rPr>
          <w:bCs/>
          <w:lang w:val="es-ES_tradnl"/>
        </w:rPr>
      </w:pPr>
      <w:r w:rsidRPr="009B13E4">
        <w:rPr>
          <w:i/>
          <w:iCs/>
          <w:lang w:val="es-ES_tradnl"/>
        </w:rPr>
        <w:t>§ 16 b) Apoye financieramente a las organizaciones de la sociedad civil que prestan asistencia a las mujeres que sufren discriminación, violencia de género y la violación de sus derechos, asegurando al mismo tiempo que el Estado parte siga siendo el principal responsable de proporcionar protección, rehabilitación, reinserción y otros servicios necesarios.</w:t>
      </w:r>
    </w:p>
    <w:p w14:paraId="073EFCF5" w14:textId="77777777" w:rsidR="00360E3C" w:rsidRPr="009B13E4" w:rsidRDefault="00360E3C" w:rsidP="00360E3C">
      <w:pPr>
        <w:pStyle w:val="SingleTxt"/>
        <w:numPr>
          <w:ilvl w:val="0"/>
          <w:numId w:val="8"/>
        </w:numPr>
        <w:tabs>
          <w:tab w:val="num" w:pos="2804"/>
        </w:tabs>
        <w:ind w:left="1267"/>
        <w:rPr>
          <w:bCs/>
          <w:lang w:val="es-ES_tradnl"/>
        </w:rPr>
      </w:pPr>
      <w:r w:rsidRPr="009B13E4">
        <w:rPr>
          <w:lang w:val="es-ES_tradnl"/>
        </w:rPr>
        <w:t>En virtud de la Ley de Protección contra la Violencia Doméstica, se asignan anualmente recursos al presupuesto del Ministerio de Justicia. Con ellos se financian proyectos de organizaciones sin fines de lucro que realizan actividades en el marco de dicha Ley. Esos proyectos incluyen la elaboración y aplicación de programas de prevención de la violencia doméstica y de protección contra ella.</w:t>
      </w:r>
    </w:p>
    <w:p w14:paraId="167AE8B2" w14:textId="2369265F" w:rsidR="00360E3C" w:rsidRPr="009B13E4" w:rsidRDefault="00360E3C" w:rsidP="00360E3C">
      <w:pPr>
        <w:pStyle w:val="SingleTxt"/>
        <w:numPr>
          <w:ilvl w:val="0"/>
          <w:numId w:val="8"/>
        </w:numPr>
        <w:tabs>
          <w:tab w:val="num" w:pos="2804"/>
        </w:tabs>
        <w:ind w:left="1267"/>
        <w:rPr>
          <w:lang w:val="es-ES_tradnl"/>
        </w:rPr>
      </w:pPr>
      <w:r w:rsidRPr="009B13E4">
        <w:rPr>
          <w:lang w:val="es-ES_tradnl"/>
        </w:rPr>
        <w:t>Para el año 2020, se aprobaron 18 propuestas de proyectos presentadas por ONG. El importe total de la financiación para esas propuestas de proyectos fue de 440.000 levas. Para el año 2021, se aprobaron 19 propuestas de proyectos con una financiación total de 440.000 levas. Los proyectos se ejecutaron en el año correspondiente y se presentaron informes al respecto. La Línea Nacional de Atención a las Víctimas de la Violencia Doméstica fue financiada en el marco de los Programas Nacionales de Prevención y Protección contra la Violencia Doméstica para 2020 y 2021. La línea está operativa y su financiación para 2022 se realizará en el marco del</w:t>
      </w:r>
      <w:r w:rsidR="00BE3F53">
        <w:rPr>
          <w:lang w:val="es-ES_tradnl"/>
        </w:rPr>
        <w:t> </w:t>
      </w:r>
      <w:r w:rsidRPr="009B13E4">
        <w:rPr>
          <w:lang w:val="es-ES_tradnl"/>
        </w:rPr>
        <w:t>Programa Nacional de Prevención y Protección contra la Violencia Doméstica.</w:t>
      </w:r>
    </w:p>
    <w:p w14:paraId="22868477" w14:textId="77777777" w:rsidR="00360E3C" w:rsidRPr="009B13E4" w:rsidRDefault="00360E3C" w:rsidP="00360E3C">
      <w:pPr>
        <w:pStyle w:val="SingleTxt"/>
        <w:spacing w:after="0" w:line="120" w:lineRule="exact"/>
        <w:rPr>
          <w:b/>
          <w:bCs/>
          <w:sz w:val="10"/>
          <w:lang w:val="es-ES_tradnl"/>
        </w:rPr>
      </w:pPr>
    </w:p>
    <w:p w14:paraId="69AB41EF" w14:textId="77777777" w:rsidR="00360E3C" w:rsidRPr="009B13E4" w:rsidRDefault="00360E3C" w:rsidP="00360E3C">
      <w:pPr>
        <w:pStyle w:val="SingleTxt"/>
        <w:spacing w:after="0" w:line="120" w:lineRule="exact"/>
        <w:rPr>
          <w:b/>
          <w:bCs/>
          <w:sz w:val="10"/>
          <w:lang w:val="es-ES_tradnl"/>
        </w:rPr>
      </w:pPr>
    </w:p>
    <w:p w14:paraId="043DB628" w14:textId="5E7FD542" w:rsidR="00360E3C" w:rsidRPr="009B13E4" w:rsidRDefault="00360E3C" w:rsidP="00BE3F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rPr>
          <w:lang w:val="es-ES_tradnl"/>
        </w:rPr>
      </w:pPr>
      <w:r w:rsidRPr="009B13E4">
        <w:rPr>
          <w:lang w:val="es-ES_tradnl"/>
        </w:rPr>
        <w:tab/>
        <w:t>II.</w:t>
      </w:r>
      <w:r w:rsidRPr="009B13E4">
        <w:rPr>
          <w:lang w:val="es-ES_tradnl"/>
        </w:rPr>
        <w:tab/>
        <w:t>Información adicional relativa al párrafo 24 c) de las observaciones finales</w:t>
      </w:r>
      <w:bookmarkStart w:id="2" w:name="_Hlk98092765"/>
    </w:p>
    <w:bookmarkEnd w:id="2"/>
    <w:p w14:paraId="4FA62EE6" w14:textId="77777777" w:rsidR="00360E3C" w:rsidRPr="009B13E4" w:rsidRDefault="00360E3C" w:rsidP="00360E3C">
      <w:pPr>
        <w:pStyle w:val="SingleTxt"/>
        <w:spacing w:after="0" w:line="120" w:lineRule="exact"/>
        <w:rPr>
          <w:b/>
          <w:sz w:val="10"/>
          <w:lang w:val="es-ES_tradnl"/>
        </w:rPr>
      </w:pPr>
    </w:p>
    <w:p w14:paraId="0F04455F" w14:textId="77777777" w:rsidR="00360E3C" w:rsidRPr="009B13E4" w:rsidRDefault="00360E3C" w:rsidP="00360E3C">
      <w:pPr>
        <w:pStyle w:val="SingleTxt"/>
        <w:spacing w:after="0" w:line="120" w:lineRule="exact"/>
        <w:rPr>
          <w:b/>
          <w:sz w:val="10"/>
          <w:lang w:val="es-ES_tradnl"/>
        </w:rPr>
      </w:pPr>
    </w:p>
    <w:p w14:paraId="4E81C691" w14:textId="62084154" w:rsidR="00360E3C" w:rsidRPr="009B13E4" w:rsidRDefault="00360E3C" w:rsidP="00360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B13E4">
        <w:rPr>
          <w:lang w:val="es-ES_tradnl"/>
        </w:rPr>
        <w:tab/>
      </w:r>
      <w:r w:rsidRPr="009B13E4">
        <w:rPr>
          <w:lang w:val="es-ES_tradnl"/>
        </w:rPr>
        <w:tab/>
        <w:t>Violencia contra la mujer</w:t>
      </w:r>
    </w:p>
    <w:p w14:paraId="71BF1452" w14:textId="4A7B81B4" w:rsidR="00360E3C" w:rsidRPr="009B13E4" w:rsidRDefault="00360E3C" w:rsidP="00360E3C">
      <w:pPr>
        <w:pStyle w:val="SingleTxt"/>
        <w:spacing w:after="0" w:line="120" w:lineRule="exact"/>
        <w:rPr>
          <w:sz w:val="10"/>
          <w:lang w:val="es-ES_tradnl"/>
        </w:rPr>
      </w:pPr>
    </w:p>
    <w:p w14:paraId="63AB7EB1" w14:textId="77777777" w:rsidR="00360E3C" w:rsidRPr="009B13E4" w:rsidRDefault="00360E3C" w:rsidP="00360E3C">
      <w:pPr>
        <w:pStyle w:val="SingleTxt"/>
        <w:numPr>
          <w:ilvl w:val="0"/>
          <w:numId w:val="13"/>
        </w:numPr>
        <w:tabs>
          <w:tab w:val="num" w:pos="2804"/>
        </w:tabs>
        <w:ind w:left="1267"/>
        <w:rPr>
          <w:bCs/>
          <w:lang w:val="es-ES_tradnl"/>
        </w:rPr>
      </w:pPr>
      <w:r w:rsidRPr="009B13E4">
        <w:rPr>
          <w:i/>
          <w:iCs/>
          <w:lang w:val="es-ES_tradnl"/>
        </w:rPr>
        <w:t>§ 24 c) Modificar el Código Penal a fin de penalizar como circunstancia agravante la violación en el matrimonio.</w:t>
      </w:r>
    </w:p>
    <w:p w14:paraId="45283A38" w14:textId="052CF68B" w:rsidR="00360E3C" w:rsidRPr="009B13E4" w:rsidRDefault="00360E3C" w:rsidP="00360E3C">
      <w:pPr>
        <w:pStyle w:val="SingleTxt"/>
        <w:numPr>
          <w:ilvl w:val="0"/>
          <w:numId w:val="13"/>
        </w:numPr>
        <w:tabs>
          <w:tab w:val="num" w:pos="2804"/>
        </w:tabs>
        <w:ind w:left="1267"/>
        <w:rPr>
          <w:bCs/>
          <w:lang w:val="es-ES_tradnl"/>
        </w:rPr>
      </w:pPr>
      <w:r w:rsidRPr="009B13E4">
        <w:rPr>
          <w:lang w:val="es-ES_tradnl"/>
        </w:rPr>
        <w:t xml:space="preserve">En 2019 se creó un grupo de trabajo interdepartamental en el Ministerio de Justicia. Ese grupo de trabajo se encargó de elaborar un proyecto de ley que modifica y complementa la Ley de Protección contra la Violencia Doméstica. El objetivo era mejorar la legislación en materia de protección contra la violencia doméstica y garantizar el apoyo social a las víctimas, así como armonizar la normativa con las prácticas legislativas europeas. </w:t>
      </w:r>
    </w:p>
    <w:p w14:paraId="334E6217" w14:textId="48830014" w:rsidR="00360E3C" w:rsidRPr="009B13E4" w:rsidRDefault="00360E3C" w:rsidP="00360E3C">
      <w:pPr>
        <w:pStyle w:val="SingleTxt"/>
        <w:numPr>
          <w:ilvl w:val="0"/>
          <w:numId w:val="13"/>
        </w:numPr>
        <w:tabs>
          <w:tab w:val="num" w:pos="2804"/>
        </w:tabs>
        <w:ind w:left="1267"/>
        <w:rPr>
          <w:bCs/>
          <w:lang w:val="es-ES_tradnl"/>
        </w:rPr>
      </w:pPr>
      <w:r w:rsidRPr="009B13E4">
        <w:rPr>
          <w:lang w:val="es-ES_tradnl"/>
        </w:rPr>
        <w:t>Con respecto a las recomendaciones del Comité, en el proyecto de ley se proponen también modificaciones del Código Penal para eliminar la expresión “de forma sistemática” en la definición de los delitos cometidos en circunstancias de violencia doméstica, tipificar explícitamente como delito la violación en el matrimonio y tipificar también todas las formas de violencia doméstica económica y psicológica.</w:t>
      </w:r>
    </w:p>
    <w:p w14:paraId="6115EDD6" w14:textId="4A14991B" w:rsidR="00360E3C" w:rsidRPr="009B13E4" w:rsidRDefault="00360E3C" w:rsidP="00360E3C">
      <w:pPr>
        <w:pStyle w:val="SingleTxt"/>
        <w:numPr>
          <w:ilvl w:val="0"/>
          <w:numId w:val="13"/>
        </w:numPr>
        <w:tabs>
          <w:tab w:val="num" w:pos="2804"/>
        </w:tabs>
        <w:ind w:left="1267"/>
        <w:rPr>
          <w:bCs/>
          <w:lang w:val="es-ES_tradnl"/>
        </w:rPr>
      </w:pPr>
      <w:r w:rsidRPr="009B13E4">
        <w:rPr>
          <w:lang w:val="es-ES_tradnl"/>
        </w:rPr>
        <w:t>El proyecto de enmienda de la Ley de Protección contra la Violencia Doméstica se presentó a debate público entre el 13 y el 27 de enero de 2021. Debido a la situación política en Bulgaria</w:t>
      </w:r>
      <w:r w:rsidRPr="009B13E4">
        <w:rPr>
          <w:bCs/>
          <w:vertAlign w:val="superscript"/>
          <w:lang w:val="es-ES_tradnl"/>
        </w:rPr>
        <w:footnoteReference w:id="3"/>
      </w:r>
      <w:r w:rsidRPr="009B13E4">
        <w:rPr>
          <w:lang w:val="es-ES_tradnl"/>
        </w:rPr>
        <w:t xml:space="preserve"> y a la pandemia, no hubo posibilidad de adoptar las enmiendas en 2021. A comienzos de 2022, el grupo de trabajo reanudó sus reuniones para incorporar las mejores prácticas y las ideas resultantes del debate público. Se espera que el proyecto de ley esté finalizado en breve.</w:t>
      </w:r>
    </w:p>
    <w:p w14:paraId="215210A6" w14:textId="537AC6F3" w:rsidR="00360E3C" w:rsidRPr="009B13E4" w:rsidRDefault="00360E3C" w:rsidP="00BE3F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rPr>
          <w:lang w:val="es-ES_tradnl"/>
        </w:rPr>
      </w:pPr>
      <w:r w:rsidRPr="009B13E4">
        <w:rPr>
          <w:lang w:val="es-ES_tradnl"/>
        </w:rPr>
        <w:lastRenderedPageBreak/>
        <w:tab/>
        <w:t>III.</w:t>
      </w:r>
      <w:r w:rsidRPr="009B13E4">
        <w:rPr>
          <w:lang w:val="es-ES_tradnl"/>
        </w:rPr>
        <w:tab/>
        <w:t>Información adicional relativa al párrafo 34 c) de las observaciones finales</w:t>
      </w:r>
    </w:p>
    <w:p w14:paraId="359F9AB3" w14:textId="77777777" w:rsidR="00360E3C" w:rsidRPr="009B13E4" w:rsidRDefault="00360E3C" w:rsidP="00360E3C">
      <w:pPr>
        <w:pStyle w:val="SingleTxt"/>
        <w:spacing w:after="0" w:line="120" w:lineRule="exact"/>
        <w:rPr>
          <w:b/>
          <w:sz w:val="10"/>
          <w:lang w:val="es-ES_tradnl"/>
        </w:rPr>
      </w:pPr>
    </w:p>
    <w:p w14:paraId="31AE55FC" w14:textId="77777777" w:rsidR="00360E3C" w:rsidRPr="009B13E4" w:rsidRDefault="00360E3C" w:rsidP="00360E3C">
      <w:pPr>
        <w:pStyle w:val="SingleTxt"/>
        <w:spacing w:after="0" w:line="120" w:lineRule="exact"/>
        <w:rPr>
          <w:b/>
          <w:sz w:val="10"/>
          <w:lang w:val="es-ES_tradnl"/>
        </w:rPr>
      </w:pPr>
    </w:p>
    <w:p w14:paraId="645564FA" w14:textId="1FD91FE0" w:rsidR="00360E3C" w:rsidRPr="009B13E4" w:rsidRDefault="00360E3C" w:rsidP="00676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B13E4">
        <w:rPr>
          <w:lang w:val="es-ES_tradnl"/>
        </w:rPr>
        <w:tab/>
      </w:r>
      <w:r w:rsidRPr="009B13E4">
        <w:rPr>
          <w:lang w:val="es-ES_tradnl"/>
        </w:rPr>
        <w:tab/>
        <w:t>Salud</w:t>
      </w:r>
    </w:p>
    <w:p w14:paraId="67A88D05" w14:textId="289E1E1D" w:rsidR="00360E3C" w:rsidRPr="009B13E4" w:rsidRDefault="00360E3C">
      <w:pPr>
        <w:pStyle w:val="SingleTxt"/>
        <w:spacing w:after="0" w:line="120" w:lineRule="exact"/>
        <w:rPr>
          <w:sz w:val="10"/>
          <w:lang w:val="es-ES_tradnl"/>
        </w:rPr>
      </w:pPr>
    </w:p>
    <w:p w14:paraId="3B0FBF42" w14:textId="77777777" w:rsidR="00360E3C" w:rsidRPr="009B13E4" w:rsidRDefault="00360E3C" w:rsidP="00360E3C">
      <w:pPr>
        <w:pStyle w:val="SingleTxt"/>
        <w:numPr>
          <w:ilvl w:val="0"/>
          <w:numId w:val="15"/>
        </w:numPr>
        <w:tabs>
          <w:tab w:val="num" w:pos="2804"/>
        </w:tabs>
        <w:ind w:left="1267"/>
        <w:rPr>
          <w:bCs/>
          <w:lang w:val="es-ES_tradnl"/>
        </w:rPr>
      </w:pPr>
      <w:r w:rsidRPr="009B13E4">
        <w:rPr>
          <w:i/>
          <w:iCs/>
          <w:lang w:val="es-ES_tradnl"/>
        </w:rPr>
        <w:t>§ 34 c) Intensifique la ejecución de programas de salud, incluidos los programas de concienciación inclusivos, para garantizar la disponibilidad de anticonceptivos asequibles y modernos para todas las mujeres y niñas, incluidas las pertenecientes a grupos desfavorecidos y de las zonas rurales.</w:t>
      </w:r>
    </w:p>
    <w:p w14:paraId="66292B27" w14:textId="5828FDEB" w:rsidR="00360E3C" w:rsidRPr="009B13E4" w:rsidRDefault="00360E3C" w:rsidP="00360E3C">
      <w:pPr>
        <w:pStyle w:val="SingleTxt"/>
        <w:numPr>
          <w:ilvl w:val="0"/>
          <w:numId w:val="15"/>
        </w:numPr>
        <w:tabs>
          <w:tab w:val="num" w:pos="2804"/>
        </w:tabs>
        <w:ind w:left="1267"/>
        <w:rPr>
          <w:bCs/>
          <w:lang w:val="es-ES_tradnl"/>
        </w:rPr>
      </w:pPr>
      <w:r w:rsidRPr="009B13E4">
        <w:rPr>
          <w:lang w:val="es-ES_tradnl"/>
        </w:rPr>
        <w:t>El Ministerio de Salud es beneficiario del proyecto “Salud para todos” en el marco del programa “Desarrollo local, reducción de la pobreza y mejora de la inclusión de los grupos vulnerables” financiado por el Mecanismo Financiero del Espacio Económico Europeo 2014-2021. El plazo del proyecto es del 1 de noviembre de 2021 al 30 de abril de 2024.</w:t>
      </w:r>
    </w:p>
    <w:p w14:paraId="546971C0" w14:textId="77777777" w:rsidR="00360E3C" w:rsidRPr="009B13E4" w:rsidRDefault="00360E3C" w:rsidP="00360E3C">
      <w:pPr>
        <w:pStyle w:val="SingleTxt"/>
        <w:numPr>
          <w:ilvl w:val="0"/>
          <w:numId w:val="15"/>
        </w:numPr>
        <w:tabs>
          <w:tab w:val="num" w:pos="2804"/>
        </w:tabs>
        <w:ind w:left="1267"/>
        <w:rPr>
          <w:bCs/>
          <w:lang w:val="es-ES_tradnl"/>
        </w:rPr>
      </w:pPr>
      <w:r w:rsidRPr="009B13E4">
        <w:rPr>
          <w:lang w:val="es-ES_tradnl"/>
        </w:rPr>
        <w:t>El proyecto responde a la necesidad de mejorar la situación de la salud y la aplicación de las políticas sanitarias nacionales en lugares donde hay comunidades que viven en la pobreza. La ejecución del proyecto apoyará las medidas del Programa Nacional de Mejora de la Salud Materno-Infantil 2021-2030 y del Programa Nacional de Prevención y Control del VIH y las Infecciones de Transmisión Sexual 2021-2025, garantizando una coordinación más estrecha entre las autoridades nacionales y locales.</w:t>
      </w:r>
    </w:p>
    <w:p w14:paraId="6C3DB2E1" w14:textId="7D87CD2A" w:rsidR="00360E3C" w:rsidRPr="009B13E4" w:rsidRDefault="00360E3C" w:rsidP="00360E3C">
      <w:pPr>
        <w:pStyle w:val="SingleTxt"/>
        <w:numPr>
          <w:ilvl w:val="0"/>
          <w:numId w:val="15"/>
        </w:numPr>
        <w:tabs>
          <w:tab w:val="num" w:pos="2804"/>
        </w:tabs>
        <w:ind w:left="1267"/>
        <w:rPr>
          <w:bCs/>
          <w:lang w:val="es-ES_tradnl"/>
        </w:rPr>
      </w:pPr>
      <w:r w:rsidRPr="009B13E4">
        <w:rPr>
          <w:lang w:val="es-ES_tradnl"/>
        </w:rPr>
        <w:t>En la ejecución del proyecto, el Ministerio de Sanidad colabora con la asociación “Red Nacional de Mediadores Sanitarios”, que unifica, forma, coordina y supervisa las actividades de los mediadores sanitarios en todo el país. Los mediadores buscan mecanismos para mejorar la comunicación entre los grupos de riesgo y las instituciones sanitarias a nivel local.</w:t>
      </w:r>
    </w:p>
    <w:p w14:paraId="1E7FD73F" w14:textId="77777777" w:rsidR="00360E3C" w:rsidRPr="009B13E4" w:rsidRDefault="00360E3C" w:rsidP="00360E3C">
      <w:pPr>
        <w:pStyle w:val="SingleTxt"/>
        <w:numPr>
          <w:ilvl w:val="0"/>
          <w:numId w:val="15"/>
        </w:numPr>
        <w:tabs>
          <w:tab w:val="num" w:pos="2804"/>
        </w:tabs>
        <w:ind w:left="1267"/>
        <w:rPr>
          <w:bCs/>
          <w:lang w:val="es-ES_tradnl"/>
        </w:rPr>
      </w:pPr>
      <w:r w:rsidRPr="009B13E4">
        <w:rPr>
          <w:lang w:val="es-ES_tradnl"/>
        </w:rPr>
        <w:t>Además, el Consejo de Ministros de la República de Bulgaria, mediante la decisión núm. 333 de 9 de abril de 2021, aprobó un plan de acción para el período 2021-2023 en el marco del Programa Nacional de Salud Materno-Infantil. En ese contexto, se llevan a cabo actividades prioritarias relacionadas con la concienciación del público sobre cuestiones de salud reproductiva y planificación familiar, embarazo, parto y cuidado de los niños.</w:t>
      </w:r>
    </w:p>
    <w:p w14:paraId="120F4DA5" w14:textId="2971413D" w:rsidR="00A25139" w:rsidRPr="009B13E4" w:rsidRDefault="00360E3C" w:rsidP="00360E3C">
      <w:pPr>
        <w:pStyle w:val="SingleTxt"/>
        <w:numPr>
          <w:ilvl w:val="0"/>
          <w:numId w:val="15"/>
        </w:numPr>
        <w:tabs>
          <w:tab w:val="num" w:pos="2804"/>
        </w:tabs>
        <w:ind w:left="1267"/>
        <w:rPr>
          <w:bCs/>
          <w:lang w:val="es-ES_tradnl"/>
        </w:rPr>
      </w:pPr>
      <w:r w:rsidRPr="009B13E4">
        <w:rPr>
          <w:lang w:val="es-ES_tradnl"/>
        </w:rPr>
        <w:t>Esas medidas incluyen la facilitación del acceso a la asistencia sanitaria y a los servicios de salud para todos los ciudadanos búlgaros, con especial atención a las comunidades vulnerables.</w:t>
      </w:r>
    </w:p>
    <w:p w14:paraId="78E08138" w14:textId="06FEF5A4" w:rsidR="00360E3C" w:rsidRPr="009B13E4" w:rsidRDefault="00360E3C" w:rsidP="00360E3C">
      <w:pPr>
        <w:pStyle w:val="SingleTxt"/>
        <w:rPr>
          <w:bCs/>
          <w:lang w:val="es-ES_tradnl"/>
        </w:rPr>
      </w:pPr>
      <w:r w:rsidRPr="009B13E4">
        <w:rPr>
          <w:bCs/>
          <w:noProof/>
          <w:w w:val="100"/>
          <w:lang w:val="es-ES_tradnl"/>
        </w:rPr>
        <mc:AlternateContent>
          <mc:Choice Requires="wps">
            <w:drawing>
              <wp:anchor distT="0" distB="0" distL="114300" distR="114300" simplePos="0" relativeHeight="251659264" behindDoc="0" locked="0" layoutInCell="1" allowOverlap="1" wp14:anchorId="7E223C96" wp14:editId="6C88807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12A6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360E3C" w:rsidRPr="009B13E4" w:rsidSect="00360E3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8T12:42:00Z" w:initials="Start">
    <w:p w14:paraId="6CDD8465" w14:textId="77777777" w:rsidR="00A25139" w:rsidRPr="00AF26E2" w:rsidRDefault="00A25139">
      <w:pPr>
        <w:pStyle w:val="CommentText"/>
        <w:rPr>
          <w:lang w:val="en-US"/>
        </w:rPr>
      </w:pPr>
      <w:r>
        <w:rPr>
          <w:rStyle w:val="CommentReference"/>
        </w:rPr>
        <w:annotationRef/>
      </w:r>
      <w:r w:rsidRPr="00AF26E2">
        <w:rPr>
          <w:lang w:val="en-US"/>
        </w:rPr>
        <w:t>&lt;&lt;ODS JOB NO&gt;&gt;N2228615S&lt;&lt;ODS JOB NO&gt;&gt;</w:t>
      </w:r>
    </w:p>
    <w:p w14:paraId="092CF960" w14:textId="77777777" w:rsidR="00A25139" w:rsidRDefault="00A25139">
      <w:pPr>
        <w:pStyle w:val="CommentText"/>
      </w:pPr>
      <w:r>
        <w:t>&lt;&lt;ODS DOC SYMBOL1&gt;&gt;CEDAW/C/BGR/FCO/8&lt;&lt;ODS DOC SYMBOL1&gt;&gt;</w:t>
      </w:r>
    </w:p>
    <w:p w14:paraId="1D6793E5" w14:textId="77777777" w:rsidR="00A25139" w:rsidRDefault="00A2513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679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CC5" w16cex:dateUtc="2022-03-1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6793E5" w16cid:durableId="25DEF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0890" w14:textId="77777777" w:rsidR="008C6AF9" w:rsidRDefault="008C6AF9" w:rsidP="00101B18">
      <w:r>
        <w:separator/>
      </w:r>
    </w:p>
  </w:endnote>
  <w:endnote w:type="continuationSeparator" w:id="0">
    <w:p w14:paraId="3F176753" w14:textId="77777777" w:rsidR="008C6AF9" w:rsidRDefault="008C6AF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5139" w14:paraId="0B42FB6D" w14:textId="77777777" w:rsidTr="00A25139">
      <w:tc>
        <w:tcPr>
          <w:tcW w:w="4920" w:type="dxa"/>
          <w:shd w:val="clear" w:color="auto" w:fill="auto"/>
          <w:vAlign w:val="bottom"/>
        </w:tcPr>
        <w:p w14:paraId="04EFC2B7" w14:textId="77777777" w:rsidR="00A25139" w:rsidRPr="00A25139" w:rsidRDefault="00A25139" w:rsidP="00A25139">
          <w:pPr>
            <w:pStyle w:val="Footer"/>
            <w:rPr>
              <w:color w:val="000000"/>
            </w:rPr>
          </w:pPr>
          <w:r>
            <w:fldChar w:fldCharType="begin"/>
          </w:r>
          <w:r>
            <w:instrText xml:space="preserve"> PAGE  \* Arabic  \* MERGEFORMAT </w:instrText>
          </w:r>
          <w:r>
            <w:fldChar w:fldCharType="separate"/>
          </w:r>
          <w:r>
            <w:t>3</w:t>
          </w:r>
          <w:r>
            <w:fldChar w:fldCharType="end"/>
          </w:r>
          <w:r>
            <w:t>/</w:t>
          </w:r>
          <w:r w:rsidR="00987F04">
            <w:fldChar w:fldCharType="begin"/>
          </w:r>
          <w:r w:rsidR="00987F04">
            <w:instrText xml:space="preserve"> NUMPAGES  \* Arabic  \* MERGEFORMAT </w:instrText>
          </w:r>
          <w:r w:rsidR="00987F04">
            <w:fldChar w:fldCharType="separate"/>
          </w:r>
          <w:r>
            <w:t>4</w:t>
          </w:r>
          <w:r w:rsidR="00987F04">
            <w:fldChar w:fldCharType="end"/>
          </w:r>
        </w:p>
      </w:tc>
      <w:tc>
        <w:tcPr>
          <w:tcW w:w="4920" w:type="dxa"/>
          <w:shd w:val="clear" w:color="auto" w:fill="auto"/>
          <w:vAlign w:val="bottom"/>
        </w:tcPr>
        <w:p w14:paraId="7D0D88B8" w14:textId="58BDECA3" w:rsidR="00A25139" w:rsidRPr="00A25139" w:rsidRDefault="00A25139" w:rsidP="00A2513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87F04">
            <w:rPr>
              <w:b w:val="0"/>
              <w:color w:val="000000"/>
              <w:sz w:val="14"/>
            </w:rPr>
            <w:t>22-03722</w:t>
          </w:r>
          <w:r>
            <w:rPr>
              <w:b w:val="0"/>
              <w:color w:val="000000"/>
              <w:sz w:val="14"/>
            </w:rPr>
            <w:fldChar w:fldCharType="end"/>
          </w:r>
        </w:p>
      </w:tc>
    </w:tr>
  </w:tbl>
  <w:p w14:paraId="23B42C63" w14:textId="77777777" w:rsidR="00A25139" w:rsidRPr="00A25139" w:rsidRDefault="00A25139" w:rsidP="00A2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5139" w14:paraId="12E27DA6" w14:textId="77777777" w:rsidTr="00A25139">
      <w:tc>
        <w:tcPr>
          <w:tcW w:w="4920" w:type="dxa"/>
          <w:shd w:val="clear" w:color="auto" w:fill="auto"/>
          <w:vAlign w:val="bottom"/>
        </w:tcPr>
        <w:p w14:paraId="6DFF13D9" w14:textId="798395FC" w:rsidR="00A25139" w:rsidRPr="00A25139" w:rsidRDefault="00A25139" w:rsidP="00A2513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87F04">
            <w:rPr>
              <w:b w:val="0"/>
              <w:color w:val="000000"/>
              <w:sz w:val="14"/>
            </w:rPr>
            <w:t>22-03722</w:t>
          </w:r>
          <w:r>
            <w:rPr>
              <w:b w:val="0"/>
              <w:color w:val="000000"/>
              <w:sz w:val="14"/>
            </w:rPr>
            <w:fldChar w:fldCharType="end"/>
          </w:r>
        </w:p>
      </w:tc>
      <w:tc>
        <w:tcPr>
          <w:tcW w:w="4920" w:type="dxa"/>
          <w:shd w:val="clear" w:color="auto" w:fill="auto"/>
          <w:vAlign w:val="bottom"/>
        </w:tcPr>
        <w:p w14:paraId="6DA94C56" w14:textId="77777777" w:rsidR="00A25139" w:rsidRPr="00A25139" w:rsidRDefault="00A25139" w:rsidP="00A25139">
          <w:pPr>
            <w:pStyle w:val="Footer"/>
            <w:jc w:val="right"/>
          </w:pPr>
          <w:r>
            <w:fldChar w:fldCharType="begin"/>
          </w:r>
          <w:r>
            <w:instrText xml:space="preserve"> PAGE  \* Arabic  \* MERGEFORMAT </w:instrText>
          </w:r>
          <w:r>
            <w:fldChar w:fldCharType="separate"/>
          </w:r>
          <w:r>
            <w:t>2</w:t>
          </w:r>
          <w:r>
            <w:fldChar w:fldCharType="end"/>
          </w:r>
          <w:r>
            <w:t>/</w:t>
          </w:r>
          <w:r w:rsidR="00987F04">
            <w:fldChar w:fldCharType="begin"/>
          </w:r>
          <w:r w:rsidR="00987F04">
            <w:instrText xml:space="preserve"> NUMPAGES  \* Arabic  \* MERGEFORMAT </w:instrText>
          </w:r>
          <w:r w:rsidR="00987F04">
            <w:fldChar w:fldCharType="separate"/>
          </w:r>
          <w:r>
            <w:t>4</w:t>
          </w:r>
          <w:r w:rsidR="00987F04">
            <w:fldChar w:fldCharType="end"/>
          </w:r>
        </w:p>
      </w:tc>
    </w:tr>
  </w:tbl>
  <w:p w14:paraId="15FB0D44" w14:textId="77777777" w:rsidR="00A25139" w:rsidRPr="00A25139" w:rsidRDefault="00A25139" w:rsidP="00A25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17ED" w14:textId="77777777" w:rsidR="00A25139" w:rsidRPr="00A25139" w:rsidRDefault="00A25139" w:rsidP="00A25139">
    <w:pPr>
      <w:pStyle w:val="Footer"/>
      <w:spacing w:line="120" w:lineRule="exact"/>
      <w:rPr>
        <w:b w:val="0"/>
        <w:sz w:val="10"/>
      </w:rPr>
    </w:pPr>
    <w:r>
      <w:rPr>
        <w:b w:val="0"/>
        <w:sz w:val="10"/>
      </w:rPr>
      <w:drawing>
        <wp:anchor distT="0" distB="0" distL="114300" distR="114300" simplePos="0" relativeHeight="251658240" behindDoc="0" locked="0" layoutInCell="1" allowOverlap="1" wp14:anchorId="2A46F327" wp14:editId="7EEAEE1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25139" w14:paraId="2C46B214" w14:textId="77777777" w:rsidTr="00A25139">
      <w:tc>
        <w:tcPr>
          <w:tcW w:w="3830" w:type="dxa"/>
          <w:shd w:val="clear" w:color="auto" w:fill="auto"/>
        </w:tcPr>
        <w:p w14:paraId="5D518D41" w14:textId="5F99795F" w:rsidR="00A25139" w:rsidRDefault="00A25139" w:rsidP="00A25139">
          <w:pPr>
            <w:pStyle w:val="ReleaseDate0"/>
          </w:pPr>
          <w:r>
            <w:t xml:space="preserve">22-03722 (S)    180322    </w:t>
          </w:r>
          <w:r w:rsidR="00360E3C">
            <w:t>25</w:t>
          </w:r>
          <w:r>
            <w:t>0322</w:t>
          </w:r>
        </w:p>
        <w:p w14:paraId="1CA4CC42" w14:textId="77777777" w:rsidR="00A25139" w:rsidRPr="00A25139" w:rsidRDefault="00A25139" w:rsidP="00A2513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*2203722*</w:t>
          </w:r>
        </w:p>
      </w:tc>
      <w:tc>
        <w:tcPr>
          <w:tcW w:w="4920" w:type="dxa"/>
          <w:shd w:val="clear" w:color="auto" w:fill="auto"/>
        </w:tcPr>
        <w:p w14:paraId="793CCB0D" w14:textId="77777777" w:rsidR="00A25139" w:rsidRDefault="00A25139" w:rsidP="00A25139">
          <w:pPr>
            <w:pStyle w:val="Footer"/>
            <w:jc w:val="right"/>
            <w:rPr>
              <w:b w:val="0"/>
              <w:sz w:val="20"/>
            </w:rPr>
          </w:pPr>
          <w:r>
            <w:rPr>
              <w:b w:val="0"/>
              <w:sz w:val="20"/>
            </w:rPr>
            <w:drawing>
              <wp:inline distT="0" distB="0" distL="0" distR="0" wp14:anchorId="15BBE648" wp14:editId="647E256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F2A6296" w14:textId="77777777" w:rsidR="00A25139" w:rsidRPr="00A25139" w:rsidRDefault="00A25139" w:rsidP="00A2513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39C6" w14:textId="77777777" w:rsidR="008C6AF9" w:rsidRPr="00360E3C" w:rsidRDefault="008C6AF9" w:rsidP="00360E3C">
      <w:pPr>
        <w:pStyle w:val="Footer"/>
        <w:spacing w:after="80"/>
        <w:ind w:left="792"/>
        <w:rPr>
          <w:sz w:val="16"/>
        </w:rPr>
      </w:pPr>
      <w:r w:rsidRPr="00360E3C">
        <w:rPr>
          <w:sz w:val="16"/>
        </w:rPr>
        <w:t>__________________</w:t>
      </w:r>
    </w:p>
  </w:footnote>
  <w:footnote w:type="continuationSeparator" w:id="0">
    <w:p w14:paraId="276D92A0" w14:textId="77777777" w:rsidR="008C6AF9" w:rsidRPr="00360E3C" w:rsidRDefault="008C6AF9" w:rsidP="00360E3C">
      <w:pPr>
        <w:pStyle w:val="Footer"/>
        <w:spacing w:after="80"/>
        <w:ind w:left="792"/>
        <w:rPr>
          <w:sz w:val="16"/>
        </w:rPr>
      </w:pPr>
      <w:r w:rsidRPr="00360E3C">
        <w:rPr>
          <w:sz w:val="16"/>
        </w:rPr>
        <w:t>__________________</w:t>
      </w:r>
    </w:p>
  </w:footnote>
  <w:footnote w:id="1">
    <w:p w14:paraId="0BBCA354" w14:textId="63E54A4B" w:rsidR="00360E3C" w:rsidRPr="00360E3C" w:rsidRDefault="00360E3C" w:rsidP="006762CD">
      <w:pPr>
        <w:pStyle w:val="FootnoteText"/>
        <w:tabs>
          <w:tab w:val="clear" w:pos="418"/>
          <w:tab w:val="right" w:pos="1195"/>
          <w:tab w:val="left" w:pos="1267"/>
          <w:tab w:val="left" w:pos="1742"/>
          <w:tab w:val="left" w:pos="2218"/>
          <w:tab w:val="left" w:pos="2693"/>
        </w:tabs>
        <w:spacing w:before="100" w:after="700" w:line="240" w:lineRule="auto"/>
        <w:ind w:left="1267" w:right="1267" w:hanging="432"/>
        <w:rPr>
          <w:rFonts w:asciiTheme="majorBidi" w:hAnsiTheme="majorBidi" w:cstheme="majorBidi"/>
          <w:szCs w:val="17"/>
        </w:rPr>
      </w:pPr>
      <w:r>
        <w:rPr>
          <w:spacing w:val="4"/>
          <w:szCs w:val="17"/>
        </w:rPr>
        <w:tab/>
      </w:r>
      <w:r w:rsidRPr="00360E3C">
        <w:rPr>
          <w:rStyle w:val="FootnoteReference"/>
          <w:spacing w:val="4"/>
          <w:szCs w:val="17"/>
          <w:vertAlign w:val="baseline"/>
        </w:rPr>
        <w:t>*</w:t>
      </w:r>
      <w:r>
        <w:rPr>
          <w:spacing w:val="4"/>
          <w:szCs w:val="17"/>
        </w:rPr>
        <w:tab/>
      </w:r>
      <w:r w:rsidRPr="00360E3C">
        <w:rPr>
          <w:rFonts w:asciiTheme="majorBidi" w:hAnsiTheme="majorBidi" w:cstheme="majorBidi"/>
          <w:szCs w:val="17"/>
        </w:rPr>
        <w:t>La versión original del presente documento no fue objeto de revisión editorial oficial.</w:t>
      </w:r>
    </w:p>
  </w:footnote>
  <w:footnote w:id="2">
    <w:p w14:paraId="5ED275C0" w14:textId="6BEC1A2C" w:rsidR="00360E3C" w:rsidRPr="00360E3C" w:rsidRDefault="00360E3C" w:rsidP="00360E3C">
      <w:pPr>
        <w:pStyle w:val="FootnoteText"/>
        <w:tabs>
          <w:tab w:val="clear" w:pos="418"/>
          <w:tab w:val="right" w:pos="1195"/>
          <w:tab w:val="left" w:pos="1267"/>
          <w:tab w:val="left" w:pos="1742"/>
          <w:tab w:val="left" w:pos="2218"/>
          <w:tab w:val="left" w:pos="2693"/>
        </w:tabs>
        <w:ind w:left="1267" w:right="1470" w:hanging="432"/>
        <w:rPr>
          <w:rFonts w:asciiTheme="majorBidi" w:hAnsiTheme="majorBidi" w:cstheme="majorBidi"/>
          <w:szCs w:val="17"/>
        </w:rPr>
      </w:pPr>
      <w:r>
        <w:rPr>
          <w:rFonts w:asciiTheme="majorBidi" w:hAnsiTheme="majorBidi" w:cstheme="majorBidi"/>
          <w:szCs w:val="17"/>
        </w:rPr>
        <w:tab/>
      </w:r>
      <w:r w:rsidRPr="00360E3C">
        <w:rPr>
          <w:rStyle w:val="FootnoteReference"/>
          <w:rFonts w:asciiTheme="majorBidi" w:hAnsiTheme="majorBidi" w:cstheme="majorBidi"/>
          <w:szCs w:val="17"/>
        </w:rPr>
        <w:footnoteRef/>
      </w:r>
      <w:r>
        <w:rPr>
          <w:rFonts w:asciiTheme="majorBidi" w:hAnsiTheme="majorBidi" w:cstheme="majorBidi"/>
          <w:szCs w:val="17"/>
        </w:rPr>
        <w:tab/>
      </w:r>
      <w:r w:rsidRPr="00360E3C">
        <w:rPr>
          <w:rFonts w:asciiTheme="majorBidi" w:hAnsiTheme="majorBidi" w:cstheme="majorBidi"/>
          <w:szCs w:val="17"/>
        </w:rPr>
        <w:t>Bulgaria considera que el término “igualdad de género” se refiere a la “igualdad entre mujeres y hombres”.</w:t>
      </w:r>
    </w:p>
  </w:footnote>
  <w:footnote w:id="3">
    <w:p w14:paraId="4AFC3558" w14:textId="77777777" w:rsidR="00360E3C" w:rsidRPr="00827DAE" w:rsidRDefault="00360E3C" w:rsidP="00360E3C">
      <w:pPr>
        <w:pStyle w:val="FootnoteText"/>
        <w:tabs>
          <w:tab w:val="clear" w:pos="418"/>
          <w:tab w:val="right" w:pos="1195"/>
          <w:tab w:val="left" w:pos="1267"/>
          <w:tab w:val="left" w:pos="1742"/>
          <w:tab w:val="left" w:pos="2218"/>
          <w:tab w:val="left" w:pos="2693"/>
        </w:tabs>
        <w:ind w:left="1267" w:right="1267" w:hanging="432"/>
        <w:rPr>
          <w:rFonts w:asciiTheme="majorBidi" w:hAnsiTheme="majorBidi" w:cstheme="majorBidi"/>
        </w:rPr>
      </w:pPr>
      <w:r w:rsidRPr="00827DAE">
        <w:rPr>
          <w:rFonts w:asciiTheme="majorBidi" w:hAnsiTheme="majorBidi" w:cstheme="majorBidi"/>
        </w:rPr>
        <w:tab/>
      </w:r>
      <w:r w:rsidRPr="00827DAE">
        <w:rPr>
          <w:rStyle w:val="FootnoteReference"/>
          <w:rFonts w:asciiTheme="majorBidi" w:hAnsiTheme="majorBidi" w:cstheme="majorBidi"/>
        </w:rPr>
        <w:footnoteRef/>
      </w:r>
      <w:r w:rsidRPr="00827DAE">
        <w:rPr>
          <w:rFonts w:asciiTheme="majorBidi" w:hAnsiTheme="majorBidi" w:cstheme="majorBidi"/>
        </w:rPr>
        <w:tab/>
        <w:t xml:space="preserve">En 2021 se celebraron una ronda de elecciones parlamentarias ordinarias y dos rondas de elecciones parlamentarias anticipadas, así como dos rondas de elecciones presidenciales.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5139" w14:paraId="64A08E00" w14:textId="77777777" w:rsidTr="00A25139">
      <w:trPr>
        <w:trHeight w:hRule="exact" w:val="864"/>
      </w:trPr>
      <w:tc>
        <w:tcPr>
          <w:tcW w:w="4920" w:type="dxa"/>
          <w:shd w:val="clear" w:color="auto" w:fill="auto"/>
          <w:vAlign w:val="bottom"/>
        </w:tcPr>
        <w:p w14:paraId="40FBD3BB" w14:textId="7FAFB2EE" w:rsidR="00A25139" w:rsidRPr="00A25139" w:rsidRDefault="00A25139" w:rsidP="00A25139">
          <w:pPr>
            <w:pStyle w:val="Header"/>
            <w:spacing w:after="80"/>
            <w:rPr>
              <w:b/>
            </w:rPr>
          </w:pPr>
          <w:r>
            <w:rPr>
              <w:b/>
            </w:rPr>
            <w:fldChar w:fldCharType="begin"/>
          </w:r>
          <w:r>
            <w:rPr>
              <w:b/>
            </w:rPr>
            <w:instrText xml:space="preserve"> DOCVARIABLE "sss1" \* MERGEFORMAT </w:instrText>
          </w:r>
          <w:r>
            <w:rPr>
              <w:b/>
            </w:rPr>
            <w:fldChar w:fldCharType="separate"/>
          </w:r>
          <w:r w:rsidR="00987F04">
            <w:rPr>
              <w:b/>
            </w:rPr>
            <w:t>CEDAW/C/BGR/FCO/8</w:t>
          </w:r>
          <w:r>
            <w:rPr>
              <w:b/>
            </w:rPr>
            <w:fldChar w:fldCharType="end"/>
          </w:r>
        </w:p>
      </w:tc>
      <w:tc>
        <w:tcPr>
          <w:tcW w:w="4920" w:type="dxa"/>
          <w:shd w:val="clear" w:color="auto" w:fill="auto"/>
          <w:vAlign w:val="bottom"/>
        </w:tcPr>
        <w:p w14:paraId="17F672D8" w14:textId="77777777" w:rsidR="00A25139" w:rsidRDefault="00A25139" w:rsidP="00A25139">
          <w:pPr>
            <w:pStyle w:val="Header"/>
          </w:pPr>
        </w:p>
      </w:tc>
    </w:tr>
  </w:tbl>
  <w:p w14:paraId="7E74856A" w14:textId="77777777" w:rsidR="00A25139" w:rsidRPr="00A25139" w:rsidRDefault="00A25139" w:rsidP="00A2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5139" w14:paraId="16423C48" w14:textId="77777777" w:rsidTr="00A25139">
      <w:trPr>
        <w:trHeight w:hRule="exact" w:val="864"/>
      </w:trPr>
      <w:tc>
        <w:tcPr>
          <w:tcW w:w="4920" w:type="dxa"/>
          <w:shd w:val="clear" w:color="auto" w:fill="auto"/>
          <w:vAlign w:val="bottom"/>
        </w:tcPr>
        <w:p w14:paraId="49723858" w14:textId="77777777" w:rsidR="00A25139" w:rsidRDefault="00A25139" w:rsidP="00A25139">
          <w:pPr>
            <w:pStyle w:val="Header"/>
          </w:pPr>
        </w:p>
      </w:tc>
      <w:tc>
        <w:tcPr>
          <w:tcW w:w="4920" w:type="dxa"/>
          <w:shd w:val="clear" w:color="auto" w:fill="auto"/>
          <w:vAlign w:val="bottom"/>
        </w:tcPr>
        <w:p w14:paraId="3DE85CF0" w14:textId="7CBA14EA" w:rsidR="00A25139" w:rsidRPr="00A25139" w:rsidRDefault="00A25139" w:rsidP="00A25139">
          <w:pPr>
            <w:pStyle w:val="Header"/>
            <w:spacing w:after="80"/>
            <w:jc w:val="right"/>
            <w:rPr>
              <w:b/>
            </w:rPr>
          </w:pPr>
          <w:r>
            <w:rPr>
              <w:b/>
            </w:rPr>
            <w:fldChar w:fldCharType="begin"/>
          </w:r>
          <w:r>
            <w:rPr>
              <w:b/>
            </w:rPr>
            <w:instrText xml:space="preserve"> DOCVARIABLE "sss1" \* MERGEFORMAT </w:instrText>
          </w:r>
          <w:r>
            <w:rPr>
              <w:b/>
            </w:rPr>
            <w:fldChar w:fldCharType="separate"/>
          </w:r>
          <w:r w:rsidR="00987F04">
            <w:rPr>
              <w:b/>
            </w:rPr>
            <w:t>CEDAW/C/BGR/FCO/8</w:t>
          </w:r>
          <w:r>
            <w:rPr>
              <w:b/>
            </w:rPr>
            <w:fldChar w:fldCharType="end"/>
          </w:r>
        </w:p>
      </w:tc>
    </w:tr>
  </w:tbl>
  <w:p w14:paraId="060F4883" w14:textId="77777777" w:rsidR="00A25139" w:rsidRPr="00A25139" w:rsidRDefault="00A25139" w:rsidP="00A2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25139" w14:paraId="387559E8" w14:textId="77777777" w:rsidTr="00A25139">
      <w:trPr>
        <w:gridAfter w:val="1"/>
        <w:wAfter w:w="15" w:type="dxa"/>
        <w:trHeight w:hRule="exact" w:val="864"/>
      </w:trPr>
      <w:tc>
        <w:tcPr>
          <w:tcW w:w="1267" w:type="dxa"/>
          <w:tcBorders>
            <w:bottom w:val="single" w:sz="4" w:space="0" w:color="auto"/>
          </w:tcBorders>
          <w:shd w:val="clear" w:color="auto" w:fill="auto"/>
          <w:vAlign w:val="bottom"/>
        </w:tcPr>
        <w:p w14:paraId="2A3FADDA" w14:textId="77777777" w:rsidR="00A25139" w:rsidRDefault="00A25139" w:rsidP="00A25139">
          <w:pPr>
            <w:pStyle w:val="Header"/>
            <w:spacing w:after="120"/>
          </w:pPr>
        </w:p>
      </w:tc>
      <w:tc>
        <w:tcPr>
          <w:tcW w:w="2059" w:type="dxa"/>
          <w:tcBorders>
            <w:bottom w:val="single" w:sz="4" w:space="0" w:color="auto"/>
          </w:tcBorders>
          <w:shd w:val="clear" w:color="auto" w:fill="auto"/>
          <w:vAlign w:val="bottom"/>
        </w:tcPr>
        <w:p w14:paraId="67FD581D" w14:textId="77777777" w:rsidR="00A25139" w:rsidRPr="00A25139" w:rsidRDefault="00A25139" w:rsidP="00A2513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D2A3B28" w14:textId="77777777" w:rsidR="00A25139" w:rsidRDefault="00A25139" w:rsidP="00A25139">
          <w:pPr>
            <w:pStyle w:val="Header"/>
            <w:spacing w:after="120"/>
          </w:pPr>
        </w:p>
      </w:tc>
      <w:tc>
        <w:tcPr>
          <w:tcW w:w="6480" w:type="dxa"/>
          <w:gridSpan w:val="3"/>
          <w:tcBorders>
            <w:bottom w:val="single" w:sz="4" w:space="0" w:color="auto"/>
          </w:tcBorders>
          <w:shd w:val="clear" w:color="auto" w:fill="auto"/>
          <w:vAlign w:val="bottom"/>
        </w:tcPr>
        <w:p w14:paraId="582C5994" w14:textId="77777777" w:rsidR="00A25139" w:rsidRPr="00A25139" w:rsidRDefault="00A25139" w:rsidP="00A25139">
          <w:pPr>
            <w:spacing w:after="80" w:line="240" w:lineRule="auto"/>
            <w:jc w:val="right"/>
            <w:rPr>
              <w:position w:val="-4"/>
            </w:rPr>
          </w:pPr>
          <w:r>
            <w:rPr>
              <w:position w:val="-4"/>
              <w:sz w:val="40"/>
            </w:rPr>
            <w:t>CEDAW</w:t>
          </w:r>
          <w:r>
            <w:rPr>
              <w:position w:val="-4"/>
            </w:rPr>
            <w:t>/C/BGR/FCO/8</w:t>
          </w:r>
        </w:p>
      </w:tc>
    </w:tr>
    <w:tr w:rsidR="00A25139" w:rsidRPr="00A25139" w14:paraId="43AF3D23" w14:textId="77777777" w:rsidTr="00A25139">
      <w:trPr>
        <w:trHeight w:hRule="exact" w:val="2880"/>
      </w:trPr>
      <w:tc>
        <w:tcPr>
          <w:tcW w:w="1267" w:type="dxa"/>
          <w:tcBorders>
            <w:top w:val="single" w:sz="4" w:space="0" w:color="auto"/>
            <w:bottom w:val="single" w:sz="12" w:space="0" w:color="auto"/>
          </w:tcBorders>
          <w:shd w:val="clear" w:color="auto" w:fill="auto"/>
        </w:tcPr>
        <w:p w14:paraId="0906FCA4" w14:textId="77777777" w:rsidR="00A25139" w:rsidRPr="00A25139" w:rsidRDefault="00A25139" w:rsidP="00A25139">
          <w:pPr>
            <w:pStyle w:val="Header"/>
            <w:spacing w:before="120"/>
            <w:jc w:val="center"/>
          </w:pPr>
          <w:r>
            <w:t xml:space="preserve"> </w:t>
          </w:r>
          <w:r>
            <w:drawing>
              <wp:inline distT="0" distB="0" distL="0" distR="0" wp14:anchorId="5011C4B7" wp14:editId="54B4770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16CD82" w14:textId="77777777" w:rsidR="00A25139" w:rsidRPr="00A25139" w:rsidRDefault="00A25139" w:rsidP="00A2513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1D6DB54" w14:textId="77777777" w:rsidR="00A25139" w:rsidRPr="00360E3C" w:rsidRDefault="00A25139" w:rsidP="00A2513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AA8FCF4" w14:textId="77777777" w:rsidR="00A25139" w:rsidRDefault="00A25139" w:rsidP="00A25139">
          <w:pPr>
            <w:pStyle w:val="Distribution"/>
            <w:spacing w:before="240"/>
          </w:pPr>
          <w:r>
            <w:t>Distr. general</w:t>
          </w:r>
        </w:p>
        <w:p w14:paraId="6FFD1BDE" w14:textId="77777777" w:rsidR="00A25139" w:rsidRDefault="00A25139" w:rsidP="00A25139">
          <w:pPr>
            <w:pStyle w:val="Publication"/>
          </w:pPr>
          <w:r>
            <w:t>14 de marzo de 2022</w:t>
          </w:r>
        </w:p>
        <w:p w14:paraId="5C22FDD2" w14:textId="77777777" w:rsidR="00A25139" w:rsidRDefault="00A25139" w:rsidP="00A25139">
          <w:r>
            <w:t>Español</w:t>
          </w:r>
        </w:p>
        <w:p w14:paraId="39AFE5CE" w14:textId="6619D30B" w:rsidR="00360E3C" w:rsidRDefault="00A25139" w:rsidP="00A25139">
          <w:pPr>
            <w:pStyle w:val="Original"/>
          </w:pPr>
          <w:r>
            <w:t xml:space="preserve">Original: </w:t>
          </w:r>
          <w:r w:rsidR="00360E3C">
            <w:t>inglés</w:t>
          </w:r>
        </w:p>
        <w:p w14:paraId="457049F7" w14:textId="2C48E1BA" w:rsidR="00A25139" w:rsidRDefault="00360E3C" w:rsidP="00A25139">
          <w:pPr>
            <w:pStyle w:val="Original"/>
          </w:pPr>
          <w:r>
            <w:t>E</w:t>
          </w:r>
          <w:r w:rsidR="00A25139">
            <w:t>spañol</w:t>
          </w:r>
          <w:r>
            <w:t xml:space="preserve">, </w:t>
          </w:r>
          <w:r w:rsidR="00A25139">
            <w:t>francés</w:t>
          </w:r>
          <w:r>
            <w:t xml:space="preserve"> e </w:t>
          </w:r>
          <w:r w:rsidR="00A25139">
            <w:t>inglés</w:t>
          </w:r>
          <w:r>
            <w:br/>
            <w:t>únicamente</w:t>
          </w:r>
        </w:p>
        <w:p w14:paraId="7FD2590D" w14:textId="77777777" w:rsidR="00A25139" w:rsidRPr="00A25139" w:rsidRDefault="00A25139" w:rsidP="00A25139"/>
      </w:tc>
    </w:tr>
  </w:tbl>
  <w:p w14:paraId="34C93378" w14:textId="77777777" w:rsidR="00A25139" w:rsidRPr="00360E3C" w:rsidRDefault="00A25139" w:rsidP="00A2513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AA87845"/>
    <w:multiLevelType w:val="hybridMultilevel"/>
    <w:tmpl w:val="C19064E0"/>
    <w:lvl w:ilvl="0" w:tplc="40DA789E">
      <w:start w:val="1"/>
      <w:numFmt w:val="decimal"/>
      <w:lvlText w:val="%1."/>
      <w:lvlJc w:val="left"/>
      <w:pPr>
        <w:ind w:left="1854" w:hanging="360"/>
      </w:pPr>
      <w:rPr>
        <w:b w:val="0"/>
        <w:bCs/>
        <w:i w:val="0"/>
        <w:i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ACE3772"/>
    <w:multiLevelType w:val="singleLevel"/>
    <w:tmpl w:val="B21EA5D8"/>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6"/>
  </w:num>
  <w:num w:numId="9">
    <w:abstractNumId w:val="6"/>
    <w:lvlOverride w:ilvl="0">
      <w:lvl w:ilvl="0">
        <w:start w:val="1"/>
        <w:numFmt w:val="decimal"/>
        <w:lvlRestart w:val="0"/>
        <w:lvlText w:val="%1."/>
        <w:lvlJc w:val="left"/>
        <w:pPr>
          <w:tabs>
            <w:tab w:val="num" w:pos="475"/>
          </w:tabs>
          <w:ind w:left="0" w:firstLine="0"/>
        </w:pPr>
        <w:rPr>
          <w:spacing w:val="0"/>
          <w:w w:val="100"/>
        </w:rPr>
      </w:lvl>
    </w:lvlOverride>
  </w:num>
  <w:num w:numId="10">
    <w:abstractNumId w:val="6"/>
    <w:lvlOverride w:ilvl="0">
      <w:lvl w:ilvl="0">
        <w:start w:val="1"/>
        <w:numFmt w:val="decimal"/>
        <w:lvlRestart w:val="0"/>
        <w:lvlText w:val="%1."/>
        <w:lvlJc w:val="left"/>
        <w:pPr>
          <w:tabs>
            <w:tab w:val="num" w:pos="475"/>
          </w:tabs>
          <w:ind w:left="0" w:firstLine="0"/>
        </w:pPr>
        <w:rPr>
          <w:spacing w:val="0"/>
          <w:w w:val="100"/>
        </w:rPr>
      </w:lvl>
    </w:lvlOverride>
  </w:num>
  <w:num w:numId="11">
    <w:abstractNumId w:val="6"/>
    <w:lvlOverride w:ilvl="0">
      <w:lvl w:ilvl="0">
        <w:start w:val="1"/>
        <w:numFmt w:val="decimal"/>
        <w:lvlRestart w:val="0"/>
        <w:lvlText w:val="%1."/>
        <w:lvlJc w:val="left"/>
        <w:pPr>
          <w:tabs>
            <w:tab w:val="num" w:pos="475"/>
          </w:tabs>
          <w:ind w:left="0" w:firstLine="0"/>
        </w:pPr>
        <w:rPr>
          <w:spacing w:val="0"/>
          <w:w w:val="100"/>
        </w:rPr>
      </w:lvl>
    </w:lvlOverride>
  </w:num>
  <w:num w:numId="12">
    <w:abstractNumId w:val="6"/>
    <w:lvlOverride w:ilvl="0">
      <w:lvl w:ilvl="0">
        <w:start w:val="1"/>
        <w:numFmt w:val="decimal"/>
        <w:lvlRestart w:val="0"/>
        <w:lvlText w:val="%1."/>
        <w:lvlJc w:val="left"/>
        <w:pPr>
          <w:tabs>
            <w:tab w:val="num" w:pos="475"/>
          </w:tabs>
          <w:ind w:left="0" w:firstLine="0"/>
        </w:pPr>
        <w:rPr>
          <w:spacing w:val="0"/>
          <w:w w:val="100"/>
        </w:rPr>
      </w:lvl>
    </w:lvlOverride>
  </w:num>
  <w:num w:numId="13">
    <w:abstractNumId w:val="6"/>
    <w:lvlOverride w:ilvl="0">
      <w:lvl w:ilvl="0">
        <w:start w:val="1"/>
        <w:numFmt w:val="decimal"/>
        <w:lvlRestart w:val="0"/>
        <w:lvlText w:val="%1."/>
        <w:lvlJc w:val="left"/>
        <w:pPr>
          <w:tabs>
            <w:tab w:val="num" w:pos="475"/>
          </w:tabs>
          <w:ind w:left="0" w:firstLine="0"/>
        </w:pPr>
        <w:rPr>
          <w:spacing w:val="0"/>
          <w:w w:val="100"/>
        </w:rPr>
      </w:lvl>
    </w:lvlOverride>
  </w:num>
  <w:num w:numId="14">
    <w:abstractNumId w:val="6"/>
    <w:lvlOverride w:ilvl="0">
      <w:lvl w:ilvl="0">
        <w:start w:val="1"/>
        <w:numFmt w:val="decimal"/>
        <w:lvlRestart w:val="0"/>
        <w:lvlText w:val="%1."/>
        <w:lvlJc w:val="left"/>
        <w:pPr>
          <w:tabs>
            <w:tab w:val="num" w:pos="475"/>
          </w:tabs>
          <w:ind w:left="0" w:firstLine="0"/>
        </w:pPr>
        <w:rPr>
          <w:spacing w:val="0"/>
          <w:w w:val="100"/>
        </w:rPr>
      </w:lvl>
    </w:lvlOverride>
  </w:num>
  <w:num w:numId="15">
    <w:abstractNumId w:val="6"/>
    <w:lvlOverride w:ilvl="0">
      <w:lvl w:ilvl="0">
        <w:start w:val="1"/>
        <w:numFmt w:val="decimal"/>
        <w:lvlRestart w:val="0"/>
        <w:lvlText w:val="%1."/>
        <w:lvlJc w:val="left"/>
        <w:pPr>
          <w:tabs>
            <w:tab w:val="num" w:pos="475"/>
          </w:tabs>
          <w:ind w:left="0" w:firstLine="0"/>
        </w:pPr>
        <w:rPr>
          <w:spacing w:val="0"/>
          <w:w w:val="100"/>
        </w:rPr>
      </w:lvl>
    </w:lvlOverride>
  </w:num>
  <w:num w:numId="16">
    <w:abstractNumId w:val="6"/>
    <w:lvlOverride w:ilvl="0">
      <w:lvl w:ilvl="0">
        <w:start w:val="1"/>
        <w:numFmt w:val="decimal"/>
        <w:lvlRestart w:val="0"/>
        <w:lvlText w:val="%1."/>
        <w:lvlJc w:val="left"/>
        <w:pPr>
          <w:tabs>
            <w:tab w:val="num" w:pos="475"/>
          </w:tabs>
          <w:ind w:left="0" w:firstLine="0"/>
        </w:pPr>
        <w:rPr>
          <w:spacing w:val="0"/>
          <w:w w:val="100"/>
        </w:rPr>
      </w:lvl>
    </w:lvlOverride>
  </w:num>
  <w:num w:numId="17">
    <w:abstractNumId w:val="6"/>
    <w:lvlOverride w:ilvl="0">
      <w:lvl w:ilvl="0">
        <w:start w:val="1"/>
        <w:numFmt w:val="decimal"/>
        <w:lvlRestart w:val="0"/>
        <w:lvlText w:val="%1."/>
        <w:lvlJc w:val="left"/>
        <w:pPr>
          <w:tabs>
            <w:tab w:val="num" w:pos="475"/>
          </w:tabs>
          <w:ind w:left="0" w:firstLine="0"/>
        </w:pPr>
        <w:rPr>
          <w:spacing w:val="0"/>
          <w:w w:val="100"/>
        </w:rPr>
      </w:lvl>
    </w:lvlOverride>
  </w:num>
  <w:num w:numId="18">
    <w:abstractNumId w:val="6"/>
    <w:lvlOverride w:ilvl="0">
      <w:lvl w:ilvl="0">
        <w:start w:val="1"/>
        <w:numFmt w:val="decimal"/>
        <w:lvlRestart w:val="0"/>
        <w:lvlText w:val="%1."/>
        <w:lvlJc w:val="left"/>
        <w:pPr>
          <w:tabs>
            <w:tab w:val="num" w:pos="475"/>
          </w:tabs>
          <w:ind w:left="0" w:firstLine="0"/>
        </w:pPr>
        <w:rPr>
          <w:spacing w:val="0"/>
          <w:w w:val="100"/>
        </w:rPr>
      </w:lvl>
    </w:lvlOverride>
  </w:num>
  <w:num w:numId="19">
    <w:abstractNumId w:val="6"/>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722*"/>
    <w:docVar w:name="CreationDt" w:val="18/03/2022 12:42 PM"/>
    <w:docVar w:name="DocCategory" w:val="Doc"/>
    <w:docVar w:name="DocType" w:val="Final"/>
    <w:docVar w:name="DutyStation" w:val="New York"/>
    <w:docVar w:name="FooterJN" w:val="22-03722"/>
    <w:docVar w:name="jobn" w:val="22-03722 (S)"/>
    <w:docVar w:name="jobnDT" w:val="22-03722 (S)   180322"/>
    <w:docVar w:name="jobnDTDT" w:val="22-03722 (S)   180322   180322"/>
    <w:docVar w:name="JobNo" w:val="2203722S"/>
    <w:docVar w:name="JobNo2" w:val="222861512:42 PM"/>
    <w:docVar w:name="LocalDrive" w:val="-1"/>
    <w:docVar w:name="OandT" w:val="FAA/BV"/>
    <w:docVar w:name="sss1" w:val="CEDAW/C/BGR/FCO/8"/>
    <w:docVar w:name="sss2" w:val="-"/>
    <w:docVar w:name="Symbol1" w:val="CEDAW/C/BGR/FCO/8"/>
    <w:docVar w:name="Symbol2" w:val="-"/>
    <w:docVar w:name="Title1" w:val="_x0009__x0009_Información recibida de Bulgaria relativa al seguimiento de las observaciones finales sobre su octavo informe periódico*_x000d_"/>
  </w:docVars>
  <w:rsids>
    <w:rsidRoot w:val="00975B80"/>
    <w:rsid w:val="00002584"/>
    <w:rsid w:val="0006491F"/>
    <w:rsid w:val="00066E9F"/>
    <w:rsid w:val="00067B89"/>
    <w:rsid w:val="00071D43"/>
    <w:rsid w:val="00082144"/>
    <w:rsid w:val="000C3DFF"/>
    <w:rsid w:val="000F1F99"/>
    <w:rsid w:val="00101B18"/>
    <w:rsid w:val="00117EA0"/>
    <w:rsid w:val="00122A56"/>
    <w:rsid w:val="00134FEE"/>
    <w:rsid w:val="00146C6A"/>
    <w:rsid w:val="00147570"/>
    <w:rsid w:val="00151388"/>
    <w:rsid w:val="00166A0D"/>
    <w:rsid w:val="001912F2"/>
    <w:rsid w:val="001A7FCC"/>
    <w:rsid w:val="001D5969"/>
    <w:rsid w:val="001E4B50"/>
    <w:rsid w:val="0022119B"/>
    <w:rsid w:val="00241B93"/>
    <w:rsid w:val="002478A0"/>
    <w:rsid w:val="00260237"/>
    <w:rsid w:val="00283932"/>
    <w:rsid w:val="002A5E20"/>
    <w:rsid w:val="002D1584"/>
    <w:rsid w:val="00304428"/>
    <w:rsid w:val="00311368"/>
    <w:rsid w:val="00347D82"/>
    <w:rsid w:val="00352B3D"/>
    <w:rsid w:val="00356DCA"/>
    <w:rsid w:val="00360E3C"/>
    <w:rsid w:val="00366D21"/>
    <w:rsid w:val="0037384C"/>
    <w:rsid w:val="0039127C"/>
    <w:rsid w:val="003A675A"/>
    <w:rsid w:val="003B24AA"/>
    <w:rsid w:val="003B740D"/>
    <w:rsid w:val="003D096D"/>
    <w:rsid w:val="003F61E1"/>
    <w:rsid w:val="00411A14"/>
    <w:rsid w:val="00415E1D"/>
    <w:rsid w:val="00431E47"/>
    <w:rsid w:val="00440C93"/>
    <w:rsid w:val="00480B84"/>
    <w:rsid w:val="00491BC7"/>
    <w:rsid w:val="004B64F9"/>
    <w:rsid w:val="004C1A25"/>
    <w:rsid w:val="004F7787"/>
    <w:rsid w:val="00515991"/>
    <w:rsid w:val="005225EC"/>
    <w:rsid w:val="00525097"/>
    <w:rsid w:val="005509B6"/>
    <w:rsid w:val="005F1F5F"/>
    <w:rsid w:val="00622288"/>
    <w:rsid w:val="00632C10"/>
    <w:rsid w:val="00650967"/>
    <w:rsid w:val="00656540"/>
    <w:rsid w:val="00657C5A"/>
    <w:rsid w:val="006731EC"/>
    <w:rsid w:val="006762CD"/>
    <w:rsid w:val="006806EB"/>
    <w:rsid w:val="00690698"/>
    <w:rsid w:val="00695D66"/>
    <w:rsid w:val="006E4A4B"/>
    <w:rsid w:val="006F4570"/>
    <w:rsid w:val="00703106"/>
    <w:rsid w:val="007116A9"/>
    <w:rsid w:val="007459AE"/>
    <w:rsid w:val="007526FF"/>
    <w:rsid w:val="007531A5"/>
    <w:rsid w:val="00753D8A"/>
    <w:rsid w:val="00771C9E"/>
    <w:rsid w:val="00783685"/>
    <w:rsid w:val="00807B29"/>
    <w:rsid w:val="0082045E"/>
    <w:rsid w:val="008222A3"/>
    <w:rsid w:val="00840664"/>
    <w:rsid w:val="008B3FC7"/>
    <w:rsid w:val="008C6AF9"/>
    <w:rsid w:val="008F3462"/>
    <w:rsid w:val="00935932"/>
    <w:rsid w:val="009559A6"/>
    <w:rsid w:val="00975B80"/>
    <w:rsid w:val="00987F04"/>
    <w:rsid w:val="00993CB7"/>
    <w:rsid w:val="009A633E"/>
    <w:rsid w:val="009B13E4"/>
    <w:rsid w:val="009D0EE3"/>
    <w:rsid w:val="009E1F5F"/>
    <w:rsid w:val="00A1038C"/>
    <w:rsid w:val="00A2494D"/>
    <w:rsid w:val="00A25139"/>
    <w:rsid w:val="00A31C1D"/>
    <w:rsid w:val="00A536A1"/>
    <w:rsid w:val="00AB0B7D"/>
    <w:rsid w:val="00AD5F2F"/>
    <w:rsid w:val="00AE7243"/>
    <w:rsid w:val="00AF26E2"/>
    <w:rsid w:val="00AF4336"/>
    <w:rsid w:val="00B114E4"/>
    <w:rsid w:val="00B858D5"/>
    <w:rsid w:val="00BB462D"/>
    <w:rsid w:val="00BD113B"/>
    <w:rsid w:val="00BE3F53"/>
    <w:rsid w:val="00C026EE"/>
    <w:rsid w:val="00C07FF6"/>
    <w:rsid w:val="00C32BC2"/>
    <w:rsid w:val="00C43505"/>
    <w:rsid w:val="00C5036A"/>
    <w:rsid w:val="00C7565B"/>
    <w:rsid w:val="00CB06FB"/>
    <w:rsid w:val="00CB63C5"/>
    <w:rsid w:val="00D0035F"/>
    <w:rsid w:val="00D3073B"/>
    <w:rsid w:val="00D30EED"/>
    <w:rsid w:val="00D37A44"/>
    <w:rsid w:val="00D50E1C"/>
    <w:rsid w:val="00D63B57"/>
    <w:rsid w:val="00DB32F0"/>
    <w:rsid w:val="00DB66DE"/>
    <w:rsid w:val="00DC7881"/>
    <w:rsid w:val="00DD5701"/>
    <w:rsid w:val="00DF44DA"/>
    <w:rsid w:val="00E117BC"/>
    <w:rsid w:val="00E343A6"/>
    <w:rsid w:val="00E443AC"/>
    <w:rsid w:val="00E47A1E"/>
    <w:rsid w:val="00E517AD"/>
    <w:rsid w:val="00E637F3"/>
    <w:rsid w:val="00E7105F"/>
    <w:rsid w:val="00E818DE"/>
    <w:rsid w:val="00EA35B4"/>
    <w:rsid w:val="00ED471D"/>
    <w:rsid w:val="00EE37EC"/>
    <w:rsid w:val="00EF2DFA"/>
    <w:rsid w:val="00EF376D"/>
    <w:rsid w:val="00F0034E"/>
    <w:rsid w:val="00F0282E"/>
    <w:rsid w:val="00F0704E"/>
    <w:rsid w:val="00F272D7"/>
    <w:rsid w:val="00F313F6"/>
    <w:rsid w:val="00F5012D"/>
    <w:rsid w:val="00F73093"/>
    <w:rsid w:val="00F873D4"/>
    <w:rsid w:val="00FA3D05"/>
    <w:rsid w:val="00FA5CC9"/>
    <w:rsid w:val="00FB0A2C"/>
    <w:rsid w:val="00FB3A0E"/>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6DEB09"/>
  <w15:chartTrackingRefBased/>
  <w15:docId w15:val="{0D3847AB-6A34-4851-AC78-066EA33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4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F0034E"/>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0034E"/>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0034E"/>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0034E"/>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0034E"/>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0034E"/>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0034E"/>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0034E"/>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0034E"/>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0034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0034E"/>
    <w:pPr>
      <w:spacing w:line="360" w:lineRule="exact"/>
    </w:pPr>
    <w:rPr>
      <w:spacing w:val="-3"/>
      <w:w w:val="99"/>
      <w:sz w:val="34"/>
    </w:rPr>
  </w:style>
  <w:style w:type="paragraph" w:customStyle="1" w:styleId="H23">
    <w:name w:val="_ H_2/3"/>
    <w:basedOn w:val="H1"/>
    <w:next w:val="SingleTxt"/>
    <w:qFormat/>
    <w:rsid w:val="00F0034E"/>
    <w:pPr>
      <w:spacing w:line="240" w:lineRule="exact"/>
      <w:outlineLvl w:val="1"/>
    </w:pPr>
    <w:rPr>
      <w:spacing w:val="2"/>
      <w:sz w:val="20"/>
    </w:rPr>
  </w:style>
  <w:style w:type="paragraph" w:customStyle="1" w:styleId="H4">
    <w:name w:val="_ H_4"/>
    <w:basedOn w:val="Normal"/>
    <w:next w:val="Normal"/>
    <w:qFormat/>
    <w:rsid w:val="00F0034E"/>
    <w:pPr>
      <w:keepNext/>
      <w:keepLines/>
      <w:tabs>
        <w:tab w:val="right" w:pos="360"/>
      </w:tabs>
      <w:outlineLvl w:val="3"/>
    </w:pPr>
    <w:rPr>
      <w:i/>
      <w:spacing w:val="3"/>
      <w:kern w:val="14"/>
    </w:rPr>
  </w:style>
  <w:style w:type="paragraph" w:customStyle="1" w:styleId="H56">
    <w:name w:val="_ H_5/6"/>
    <w:basedOn w:val="Normal"/>
    <w:next w:val="Normal"/>
    <w:qFormat/>
    <w:rsid w:val="00F0034E"/>
    <w:pPr>
      <w:keepNext/>
      <w:keepLines/>
      <w:tabs>
        <w:tab w:val="right" w:pos="360"/>
      </w:tabs>
      <w:outlineLvl w:val="4"/>
    </w:pPr>
    <w:rPr>
      <w:kern w:val="14"/>
    </w:rPr>
  </w:style>
  <w:style w:type="paragraph" w:customStyle="1" w:styleId="DualTxt">
    <w:name w:val="__Dual Txt"/>
    <w:basedOn w:val="Normal"/>
    <w:qFormat/>
    <w:rsid w:val="00F0034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0034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0034E"/>
    <w:pPr>
      <w:spacing w:line="540" w:lineRule="exact"/>
    </w:pPr>
    <w:rPr>
      <w:spacing w:val="-8"/>
      <w:w w:val="96"/>
      <w:sz w:val="57"/>
    </w:rPr>
  </w:style>
  <w:style w:type="paragraph" w:customStyle="1" w:styleId="SS">
    <w:name w:val="__S_S"/>
    <w:basedOn w:val="HCh0"/>
    <w:next w:val="Normal"/>
    <w:qFormat/>
    <w:rsid w:val="00F0034E"/>
    <w:pPr>
      <w:ind w:left="1267" w:right="1267"/>
    </w:pPr>
  </w:style>
  <w:style w:type="paragraph" w:customStyle="1" w:styleId="SingleTxt">
    <w:name w:val="__Single Txt"/>
    <w:basedOn w:val="Normal"/>
    <w:link w:val="SingleTxtChar"/>
    <w:qFormat/>
    <w:rsid w:val="00F003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0034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003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0034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0034E"/>
    <w:rPr>
      <w:rFonts w:ascii="Tahoma" w:hAnsi="Tahoma" w:cs="Tahoma"/>
      <w:sz w:val="16"/>
      <w:szCs w:val="16"/>
    </w:rPr>
  </w:style>
  <w:style w:type="character" w:customStyle="1" w:styleId="BalloonTextChar">
    <w:name w:val="Balloon Text Char"/>
    <w:basedOn w:val="DefaultParagraphFont"/>
    <w:link w:val="BalloonText"/>
    <w:semiHidden/>
    <w:rsid w:val="00F0034E"/>
    <w:rPr>
      <w:rFonts w:ascii="Tahoma" w:eastAsiaTheme="minorHAnsi" w:hAnsi="Tahoma" w:cs="Tahoma"/>
      <w:spacing w:val="4"/>
      <w:w w:val="103"/>
      <w:sz w:val="16"/>
      <w:szCs w:val="16"/>
      <w:lang w:val="es-ES" w:eastAsia="en-US"/>
    </w:rPr>
  </w:style>
  <w:style w:type="paragraph" w:customStyle="1" w:styleId="Bullet1">
    <w:name w:val="Bullet 1"/>
    <w:basedOn w:val="Normal"/>
    <w:qFormat/>
    <w:rsid w:val="00F0034E"/>
    <w:pPr>
      <w:numPr>
        <w:numId w:val="1"/>
      </w:numPr>
      <w:spacing w:after="120"/>
      <w:ind w:right="1264"/>
      <w:jc w:val="both"/>
    </w:pPr>
  </w:style>
  <w:style w:type="paragraph" w:customStyle="1" w:styleId="Bullet2">
    <w:name w:val="Bullet 2"/>
    <w:basedOn w:val="Normal"/>
    <w:qFormat/>
    <w:rsid w:val="00F0034E"/>
    <w:pPr>
      <w:numPr>
        <w:numId w:val="2"/>
      </w:numPr>
      <w:spacing w:after="120"/>
      <w:ind w:right="1264"/>
      <w:jc w:val="both"/>
    </w:pPr>
  </w:style>
  <w:style w:type="paragraph" w:customStyle="1" w:styleId="Bullet3">
    <w:name w:val="Bullet 3"/>
    <w:basedOn w:val="SingleTxt"/>
    <w:qFormat/>
    <w:rsid w:val="00F0034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0034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F003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0034E"/>
    <w:pPr>
      <w:spacing w:after="80"/>
    </w:pPr>
  </w:style>
  <w:style w:type="character" w:customStyle="1" w:styleId="EndnoteTextChar">
    <w:name w:val="Endnote Text Char"/>
    <w:basedOn w:val="DefaultParagraphFont"/>
    <w:link w:val="EndnoteText"/>
    <w:semiHidden/>
    <w:rsid w:val="00F0034E"/>
    <w:rPr>
      <w:rFonts w:ascii="Times New Roman" w:eastAsiaTheme="minorHAnsi" w:hAnsi="Times New Roman" w:cs="Times New Roman"/>
      <w:spacing w:val="5"/>
      <w:w w:val="104"/>
      <w:sz w:val="17"/>
      <w:lang w:val="es-ES" w:eastAsia="en-US"/>
    </w:rPr>
  </w:style>
  <w:style w:type="paragraph" w:styleId="Footer">
    <w:name w:val="footer"/>
    <w:link w:val="FooterChar"/>
    <w:qFormat/>
    <w:rsid w:val="00F0034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F0034E"/>
    <w:rPr>
      <w:rFonts w:ascii="Times New Roman" w:eastAsiaTheme="minorHAnsi" w:hAnsi="Times New Roman" w:cs="Times New Roman"/>
      <w:b/>
      <w:noProof/>
      <w:sz w:val="17"/>
      <w:lang w:val="en-US" w:eastAsia="en-US"/>
    </w:rPr>
  </w:style>
  <w:style w:type="character" w:styleId="FootnoteReference">
    <w:name w:val="footnote reference"/>
    <w:semiHidden/>
    <w:rsid w:val="00F003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0034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0034E"/>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F0034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F0034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0034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F0034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F0034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F0034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F0034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F0034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0034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F0034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F0034E"/>
    <w:rPr>
      <w:rFonts w:ascii="Cambria" w:hAnsi="Cambria" w:cs="Times New Roman"/>
      <w:i/>
      <w:iCs/>
      <w:spacing w:val="5"/>
      <w:w w:val="103"/>
      <w:sz w:val="20"/>
      <w:szCs w:val="20"/>
      <w:lang w:val="es-ES" w:eastAsia="en-US"/>
    </w:rPr>
  </w:style>
  <w:style w:type="character" w:styleId="LineNumber">
    <w:name w:val="line number"/>
    <w:qFormat/>
    <w:rsid w:val="00F0034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0034E"/>
    <w:pPr>
      <w:spacing w:line="240" w:lineRule="auto"/>
    </w:pPr>
  </w:style>
  <w:style w:type="paragraph" w:customStyle="1" w:styleId="Original">
    <w:name w:val="Original"/>
    <w:next w:val="Normal"/>
    <w:autoRedefine/>
    <w:qFormat/>
    <w:rsid w:val="00F0034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F0034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0034E"/>
    <w:pPr>
      <w:tabs>
        <w:tab w:val="right" w:pos="9965"/>
      </w:tabs>
      <w:spacing w:line="210" w:lineRule="exact"/>
    </w:pPr>
    <w:rPr>
      <w:spacing w:val="5"/>
      <w:w w:val="104"/>
      <w:kern w:val="14"/>
      <w:sz w:val="17"/>
    </w:rPr>
  </w:style>
  <w:style w:type="paragraph" w:customStyle="1" w:styleId="SmallX">
    <w:name w:val="SmallX"/>
    <w:basedOn w:val="Small"/>
    <w:next w:val="Normal"/>
    <w:qFormat/>
    <w:rsid w:val="00F0034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003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003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0034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F003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F0034E"/>
    <w:pPr>
      <w:spacing w:line="300" w:lineRule="exact"/>
    </w:pPr>
    <w:rPr>
      <w:spacing w:val="-2"/>
      <w:sz w:val="28"/>
    </w:rPr>
  </w:style>
  <w:style w:type="paragraph" w:styleId="Caption">
    <w:name w:val="caption"/>
    <w:basedOn w:val="Normal"/>
    <w:next w:val="Normal"/>
    <w:uiPriority w:val="35"/>
    <w:semiHidden/>
    <w:unhideWhenUsed/>
    <w:rsid w:val="00F0034E"/>
    <w:pPr>
      <w:spacing w:line="240" w:lineRule="auto"/>
    </w:pPr>
    <w:rPr>
      <w:b/>
      <w:bCs/>
      <w:color w:val="4F81BD"/>
      <w:sz w:val="18"/>
      <w:szCs w:val="18"/>
    </w:rPr>
  </w:style>
  <w:style w:type="character" w:styleId="CommentReference">
    <w:name w:val="annotation reference"/>
    <w:semiHidden/>
    <w:rsid w:val="00F0034E"/>
    <w:rPr>
      <w:sz w:val="6"/>
    </w:rPr>
  </w:style>
  <w:style w:type="paragraph" w:customStyle="1" w:styleId="HdBanner">
    <w:name w:val="Hd Banner"/>
    <w:basedOn w:val="Normal"/>
    <w:next w:val="Normal"/>
    <w:qFormat/>
    <w:rsid w:val="00F0034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0034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0034E"/>
    <w:pPr>
      <w:spacing w:before="240"/>
    </w:pPr>
    <w:rPr>
      <w:b/>
      <w:spacing w:val="-2"/>
      <w:w w:val="100"/>
    </w:rPr>
  </w:style>
  <w:style w:type="paragraph" w:customStyle="1" w:styleId="HdChapterBdLg">
    <w:name w:val="Hd Chapter Bd Lg"/>
    <w:basedOn w:val="HdChapterBD"/>
    <w:next w:val="Normal"/>
    <w:qFormat/>
    <w:rsid w:val="00F0034E"/>
    <w:rPr>
      <w:spacing w:val="-3"/>
      <w:w w:val="99"/>
      <w:kern w:val="14"/>
      <w:sz w:val="34"/>
      <w:szCs w:val="34"/>
    </w:rPr>
  </w:style>
  <w:style w:type="paragraph" w:customStyle="1" w:styleId="JournalHeading1">
    <w:name w:val="Journal_Heading1"/>
    <w:basedOn w:val="Normal"/>
    <w:next w:val="Normal"/>
    <w:qFormat/>
    <w:rsid w:val="00F0034E"/>
    <w:pPr>
      <w:keepNext/>
      <w:spacing w:before="190" w:line="270" w:lineRule="exact"/>
    </w:pPr>
    <w:rPr>
      <w:b/>
      <w:kern w:val="14"/>
      <w:sz w:val="24"/>
    </w:rPr>
  </w:style>
  <w:style w:type="paragraph" w:customStyle="1" w:styleId="JournalHeading2">
    <w:name w:val="Journal_Heading2"/>
    <w:basedOn w:val="Normal"/>
    <w:next w:val="Normal"/>
    <w:qFormat/>
    <w:rsid w:val="00F0034E"/>
    <w:pPr>
      <w:keepNext/>
      <w:keepLines/>
      <w:spacing w:before="240"/>
      <w:outlineLvl w:val="1"/>
    </w:pPr>
    <w:rPr>
      <w:b/>
      <w:spacing w:val="2"/>
      <w:kern w:val="14"/>
    </w:rPr>
  </w:style>
  <w:style w:type="paragraph" w:customStyle="1" w:styleId="JournalHeading4">
    <w:name w:val="Journal_Heading4"/>
    <w:basedOn w:val="Normal"/>
    <w:next w:val="Normal"/>
    <w:qFormat/>
    <w:rsid w:val="00F0034E"/>
    <w:pPr>
      <w:keepNext/>
      <w:keepLines/>
      <w:spacing w:before="240"/>
      <w:outlineLvl w:val="3"/>
    </w:pPr>
    <w:rPr>
      <w:i/>
      <w:kern w:val="14"/>
    </w:rPr>
  </w:style>
  <w:style w:type="paragraph" w:customStyle="1" w:styleId="NormalBullet">
    <w:name w:val="Normal Bullet"/>
    <w:basedOn w:val="Normal"/>
    <w:next w:val="Normal"/>
    <w:qFormat/>
    <w:rsid w:val="00F0034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0034E"/>
    <w:pPr>
      <w:tabs>
        <w:tab w:val="left" w:leader="dot" w:pos="2218"/>
        <w:tab w:val="left" w:pos="2707"/>
        <w:tab w:val="right" w:leader="dot" w:pos="9835"/>
      </w:tabs>
    </w:pPr>
    <w:rPr>
      <w:kern w:val="14"/>
    </w:rPr>
  </w:style>
  <w:style w:type="paragraph" w:customStyle="1" w:styleId="ReleaseDate0">
    <w:name w:val="ReleaseDate"/>
    <w:next w:val="Footer"/>
    <w:autoRedefine/>
    <w:qFormat/>
    <w:rsid w:val="00F0034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0034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F0034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25139"/>
    <w:pPr>
      <w:spacing w:line="240" w:lineRule="auto"/>
    </w:pPr>
    <w:rPr>
      <w:szCs w:val="20"/>
    </w:rPr>
  </w:style>
  <w:style w:type="character" w:customStyle="1" w:styleId="CommentTextChar">
    <w:name w:val="Comment Text Char"/>
    <w:basedOn w:val="DefaultParagraphFont"/>
    <w:link w:val="CommentText"/>
    <w:uiPriority w:val="99"/>
    <w:semiHidden/>
    <w:rsid w:val="00A2513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25139"/>
    <w:rPr>
      <w:b/>
      <w:bCs/>
    </w:rPr>
  </w:style>
  <w:style w:type="character" w:customStyle="1" w:styleId="CommentSubjectChar">
    <w:name w:val="Comment Subject Char"/>
    <w:basedOn w:val="CommentTextChar"/>
    <w:link w:val="CommentSubject"/>
    <w:uiPriority w:val="99"/>
    <w:semiHidden/>
    <w:rsid w:val="00A25139"/>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360E3C"/>
    <w:rPr>
      <w:color w:val="605E5C"/>
      <w:shd w:val="clear" w:color="auto" w:fill="E1DFDD"/>
    </w:rPr>
  </w:style>
  <w:style w:type="paragraph" w:styleId="Revision">
    <w:name w:val="Revision"/>
    <w:hidden/>
    <w:uiPriority w:val="99"/>
    <w:semiHidden/>
    <w:rsid w:val="00BE3F53"/>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BGR/CO/8"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7535</Characters>
  <Application>Microsoft Office Word</Application>
  <DocSecurity>0</DocSecurity>
  <Lines>342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Maria Cristina Arias Bal</cp:lastModifiedBy>
  <cp:revision>3</cp:revision>
  <cp:lastPrinted>2022-03-25T18:00:00Z</cp:lastPrinted>
  <dcterms:created xsi:type="dcterms:W3CDTF">2022-03-25T18:00:00Z</dcterms:created>
  <dcterms:modified xsi:type="dcterms:W3CDTF">2022-03-25T18:00:00Z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2203722</vt:lpwstr>
  </property>
  <property fmtid="{D5CDD505-2E9C-101B-9397-08002B2CF9AE}" pid="3" name="ODSRefJobNo">
    <vt:lpwstr>2228615</vt:lpwstr>
  </property>
  <property fmtid="{D5CDD505-2E9C-101B-9397-08002B2CF9AE}" pid="4" name="Symbol1">
    <vt:lpwstr>CEDAW/C/BGR/FCO/8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inglés_x000b_únicamente</vt:lpwstr>
  </property>
  <property fmtid="{D5CDD505-2E9C-101B-9397-08002B2CF9AE}" pid="9" name="Release Date">
    <vt:lpwstr>180322</vt:lpwstr>
  </property>
  <property fmtid="{D5CDD505-2E9C-101B-9397-08002B2CF9AE}" pid="10" name="Title1">
    <vt:lpwstr>		Información recibida de Bulgaria relativa al seguimiento de las observaciones finales sobre su octavo informe periódico*_x000d_</vt:lpwstr>
  </property>
  <property fmtid="{D5CDD505-2E9C-101B-9397-08002B2CF9AE}" pid="11" name="Comment">
    <vt:lpwstr>FINALIZADO. EF</vt:lpwstr>
  </property>
  <property fmtid="{D5CDD505-2E9C-101B-9397-08002B2CF9AE}" pid="12" name="DraftPages">
    <vt:lpwstr> </vt:lpwstr>
  </property>
  <property fmtid="{D5CDD505-2E9C-101B-9397-08002B2CF9AE}" pid="13" name="Operator">
    <vt:lpwstr>FAA</vt:lpwstr>
  </property>
  <property fmtid="{D5CDD505-2E9C-101B-9397-08002B2CF9AE}" pid="14" name="Translator">
    <vt:lpwstr>BV</vt:lpwstr>
  </property>
</Properties>
</file>