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E72A" w14:textId="77777777" w:rsidR="009B7FDD" w:rsidRDefault="009B7FDD" w:rsidP="00A73BBE">
      <w:pPr>
        <w:spacing w:line="60" w:lineRule="exact"/>
        <w:rPr>
          <w:color w:val="010000"/>
          <w:sz w:val="2"/>
        </w:rPr>
        <w:sectPr w:rsidR="009B7FDD" w:rsidSect="00A73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7A89A050" w14:textId="0608387B" w:rsidR="00A73BBE" w:rsidRDefault="00A73BBE" w:rsidP="00B2234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 w:rsidR="00B22346">
        <w:br/>
      </w:r>
      <w:r>
        <w:t>в отношении женщин</w:t>
      </w:r>
    </w:p>
    <w:p w14:paraId="0CD8103B" w14:textId="77777777" w:rsidR="00A73BBE" w:rsidRDefault="00A73BBE" w:rsidP="00A73BBE">
      <w:pPr>
        <w:pStyle w:val="SingleTxt"/>
        <w:spacing w:after="0" w:line="120" w:lineRule="exact"/>
        <w:rPr>
          <w:sz w:val="10"/>
        </w:rPr>
      </w:pPr>
    </w:p>
    <w:p w14:paraId="2ABFAAA0" w14:textId="57F361F4" w:rsidR="009B7FDD" w:rsidRPr="00A73BBE" w:rsidRDefault="009B7FDD" w:rsidP="00A73BBE">
      <w:pPr>
        <w:pStyle w:val="SingleTxt"/>
        <w:spacing w:after="0" w:line="120" w:lineRule="exact"/>
        <w:rPr>
          <w:sz w:val="10"/>
        </w:rPr>
      </w:pPr>
    </w:p>
    <w:p w14:paraId="2F01A229" w14:textId="6CB6D489" w:rsidR="00A73BBE" w:rsidRPr="00A73BBE" w:rsidRDefault="00A73BBE" w:rsidP="00A73BBE">
      <w:pPr>
        <w:pStyle w:val="SingleTxt"/>
        <w:spacing w:after="0" w:line="120" w:lineRule="exact"/>
        <w:rPr>
          <w:sz w:val="10"/>
        </w:rPr>
      </w:pPr>
    </w:p>
    <w:p w14:paraId="076F8047" w14:textId="046B725F" w:rsidR="00A73BBE" w:rsidRDefault="00A73BBE" w:rsidP="00FF18E4">
      <w:pPr>
        <w:pStyle w:val="TitleHCH"/>
      </w:pPr>
      <w:r>
        <w:tab/>
      </w:r>
      <w:r>
        <w:tab/>
        <w:t>Заключительные замечания по четвертому периодическому докладу Ботсваны</w:t>
      </w:r>
      <w:r w:rsidR="00B22346" w:rsidRPr="00B22346">
        <w:rPr>
          <w:vertAlign w:val="superscript"/>
        </w:rPr>
        <w:t>*</w:t>
      </w:r>
    </w:p>
    <w:p w14:paraId="5B98CB81" w14:textId="77777777" w:rsidR="00A73BBE" w:rsidRDefault="00A73BBE" w:rsidP="00A73BBE">
      <w:pPr>
        <w:pStyle w:val="SingleTxt"/>
        <w:spacing w:after="0" w:line="120" w:lineRule="exact"/>
        <w:rPr>
          <w:sz w:val="10"/>
        </w:rPr>
      </w:pPr>
    </w:p>
    <w:p w14:paraId="0FC3F80C" w14:textId="77777777" w:rsidR="00A73BBE" w:rsidRDefault="00A73BBE" w:rsidP="00A73BBE">
      <w:pPr>
        <w:pStyle w:val="SingleTxt"/>
        <w:spacing w:after="0" w:line="120" w:lineRule="exact"/>
        <w:rPr>
          <w:sz w:val="10"/>
        </w:rPr>
      </w:pPr>
    </w:p>
    <w:p w14:paraId="6C0F9237" w14:textId="02012CF0" w:rsidR="00A73BBE" w:rsidRDefault="00A73BBE" w:rsidP="00A73BBE">
      <w:pPr>
        <w:framePr w:w="9792" w:h="432" w:hSpace="180" w:wrap="notBeside" w:hAnchor="page" w:x="1210" w:yAlign="bottom"/>
        <w:spacing w:line="240" w:lineRule="auto"/>
        <w:rPr>
          <w:sz w:val="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8EE6D" wp14:editId="399E1E67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CA63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2C69281D" w14:textId="77777777" w:rsidR="00A73BBE" w:rsidRDefault="00A73BBE" w:rsidP="00A73BBE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tab/>
      </w:r>
      <w:r w:rsidRPr="00A36942">
        <w:rPr>
          <w:vertAlign w:val="superscript"/>
        </w:rPr>
        <w:t>*</w:t>
      </w:r>
      <w:r>
        <w:tab/>
      </w:r>
      <w:r w:rsidRPr="00B22346">
        <w:rPr>
          <w:sz w:val="17"/>
          <w:szCs w:val="17"/>
        </w:rPr>
        <w:t>Принято Комитетом на его семьдесят второй сессии (18 февраля — 8 марта 2019 года).</w:t>
      </w:r>
    </w:p>
    <w:p w14:paraId="5934BC2C" w14:textId="30041EA0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1.</w:t>
      </w:r>
      <w:r w:rsidRPr="00B22346">
        <w:rPr>
          <w:szCs w:val="20"/>
        </w:rPr>
        <w:tab/>
        <w:t>Комитет рассмотрел четвертый периодический доклад Ботсваны (</w:t>
      </w:r>
      <w:hyperlink r:id="rId15" w:history="1">
        <w:r w:rsidRPr="00A36942">
          <w:rPr>
            <w:rStyle w:val="Hyperlink"/>
            <w:szCs w:val="20"/>
          </w:rPr>
          <w:t>CEDAW/C/BWA/4</w:t>
        </w:r>
      </w:hyperlink>
      <w:r w:rsidRPr="00B22346">
        <w:rPr>
          <w:szCs w:val="20"/>
        </w:rPr>
        <w:t>) на своих 1677-м и 1678-м заседаниях (см.</w:t>
      </w:r>
      <w:r w:rsidR="00B22346" w:rsidRPr="00B22346">
        <w:rPr>
          <w:szCs w:val="20"/>
        </w:rPr>
        <w:t> </w:t>
      </w:r>
      <w:hyperlink r:id="rId16" w:history="1">
        <w:r w:rsidRPr="00A36942">
          <w:rPr>
            <w:rStyle w:val="Hyperlink"/>
            <w:szCs w:val="20"/>
          </w:rPr>
          <w:t>CEDAW/C/SR.1677</w:t>
        </w:r>
      </w:hyperlink>
      <w:r w:rsidRPr="00B22346">
        <w:rPr>
          <w:szCs w:val="20"/>
        </w:rPr>
        <w:t xml:space="preserve"> и </w:t>
      </w:r>
      <w:hyperlink r:id="rId17" w:history="1">
        <w:r w:rsidRPr="00A36942">
          <w:rPr>
            <w:rStyle w:val="Hyperlink"/>
            <w:szCs w:val="20"/>
          </w:rPr>
          <w:t>CE</w:t>
        </w:r>
        <w:bookmarkStart w:id="1" w:name="_GoBack"/>
        <w:bookmarkEnd w:id="1"/>
        <w:r w:rsidRPr="00A36942">
          <w:rPr>
            <w:rStyle w:val="Hyperlink"/>
            <w:szCs w:val="20"/>
          </w:rPr>
          <w:t>DAW/C/SR.1678</w:t>
        </w:r>
      </w:hyperlink>
      <w:r w:rsidRPr="00B22346">
        <w:rPr>
          <w:szCs w:val="20"/>
        </w:rPr>
        <w:t xml:space="preserve">), состоявшихся 1 марта 2019 года. Перечень тем и вопросов Комитета содержится в документе </w:t>
      </w:r>
      <w:hyperlink r:id="rId18" w:history="1">
        <w:r w:rsidRPr="00A36942">
          <w:rPr>
            <w:rStyle w:val="Hyperlink"/>
            <w:szCs w:val="20"/>
          </w:rPr>
          <w:t>CEDAW/C/BWA/Q/4</w:t>
        </w:r>
      </w:hyperlink>
      <w:r w:rsidRPr="00B22346">
        <w:rPr>
          <w:szCs w:val="20"/>
        </w:rPr>
        <w:t>, а ответы Ботсваны</w:t>
      </w:r>
      <w:r w:rsidR="00B22346" w:rsidRPr="00B22346">
        <w:rPr>
          <w:szCs w:val="20"/>
        </w:rPr>
        <w:t> </w:t>
      </w:r>
      <w:r w:rsidRPr="00B22346">
        <w:rPr>
          <w:szCs w:val="20"/>
        </w:rPr>
        <w:t>— в документе</w:t>
      </w:r>
      <w:hyperlink r:id="rId19" w:history="1">
        <w:r w:rsidRPr="00A36942">
          <w:rPr>
            <w:rStyle w:val="Hyperlink"/>
            <w:szCs w:val="20"/>
          </w:rPr>
          <w:t xml:space="preserve"> CEDAW/C/BWA/Q/4/Add.1</w:t>
        </w:r>
      </w:hyperlink>
      <w:r w:rsidRPr="00B22346">
        <w:rPr>
          <w:szCs w:val="20"/>
        </w:rPr>
        <w:t>.</w:t>
      </w:r>
    </w:p>
    <w:p w14:paraId="37D4F3BF" w14:textId="7F97C28C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7C0F75BC" w14:textId="78249751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32176458" w14:textId="2FD0B6AF" w:rsidR="00A73BBE" w:rsidRDefault="00B22346" w:rsidP="00B223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</w:r>
      <w:r w:rsidR="00A73BBE" w:rsidRPr="00B22346">
        <w:t>Введение</w:t>
      </w:r>
    </w:p>
    <w:p w14:paraId="74FD2CD7" w14:textId="2FAE2912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476A5FD8" w14:textId="56EBC62C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17393F55" w14:textId="105A9E79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2.</w:t>
      </w:r>
      <w:r w:rsidRPr="00B22346">
        <w:rPr>
          <w:szCs w:val="20"/>
        </w:rPr>
        <w:tab/>
        <w:t>Комитет выражает признательность государству-участнику за представление его четвертого периодического доклада. Он также благодарит государство-участник за представленные доклад о последующих действиях (</w:t>
      </w:r>
      <w:hyperlink r:id="rId20" w:history="1">
        <w:r w:rsidRPr="00A36942">
          <w:rPr>
            <w:rStyle w:val="Hyperlink"/>
            <w:szCs w:val="20"/>
          </w:rPr>
          <w:t>CEDAW/C/BOT/CO/3/Add.1</w:t>
        </w:r>
      </w:hyperlink>
      <w:r w:rsidRPr="00B22346">
        <w:rPr>
          <w:szCs w:val="20"/>
        </w:rPr>
        <w:t>) и письменные ответы в связи с перечнем тем и вопросов, поднятых предсессионной рабочей группой, а также за сделанное делегацией устное сообщение и дополнительные разъяснения по вопросам, которые были заданы членами Комитета в устной форме в ходе диалога.</w:t>
      </w:r>
    </w:p>
    <w:p w14:paraId="0A3F4D71" w14:textId="299EFFB3" w:rsidR="00A73BBE" w:rsidRPr="00FF18E4" w:rsidRDefault="00A73BBE" w:rsidP="00A73BBE">
      <w:pPr>
        <w:pStyle w:val="SingleTxt"/>
        <w:rPr>
          <w:szCs w:val="20"/>
        </w:rPr>
      </w:pPr>
      <w:r w:rsidRPr="00FF18E4">
        <w:rPr>
          <w:szCs w:val="20"/>
        </w:rPr>
        <w:t>3.</w:t>
      </w:r>
      <w:r w:rsidRPr="00FF18E4">
        <w:rPr>
          <w:szCs w:val="20"/>
        </w:rPr>
        <w:tab/>
        <w:t>Комитет выражает признательность государству-участнику за направление делегации высокого уровня во главе с министром по вопросам гражданства, иммиграции и по делам гендера Нгакой Нгакой и постоянным представителем Постоянного представительства Ботсваны при Отделении Организации Объединенных Наций и других международных организациях в Женеве в качестве заместителя главы делегации Аталией Молокомме, в состав которой также вошли представители Министерства по делам президентской администрации и государственного управления, Координационного бюро по делам инвалидов при Канцелярии президента, Министерства здравоохранения, Министерства по вопросам местного самоуправления и развития сельских районов, Министерства здравоохранения и благосостояния, Министерства иностранных дел и международного сотрудничества, Министерства начального образования, а также Министерства обороны, юстиции и безопасности.</w:t>
      </w:r>
    </w:p>
    <w:p w14:paraId="53C44693" w14:textId="2BD4595C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0C74DDBD" w14:textId="7A6B61CA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794EED08" w14:textId="77777777" w:rsidR="00B22346" w:rsidRDefault="00B22346">
      <w:pPr>
        <w:spacing w:after="200" w:line="276" w:lineRule="auto"/>
        <w:rPr>
          <w:b/>
          <w:sz w:val="24"/>
        </w:rPr>
      </w:pPr>
      <w:r>
        <w:br w:type="page"/>
      </w:r>
    </w:p>
    <w:p w14:paraId="346E30CB" w14:textId="63E8553F" w:rsidR="00A73BBE" w:rsidRDefault="00B22346" w:rsidP="00B223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B.</w:t>
      </w:r>
      <w:r>
        <w:tab/>
      </w:r>
      <w:r w:rsidR="00A73BBE" w:rsidRPr="00B22346">
        <w:t>Позитивные аспекты</w:t>
      </w:r>
    </w:p>
    <w:p w14:paraId="631B5024" w14:textId="29DE5164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50E53AC6" w14:textId="050CA8C8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493E0C36" w14:textId="48CB26B0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4.</w:t>
      </w:r>
      <w:r w:rsidRPr="00B22346">
        <w:rPr>
          <w:szCs w:val="20"/>
        </w:rPr>
        <w:tab/>
        <w:t>Комитет приветствует прогресс, достигнутый со времени рассмотрения в 2010</w:t>
      </w:r>
      <w:r w:rsidR="00A36942">
        <w:rPr>
          <w:szCs w:val="20"/>
          <w:lang w:val="en-US"/>
        </w:rPr>
        <w:t> </w:t>
      </w:r>
      <w:r w:rsidRPr="00B22346">
        <w:rPr>
          <w:szCs w:val="20"/>
        </w:rPr>
        <w:t>году третьего периодического доклада государства-участника (</w:t>
      </w:r>
      <w:hyperlink r:id="rId21" w:history="1">
        <w:r w:rsidRPr="00A36942">
          <w:rPr>
            <w:rStyle w:val="Hyperlink"/>
            <w:szCs w:val="20"/>
          </w:rPr>
          <w:t>CEDAW/C/BOT/3</w:t>
        </w:r>
      </w:hyperlink>
      <w:r w:rsidRPr="00B22346">
        <w:rPr>
          <w:szCs w:val="20"/>
        </w:rPr>
        <w:t xml:space="preserve">) в проведении законодательных реформ, в частности, принятие: </w:t>
      </w:r>
    </w:p>
    <w:p w14:paraId="6C67425D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Закона о борьбе с торговлей людьми в 2014 году, в котором было пересмотрено определение эксплуатации и увеличены штрафы и тюремное заключение за преступления, связанные с торговлей людьми;</w:t>
      </w:r>
    </w:p>
    <w:p w14:paraId="5069E651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 xml:space="preserve">Закона об имуществе супругов в 2014 году, который позволяет лицам, вступившим в брак в соответствии с обычным правом, выбирать гражданское право для распоряжения своим имуществом; </w:t>
      </w:r>
    </w:p>
    <w:p w14:paraId="09B5871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Закона о толковании (Поправка) в 2013 году, который устанавливает 18-летний возраст наступления зрелости независимо от пола;</w:t>
      </w:r>
    </w:p>
    <w:p w14:paraId="140B889F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>Закона о правовой помощи в 2013 году, направленного на расширение доступа к правосудию, в том числе для женщин;</w:t>
      </w:r>
    </w:p>
    <w:p w14:paraId="1984EF6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>Закона о занятости (Поправка) в 2010 году, который устанавливает минимальный размер оплаты труда женщин, находящихся в отпуске по беременности и родам, в размере половины заработной платы и запрещает дискриминацию на рабочем месте.</w:t>
      </w:r>
    </w:p>
    <w:p w14:paraId="1BE0889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5.</w:t>
      </w:r>
      <w:r w:rsidRPr="00B22346">
        <w:rPr>
          <w:szCs w:val="20"/>
        </w:rPr>
        <w:tab/>
        <w:t>Комитет приветствует усилия государства-участника по совершенствованию своей нормативно-правовой базы, направленной на ускорение ликвидации дискриминации в отношении женщин и поощрение гендерного равенства, в том числе путем принятия следующих документов:</w:t>
      </w:r>
    </w:p>
    <w:p w14:paraId="0FE4408E" w14:textId="1072365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Национальной политики по гендерным вопросам и развитию в 2015</w:t>
      </w:r>
      <w:r w:rsidR="00B22346">
        <w:rPr>
          <w:szCs w:val="20"/>
        </w:rPr>
        <w:t> </w:t>
      </w:r>
      <w:r w:rsidRPr="00B22346">
        <w:rPr>
          <w:szCs w:val="20"/>
        </w:rPr>
        <w:t>году и национального оперативного плана в 2018 году;</w:t>
      </w:r>
    </w:p>
    <w:p w14:paraId="428D303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>Национального плана действий по борьбе с торговлей людьми на 2017–2020 годы в 2017 году;</w:t>
      </w:r>
    </w:p>
    <w:p w14:paraId="3D7ED93D" w14:textId="296AD6C1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Одиннадцатого Национального плана развития на период 2017</w:t>
      </w:r>
      <w:r w:rsidR="00B22346">
        <w:rPr>
          <w:szCs w:val="20"/>
        </w:rPr>
        <w:t>–</w:t>
      </w:r>
      <w:r w:rsidRPr="00B22346">
        <w:rPr>
          <w:szCs w:val="20"/>
        </w:rPr>
        <w:t>2023</w:t>
      </w:r>
      <w:r w:rsidR="00B22346">
        <w:rPr>
          <w:szCs w:val="20"/>
        </w:rPr>
        <w:t> </w:t>
      </w:r>
      <w:r w:rsidRPr="00B22346">
        <w:rPr>
          <w:szCs w:val="20"/>
        </w:rPr>
        <w:t>годов в 2016 году, который предусматривает учет гендерной проблематики и предотвращение гендерного насилия;</w:t>
      </w:r>
    </w:p>
    <w:p w14:paraId="4660C24A" w14:textId="38F53669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>Концепции национального развития на период до 2036 года в 2016</w:t>
      </w:r>
      <w:r w:rsidR="00B22346">
        <w:rPr>
          <w:szCs w:val="20"/>
        </w:rPr>
        <w:t> </w:t>
      </w:r>
      <w:r w:rsidRPr="00B22346">
        <w:rPr>
          <w:szCs w:val="20"/>
        </w:rPr>
        <w:t>году, в которой гендерное равенство признано одним из ключевых элементов социального развития;</w:t>
      </w:r>
    </w:p>
    <w:p w14:paraId="090A7584" w14:textId="3F0108BF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>Национальной стратегии искоренения гендерного насилия в Ботсване на период 2014</w:t>
      </w:r>
      <w:r w:rsidR="00B22346">
        <w:rPr>
          <w:szCs w:val="20"/>
        </w:rPr>
        <w:t>–</w:t>
      </w:r>
      <w:r w:rsidRPr="00B22346">
        <w:rPr>
          <w:szCs w:val="20"/>
        </w:rPr>
        <w:t>2020 годов;</w:t>
      </w:r>
    </w:p>
    <w:p w14:paraId="714AFA41" w14:textId="541E7C61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f)</w:t>
      </w:r>
      <w:r w:rsidRPr="00B22346">
        <w:rPr>
          <w:szCs w:val="20"/>
        </w:rPr>
        <w:tab/>
        <w:t>Пятилетней комплексной стратегии профилактики рака шейки матки и борьбы с ним на период 2012</w:t>
      </w:r>
      <w:r w:rsidR="00B22346">
        <w:rPr>
          <w:szCs w:val="20"/>
        </w:rPr>
        <w:t>–</w:t>
      </w:r>
      <w:r w:rsidRPr="00B22346">
        <w:rPr>
          <w:szCs w:val="20"/>
        </w:rPr>
        <w:t>2016 годов в 2012 году;</w:t>
      </w:r>
    </w:p>
    <w:p w14:paraId="646F7D6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g)</w:t>
      </w:r>
      <w:r w:rsidRPr="00B22346">
        <w:rPr>
          <w:szCs w:val="20"/>
        </w:rPr>
        <w:tab/>
        <w:t>Политики позитивных действий в интересах общин в отдаленных районах в 2012 году, предусматривающей альтернативные подходы к искоренению нищеты, бенефициарами которой являются в основном женщины;</w:t>
      </w:r>
    </w:p>
    <w:p w14:paraId="2429F67D" w14:textId="174F9702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h)</w:t>
      </w:r>
      <w:r w:rsidRPr="00B22346">
        <w:rPr>
          <w:szCs w:val="20"/>
        </w:rPr>
        <w:tab/>
        <w:t>Стратегии борьбы с ВИЧ/СПИДом, ориентированной на женщин на период 2012</w:t>
      </w:r>
      <w:r w:rsidR="00B22346">
        <w:rPr>
          <w:szCs w:val="20"/>
        </w:rPr>
        <w:t>–</w:t>
      </w:r>
      <w:r w:rsidRPr="00B22346">
        <w:rPr>
          <w:szCs w:val="20"/>
        </w:rPr>
        <w:t>2016 годов;</w:t>
      </w:r>
    </w:p>
    <w:p w14:paraId="78E1E3BC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i)</w:t>
      </w:r>
      <w:r w:rsidRPr="00B22346">
        <w:rPr>
          <w:szCs w:val="20"/>
        </w:rPr>
        <w:tab/>
        <w:t xml:space="preserve">Политики инклюзивного образования в 2011 году, направленной на удержание в школах девочек и детей с особыми потребностями; </w:t>
      </w:r>
    </w:p>
    <w:p w14:paraId="0CEAAAB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lastRenderedPageBreak/>
        <w:tab/>
        <w:t>j)</w:t>
      </w:r>
      <w:r w:rsidRPr="00B22346">
        <w:rPr>
          <w:szCs w:val="20"/>
        </w:rPr>
        <w:tab/>
        <w:t>Рамочной программы искоренения нищеты в 2011 году, в которой учитывается проблематика гендерного равенства;</w:t>
      </w:r>
    </w:p>
    <w:p w14:paraId="21A32AD5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k)</w:t>
      </w:r>
      <w:r w:rsidRPr="00B22346">
        <w:rPr>
          <w:szCs w:val="20"/>
        </w:rPr>
        <w:tab/>
        <w:t>Коммуникационной стратегии по борьбе с сексуальными надругательствами над детьми в 2010 году, направленной на повышение осведомленности детей, семей и общин о признаках и последствиях сексуальных надругательств над детьми и поощрение доступных вспомогательных услуг для детей.</w:t>
      </w:r>
    </w:p>
    <w:p w14:paraId="0BAF01C0" w14:textId="6360E4A4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6.</w:t>
      </w:r>
      <w:r w:rsidRPr="00B22346">
        <w:rPr>
          <w:szCs w:val="20"/>
        </w:rPr>
        <w:tab/>
        <w:t>Комитет приветствует тот факт, что за период, прошедший после рассмотрения предыдущего доклада, государство-участник в 2013 году ратифицировало Протокол Сообщества по вопросам развития стран юга Африки по гендерным вопросам и вопросам развития.</w:t>
      </w:r>
    </w:p>
    <w:p w14:paraId="17305B45" w14:textId="352A2AED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2DBD9D2A" w14:textId="5E4330A5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70A140E4" w14:textId="789D43C8" w:rsidR="00A73BBE" w:rsidRDefault="00A73BBE" w:rsidP="00B223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  <w:t>C.</w:t>
      </w:r>
      <w:r w:rsidRPr="00B22346">
        <w:tab/>
        <w:t>Цели в области устойчивого развития</w:t>
      </w:r>
    </w:p>
    <w:p w14:paraId="443E50FC" w14:textId="25B59ACE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4300A0B6" w14:textId="0A2231B9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4CFB3141" w14:textId="3C790E03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7.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важности цели 5 и необходимости учета принципов равенства и недискриминации в процессе достижения всех 17 целей. </w:t>
      </w:r>
      <w:r w:rsidRPr="00B22346">
        <w:rPr>
          <w:b/>
          <w:bCs/>
          <w:szCs w:val="20"/>
        </w:rPr>
        <w:t>Он настоятельно призывает государство-участник признать женщин движущей силой устойчивого развития страны и принять в этой связи соответствующие меры политики и стратегии.</w:t>
      </w:r>
    </w:p>
    <w:p w14:paraId="0B1B5CDD" w14:textId="33C6409C" w:rsidR="00B22346" w:rsidRPr="00B22346" w:rsidRDefault="00B22346" w:rsidP="00B22346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57A96E99" w14:textId="1A04B9D4" w:rsidR="00B22346" w:rsidRPr="00B22346" w:rsidRDefault="00B22346" w:rsidP="00B22346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5726CB41" w14:textId="05C627EC" w:rsidR="00A73BBE" w:rsidRDefault="00A73BBE" w:rsidP="00B223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  <w:t>D.</w:t>
      </w:r>
      <w:r w:rsidRPr="00B22346">
        <w:tab/>
        <w:t>Парламент</w:t>
      </w:r>
    </w:p>
    <w:p w14:paraId="1DF644FB" w14:textId="0BC10629" w:rsidR="00B22346" w:rsidRPr="00B22346" w:rsidRDefault="00B22346" w:rsidP="00B22346">
      <w:pPr>
        <w:spacing w:line="120" w:lineRule="exact"/>
        <w:rPr>
          <w:sz w:val="10"/>
        </w:rPr>
      </w:pPr>
    </w:p>
    <w:p w14:paraId="0716167C" w14:textId="75694060" w:rsidR="00B22346" w:rsidRPr="00B22346" w:rsidRDefault="00B22346" w:rsidP="00B22346">
      <w:pPr>
        <w:spacing w:line="120" w:lineRule="exact"/>
        <w:rPr>
          <w:sz w:val="10"/>
        </w:rPr>
      </w:pPr>
    </w:p>
    <w:p w14:paraId="5AFDD565" w14:textId="5C7B69BF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8.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2" w:history="1">
        <w:r w:rsidRPr="00A36942">
          <w:rPr>
            <w:rStyle w:val="Hyperlink"/>
            <w:b/>
            <w:szCs w:val="20"/>
          </w:rPr>
          <w:t>A/65/38</w:t>
        </w:r>
      </w:hyperlink>
      <w:r w:rsidRPr="00B22346">
        <w:rPr>
          <w:b/>
          <w:szCs w:val="20"/>
        </w:rPr>
        <w:t xml:space="preserve">, часть 2, приложение VI). </w:t>
      </w:r>
      <w:r w:rsidRPr="00B22346">
        <w:rPr>
          <w:b/>
          <w:bCs/>
          <w:szCs w:val="20"/>
        </w:rPr>
        <w:t>Он предлагает парламенту, в соответствии с его мандатом, принять необходимые меры по выполнению настоящих заключительных замечаний до начала следующего периода представления периодического доклада согласно Конвенции.</w:t>
      </w:r>
      <w:r w:rsidRPr="00B22346">
        <w:rPr>
          <w:szCs w:val="20"/>
        </w:rPr>
        <w:t xml:space="preserve"> </w:t>
      </w:r>
    </w:p>
    <w:p w14:paraId="3A549B97" w14:textId="5AE1CFD6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23EF38BC" w14:textId="2B603EAB" w:rsidR="00B22346" w:rsidRPr="00B22346" w:rsidRDefault="00B22346" w:rsidP="00B22346">
      <w:pPr>
        <w:pStyle w:val="SingleTxt"/>
        <w:spacing w:after="0" w:line="120" w:lineRule="exact"/>
        <w:rPr>
          <w:sz w:val="10"/>
          <w:szCs w:val="20"/>
        </w:rPr>
      </w:pPr>
    </w:p>
    <w:p w14:paraId="172A50CF" w14:textId="0DDFE74C" w:rsidR="00A73BBE" w:rsidRDefault="00A73BBE" w:rsidP="00B223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  <w:t>E.</w:t>
      </w:r>
      <w:r w:rsidRPr="00B22346">
        <w:tab/>
        <w:t>Основные вопросы, вызывающие обеспокоенность, и</w:t>
      </w:r>
      <w:r w:rsidR="00B22346">
        <w:t> </w:t>
      </w:r>
      <w:r w:rsidRPr="00B22346">
        <w:t>рекомендации</w:t>
      </w:r>
    </w:p>
    <w:p w14:paraId="61B90AB3" w14:textId="12DC68CB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2E0FC55F" w14:textId="3A0F199D" w:rsidR="00A73BBE" w:rsidRDefault="00A73BBE" w:rsidP="00B223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Распространение информации о Конвенции, Факультативном протоколе к</w:t>
      </w:r>
      <w:r w:rsidR="00B22346">
        <w:t> </w:t>
      </w:r>
      <w:r w:rsidRPr="00B22346">
        <w:t>ней и общих рекомендациях Комитета</w:t>
      </w:r>
    </w:p>
    <w:p w14:paraId="70566E27" w14:textId="3ECCD15E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403C3992" w14:textId="77777777" w:rsidR="00A73BBE" w:rsidRPr="00B22346" w:rsidRDefault="00A73BBE" w:rsidP="00B22346">
      <w:pPr>
        <w:pStyle w:val="SingleTxt"/>
      </w:pPr>
      <w:r w:rsidRPr="00B22346">
        <w:t>9.</w:t>
      </w:r>
      <w:r w:rsidRPr="00B22346">
        <w:tab/>
        <w:t xml:space="preserve">Комитет с удовлетворением отмечает, что государство-участник осуществило перевод Конвенции на язык сетсвана и развернуло широкомасштабные пропагандистские и информационно-просветительские кампании о правах женщин. Вместе с тем Комитет вновь выражает ранее высказанную им обеспокоенность в связи с тем, что положения Конвенции и Факультативного протокола к ней недостаточно известны в государстве-участнике, в том числе среди женщин, в частности в сельских районах. </w:t>
      </w:r>
    </w:p>
    <w:p w14:paraId="617965C3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10.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0941CDDF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обеспечить распространение настоящих заключительных замечаний, Конвенции и Факультативного протокола к ней, а также общих рекомендаций Комитета среди всех заинтересованных сторон, включая правительство, парламент и судебные органы;</w:t>
      </w:r>
    </w:p>
    <w:p w14:paraId="3C83AA4C" w14:textId="67E323F5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lastRenderedPageBreak/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на основе сотрудничества со средствами массовой информации и организациями гражданского общества активизировать усилия по повышению осведомленности женщин об их правах по Конвенции и Факультативному протоколу, уделяя особое внимание мерам по охвату женщин в сельских и отдаленных районах.</w:t>
      </w:r>
    </w:p>
    <w:p w14:paraId="0FE76D76" w14:textId="3C5EFA38" w:rsidR="00B22346" w:rsidRPr="00B22346" w:rsidRDefault="00B22346" w:rsidP="00B22346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164A9994" w14:textId="247FA89C" w:rsidR="00A73BBE" w:rsidRDefault="00A73BBE" w:rsidP="00B223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Правовой статус Конвенции и нормативно-правовая база</w:t>
      </w:r>
    </w:p>
    <w:p w14:paraId="50743147" w14:textId="14934B02" w:rsidR="00B22346" w:rsidRPr="00B22346" w:rsidRDefault="00B22346" w:rsidP="00B22346">
      <w:pPr>
        <w:pStyle w:val="SingleTxt"/>
        <w:spacing w:after="0" w:line="120" w:lineRule="exact"/>
        <w:rPr>
          <w:sz w:val="10"/>
        </w:rPr>
      </w:pPr>
    </w:p>
    <w:p w14:paraId="5F89705D" w14:textId="6D874F6F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11.</w:t>
      </w:r>
      <w:r w:rsidRPr="00B22346">
        <w:rPr>
          <w:szCs w:val="20"/>
        </w:rPr>
        <w:tab/>
        <w:t xml:space="preserve">Комитет отмечает, что правовая система государства-участника является дуалистической и включает как обычное, так и статутное право, и что Закон об обычном праве предусматривает применение норм обычного права только если они </w:t>
      </w:r>
      <w:r w:rsidR="00E76A2B">
        <w:rPr>
          <w:szCs w:val="20"/>
        </w:rPr>
        <w:t>«</w:t>
      </w:r>
      <w:r w:rsidRPr="00B22346">
        <w:rPr>
          <w:szCs w:val="20"/>
        </w:rPr>
        <w:t>не противоречат положениям любого писанного закона и принципам морали, гуманности и естественной справедливости</w:t>
      </w:r>
      <w:r w:rsidR="00E76A2B">
        <w:rPr>
          <w:szCs w:val="20"/>
        </w:rPr>
        <w:t>»</w:t>
      </w:r>
      <w:r w:rsidRPr="00B22346">
        <w:rPr>
          <w:szCs w:val="20"/>
        </w:rPr>
        <w:t>. Вместе с тем он обеспокоен несоответствием некоторых элементов обычного права положениям Конвенции. Комитет также обеспокоен затягиванием процесса включения положений Конвенции в национальное законодательство в результате</w:t>
      </w:r>
      <w:r w:rsidR="009D55A4">
        <w:rPr>
          <w:szCs w:val="20"/>
        </w:rPr>
        <w:t xml:space="preserve"> </w:t>
      </w:r>
      <w:r w:rsidRPr="00B22346">
        <w:rPr>
          <w:szCs w:val="20"/>
        </w:rPr>
        <w:t>нехватки потенциала и ресурсов и отсутствием графика завершения этого процесса. Кроме того он обеспокоен тем фактом, что государство-участник не ратифицировало Протокол о правах женщин в Африке к Африканской хартии прав человека и народов.</w:t>
      </w:r>
    </w:p>
    <w:p w14:paraId="36A8993F" w14:textId="77777777" w:rsidR="00A73BBE" w:rsidRPr="00B22346" w:rsidRDefault="00A73BBE" w:rsidP="00A73BBE">
      <w:pPr>
        <w:pStyle w:val="SingleTxt"/>
        <w:keepNext/>
        <w:keepLines/>
        <w:rPr>
          <w:szCs w:val="20"/>
        </w:rPr>
      </w:pPr>
      <w:r w:rsidRPr="00B22346">
        <w:rPr>
          <w:szCs w:val="20"/>
        </w:rPr>
        <w:t>12.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7D0BCA38" w14:textId="77777777" w:rsidR="00A73BBE" w:rsidRPr="00B22346" w:rsidRDefault="00A73BBE" w:rsidP="00A73BBE">
      <w:pPr>
        <w:pStyle w:val="SingleTxt"/>
        <w:keepNext/>
        <w:keepLines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провести тщательный гендерный анализ всех законов государства-участника с целью выявления всех норм обычного права, несовместимых с Конвенцией, и приведения их в соответствие со статутным правом и Конвенцией;</w:t>
      </w:r>
    </w:p>
    <w:p w14:paraId="4859B95C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запрашивать и использовать техническую поддержку национальных и международных партнеров, сообразно обстоятельствам, в целях активизации усилий по включению всех положений Конвенции в национальное законодательстве с тем, чтобы обеспечить соответствие законодательства Конвенции;</w:t>
      </w:r>
    </w:p>
    <w:p w14:paraId="3528D15E" w14:textId="0312C120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рассмотреть возможность ратификации Протокола о правах женщин в Африке к Африканской хартии прав человека и народов.</w:t>
      </w:r>
    </w:p>
    <w:p w14:paraId="018798CF" w14:textId="49FDE8CF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423EC28A" w14:textId="238A0E04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Определение дискриминации в отношении женщин </w:t>
      </w:r>
    </w:p>
    <w:p w14:paraId="02487152" w14:textId="302FFD4E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05C54C5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13.</w:t>
      </w:r>
      <w:r w:rsidRPr="00B22346">
        <w:rPr>
          <w:szCs w:val="20"/>
        </w:rPr>
        <w:tab/>
        <w:t xml:space="preserve">Комитет по-прежнему обеспокоен тем, что запрет дискриминации, предусмотренный в статье 15 Конституции, не включает всеобъемлющего определения дискриминации в отношении женщин, соответствующего статье 1 Конвенции. </w:t>
      </w:r>
    </w:p>
    <w:p w14:paraId="7D0DBD87" w14:textId="5A2F3F6A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14.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подтверждает свою предыдущую рекомендацию (</w:t>
      </w:r>
      <w:hyperlink r:id="rId23" w:history="1">
        <w:r w:rsidRPr="00A36942">
          <w:rPr>
            <w:rStyle w:val="Hyperlink"/>
            <w:b/>
            <w:szCs w:val="20"/>
          </w:rPr>
          <w:t>CEDAW/C/BOT/CO/3</w:t>
        </w:r>
      </w:hyperlink>
      <w:r w:rsidRPr="00B22346">
        <w:rPr>
          <w:b/>
          <w:szCs w:val="20"/>
        </w:rPr>
        <w:t xml:space="preserve">, пункт 10) и обращает внимание государства-участника на задачу 5.1 Целей в области устойчивого развития, касающуюся повсеместного искоренения всех форм дискриминации в отношении всех женщин и девочек. </w:t>
      </w:r>
      <w:r w:rsidRPr="00B22346">
        <w:rPr>
          <w:b/>
          <w:bCs/>
          <w:szCs w:val="20"/>
        </w:rPr>
        <w:t>Он рекомендует государству-участнику безотлагательно принять в Конституции и других национальных законах всеобъемлющее определение дискриминации в отношении женщин, охватывающее все запрещенные основания для дискриминации, включая прямую и косвенную дискриминацию в государственной и частной сферах, в соответствии со статьей 1 Конвенции.</w:t>
      </w:r>
    </w:p>
    <w:p w14:paraId="3E0ED426" w14:textId="59ED7DCF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3A854A7F" w14:textId="340BB473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Доступ к правосудию</w:t>
      </w:r>
    </w:p>
    <w:p w14:paraId="40166191" w14:textId="35A9BD96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403CCD97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15.</w:t>
      </w:r>
      <w:r w:rsidRPr="00B22346">
        <w:rPr>
          <w:szCs w:val="20"/>
        </w:rPr>
        <w:tab/>
        <w:t xml:space="preserve">Комитет высоко оценивает меры, принятые в целях расширения доступа женщин к правосудию, в том числе принятие в 2013 году Закона о правовой </w:t>
      </w:r>
      <w:r w:rsidRPr="00B22346">
        <w:rPr>
          <w:szCs w:val="20"/>
        </w:rPr>
        <w:lastRenderedPageBreak/>
        <w:t>помощи, создание системы правовой помощи в Ботсване и организацию работы выездных судов в сельских районах. Тем не менее Комитет обеспокоен отсутствием доступа к правосудию у женщин в силу особого характера передачи дел из обычных судов в гражданские суды, а также отсутствием доступа к юридической помощи у женщин, живущих в бедности, женщин-инвалидов и сельских женщин.</w:t>
      </w:r>
    </w:p>
    <w:p w14:paraId="77A7E81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16.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Ссылаясь на свою общую рекомендацию № 33 (2015), касающуюся доступа женщин к правосудию, Комитет рекомендует государству-участнику:</w:t>
      </w:r>
    </w:p>
    <w:p w14:paraId="7F7F3961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внести поправки в Закон о судах обычного права с целью введения определенной системы передачи гражданских и уголовных дел из обычных судов в гражданские суды по делам, в которых женщины подвергаются дискриминации или происходит нарушение их прав;</w:t>
      </w:r>
    </w:p>
    <w:p w14:paraId="4EC930A7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обеспечить наличие и доступность юридической помощи для всех женщин, в частности для женщин, живущих в бедности, женщин-инвалидов и сельских женщин;</w:t>
      </w:r>
      <w:r w:rsidRPr="00B22346">
        <w:rPr>
          <w:szCs w:val="20"/>
        </w:rPr>
        <w:t xml:space="preserve"> </w:t>
      </w:r>
    </w:p>
    <w:p w14:paraId="175C5E99" w14:textId="282A7A9A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szCs w:val="20"/>
        </w:rPr>
        <w:t>устранить все препятствия на пути доступа к правосудию, с которыми сталкиваются женщины.</w:t>
      </w:r>
      <w:r w:rsidRPr="00B22346">
        <w:rPr>
          <w:szCs w:val="20"/>
        </w:rPr>
        <w:t xml:space="preserve"> </w:t>
      </w:r>
    </w:p>
    <w:p w14:paraId="00AE1D3F" w14:textId="32A4AF50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6B738063" w14:textId="09A8208E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Национальные механизмы по улучшению положения женщин</w:t>
      </w:r>
    </w:p>
    <w:p w14:paraId="11F5A7F4" w14:textId="1838F03E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3674803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17.</w:t>
      </w:r>
      <w:r w:rsidRPr="00B22346">
        <w:rPr>
          <w:szCs w:val="20"/>
        </w:rPr>
        <w:tab/>
        <w:t>Комитет приветствует создание Департамента по гендерным вопросам в рамках нового Министерства по вопросам гражданства, иммиграции и по делам гендера и создание вспомогательных отделений национального механизма по гендерным вопросам. Он отмечает, что, несмотря на общие бюджетные ограничения, государство-участник увеличило финансирование и численность персонала национального механизма по улучшению положения женщин и что Национальная комиссия по гендерным вопросам наделена четким мандатом на осуществление контроля и оценки реализации гендерной политики. Вместе с тем Комитет по-прежнему обеспокоен недостаточным учетом гендерных аспектов при формирования бюджета и создании технического потенциала в национальном механизме по улучшению положения женщин и отсутствием аналогичных механизмов на местном уровне.</w:t>
      </w:r>
    </w:p>
    <w:p w14:paraId="2E6717C5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18.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4407A1FB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продолжать наращивать усилия с цедью укрепления потенциала национального механизма по улучшению положения женщин и при распределении государственных ресурсов в национальном бюджете составлять бюджет с учетом гендерных аспектов;</w:t>
      </w:r>
    </w:p>
    <w:p w14:paraId="73DDE39C" w14:textId="5693A5CA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усилить мандат, увеличить бюджетные ассигнования и укрепить технический потенциал гендерных комитетов на районном уровне в целях содействия учету гендерной проблематики на местном уровне.</w:t>
      </w:r>
    </w:p>
    <w:p w14:paraId="794C0A39" w14:textId="753136B9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047EFD9C" w14:textId="247DC44F" w:rsidR="00A73BBE" w:rsidRDefault="00A73BBE" w:rsidP="00A73B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szCs w:val="20"/>
        </w:rPr>
      </w:pPr>
      <w:r w:rsidRPr="00B22346">
        <w:rPr>
          <w:szCs w:val="20"/>
        </w:rPr>
        <w:tab/>
      </w:r>
      <w:r w:rsidRPr="00B22346">
        <w:rPr>
          <w:szCs w:val="20"/>
        </w:rPr>
        <w:tab/>
      </w:r>
      <w:r w:rsidRPr="00B22346">
        <w:rPr>
          <w:bCs/>
          <w:szCs w:val="20"/>
        </w:rPr>
        <w:t>Национальное правозащитное учреждение</w:t>
      </w:r>
    </w:p>
    <w:p w14:paraId="07E0E272" w14:textId="595BD76D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5C251DAD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19.</w:t>
      </w:r>
      <w:r w:rsidRPr="00B22346">
        <w:rPr>
          <w:szCs w:val="20"/>
        </w:rPr>
        <w:tab/>
        <w:t>Комитет принимает к сведению представленную делегацией государства-участника информацию о плане представить на рассмотрение парламента на его сессии в июле 2019 года проект поправки о преобразовании Управления омбудсмена в смешанное национальное правозащитное учреждение. Вместе с тем он по-прежнему обеспокоен задержкой принятия этого закона.</w:t>
      </w:r>
    </w:p>
    <w:p w14:paraId="16F05A41" w14:textId="134D6016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20.</w:t>
      </w:r>
      <w:r w:rsidRPr="00B22346">
        <w:rPr>
          <w:szCs w:val="20"/>
        </w:rPr>
        <w:tab/>
      </w:r>
      <w:r w:rsidRPr="00A36942">
        <w:rPr>
          <w:b/>
          <w:bCs/>
          <w:szCs w:val="20"/>
        </w:rPr>
        <w:t xml:space="preserve">Комитет рекомендует государству-участнику безотлагательно принять законопроект о создании независимого смешанного национального правозащитного учреждения, соответствующего принципам, касающимся статуса </w:t>
      </w:r>
      <w:r w:rsidRPr="00A36942">
        <w:rPr>
          <w:b/>
          <w:bCs/>
          <w:szCs w:val="20"/>
        </w:rPr>
        <w:lastRenderedPageBreak/>
        <w:t>национальных учреждений, занимающихся поощрением и защитой прав человека (Парижские принципы), наделенных мандатом на поощрение и защиту прав женщин в соответствии с обязательствами, принятыми в контексте третьего цикла обзора в рамках механизма универсального периодического обзора Совета по правам человека (</w:t>
      </w:r>
      <w:hyperlink r:id="rId24" w:history="1">
        <w:r w:rsidRPr="00A36942">
          <w:rPr>
            <w:rStyle w:val="Hyperlink"/>
            <w:szCs w:val="20"/>
          </w:rPr>
          <w:t>A/H</w:t>
        </w:r>
        <w:r w:rsidRPr="00A36942">
          <w:rPr>
            <w:rStyle w:val="Hyperlink"/>
            <w:szCs w:val="20"/>
          </w:rPr>
          <w:t>R</w:t>
        </w:r>
        <w:r w:rsidRPr="00A36942">
          <w:rPr>
            <w:rStyle w:val="Hyperlink"/>
            <w:szCs w:val="20"/>
          </w:rPr>
          <w:t>C/38/8</w:t>
        </w:r>
      </w:hyperlink>
      <w:r w:rsidRPr="00A36942">
        <w:rPr>
          <w:b/>
          <w:bCs/>
          <w:szCs w:val="20"/>
        </w:rPr>
        <w:t>, пункт 7).</w:t>
      </w:r>
    </w:p>
    <w:p w14:paraId="178ADB08" w14:textId="45018F62" w:rsidR="00E76A2B" w:rsidRPr="00E76A2B" w:rsidRDefault="00E76A2B" w:rsidP="00E76A2B">
      <w:pPr>
        <w:pStyle w:val="SingleTxt"/>
        <w:spacing w:after="0" w:line="120" w:lineRule="exact"/>
        <w:rPr>
          <w:sz w:val="10"/>
          <w:szCs w:val="20"/>
        </w:rPr>
      </w:pPr>
    </w:p>
    <w:p w14:paraId="647060A5" w14:textId="0F3298E2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Временные специальные меры </w:t>
      </w:r>
    </w:p>
    <w:p w14:paraId="231FCCE0" w14:textId="16037EC0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7F2BCC69" w14:textId="730256D9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21.</w:t>
      </w:r>
      <w:r w:rsidRPr="00B22346">
        <w:rPr>
          <w:szCs w:val="20"/>
        </w:rPr>
        <w:tab/>
        <w:t>Комитет напоминает о своих предыдущих заключительных замечаниях (</w:t>
      </w:r>
      <w:hyperlink r:id="rId25" w:history="1">
        <w:r w:rsidRPr="00A36942">
          <w:rPr>
            <w:rStyle w:val="Hyperlink"/>
            <w:szCs w:val="20"/>
          </w:rPr>
          <w:t>CEDAW/C/BOT/CO/3</w:t>
        </w:r>
      </w:hyperlink>
      <w:r w:rsidRPr="00B22346">
        <w:rPr>
          <w:szCs w:val="20"/>
        </w:rPr>
        <w:t xml:space="preserve">, пункт 21) и, несмотря на осуществляемые государством-участником программы расширения экономических прав и возможностей женщин, вновь выражает обеспокоенность в связи с узким пониманием цели временных специальных мер и тем, как они используются для достижения реального равенства между женщинами и мужчинами во всех областях, охватываемых Конвенцией. Комитет обеспокоен тем, что женщины недопредставлены или находятся в неблагоприятном положении в некоторых областях, что можно показать на примере их участия в общественной жизни и доступа к образованию, здравоохранению и жилью. Он также обеспокоен нежеланием политиков вводить квоты на представительство женщин в парламенте. </w:t>
      </w:r>
    </w:p>
    <w:p w14:paraId="4E4DD4C0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22.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 соответствии с пунктом 1 статьи 4 Конвенции и своей общей рекомендацией № 25 (2004) о временных специальных мерах Комитет рекомендует государству-участнику:</w:t>
      </w:r>
    </w:p>
    <w:p w14:paraId="1AE7A64A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szCs w:val="20"/>
        </w:rPr>
        <w:t>во всех областях, включая политическую и общественную жизнь, образование, здравоохранение и жилье, принять временные специальные меры с конкретными сроками их осуществления, в том числе предусмотреть квоты и санкции за их несоблюдение, и выделить достаточные ресурсы для достижения реального равенства между женщинами и мужчинами;</w:t>
      </w:r>
      <w:r w:rsidRPr="00B22346">
        <w:rPr>
          <w:szCs w:val="20"/>
        </w:rPr>
        <w:t xml:space="preserve"> </w:t>
      </w:r>
    </w:p>
    <w:p w14:paraId="43E324DF" w14:textId="0161946B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повышать информированность соответствующих государственных должностных лиц, депутатов парламента, работодателей и общества в целом о характере временных специальных мер и их важности в деле ускорения процесса достижения фактического равенства между женщинами и мужчинами во всех областях, в которых женщины недопредставлены или находятся в неблагоприятном положении.</w:t>
      </w:r>
    </w:p>
    <w:p w14:paraId="178770C4" w14:textId="41FDC2E8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7C0A5D7E" w14:textId="712B5759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Стереотипы и вредные виды практики </w:t>
      </w:r>
    </w:p>
    <w:p w14:paraId="26C2D7C3" w14:textId="1BDC1302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1F40E743" w14:textId="77777777" w:rsidR="00A73BBE" w:rsidRPr="00B22346" w:rsidRDefault="00A73BBE" w:rsidP="00A73BBE">
      <w:pPr>
        <w:pStyle w:val="SingleTxt"/>
        <w:keepNext/>
        <w:keepLines/>
        <w:rPr>
          <w:szCs w:val="20"/>
        </w:rPr>
      </w:pPr>
      <w:r w:rsidRPr="00B22346">
        <w:rPr>
          <w:szCs w:val="20"/>
        </w:rPr>
        <w:t>23.</w:t>
      </w:r>
      <w:r w:rsidRPr="00B22346">
        <w:rPr>
          <w:szCs w:val="20"/>
        </w:rPr>
        <w:tab/>
        <w:t xml:space="preserve">Комитет признает усилия государства-участника по борьбе с дискриминационными гендерными стереотипами и вредным видам практики, в том числе принятие национальной политики в области гендерной проблематики и развития. Он также отмечает увеличение числа женщин, являющихся традиционными лидерами, что является позитивным изменением социальных и культурных норм в государстве-участнике. Вместе с тем Комитет обеспокоен сохранением вредной практики, включая детские браки, и глубоко укоренившихся стереотипов в отношении роли и обязанностей мужчин и женщин в семье и общине. Он также обеспокоен отсутствием механизмов мониторинга и оценки осуществления национальной политики в области гендерной проблематики и развития с целью изменения таких стереотипов и ликвидации вредных видов практики. </w:t>
      </w:r>
    </w:p>
    <w:p w14:paraId="17F4B46F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24.</w:t>
      </w:r>
      <w:r w:rsidRPr="00B22346">
        <w:rPr>
          <w:szCs w:val="20"/>
        </w:rPr>
        <w:tab/>
      </w:r>
      <w:r w:rsidRPr="00A36942">
        <w:rPr>
          <w:b/>
          <w:bCs/>
          <w:szCs w:val="20"/>
        </w:rPr>
        <w:t>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21BAB78E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обеспечить осуществление всеобъемлющей стратегии по ликвидации дискриминационных стереотипов, касающихся роли и обязанностей женщин и мужчин в семье и обществе;</w:t>
      </w:r>
    </w:p>
    <w:p w14:paraId="13208307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lastRenderedPageBreak/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продолжать усилия по взаимодействию с соответствующими субъектами, включая вождей племен, религиозных и общинных лидеров, государственных должностных лиц и парламентариев, по вопросу о негативном воздействии дискриминационных стереотипов на осуществление женщинами своих прав;</w:t>
      </w:r>
      <w:r w:rsidRPr="00B22346">
        <w:rPr>
          <w:szCs w:val="20"/>
        </w:rPr>
        <w:t xml:space="preserve"> </w:t>
      </w:r>
    </w:p>
    <w:p w14:paraId="614F5F1C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szCs w:val="20"/>
        </w:rPr>
        <w:t>активизировать кампании по повышению осведомленности семей и общин о вредных последствиях для здоровья и развития девочек детских браков и их преступном характере;</w:t>
      </w:r>
      <w:r w:rsidRPr="00B22346">
        <w:rPr>
          <w:szCs w:val="20"/>
        </w:rPr>
        <w:t xml:space="preserve"> </w:t>
      </w:r>
    </w:p>
    <w:p w14:paraId="3D009E86" w14:textId="64549F6A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</w:r>
      <w:r w:rsidRPr="00B22346">
        <w:rPr>
          <w:b/>
          <w:szCs w:val="20"/>
        </w:rPr>
        <w:t>регулярно проводить мониторинг и обзор мер, принимаемых для ликвидации дискриминационных гендерных стереотипов и вредных видов практики, с целью оценки их воздействия и принятия конкретных мер, направленных на их ликвидацию.</w:t>
      </w:r>
      <w:r w:rsidRPr="00B22346">
        <w:rPr>
          <w:szCs w:val="20"/>
        </w:rPr>
        <w:t xml:space="preserve"> </w:t>
      </w:r>
    </w:p>
    <w:p w14:paraId="1D7487D1" w14:textId="1A8B1C65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1206AC9A" w14:textId="03FBA741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Гендерное насилие в отношении женщин </w:t>
      </w:r>
    </w:p>
    <w:p w14:paraId="684C260D" w14:textId="4C5CBED4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2D416A88" w14:textId="4860A41A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25.</w:t>
      </w:r>
      <w:r w:rsidRPr="00B22346">
        <w:rPr>
          <w:szCs w:val="20"/>
        </w:rPr>
        <w:tab/>
        <w:t>Комитет отмечает принимаемые государством-участником законодательные и политические меры по борьбе с насилием в отношении женщин и девочек, в том числе принятие национальной стратегии искоренения гендерного насилия в Ботсване на период 2014</w:t>
      </w:r>
      <w:r w:rsidR="00A36942" w:rsidRPr="00A36942">
        <w:rPr>
          <w:szCs w:val="20"/>
        </w:rPr>
        <w:t>–</w:t>
      </w:r>
      <w:r w:rsidRPr="00B22346">
        <w:rPr>
          <w:szCs w:val="20"/>
        </w:rPr>
        <w:t>2020 годов. В то же время Комитет обеспокоен:</w:t>
      </w:r>
    </w:p>
    <w:p w14:paraId="41A0A86A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 xml:space="preserve">широким распространением гендерного насилия в отношении женщин и терпимым отношением к насилию в семье, которые обусловлены глубоко укоренившимися патриархальными взглядами; </w:t>
      </w:r>
    </w:p>
    <w:p w14:paraId="4B69CF8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>несоответствием положений Закона о насилии в семье 2008 года, в том числе определения насилия в семье и сексуальных домогательств, Конвенции и отсутствием в стране законодательства, предусматривающего конкретную уголовную ответственность за сексуальное насилие;</w:t>
      </w:r>
    </w:p>
    <w:p w14:paraId="354AA8BC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 xml:space="preserve">тем фактом, что изнасилование в браке не признается законом в качестве уголовного преступления; </w:t>
      </w:r>
    </w:p>
    <w:p w14:paraId="0C380D77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 xml:space="preserve">низкими показателями расследования случаев гендерного насилия в отношении женщин и девочек, а также судебного преследования и осуждения виновных; </w:t>
      </w:r>
    </w:p>
    <w:p w14:paraId="5D69478D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 xml:space="preserve">недостаточным числом приютов для женщин и девочек, ставших жертвами гендерного насилия, и отсутствием для них услуг по оказанию медицинской помощи и психологической реабилитации; </w:t>
      </w:r>
    </w:p>
    <w:p w14:paraId="2AEAC457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f)</w:t>
      </w:r>
      <w:r w:rsidRPr="00B22346">
        <w:rPr>
          <w:szCs w:val="20"/>
        </w:rPr>
        <w:tab/>
        <w:t xml:space="preserve">высоким процентом женщин, ставших жертвами насилия в семье, которые отзывают свои жалобы; </w:t>
      </w:r>
    </w:p>
    <w:p w14:paraId="0B7B0876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g)</w:t>
      </w:r>
      <w:r w:rsidRPr="00B22346">
        <w:rPr>
          <w:szCs w:val="20"/>
        </w:rPr>
        <w:tab/>
        <w:t>отсутствием данных о выданных охранных судебных приказах и показателей их исполнения.</w:t>
      </w:r>
    </w:p>
    <w:p w14:paraId="0A005BF4" w14:textId="75482B84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26.</w:t>
      </w:r>
      <w:r w:rsidRPr="00B22346">
        <w:rPr>
          <w:szCs w:val="20"/>
        </w:rPr>
        <w:tab/>
      </w:r>
      <w:r w:rsidRPr="00E76A2B">
        <w:rPr>
          <w:b/>
          <w:bCs/>
          <w:szCs w:val="20"/>
        </w:rPr>
        <w:t>Ссылаясь на свою общую рекомендацию № 35 (2017) о гендерном насилии в отношении женщин, в которой была обновлена общая рекомендация</w:t>
      </w:r>
      <w:r w:rsidR="00A36942">
        <w:rPr>
          <w:b/>
          <w:bCs/>
          <w:szCs w:val="20"/>
          <w:lang w:val="en-US"/>
        </w:rPr>
        <w:t> </w:t>
      </w:r>
      <w:r w:rsidRPr="00E76A2B">
        <w:rPr>
          <w:b/>
          <w:bCs/>
          <w:szCs w:val="20"/>
        </w:rPr>
        <w:t>№ 19, 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4AD46540" w14:textId="45A14073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эффективно осуществлять национальную стратегию искоренения гендерного насилия на период 2014</w:t>
      </w:r>
      <w:r w:rsidR="00A36942" w:rsidRPr="00A36942">
        <w:rPr>
          <w:b/>
          <w:bCs/>
          <w:szCs w:val="20"/>
        </w:rPr>
        <w:t>–</w:t>
      </w:r>
      <w:r w:rsidRPr="00B22346">
        <w:rPr>
          <w:b/>
          <w:bCs/>
          <w:szCs w:val="20"/>
        </w:rPr>
        <w:t>2020 годов и выделять достаточные ресурсы для обеспечения ее скоординированного и эффективного осуществления;</w:t>
      </w:r>
    </w:p>
    <w:p w14:paraId="513D1846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пересмотреть и изменить Закон о насилии в семье с целью приведения его в соответствие с Конвенцией и ее общими рекомендациями и разработать закон о гендерном насилии;</w:t>
      </w:r>
    </w:p>
    <w:p w14:paraId="2FD90EF8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lastRenderedPageBreak/>
        <w:tab/>
        <w:t>c)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пересмотреть Уголовный кодекс 2005 года с целью установления прямой уголовной ответственности за изнасилование в браке; </w:t>
      </w:r>
    </w:p>
    <w:p w14:paraId="35201C4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укрепить судебную систему, в том числе за счет дополнительных финансовых, технических и специальных людских ресурсов, в целях своевременного рассмотрения дел с учетом гендерных аспектов и на недискриминационной основе, а также обеспечить оперативное и эффективное рассмотрение всех случаев гендерного насилия в отношении женщин и судебное преследование и надлежащее наказание виновных;</w:t>
      </w:r>
    </w:p>
    <w:p w14:paraId="2BE8D37D" w14:textId="66BD4108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 xml:space="preserve">в течение </w:t>
      </w:r>
      <w:r w:rsidRPr="00A36942">
        <w:rPr>
          <w:b/>
          <w:bCs/>
          <w:szCs w:val="20"/>
        </w:rPr>
        <w:t>2018/19</w:t>
      </w:r>
      <w:r w:rsidRPr="00B22346">
        <w:rPr>
          <w:b/>
          <w:bCs/>
          <w:szCs w:val="20"/>
        </w:rPr>
        <w:t xml:space="preserve"> финансового года создать государственные приюты, укрепить существующие приюты, находящиеся в ведении неправительственных организаций, и обеспечить предоставление надлежащего медицинского обслуживания, психосоциальной реабилитации и правовой помощи жертвам гендерного насилия;</w:t>
      </w:r>
    </w:p>
    <w:p w14:paraId="1E062F2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f)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создать конфиденциальный и учитывающий гендерные аспекты механизм подачи жалоб для жертв и свидетелей гендерного насилия;</w:t>
      </w:r>
    </w:p>
    <w:p w14:paraId="6E4B2B8D" w14:textId="47366B04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g)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обеспечить эффективное исполнение охранных судебных приказов и систематический сбор данных о количестве выданных охранных приказов и их исполнении.</w:t>
      </w:r>
    </w:p>
    <w:p w14:paraId="0DB4628E" w14:textId="5C359CDA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32F39584" w14:textId="1E7E6B11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Торговля людьми и эксплуатация проституции </w:t>
      </w:r>
    </w:p>
    <w:p w14:paraId="72DE39FF" w14:textId="5263EF23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4F85D369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27.</w:t>
      </w:r>
      <w:r w:rsidRPr="00B22346">
        <w:rPr>
          <w:szCs w:val="20"/>
        </w:rPr>
        <w:tab/>
        <w:t>Комитет по-прежнему обеспокоен тем, что государство-участник продолжает оставаться страной назначения и транзита при торговле людьми, особенно женщинами и девочками, в целях сексуальной и трудовой эксплуатации. Комитет особо обеспокоен следующим:</w:t>
      </w:r>
    </w:p>
    <w:p w14:paraId="5C0C2FDF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тем фактом, что раздел 9 Закона о борьбе с торговлей людьми в качестве меры наказания лица, виновного в торговле людьми, предусматривает штраф;</w:t>
      </w:r>
    </w:p>
    <w:p w14:paraId="5A9557D9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>задержкой проведения всеобъемлющего исследования вопроса о масштабах и формах торговли людьми в государстве-участнике;</w:t>
      </w:r>
    </w:p>
    <w:p w14:paraId="2E5817DE" w14:textId="68D18859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отсутствием информации об осуществлении Национального плана действий по борьбе с торговлей людьми на период 2017</w:t>
      </w:r>
      <w:r w:rsidR="00A36942" w:rsidRPr="00A36942">
        <w:rPr>
          <w:szCs w:val="20"/>
        </w:rPr>
        <w:t>–</w:t>
      </w:r>
      <w:r w:rsidRPr="00B22346">
        <w:rPr>
          <w:szCs w:val="20"/>
        </w:rPr>
        <w:t>2020 годов;</w:t>
      </w:r>
    </w:p>
    <w:p w14:paraId="0498790B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>ограниченным потенциалом приютов для женщин и девочек, ставших жертвами торговли людьми;</w:t>
      </w:r>
    </w:p>
    <w:p w14:paraId="686842DB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>уязвимостью женщин, в частности женщин, живущих в нищете, безработных, сельских женщин и женщин-инвалидов, как потенциальных жертв торговли людьми.</w:t>
      </w:r>
    </w:p>
    <w:p w14:paraId="02D9BDAE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28.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764E61D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без промедления внести поправки в раздел 9 Закона о борьбе с торговлей людьми с целью отмены штрафов в качестве возможного вердикта за преступление торговли людьми и обеспечить надлежащее наказание торговцев людьми;</w:t>
      </w:r>
    </w:p>
    <w:p w14:paraId="380BBC8A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провести всеобъемлющее исследование вопроса о масштабах и формах торговли женщинами и девочками в государстве-участнике;</w:t>
      </w:r>
    </w:p>
    <w:p w14:paraId="354CBF4B" w14:textId="5017F9D3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эффективно осуществлять Национальный план действий по борьбе с торговлей людьми на период 2017</w:t>
      </w:r>
      <w:r w:rsidR="00A36942" w:rsidRPr="00A36942">
        <w:rPr>
          <w:b/>
          <w:bCs/>
          <w:szCs w:val="20"/>
        </w:rPr>
        <w:t>–</w:t>
      </w:r>
      <w:r w:rsidRPr="00B22346">
        <w:rPr>
          <w:b/>
          <w:bCs/>
          <w:szCs w:val="20"/>
        </w:rPr>
        <w:t>2020 годов и представить информацию о его результатах в своем следующем периодическом докладе;</w:t>
      </w:r>
    </w:p>
    <w:p w14:paraId="5C536CD2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lastRenderedPageBreak/>
        <w:tab/>
        <w:t>d)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укрепить потенциал и ресурсы существующих приютов для жертв торговли людьми и предоставить более широкие возможности доступа жертвам торговли людьми к службам оказания помощи жертвам, в том числе к консультативным и юридическим услугам; </w:t>
      </w:r>
    </w:p>
    <w:p w14:paraId="0782A68F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принять меры по защите от торговли людьми уязвимых групп населения, включая женщин, живущих в бедности, безработных, сельских женщин и женщин-инвалидов, в том числе путем проведения среди них кампаний по повышению уровня информированности о доступных услугах и возможностях трудоустройства, и укрепить потенциал сотрудников правоохранительных органов по раннему выявлению жертв торговли людьми в целях оперативного выявления и содействия направлению жертв в соответствующие службы;</w:t>
      </w:r>
    </w:p>
    <w:p w14:paraId="3A3C6F80" w14:textId="42DBC184" w:rsidR="00A73BBE" w:rsidRPr="00B22346" w:rsidRDefault="00A73BBE" w:rsidP="00A36942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f)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наращивать усилия по развитию двустороннего, регионального и международного сотрудничества в целях предупреждения торговли людьми, в том числе путем обмена информацией и согласования</w:t>
      </w:r>
      <w:r w:rsidR="00A36942">
        <w:rPr>
          <w:b/>
          <w:bCs/>
          <w:szCs w:val="20"/>
        </w:rPr>
        <w:t xml:space="preserve"> — </w:t>
      </w:r>
      <w:r w:rsidRPr="00B22346">
        <w:rPr>
          <w:b/>
          <w:bCs/>
          <w:szCs w:val="20"/>
        </w:rPr>
        <w:t>в частности с соседними государствами и другими соответствующими государствами Экономического сообщества западноафриканских государств</w:t>
      </w:r>
      <w:r w:rsidR="00A36942">
        <w:rPr>
          <w:b/>
          <w:bCs/>
          <w:szCs w:val="20"/>
        </w:rPr>
        <w:t xml:space="preserve"> — </w:t>
      </w:r>
      <w:r w:rsidRPr="00B22346">
        <w:rPr>
          <w:b/>
          <w:bCs/>
          <w:szCs w:val="20"/>
        </w:rPr>
        <w:t>юридических процедур привлечения торговцев людьми к ответственности;</w:t>
      </w:r>
    </w:p>
    <w:p w14:paraId="3B8E5A2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29.</w:t>
      </w:r>
      <w:r w:rsidRPr="00B22346">
        <w:rPr>
          <w:szCs w:val="20"/>
        </w:rPr>
        <w:tab/>
        <w:t xml:space="preserve">Комитет с обеспокоенностью отмечает результаты обследования, проведенного в 2012 году Министерством здравоохранения и благосостояния, согласно которому женщины, занимающиеся проституцией, подвергаются в государстве-участнике наибольшему риску инфицирования ВИЧ/СПИДом. Он также обеспокоен отсутствием информации об имеющихся реабилитационных услугах для женщин, занимающихся проституцией, о программах для женщин, желающих прекратить заниматься проституцией, и о надлежащем и эффективном механизме предотвращения вовлечения бросающих школу девочек в занятие проституцией. </w:t>
      </w:r>
    </w:p>
    <w:p w14:paraId="5F24EC58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30.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268BE0EF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активизировать меры по сокращению непропорционально высокой распространенности ВИЧ/СПИДа среди женщин, занимающихся проституцией, в том числе женщин-мигрантов, обеспечить доступ женщин, занимающихся проституцией, к медицинскому обслуживанию и бороться с их стигматизацией и социальной изоляцией;</w:t>
      </w:r>
    </w:p>
    <w:p w14:paraId="5F40F90E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осуществлять программы помощи, реабилитации и реинтеграции для женщин и девочек, эксплуатируемых в сфере проституции, и предоставлять информацию о воздействии программ расширения экономических прав и возможностей и программ сокращения масштабов нищеты на расширение возможностей получения дохода для женщин, желающих прекратить заниматься проституцией;</w:t>
      </w:r>
    </w:p>
    <w:p w14:paraId="5A9F6BD2" w14:textId="67EC86BD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szCs w:val="20"/>
        </w:rPr>
        <w:t>принять целенаправленные меры по предотвращению вовлечения в проституцию женщин и девочек, находящихся в уязвимом положении, в том числе девочек, бросающих школу.</w:t>
      </w:r>
      <w:r w:rsidRPr="00B22346">
        <w:rPr>
          <w:szCs w:val="20"/>
        </w:rPr>
        <w:t xml:space="preserve"> </w:t>
      </w:r>
    </w:p>
    <w:p w14:paraId="77FA019C" w14:textId="4D1CAEAA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3DD7A145" w14:textId="31DE09F2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Участие в политической и общественной жизни</w:t>
      </w:r>
    </w:p>
    <w:p w14:paraId="2E3057D1" w14:textId="0FA5AAAC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44144160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31.</w:t>
      </w:r>
      <w:r w:rsidRPr="00B22346">
        <w:rPr>
          <w:szCs w:val="20"/>
        </w:rPr>
        <w:tab/>
        <w:t>Комитет приветствует достижения государства-участника в деле обеспечения 42-процентной представленности женщин в государственном секторе. Тем не менее он обеспокоен:</w:t>
      </w:r>
    </w:p>
    <w:p w14:paraId="581CCE8C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низкой представленностью женщин в парламенте, палате вождей и местных органах власти, а также на руководящих должностях, в частности в вышестоящих судах и на международном уровне;</w:t>
      </w:r>
    </w:p>
    <w:p w14:paraId="642CC66C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lastRenderedPageBreak/>
        <w:tab/>
        <w:t>b)</w:t>
      </w:r>
      <w:r w:rsidRPr="00B22346">
        <w:rPr>
          <w:szCs w:val="20"/>
        </w:rPr>
        <w:tab/>
        <w:t xml:space="preserve">системными препятствиями, такими как укоренившиеся в культуре негативные установки и отсутствие системы квот в парламенте; </w:t>
      </w:r>
    </w:p>
    <w:p w14:paraId="24C4F6DA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ограниченными результатами осуществления программ по наращиванию потенциала для участвующих в выборах женщин.</w:t>
      </w:r>
    </w:p>
    <w:p w14:paraId="333EC5F7" w14:textId="77777777" w:rsidR="00A73BBE" w:rsidRPr="00B22346" w:rsidRDefault="00A73BBE" w:rsidP="00A73BBE">
      <w:pPr>
        <w:pStyle w:val="SingleTxt"/>
        <w:keepNext/>
        <w:keepLines/>
        <w:rPr>
          <w:b/>
          <w:bCs/>
          <w:szCs w:val="20"/>
        </w:rPr>
      </w:pPr>
      <w:r w:rsidRPr="00B22346">
        <w:rPr>
          <w:szCs w:val="20"/>
        </w:rPr>
        <w:t>32.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0A3D5420" w14:textId="2D091C6A" w:rsidR="00A73BBE" w:rsidRPr="00B22346" w:rsidRDefault="00A73BBE" w:rsidP="00A73BBE">
      <w:pPr>
        <w:pStyle w:val="SingleTxt"/>
        <w:keepNext/>
        <w:keepLines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 соответствии со статьей 4 1) Конвенции и общей рекомендацией Комитета № 25 и общей рекомендацией № 23 (1997), которые касаются участия женщин в политической и общественной жизни, принять меры, в том числе временные специальные меры, включая введение квот и резервирования мест, и стимулировать выдвижение политическими партиями кандидатов-женщин;</w:t>
      </w:r>
    </w:p>
    <w:p w14:paraId="6DD0F65C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проводить информационно-разъяснительные кампании для политиков, общинных и религиозных лидеров, средств массовой информации и широкой общественности о важном значении участия женщин в политической жизни и их представленности на должностях, связанных с принятием решений;</w:t>
      </w:r>
      <w:r w:rsidRPr="00B22346">
        <w:rPr>
          <w:szCs w:val="20"/>
        </w:rPr>
        <w:t xml:space="preserve"> </w:t>
      </w:r>
    </w:p>
    <w:p w14:paraId="0488241B" w14:textId="19D333C5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укреплять программы наращивания потенциала в интересах женщин, желающих участвовать в политической жизни, и рекомендовать средствам массовой информации обеспечивать равное освещение женщин и мужчин, являющихся кандидатами или избранными представителями, особенно в период выборов, и предоставлять женщинам-кандидатам специальные финансовые средства на проведение избирательных кампаний.</w:t>
      </w:r>
    </w:p>
    <w:p w14:paraId="5675C164" w14:textId="7E88F556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5B6F58A3" w14:textId="0CF1378B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Образование </w:t>
      </w:r>
    </w:p>
    <w:p w14:paraId="1CEC8931" w14:textId="3957F165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27EC3DB9" w14:textId="26D81755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33.</w:t>
      </w:r>
      <w:r w:rsidRPr="00B22346">
        <w:rPr>
          <w:szCs w:val="20"/>
        </w:rPr>
        <w:tab/>
        <w:t>Комитет ссылается на свои предыдущие заключительные замечания (</w:t>
      </w:r>
      <w:hyperlink r:id="rId26" w:history="1">
        <w:r w:rsidRPr="00A36942">
          <w:rPr>
            <w:rStyle w:val="Hyperlink"/>
            <w:szCs w:val="20"/>
          </w:rPr>
          <w:t>CEDAW/C/BOT/CO/3</w:t>
        </w:r>
      </w:hyperlink>
      <w:r w:rsidRPr="00B22346">
        <w:rPr>
          <w:szCs w:val="20"/>
        </w:rPr>
        <w:t>, пункт 32) и высоко оценивает тот факт, что государство-участник де-факто обеспечивает мужчинам и женщинам равный доступ ко всем уровням образования и предоставляет бесплатное образование и жилье детям и молодежи в рамках программы возобновления учебы. В то же время Комитет обеспокоен:</w:t>
      </w:r>
    </w:p>
    <w:p w14:paraId="2D08AF4F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сообщениями о сексуальных надругательствах и домогательствах в отношении девочек со стороны учителей и насилии, с которым девочки сталкиваются по пути в школу и из школы, а также отсутствием информации о количестве случаев судебного преследования и наказаний виновных в сексуальных надругательствах над девочками в учебных заведениях;</w:t>
      </w:r>
    </w:p>
    <w:p w14:paraId="413A400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 xml:space="preserve">отсутствием стратегии борьбы с издевательствами и тем фактом, что согласно Закону об образовании 1967 года, Положениям об образовании (телесные наказания) 1968 года и Закону о детях 2009 года, телесные наказания в любых условиях являются законными; </w:t>
      </w:r>
    </w:p>
    <w:p w14:paraId="72B6BCE1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 xml:space="preserve">высокими показателями подростковой беременности и отсева девочек из школ; </w:t>
      </w:r>
    </w:p>
    <w:p w14:paraId="6779055D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>тем фактом, что политика повторного зачисления предписывает, что бросившие школу беременные девочки могут вернуться в школу только по истечении шести месяцев и продолжать обучение по программе технической подготовки, а не общего образования;</w:t>
      </w:r>
    </w:p>
    <w:p w14:paraId="28CFA3EB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>более низким, чем у мужчин, коэффициентом зачисления женщин и девочек в учебные заведения для изучения естественных наук, техники, инженерных наук и математики;</w:t>
      </w:r>
    </w:p>
    <w:p w14:paraId="40D02DC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lastRenderedPageBreak/>
        <w:tab/>
        <w:t>f)</w:t>
      </w:r>
      <w:r w:rsidRPr="00B22346">
        <w:rPr>
          <w:szCs w:val="20"/>
        </w:rPr>
        <w:tab/>
        <w:t>языковыми барьерами в школе, с которыми сталкиваются дети, родным языком которых не является английский язык или язык сетсвана;</w:t>
      </w:r>
    </w:p>
    <w:p w14:paraId="0D785EF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g)</w:t>
      </w:r>
      <w:r w:rsidRPr="00B22346">
        <w:rPr>
          <w:szCs w:val="20"/>
        </w:rPr>
        <w:tab/>
        <w:t>нехваткой имеющихся ресурсов для эффективного осуществления политики в области инклюзивного образования.</w:t>
      </w:r>
    </w:p>
    <w:p w14:paraId="5DDF19DE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34.</w:t>
      </w:r>
      <w:r w:rsidRPr="00B22346">
        <w:rPr>
          <w:szCs w:val="20"/>
        </w:rPr>
        <w:tab/>
      </w:r>
      <w:r w:rsidRPr="00E76A2B">
        <w:rPr>
          <w:b/>
          <w:bCs/>
          <w:szCs w:val="20"/>
        </w:rPr>
        <w:t>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52F03D14" w14:textId="2D8CD980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 xml:space="preserve">продолжать усилия по обеспечению сопровождения детей при их следовании в школу и из школы и созданию </w:t>
      </w:r>
      <w:r w:rsidR="00E76A2B">
        <w:rPr>
          <w:b/>
          <w:bCs/>
          <w:szCs w:val="20"/>
        </w:rPr>
        <w:t>«</w:t>
      </w:r>
      <w:r w:rsidRPr="00B22346">
        <w:rPr>
          <w:b/>
          <w:bCs/>
          <w:szCs w:val="20"/>
        </w:rPr>
        <w:t>горячей линии</w:t>
      </w:r>
      <w:r w:rsidR="00E76A2B">
        <w:rPr>
          <w:b/>
          <w:bCs/>
          <w:szCs w:val="20"/>
        </w:rPr>
        <w:t>»</w:t>
      </w:r>
      <w:r w:rsidRPr="00B22346">
        <w:rPr>
          <w:b/>
          <w:bCs/>
          <w:szCs w:val="20"/>
        </w:rPr>
        <w:t xml:space="preserve"> для сообщений детей о случаях злоупотреблений и представить в следующем периодическом докладе информацию о числе случаев судебного преследования и наказания виновных, включая учителей, за совершении сексуальных надругательств над девочками в учебных заведениях;</w:t>
      </w:r>
    </w:p>
    <w:p w14:paraId="65640387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разработать национальную стратегию борьбы с издевательствами в целях создания условий для безопасного и инклюзивного обучения в атмосфере, свободной от дискриминации, домогательств и насилия;</w:t>
      </w:r>
    </w:p>
    <w:p w14:paraId="48E83506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пересмотреть Закон об образовании, Положения об образовании (телесные наказания) и Закон о детях с целью запрещения телесных наказаний в любых условиях;</w:t>
      </w:r>
    </w:p>
    <w:p w14:paraId="0F46FF00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активизировать усилия по сокращению числа девочек, бросающих школу, путем содействия возвращению в школу, в том числе в рамках программы возобновления учебы, и обеспечить включение в школьные программы для девочек и мальчиков обязательного, учитывающего возрастные особенности и основанного на фактических данных учебного предмета по вопросам сексуального и репродуктивного здоровья;</w:t>
      </w:r>
    </w:p>
    <w:p w14:paraId="31B151FB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</w:r>
      <w:r w:rsidRPr="00B22346">
        <w:rPr>
          <w:b/>
          <w:szCs w:val="20"/>
        </w:rPr>
        <w:t>пересмотреть политику повторного зачисления и устранить дискриминационные положения в отношении беременных девочек и молодых матерей с целью предоставления им возможности продолжить обучение;</w:t>
      </w:r>
      <w:r w:rsidRPr="00B22346">
        <w:rPr>
          <w:szCs w:val="20"/>
        </w:rPr>
        <w:t xml:space="preserve"> </w:t>
      </w:r>
    </w:p>
    <w:p w14:paraId="7AA2DFC0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f)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предпринимать дальнейшие усилия в целях поощрения девочек и молодых женщин к выбору нетрадиционных сфер обучения и профессий, в том числе в рамках реализации стратегии технического и профессионального образования;</w:t>
      </w:r>
    </w:p>
    <w:p w14:paraId="556EB339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g)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обеспечить доступ к педагогической помощи детям, в том числе девочкам из числа коренных народов, родным языком которых не является английский язык или язык сетсвана;</w:t>
      </w:r>
    </w:p>
    <w:p w14:paraId="12DE6FE5" w14:textId="0F80E0A4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h)</w:t>
      </w:r>
      <w:r w:rsidRPr="00B22346">
        <w:rPr>
          <w:szCs w:val="20"/>
        </w:rPr>
        <w:tab/>
      </w:r>
      <w:r w:rsidRPr="00B22346">
        <w:rPr>
          <w:b/>
          <w:szCs w:val="20"/>
        </w:rPr>
        <w:t>выделить достаточные людские, технические и финансовые ресурсы для осуществления политики инклюзивного образования и принимать своевременные меры по оценке состояния девочек-инвалидов и их распределению в школы.</w:t>
      </w:r>
      <w:r w:rsidRPr="00B22346">
        <w:rPr>
          <w:szCs w:val="20"/>
        </w:rPr>
        <w:t xml:space="preserve"> </w:t>
      </w:r>
    </w:p>
    <w:p w14:paraId="5E369E96" w14:textId="706EC45E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51455774" w14:textId="439C07F6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Занятость </w:t>
      </w:r>
    </w:p>
    <w:p w14:paraId="53EA426E" w14:textId="5D035C89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5D231B44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35.</w:t>
      </w:r>
      <w:r w:rsidRPr="00B22346">
        <w:rPr>
          <w:szCs w:val="20"/>
        </w:rPr>
        <w:tab/>
        <w:t>Комитет приветствует принятие в 2010 году Закона о занятости (Поправка) и отмечает, что государство-участник планирует внести в парламент в 2019 году пересмотренный Закон, который будет содержать положения о равной оплате труда женщин и мужчин за труд равной ценности и запрете сексуальных домогательств. Тем не менее он обеспокоен:</w:t>
      </w:r>
    </w:p>
    <w:p w14:paraId="26D9E83B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 xml:space="preserve">отсутствием информации о контроле за осуществлением стратегии и программ в области обеспечения занятости и о выводах, полученных по итогам оценки их осуществления, в том числе о предоставлении отпуска по </w:t>
      </w:r>
      <w:r w:rsidRPr="00B22346">
        <w:rPr>
          <w:szCs w:val="20"/>
        </w:rPr>
        <w:lastRenderedPageBreak/>
        <w:t xml:space="preserve">беременности и родам в частном секторе согласно Закону о занятости (Поправка), а также отсутствием конкретных данных о женщинах-инвалидах; </w:t>
      </w:r>
    </w:p>
    <w:p w14:paraId="10AEE1D3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 xml:space="preserve">отсутствием статистических данных о количестве работающих женщин-инвалидов; </w:t>
      </w:r>
    </w:p>
    <w:p w14:paraId="201A0C95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высоким уровнем безработицы среди женщин и неравномерным распределением семейных обязанностей между женщинами и мужчинами;</w:t>
      </w:r>
    </w:p>
    <w:p w14:paraId="22617B0F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  <w:t xml:space="preserve">отсутствием доступных и недорогостоящих учреждений по уходу за детьми; </w:t>
      </w:r>
    </w:p>
    <w:p w14:paraId="10BABA81" w14:textId="2E30C86F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  <w:t>концентрацией женщин в неформальном секторе и тем фактом, что</w:t>
      </w:r>
      <w:r w:rsidR="009D55A4">
        <w:rPr>
          <w:szCs w:val="20"/>
        </w:rPr>
        <w:t xml:space="preserve"> </w:t>
      </w:r>
      <w:r w:rsidRPr="00B22346">
        <w:rPr>
          <w:szCs w:val="20"/>
        </w:rPr>
        <w:t xml:space="preserve">женщины в этом секторе по-прежнему лишены гарантий охраны труда и социального обеспечения, в том числе пенсионных пособий. </w:t>
      </w:r>
    </w:p>
    <w:p w14:paraId="6691A859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36.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7CF45517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создать механизмы контроля, оценки и анализа эффективности осуществления стратегии и программ в области обеспечения занятости, в том числе обеспечить соблюдение положения об отпуске по беременности и родам в частном секторе согласно Закону о занятости (Поправка);</w:t>
      </w:r>
    </w:p>
    <w:p w14:paraId="44714FBD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 следующем периодическом докладе представить данные о числе женщин-инвалидов, работающих в государственном и частном секторах, в разбивке по категориям инвалидности;</w:t>
      </w:r>
    </w:p>
    <w:p w14:paraId="4A0CCD37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рассмотреть вопрос о ратификации Конвенции 1981 года о работниках с семейными обязанностями (№ 156) Международной организации труда в целях поощрения равного распределения домашних и семейных обязанностей между мужчинами и женщинами;</w:t>
      </w:r>
    </w:p>
    <w:p w14:paraId="6829A2BA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увеличить число доступных и недорогостоящих детских учреждений, в том числе государственных детских учреждений, на всей территории государства-участника, в целях обеспечения равноправного участия женщин на рынке труда;</w:t>
      </w:r>
    </w:p>
    <w:p w14:paraId="20549B0E" w14:textId="150DDF3F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e)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пересмотреть программы пенсионных и социальных пособий в целях обеспечения равного доступа женщин и мужчин и распространить их на женщин, работающих в неформальном секторе экономики.</w:t>
      </w:r>
    </w:p>
    <w:p w14:paraId="503A3513" w14:textId="6412F4CA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2176002A" w14:textId="7F44FD85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Здравоохранение</w:t>
      </w:r>
    </w:p>
    <w:p w14:paraId="14BED127" w14:textId="776A8621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2A65B60F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37.</w:t>
      </w:r>
      <w:r w:rsidRPr="00B22346">
        <w:rPr>
          <w:szCs w:val="20"/>
        </w:rPr>
        <w:tab/>
        <w:t>Комитет отмечает усилия государства-участника по расширению доступа женщин к медицинской помощи и услугам, касающимся охраны здоровья, особенно связанных с профилактикой ВИЧ/СПИДа и рака шейки матки. В то же время Комитет обеспокоен:</w:t>
      </w:r>
    </w:p>
    <w:p w14:paraId="1B0631AC" w14:textId="51211F3A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  <w:t>высокой текучестью кадров среди медицинских работников и отсутствием доступа женщин к послеродовому уходу, что является одной из причин</w:t>
      </w:r>
      <w:r w:rsidR="009D55A4">
        <w:rPr>
          <w:szCs w:val="20"/>
        </w:rPr>
        <w:t xml:space="preserve"> </w:t>
      </w:r>
      <w:r w:rsidRPr="00B22346">
        <w:rPr>
          <w:szCs w:val="20"/>
        </w:rPr>
        <w:t xml:space="preserve">высокого уровня материнской и детской смертности; </w:t>
      </w:r>
    </w:p>
    <w:p w14:paraId="57AC4D41" w14:textId="77777777" w:rsidR="00A73BBE" w:rsidRPr="00B22346" w:rsidRDefault="00A73BBE" w:rsidP="00A73BBE">
      <w:pPr>
        <w:pStyle w:val="SingleTxt"/>
        <w:keepNext/>
        <w:keepLines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  <w:t xml:space="preserve">криминализацией абортов, за исключением случаев изнасилования, кровосмешения, угрозы жизни или здоровью беременной женщины или серьезных нарушений развития плода, предусмотренных статьей 160 Уголовного кодекса, и ограниченным доступ женщин к услугам по проведению аборта; </w:t>
      </w:r>
    </w:p>
    <w:p w14:paraId="081C922E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  <w:t>ограниченной осведомленностью медицинских работников и акушерок об учитывающих гендерные аспекты методах обращения с жертвами гендерного насилия и процедурах направления таких жертв в другие службы;</w:t>
      </w:r>
    </w:p>
    <w:p w14:paraId="4B20A0D6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lastRenderedPageBreak/>
        <w:tab/>
        <w:t>d)</w:t>
      </w:r>
      <w:r w:rsidRPr="00B22346">
        <w:rPr>
          <w:szCs w:val="20"/>
        </w:rPr>
        <w:tab/>
        <w:t xml:space="preserve">отсутствием у женщин и девочек знаний о методах контрацепции и ограниченным доступом женщин и девочек к услугам в области сексуального и репродуктивного здоровья, в том числе к бесплатным услугам по диагностике рака шейки матки. </w:t>
      </w:r>
    </w:p>
    <w:p w14:paraId="3DC71F70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38.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рекомендует государству-участнику:</w:t>
      </w:r>
      <w:r w:rsidRPr="00B22346">
        <w:rPr>
          <w:szCs w:val="20"/>
        </w:rPr>
        <w:t xml:space="preserve"> </w:t>
      </w:r>
    </w:p>
    <w:p w14:paraId="1B0DE288" w14:textId="5193D5C4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szCs w:val="20"/>
        </w:rPr>
        <w:t>активизировать усилия по сокращению материнской и детской смертности, в том числе путем поощрения удержания персонала в медицинских учреждениях за счет использования дополнительного вознаграждения и стимулов; в целях обеспечения бесплатного первичного послеродового ухода женщинам и девочкам увеличить число передвижных медицинских пунктов в общинах, в которых отсутствуют медицинские учреждения;</w:t>
      </w:r>
      <w:r w:rsidRPr="00B22346">
        <w:rPr>
          <w:szCs w:val="20"/>
        </w:rPr>
        <w:t xml:space="preserve"> </w:t>
      </w:r>
    </w:p>
    <w:p w14:paraId="7EB842E2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внести поправки в статью 160 Уголовного кодекса с целью декриминализации абортов не только в случаях изнасилования, кровосмешения, угрозы жизни или здоровью беременной женщины или серьезных нарушений развития плода, но и во всех других случаях, и обеспечить женщинам доступ к высококачественным услугам по прерыванию беременности и уходу после аборта, а также гарантировать конфиденциальность при оказании такой помощи;</w:t>
      </w:r>
    </w:p>
    <w:p w14:paraId="7DEAE33D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организовать обучение медицинских работников и акушерок учитывающих гендерные аспекты методам обращения с жертвами гендерного насилия и процедурам направления жертв в другие службы;</w:t>
      </w:r>
    </w:p>
    <w:p w14:paraId="371CA734" w14:textId="791C8BE4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d)</w:t>
      </w:r>
      <w:r w:rsidRPr="00B22346">
        <w:rPr>
          <w:szCs w:val="20"/>
        </w:rPr>
        <w:tab/>
      </w:r>
      <w:r w:rsidRPr="00B22346">
        <w:rPr>
          <w:b/>
          <w:szCs w:val="20"/>
        </w:rPr>
        <w:t>продолжать усилия по повышению осведомленности общин, а также женщин и девочек об методах контрацепции и доступных услугах в области сексуального и репродуктивного здоровья, в том числе для диагностики рака шейки матки, и расширять доступ женщин и девочек к таким услугам.</w:t>
      </w:r>
      <w:r w:rsidRPr="00B22346">
        <w:rPr>
          <w:szCs w:val="20"/>
        </w:rPr>
        <w:t xml:space="preserve"> </w:t>
      </w:r>
    </w:p>
    <w:p w14:paraId="572FA310" w14:textId="598F72C1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04D96C7E" w14:textId="755D7EAD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Расширение экономических возможностей женщин </w:t>
      </w:r>
    </w:p>
    <w:p w14:paraId="1ED1BA65" w14:textId="6EE87ECB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0DE2CD22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39.</w:t>
      </w:r>
      <w:r w:rsidRPr="00B22346">
        <w:rPr>
          <w:szCs w:val="20"/>
        </w:rPr>
        <w:tab/>
        <w:t>Комитет высоко оценивает многочисленные инициативы государства-участника по расширению экономических прав и возможностей женщин, такие как поддержка участия женщин в торговле, осуществление приносящих доход проектов и предоставление краткосрочных займов в сотрудничестве с партнерами. Вместе с тем Комитет обеспокоен непропорционально высоким уровнем нищеты среди женщин и ограниченным доступом женщин к земле и жилью. Он также обеспокоен недостаточным участием женщин в проектах экономического развития и отсутствием информации о состоянии гендерной политики в области сельского хозяйства и развития сельских районов. Он далее обеспокоен низкой представленностью женщин на руководящих должностях в спорте.</w:t>
      </w:r>
    </w:p>
    <w:p w14:paraId="50E438B0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40.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призывает государство-участник:</w:t>
      </w:r>
    </w:p>
    <w:p w14:paraId="5E5F9FA3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szCs w:val="20"/>
        </w:rPr>
        <w:t>повысить осведомленность женщин об их правах на доступ к земле и жилью, включая право на обращение в земельный суд с целью опротестования нарушений при распределении земельных участков и право на получение жилья по программе жилья для лицам с низким уровнем дохода;</w:t>
      </w:r>
      <w:r w:rsidRPr="00B22346">
        <w:rPr>
          <w:szCs w:val="20"/>
        </w:rPr>
        <w:t xml:space="preserve"> </w:t>
      </w:r>
    </w:p>
    <w:p w14:paraId="157C190B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поощрять участие женщин в разработке и осуществлении стратегии, программ и инициатив в области экономического развития и представить в следующем периодическом докладе информацию о влиянии этой стратегии на решение гендерных вопросов в сельском хозяйстве и развитие сельских районов;</w:t>
      </w:r>
    </w:p>
    <w:p w14:paraId="54D972E4" w14:textId="255C009E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lastRenderedPageBreak/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устранить препятствия, которые мешают женщинам занимать руководящие должности в спорте, и принять меры, в том числе временные специальные меры, в целях поощрения женщин к занятию таких должностей.</w:t>
      </w:r>
    </w:p>
    <w:p w14:paraId="559079AD" w14:textId="2298B83E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2E9D066E" w14:textId="69F9D317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Сельские женщины </w:t>
      </w:r>
    </w:p>
    <w:p w14:paraId="3023FCB6" w14:textId="6FA2A669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4BFBD141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41.</w:t>
      </w:r>
      <w:r w:rsidRPr="00B22346">
        <w:rPr>
          <w:szCs w:val="20"/>
        </w:rPr>
        <w:tab/>
        <w:t>Комитет признает усилия государства-участника по сокращению масштабов нищеты в сельских районах и улучшению таких услуг, как санитария. Вместе с тем он обеспокоен недостаточной представленностью сельских женщин на назначаемых политических должностях, в том числе в сельских комитетах развития, и отсутствием у сельских женщин общих знаний в области социального обеспечения, образования, медицинского обслуживания, местных программ, законов и стратегий, касающихся прав женщин.</w:t>
      </w:r>
    </w:p>
    <w:p w14:paraId="16978282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42.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 соответствии со своей общей рекомендацией № 34 (2016), касающейся прав сельских женщин, Комитет рекомендует государству-участнику:</w:t>
      </w:r>
    </w:p>
    <w:p w14:paraId="4D766B2D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szCs w:val="20"/>
        </w:rPr>
        <w:t>обеспечить сельским женщинам равные возможности для участия в политической и общественной жизни, в частности в процессах принятия решений на общинном уровне, в том числе в сельских комитетах развития;</w:t>
      </w:r>
      <w:r w:rsidRPr="00B22346">
        <w:rPr>
          <w:szCs w:val="20"/>
        </w:rPr>
        <w:t xml:space="preserve"> </w:t>
      </w:r>
    </w:p>
    <w:p w14:paraId="52FA6ECB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продолжать укреплять вспомогательные отделения национальных механизмов по гендерным вопросам в целях предоставления сельским женщинам надлежащей информации о законах, стратегиях, программах и услугах, связанных с осуществлением их прав;</w:t>
      </w:r>
      <w:r w:rsidRPr="00B22346">
        <w:rPr>
          <w:szCs w:val="20"/>
        </w:rPr>
        <w:t xml:space="preserve"> </w:t>
      </w:r>
    </w:p>
    <w:p w14:paraId="6C794C97" w14:textId="49F1D554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szCs w:val="20"/>
        </w:rPr>
        <w:t>поощрять женщин к обмену передовым опытом и налаживанию партнерских отношений с другими общинами.</w:t>
      </w:r>
      <w:r w:rsidRPr="00B22346">
        <w:rPr>
          <w:szCs w:val="20"/>
        </w:rPr>
        <w:t xml:space="preserve"> </w:t>
      </w:r>
    </w:p>
    <w:p w14:paraId="5D91D061" w14:textId="3DF4036A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2D5BF8E7" w14:textId="3CB657BE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Группы</w:t>
      </w:r>
      <w:r w:rsidRPr="00B22346">
        <w:rPr>
          <w:rFonts w:ascii="Roboto" w:eastAsia="Times New Roman" w:hAnsi="Roboto"/>
          <w:color w:val="606060"/>
          <w:spacing w:val="0"/>
          <w:w w:val="100"/>
          <w:kern w:val="0"/>
          <w:shd w:val="clear" w:color="auto" w:fill="FFFFFF"/>
        </w:rPr>
        <w:t xml:space="preserve"> </w:t>
      </w:r>
      <w:r w:rsidRPr="00B22346">
        <w:t>женщин</w:t>
      </w:r>
      <w:r w:rsidRPr="00B22346">
        <w:rPr>
          <w:rFonts w:ascii="Roboto" w:eastAsia="Times New Roman" w:hAnsi="Roboto"/>
          <w:color w:val="606060"/>
          <w:spacing w:val="0"/>
          <w:w w:val="100"/>
          <w:kern w:val="0"/>
          <w:shd w:val="clear" w:color="auto" w:fill="FFFFFF"/>
        </w:rPr>
        <w:t xml:space="preserve">, </w:t>
      </w:r>
      <w:r w:rsidRPr="00B22346">
        <w:t>находящиеся в неблагоприятном</w:t>
      </w:r>
      <w:r w:rsidRPr="00B22346">
        <w:rPr>
          <w:rFonts w:ascii="Roboto" w:eastAsia="Times New Roman" w:hAnsi="Roboto"/>
          <w:color w:val="606060"/>
          <w:spacing w:val="0"/>
          <w:w w:val="100"/>
          <w:kern w:val="0"/>
          <w:shd w:val="clear" w:color="auto" w:fill="FFFFFF"/>
        </w:rPr>
        <w:t xml:space="preserve"> </w:t>
      </w:r>
      <w:r w:rsidRPr="00B22346">
        <w:t>положении</w:t>
      </w:r>
    </w:p>
    <w:p w14:paraId="3A50E732" w14:textId="4CC23477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1D47EAD7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43.</w:t>
      </w:r>
      <w:r w:rsidRPr="00B22346">
        <w:rPr>
          <w:szCs w:val="20"/>
        </w:rPr>
        <w:tab/>
        <w:t xml:space="preserve">Комитет с обеспокоенностью отмечает маргинализацию, с которой сталкиваются женщины коренных народов в области ограничения их политических прав и утраты культурной и племенной самобытности. Комитет также обеспокоен отсутствием равного доступа к бесплатному антиретровирусному лечению для членов уязвимых групп, включая женщин из числа коренных народов, женщин-заключенных, женщин-инвалидов, лесбиянок, бисексуалов и транссексуалов, интерсексуалов и женщин-мигрантов. Он далее обеспокоен содержанием в транзитных центрах женщин и девочек-мигрантов, которые часто содержатся отдельно от мужчин - членов их семей. </w:t>
      </w:r>
    </w:p>
    <w:p w14:paraId="6B08F453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44.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государству-участнику:</w:t>
      </w:r>
    </w:p>
    <w:p w14:paraId="5191F329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разработать и осуществить стратегию удовлетворения особых потребностей женщин из числа коренных народов во всех областях, охватываемых Конвенцией, в том числе в общественной и политической жизни, и защиты их культурной и племенной самобытности;</w:t>
      </w:r>
    </w:p>
    <w:p w14:paraId="672A5205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пересмотреть и устранить препятствия, с которыми сталкиваются женщины из числа коренных народов, женщины-заключенные, женщины-инвалиды, лесбиянки, бисексуалы и трансгендеры, интерсексуалы и женщины-мигранты в получении доступа к государственным услугам и бесплатному антиретровирусному лечению;</w:t>
      </w:r>
    </w:p>
    <w:p w14:paraId="5D9979C2" w14:textId="604F8B48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 xml:space="preserve">обеспечить доступ к образованию и здравоохранению, санитарным и юридическим услугам женщинам и девочкам-мигрантам в </w:t>
      </w:r>
      <w:r w:rsidRPr="00B22346">
        <w:rPr>
          <w:b/>
          <w:bCs/>
          <w:szCs w:val="20"/>
        </w:rPr>
        <w:lastRenderedPageBreak/>
        <w:t>транзитных центрах и за их пределами и принять альтернативное решение в целях предотвращения разлучения членов семьи.</w:t>
      </w:r>
    </w:p>
    <w:p w14:paraId="669F3414" w14:textId="049DC4D4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4752D987" w14:textId="66C490CF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Воздействие изменения климата и стихийных бедствий на женщин</w:t>
      </w:r>
    </w:p>
    <w:p w14:paraId="1DF44A04" w14:textId="3FC835BF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6DFF70B5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45.</w:t>
      </w:r>
      <w:r w:rsidRPr="00B22346">
        <w:rPr>
          <w:szCs w:val="20"/>
        </w:rPr>
        <w:tab/>
        <w:t>Комитет отмечает, что в 2014 году Министерство охраны окружающей среды, дикой природы и туризма приняло подход, основанный на учете гендерной проблематики. Вместе с тем он обеспокоен отсутствием информации об учете гендерных аспектов в стратегиях и программах уменьшения опасности бедствий и адаптации к изменению климата и о возможностях участия женщины в процессах выработки политики и принятия решений в отношении таких инициатив.</w:t>
      </w:r>
    </w:p>
    <w:p w14:paraId="7B93B0EF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46.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В соответствии с общей рекомендацией № 37 (2018) о гендерных аспектах снижения риска бедствий в условиях изменения климата Комитет рекомендует государству-участнику:</w:t>
      </w:r>
    </w:p>
    <w:p w14:paraId="6BF7B14A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обеспечить учет гендерных аспектов в национальной стратегии и программах уменьшения опасности бедствий в условиях изменения климата в целях полного отражения потребностей и озабоченностей женщин;</w:t>
      </w:r>
    </w:p>
    <w:p w14:paraId="18595673" w14:textId="1140BFCB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обеспечить участие женщин в процессах планирования, принятия решений и осуществления стратегии уменьшения опасности бедствий, ликвидации их последствий в условиях изменения климата.</w:t>
      </w:r>
      <w:r w:rsidRPr="00B22346">
        <w:rPr>
          <w:szCs w:val="20"/>
        </w:rPr>
        <w:t xml:space="preserve"> </w:t>
      </w:r>
    </w:p>
    <w:p w14:paraId="7C0A98B2" w14:textId="3D90EF95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2745F7EB" w14:textId="568D0B49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Брак и семейные отношения</w:t>
      </w:r>
    </w:p>
    <w:p w14:paraId="7BF6C4DC" w14:textId="44EB27DA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634711B4" w14:textId="0DE94C8F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47.</w:t>
      </w:r>
      <w:r w:rsidRPr="00B22346">
        <w:rPr>
          <w:szCs w:val="20"/>
        </w:rPr>
        <w:tab/>
        <w:t>Комитет ссылается на свои предыдущие заключительные замечания (</w:t>
      </w:r>
      <w:hyperlink r:id="rId27" w:history="1">
        <w:r w:rsidRPr="00A06D27">
          <w:rPr>
            <w:rStyle w:val="Hyperlink"/>
            <w:szCs w:val="20"/>
          </w:rPr>
          <w:t>CEDAW/C/BOT/CO/3</w:t>
        </w:r>
      </w:hyperlink>
      <w:r w:rsidRPr="00B22346">
        <w:rPr>
          <w:szCs w:val="20"/>
        </w:rPr>
        <w:t xml:space="preserve">, пункт 41) и вновь выражает свою обеспокоенность в связи с существованием дуалистической правовой системы статутного и обычного права, регулирующей брачные и семейные отношения, и задержкой с внесением поправок в Закон об отмене супружеских прав, Закон о регистрации сделок, Закон о бракоразводных процессах и Закон о браке, а также отменой статьи 15 (4) Конституции. Он также с обеспокоенностью отмечает, что суды обычного права не обеспечивают мужчинам и женщинам равное обращение и что в соответствии с Законом об усыновлении/удочерении детей 1952 года приемный родитель имеет право жениться на приемной дочери, когда ей исполняется 16 лет. </w:t>
      </w:r>
    </w:p>
    <w:p w14:paraId="387F0BC5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48.</w:t>
      </w:r>
      <w:r w:rsidRPr="00B22346">
        <w:rPr>
          <w:szCs w:val="20"/>
        </w:rPr>
        <w:tab/>
      </w:r>
      <w:r w:rsidRPr="00E76A2B">
        <w:rPr>
          <w:b/>
          <w:bCs/>
          <w:szCs w:val="20"/>
        </w:rPr>
        <w:t>Комитет призывает государство-участник:</w:t>
      </w:r>
    </w:p>
    <w:p w14:paraId="7CF35530" w14:textId="76FD0D50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а)</w:t>
      </w:r>
      <w:r w:rsidRPr="00B22346">
        <w:rPr>
          <w:szCs w:val="20"/>
        </w:rPr>
        <w:tab/>
      </w:r>
      <w:r w:rsidRPr="00B22346">
        <w:rPr>
          <w:b/>
          <w:szCs w:val="20"/>
        </w:rPr>
        <w:t>пересмотреть и внести поправки в Закон об отмене супружеских прав, Закон о регистрации сделок, Закон о бракоразводных процессах и Закон о браке и отменить раздел 15 (4) Конституции, как это было рекомендовано в предыдущих заключительных замечаниях Комитета (</w:t>
      </w:r>
      <w:hyperlink r:id="rId28" w:history="1">
        <w:r w:rsidRPr="00A06D27">
          <w:rPr>
            <w:rStyle w:val="Hyperlink"/>
            <w:bCs/>
            <w:szCs w:val="20"/>
          </w:rPr>
          <w:t>CEDAW/C/BOT/CO/3</w:t>
        </w:r>
      </w:hyperlink>
      <w:r w:rsidRPr="00B22346">
        <w:rPr>
          <w:b/>
          <w:szCs w:val="20"/>
        </w:rPr>
        <w:t>, пункт 42);</w:t>
      </w:r>
    </w:p>
    <w:p w14:paraId="1E17FD5D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b)</w:t>
      </w:r>
      <w:r w:rsidRPr="00B22346">
        <w:rPr>
          <w:szCs w:val="20"/>
        </w:rPr>
        <w:tab/>
      </w:r>
      <w:r w:rsidRPr="00B22346">
        <w:rPr>
          <w:b/>
          <w:szCs w:val="20"/>
        </w:rPr>
        <w:t>обеспечить применение системы обычного права с учетом гендерных аспектов;</w:t>
      </w:r>
      <w:r w:rsidRPr="00B22346">
        <w:rPr>
          <w:szCs w:val="20"/>
        </w:rPr>
        <w:t xml:space="preserve"> </w:t>
      </w:r>
    </w:p>
    <w:p w14:paraId="195F940E" w14:textId="1045FDFA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ab/>
        <w:t>c)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незамедлительно внести поправки в Закон об усыновлении/удочерении детей с целью отмены положения, которое позволяет приемному родителю на законных основаниях женится на своей приемной дочери по достижении ею установленного законом возраста вступления в брак.</w:t>
      </w:r>
    </w:p>
    <w:p w14:paraId="682D1072" w14:textId="23DCE133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0DFF291D" w14:textId="10721462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Сбор данных</w:t>
      </w:r>
    </w:p>
    <w:p w14:paraId="0384ABE0" w14:textId="13C273AA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6BFC5BC6" w14:textId="77777777" w:rsidR="00A73BBE" w:rsidRPr="00B22346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49.</w:t>
      </w:r>
      <w:r w:rsidRPr="00B22346">
        <w:rPr>
          <w:szCs w:val="20"/>
        </w:rPr>
        <w:tab/>
        <w:t xml:space="preserve">Комитет обеспокоен общим отсутствием статистических данных, дезагрегированных по признаку пола, возраста, этнической принадлежности, инвалидности, географического местоположения и социально-экономического </w:t>
      </w:r>
      <w:r w:rsidRPr="00B22346">
        <w:rPr>
          <w:szCs w:val="20"/>
        </w:rPr>
        <w:lastRenderedPageBreak/>
        <w:t xml:space="preserve">происхождения, которые необходимы для точной оценки положения женщин, выявления масштабов и характера дискриминации, выработки обоснованной и целенаправленной политики и проведения систематического мониторинга и оценки прогресса, достигнутого в деле достижения реального равенства между женщинами и мужчинами во всех областях, охватываемых Конвенцией. </w:t>
      </w:r>
    </w:p>
    <w:p w14:paraId="4B59A999" w14:textId="02DC2BF9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50.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Комитет призывает государство-участник принять меры по созданию потенциала и разработать программу связанных с гендерной проблематикой мероприятий, с тем чтобы усовершенствовать сбор дезагрегированных по признаку пола и другим соответствующим факторам данных, которые необходимы для оценки воздействия и эффективности политики и программ, направленных на актуализацию вопросов гендерного равенства и более полное осуществление женщинами своих прав человека. </w:t>
      </w:r>
      <w:r w:rsidRPr="00B22346">
        <w:rPr>
          <w:b/>
          <w:bCs/>
          <w:szCs w:val="20"/>
        </w:rPr>
        <w:t>В этой связи Комитет обращает внимание на свою общую рекомендацию № 9 (1989 год) о статистических данных, касающихся положения женщин.</w:t>
      </w:r>
    </w:p>
    <w:p w14:paraId="538F99A4" w14:textId="47060C89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3A74AA06" w14:textId="18BEC16D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Поправка к пункту 1 статьи 20 Конвенции</w:t>
      </w:r>
    </w:p>
    <w:p w14:paraId="690F277F" w14:textId="056B161F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58683750" w14:textId="3D8AC5D3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51.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призывает государство-участник как можно скорее принять поправку к пункту 1 статьи 20 Конвенции, касающуюся сроков проведения сессий Комитета.</w:t>
      </w:r>
    </w:p>
    <w:p w14:paraId="0FD4054C" w14:textId="53DBFFB0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07BA8D55" w14:textId="4EE44FB5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Пекинская декларация и Платформа действий</w:t>
      </w:r>
    </w:p>
    <w:p w14:paraId="27D2A3E7" w14:textId="56E6A3E4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3A55C50A" w14:textId="04E2C7FE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52.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</w:t>
      </w:r>
      <w:r w:rsidR="00E76A2B">
        <w:rPr>
          <w:b/>
          <w:bCs/>
          <w:szCs w:val="20"/>
        </w:rPr>
        <w:t>.</w:t>
      </w:r>
    </w:p>
    <w:p w14:paraId="0B1F0C94" w14:textId="4132512C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2A2EC2D2" w14:textId="19E96F79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Распространение </w:t>
      </w:r>
    </w:p>
    <w:p w14:paraId="2B6633C0" w14:textId="0ADC0879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6FF76347" w14:textId="78430C62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53.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в соответствующих государственных учреждениях всех уровней (национального, регионального и местного), в частности в правительстве, парламенте и судебных органах, для обеспечения их осуществления в полном объеме.</w:t>
      </w:r>
    </w:p>
    <w:p w14:paraId="3F3F030A" w14:textId="6F645EC9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5F493AA4" w14:textId="111792D6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Техническая помощь </w:t>
      </w:r>
    </w:p>
    <w:p w14:paraId="5068C5ED" w14:textId="5E7DF90D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2E6A4F88" w14:textId="1C4E2E8E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54.</w:t>
      </w:r>
      <w:r w:rsidRPr="00B22346">
        <w:rPr>
          <w:szCs w:val="20"/>
        </w:rPr>
        <w:tab/>
      </w:r>
      <w:r w:rsidRPr="00B22346">
        <w:rPr>
          <w:b/>
          <w:bCs/>
          <w:szCs w:val="20"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7E5CB1A8" w14:textId="45188373" w:rsidR="00E76A2B" w:rsidRPr="00E76A2B" w:rsidRDefault="00E76A2B" w:rsidP="00E76A2B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418251E8" w14:textId="02E97248" w:rsidR="00A73BBE" w:rsidRDefault="00A73BBE" w:rsidP="00E76A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Ратификация других договоров</w:t>
      </w:r>
    </w:p>
    <w:p w14:paraId="50D1DB7E" w14:textId="1DDE587B" w:rsidR="00E76A2B" w:rsidRPr="00E76A2B" w:rsidRDefault="00E76A2B" w:rsidP="00E76A2B">
      <w:pPr>
        <w:pStyle w:val="SingleTxt"/>
        <w:spacing w:after="0" w:line="120" w:lineRule="exact"/>
        <w:rPr>
          <w:sz w:val="10"/>
        </w:rPr>
      </w:pPr>
    </w:p>
    <w:p w14:paraId="212FB317" w14:textId="6EF297D4" w:rsidR="00A73BBE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55.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отмечает, что присоединение государства-участника к девяти основным международным документам по правам человека будет способствовать более полному осуществлению женщинами своих прав человека и основных свобод во всех сферах жизни</w:t>
      </w:r>
      <w:r w:rsidRPr="00B22346">
        <w:rPr>
          <w:rStyle w:val="FootnoteReference"/>
          <w:szCs w:val="20"/>
        </w:rPr>
        <w:footnoteReference w:id="1"/>
      </w:r>
      <w:r w:rsidR="00A36942">
        <w:rPr>
          <w:b/>
          <w:szCs w:val="20"/>
        </w:rPr>
        <w:t>.</w:t>
      </w:r>
      <w:r w:rsidRPr="00B22346">
        <w:rPr>
          <w:b/>
          <w:szCs w:val="20"/>
        </w:rPr>
        <w:t xml:space="preserve"> </w:t>
      </w:r>
      <w:r w:rsidRPr="00B22346">
        <w:rPr>
          <w:b/>
          <w:bCs/>
          <w:szCs w:val="20"/>
        </w:rPr>
        <w:t xml:space="preserve">Поэтому Комитет рекомендует </w:t>
      </w:r>
      <w:r w:rsidRPr="00B22346">
        <w:rPr>
          <w:b/>
          <w:bCs/>
          <w:szCs w:val="20"/>
        </w:rPr>
        <w:lastRenderedPageBreak/>
        <w:t>государству-участнику ратифицировать</w:t>
      </w:r>
      <w:r w:rsidR="009D55A4">
        <w:rPr>
          <w:b/>
          <w:bCs/>
          <w:szCs w:val="20"/>
        </w:rPr>
        <w:t xml:space="preserve"> </w:t>
      </w:r>
      <w:r w:rsidRPr="00B22346">
        <w:rPr>
          <w:b/>
          <w:bCs/>
          <w:szCs w:val="20"/>
        </w:rPr>
        <w:t>Международную конвенцию о защите прав всех трудящихся-мигрантов и членов их семей, Международную конвенцию для защиты всех лиц от насильственных исчезновений и Конвенцию о правах инвалидов, участником которых оно еще не является.</w:t>
      </w:r>
    </w:p>
    <w:p w14:paraId="1E6EC4A5" w14:textId="1A7AB8DF" w:rsidR="00A36942" w:rsidRPr="00A36942" w:rsidRDefault="00A36942" w:rsidP="00A36942">
      <w:pPr>
        <w:pStyle w:val="SingleTxt"/>
        <w:spacing w:after="0" w:line="120" w:lineRule="exact"/>
        <w:rPr>
          <w:b/>
          <w:sz w:val="10"/>
          <w:szCs w:val="20"/>
        </w:rPr>
      </w:pPr>
    </w:p>
    <w:p w14:paraId="2BBA8FAB" w14:textId="0335C0AB" w:rsidR="00A73BBE" w:rsidRDefault="00A73BBE" w:rsidP="00A369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>Последующая деятельность по выполнению заключительных замечаний</w:t>
      </w:r>
    </w:p>
    <w:p w14:paraId="402D0A4E" w14:textId="1AF1364C" w:rsidR="00A36942" w:rsidRPr="00A36942" w:rsidRDefault="00A36942" w:rsidP="00A36942">
      <w:pPr>
        <w:pStyle w:val="SingleTxt"/>
        <w:spacing w:after="0" w:line="120" w:lineRule="exact"/>
        <w:rPr>
          <w:sz w:val="10"/>
        </w:rPr>
      </w:pPr>
    </w:p>
    <w:p w14:paraId="6DF5C4A5" w14:textId="77015035" w:rsidR="00A73BBE" w:rsidRDefault="00A73BBE" w:rsidP="00A73BBE">
      <w:pPr>
        <w:pStyle w:val="SingleTxt"/>
        <w:rPr>
          <w:szCs w:val="20"/>
        </w:rPr>
      </w:pPr>
      <w:r w:rsidRPr="00B22346">
        <w:rPr>
          <w:szCs w:val="20"/>
        </w:rPr>
        <w:t>56.</w:t>
      </w:r>
      <w:r w:rsidRPr="00B22346">
        <w:rPr>
          <w:szCs w:val="20"/>
        </w:rPr>
        <w:tab/>
      </w:r>
      <w:r w:rsidRPr="00A36942">
        <w:rPr>
          <w:b/>
          <w:bCs/>
          <w:szCs w:val="20"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приведенных выше пунктах 20, 26 a) и е) и 28</w:t>
      </w:r>
      <w:r w:rsidR="00A36942">
        <w:rPr>
          <w:b/>
          <w:bCs/>
          <w:szCs w:val="20"/>
        </w:rPr>
        <w:t> </w:t>
      </w:r>
      <w:r w:rsidRPr="00A36942">
        <w:rPr>
          <w:b/>
          <w:bCs/>
          <w:szCs w:val="20"/>
        </w:rPr>
        <w:t>а) выше.</w:t>
      </w:r>
      <w:r w:rsidRPr="00B22346">
        <w:rPr>
          <w:szCs w:val="20"/>
        </w:rPr>
        <w:t xml:space="preserve"> </w:t>
      </w:r>
    </w:p>
    <w:p w14:paraId="086EF2B3" w14:textId="236170CE" w:rsidR="00A36942" w:rsidRPr="00A36942" w:rsidRDefault="00A36942" w:rsidP="00A36942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14:paraId="10C98456" w14:textId="3BBDC6B9" w:rsidR="00A73BBE" w:rsidRDefault="00A73BBE" w:rsidP="00A369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2346">
        <w:tab/>
      </w:r>
      <w:r w:rsidRPr="00B22346">
        <w:tab/>
        <w:t xml:space="preserve">Подготовка следующего периодического доклада </w:t>
      </w:r>
    </w:p>
    <w:p w14:paraId="7A7D7701" w14:textId="3A4B4C5D" w:rsidR="00A36942" w:rsidRPr="00A36942" w:rsidRDefault="00A36942" w:rsidP="00A36942">
      <w:pPr>
        <w:pStyle w:val="SingleTxt"/>
        <w:spacing w:after="0" w:line="120" w:lineRule="exact"/>
        <w:rPr>
          <w:sz w:val="10"/>
        </w:rPr>
      </w:pPr>
    </w:p>
    <w:p w14:paraId="3056272A" w14:textId="77777777" w:rsidR="00A73BBE" w:rsidRPr="00B22346" w:rsidRDefault="00A73BBE" w:rsidP="00A73BBE">
      <w:pPr>
        <w:pStyle w:val="SingleTxt"/>
        <w:rPr>
          <w:b/>
          <w:bCs/>
          <w:szCs w:val="20"/>
        </w:rPr>
      </w:pPr>
      <w:r w:rsidRPr="00B22346">
        <w:rPr>
          <w:szCs w:val="20"/>
        </w:rPr>
        <w:t>57.</w:t>
      </w:r>
      <w:r w:rsidRPr="00B22346">
        <w:rPr>
          <w:szCs w:val="20"/>
        </w:rPr>
        <w:tab/>
      </w:r>
      <w:r w:rsidRPr="00B22346">
        <w:rPr>
          <w:b/>
          <w:szCs w:val="20"/>
        </w:rPr>
        <w:t xml:space="preserve">Комитет просит государство-участник представить свой пятый периодический доклад в марте 2023 года. </w:t>
      </w:r>
      <w:r w:rsidRPr="00B22346">
        <w:rPr>
          <w:b/>
          <w:bCs/>
          <w:szCs w:val="20"/>
        </w:rPr>
        <w:t>Доклад должен быть представлен в срок и охватывать весь период до момента его представления.</w:t>
      </w:r>
    </w:p>
    <w:p w14:paraId="74293DE3" w14:textId="7159988F" w:rsidR="00A73BBE" w:rsidRPr="00B22346" w:rsidRDefault="00A73BBE" w:rsidP="00A73BBE">
      <w:pPr>
        <w:pStyle w:val="SingleTxt"/>
        <w:rPr>
          <w:b/>
          <w:szCs w:val="20"/>
          <w:lang w:val="en-GB"/>
        </w:rPr>
      </w:pPr>
      <w:r w:rsidRPr="00B22346">
        <w:rPr>
          <w:szCs w:val="20"/>
        </w:rPr>
        <w:t>58.</w:t>
      </w:r>
      <w:r w:rsidRPr="00B22346">
        <w:rPr>
          <w:szCs w:val="20"/>
        </w:rPr>
        <w:tab/>
      </w:r>
      <w:r w:rsidRPr="00B22346">
        <w:rPr>
          <w:b/>
          <w:szCs w:val="20"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 w:rsidR="00A36942">
        <w:rPr>
          <w:b/>
          <w:szCs w:val="20"/>
        </w:rPr>
        <w:t> </w:t>
      </w:r>
      <w:hyperlink r:id="rId29" w:history="1">
        <w:r w:rsidRPr="00A06D27">
          <w:rPr>
            <w:rStyle w:val="Hyperlink"/>
            <w:bCs/>
            <w:szCs w:val="20"/>
          </w:rPr>
          <w:t>HRI/GEN/2/Rev.6</w:t>
        </w:r>
      </w:hyperlink>
      <w:r w:rsidRPr="00B22346">
        <w:rPr>
          <w:b/>
          <w:szCs w:val="20"/>
        </w:rPr>
        <w:t>, глава I).</w:t>
      </w:r>
    </w:p>
    <w:p w14:paraId="3D047D36" w14:textId="25DD8173" w:rsidR="00A73BBE" w:rsidRPr="00A36942" w:rsidRDefault="00A36942" w:rsidP="00A36942">
      <w:pPr>
        <w:pStyle w:val="SingleTxt"/>
        <w:spacing w:after="0" w:line="240" w:lineRule="auto"/>
        <w:rPr>
          <w:szCs w:val="20"/>
        </w:rPr>
      </w:pPr>
      <w:r>
        <w:rPr>
          <w:noProof/>
          <w:w w:val="1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DDDD" wp14:editId="4F469A8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907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73BBE" w:rsidRPr="00A36942" w:rsidSect="00A73BBE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4-26T14:14:00Z" w:initials="Start">
    <w:p w14:paraId="19685E22" w14:textId="77777777" w:rsidR="009B7FDD" w:rsidRPr="00A73BBE" w:rsidRDefault="009B7FDD">
      <w:pPr>
        <w:pStyle w:val="CommentText"/>
        <w:rPr>
          <w:lang w:val="en-US"/>
        </w:rPr>
      </w:pPr>
      <w:r>
        <w:fldChar w:fldCharType="begin"/>
      </w:r>
      <w:r w:rsidRPr="00A73BBE">
        <w:rPr>
          <w:rStyle w:val="CommentReference"/>
          <w:lang w:val="en-US"/>
        </w:rPr>
        <w:instrText xml:space="preserve"> </w:instrText>
      </w:r>
      <w:r w:rsidRPr="00A73BBE">
        <w:rPr>
          <w:lang w:val="en-US"/>
        </w:rPr>
        <w:instrText>PAGE \# "'Page: '#'</w:instrText>
      </w:r>
      <w:r w:rsidRPr="00A73BBE">
        <w:rPr>
          <w:lang w:val="en-US"/>
        </w:rPr>
        <w:br/>
        <w:instrText>'"</w:instrText>
      </w:r>
      <w:r w:rsidRPr="00A73BB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73BBE">
        <w:rPr>
          <w:lang w:val="en-US"/>
        </w:rPr>
        <w:t>&lt;&lt;ODS JOB NO&gt;&gt;N1907181R&lt;&lt;ODS JOB NO&gt;&gt;</w:t>
      </w:r>
    </w:p>
    <w:p w14:paraId="53F01066" w14:textId="77777777" w:rsidR="009B7FDD" w:rsidRPr="00A73BBE" w:rsidRDefault="009B7FDD">
      <w:pPr>
        <w:pStyle w:val="CommentText"/>
        <w:rPr>
          <w:lang w:val="en-US"/>
        </w:rPr>
      </w:pPr>
      <w:r w:rsidRPr="00A73BBE">
        <w:rPr>
          <w:lang w:val="en-US"/>
        </w:rPr>
        <w:t>&lt;&lt;ODS DOC SYMBOL1&gt;&gt;CEDAW/C/BWA/CO/4&lt;&lt;ODS DOC SYMBOL1&gt;&gt;</w:t>
      </w:r>
    </w:p>
    <w:p w14:paraId="3BB1EEEC" w14:textId="77777777" w:rsidR="009B7FDD" w:rsidRDefault="009B7FDD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B1EE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7250" w14:textId="77777777" w:rsidR="0024714C" w:rsidRDefault="0024714C" w:rsidP="001824A1">
      <w:pPr>
        <w:spacing w:line="240" w:lineRule="auto"/>
      </w:pPr>
      <w:r>
        <w:separator/>
      </w:r>
    </w:p>
  </w:endnote>
  <w:endnote w:type="continuationSeparator" w:id="0">
    <w:p w14:paraId="45E80287" w14:textId="77777777" w:rsidR="0024714C" w:rsidRDefault="0024714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7FDD" w14:paraId="4E62ED75" w14:textId="77777777" w:rsidTr="009B7FD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3E7E3E9" w14:textId="77777777" w:rsidR="009B7FDD" w:rsidRPr="009B7FDD" w:rsidRDefault="009B7FDD" w:rsidP="009B7FD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21F1B31" w14:textId="18D70F4D" w:rsidR="009B7FDD" w:rsidRPr="009B7FDD" w:rsidRDefault="009B7FDD" w:rsidP="009B7FD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18E4">
            <w:rPr>
              <w:b w:val="0"/>
              <w:color w:val="000000"/>
              <w:sz w:val="14"/>
            </w:rPr>
            <w:t>19-04271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443C865C" w14:textId="77777777" w:rsidR="009B7FDD" w:rsidRPr="009B7FDD" w:rsidRDefault="009B7FDD" w:rsidP="009B7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7FDD" w14:paraId="50B114C9" w14:textId="77777777" w:rsidTr="009B7FD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1782AE6" w14:textId="07D05073" w:rsidR="009B7FDD" w:rsidRPr="009B7FDD" w:rsidRDefault="009B7FDD" w:rsidP="009B7FD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18E4">
            <w:rPr>
              <w:b w:val="0"/>
              <w:color w:val="000000"/>
              <w:sz w:val="14"/>
            </w:rPr>
            <w:t>19-04271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A127221" w14:textId="77777777" w:rsidR="009B7FDD" w:rsidRPr="009B7FDD" w:rsidRDefault="009B7FDD" w:rsidP="009B7FD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14:paraId="347730B9" w14:textId="77777777" w:rsidR="009B7FDD" w:rsidRPr="009B7FDD" w:rsidRDefault="009B7FDD" w:rsidP="009B7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9B7FDD" w14:paraId="037A08A0" w14:textId="77777777" w:rsidTr="009B7FDD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7BEBF1AC" w14:textId="3BBB428F" w:rsidR="009B7FDD" w:rsidRDefault="009B7FDD" w:rsidP="009B7FDD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29B663" wp14:editId="5746CABB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BWA/CO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BWA/CO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19-04271 (R)</w:t>
          </w:r>
          <w:r w:rsidR="009D55A4">
            <w:rPr>
              <w:color w:val="010000"/>
            </w:rPr>
            <w:t xml:space="preserve"> </w:t>
          </w:r>
          <w:r w:rsidR="005734D9">
            <w:rPr>
              <w:color w:val="010000"/>
            </w:rPr>
            <w:t xml:space="preserve">  </w:t>
          </w:r>
          <w:r>
            <w:rPr>
              <w:color w:val="010000"/>
            </w:rPr>
            <w:t>260419</w:t>
          </w:r>
          <w:r w:rsidR="009D55A4">
            <w:rPr>
              <w:color w:val="010000"/>
            </w:rPr>
            <w:t xml:space="preserve"> </w:t>
          </w:r>
          <w:r w:rsidR="005734D9">
            <w:rPr>
              <w:color w:val="010000"/>
            </w:rPr>
            <w:t xml:space="preserve">  </w:t>
          </w:r>
          <w:r>
            <w:rPr>
              <w:color w:val="010000"/>
            </w:rPr>
            <w:t>260419</w:t>
          </w:r>
        </w:p>
        <w:p w14:paraId="25A35496" w14:textId="77777777" w:rsidR="009B7FDD" w:rsidRPr="009B7FDD" w:rsidRDefault="009B7FDD" w:rsidP="009B7FD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*1904271*</w:t>
          </w:r>
        </w:p>
      </w:tc>
      <w:tc>
        <w:tcPr>
          <w:tcW w:w="4920" w:type="dxa"/>
        </w:tcPr>
        <w:p w14:paraId="05F0D723" w14:textId="77777777" w:rsidR="009B7FDD" w:rsidRDefault="009B7FDD" w:rsidP="009B7FD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1DC4ECF" wp14:editId="0BC8441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A98A5C" w14:textId="77777777" w:rsidR="009B7FDD" w:rsidRPr="009B7FDD" w:rsidRDefault="009B7FDD" w:rsidP="009B7FD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6777" w14:textId="4C63B770" w:rsidR="0024714C" w:rsidRPr="00B22346" w:rsidRDefault="00B22346" w:rsidP="00B22346">
      <w:pPr>
        <w:pStyle w:val="Footer"/>
        <w:spacing w:after="80"/>
        <w:ind w:left="792"/>
      </w:pPr>
      <w:r w:rsidRPr="00B22346">
        <w:t>__________________</w:t>
      </w:r>
    </w:p>
  </w:footnote>
  <w:footnote w:type="continuationSeparator" w:id="0">
    <w:p w14:paraId="5D29282C" w14:textId="7A820ACB" w:rsidR="0024714C" w:rsidRPr="00B22346" w:rsidRDefault="00B22346" w:rsidP="00B22346">
      <w:pPr>
        <w:pStyle w:val="Footer"/>
        <w:spacing w:after="80"/>
        <w:ind w:left="792"/>
      </w:pPr>
      <w:r w:rsidRPr="00B22346">
        <w:t>__________________</w:t>
      </w:r>
    </w:p>
  </w:footnote>
  <w:footnote w:id="1">
    <w:p w14:paraId="6D38202D" w14:textId="77777777" w:rsidR="00A73BBE" w:rsidRDefault="00A73BBE" w:rsidP="00B22346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Конвенции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7FDD" w14:paraId="19CDF449" w14:textId="77777777" w:rsidTr="009B7F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A9A9C98" w14:textId="32503A4F" w:rsidR="009B7FDD" w:rsidRPr="009B7FDD" w:rsidRDefault="009B7FDD" w:rsidP="009B7FD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18E4">
            <w:rPr>
              <w:b/>
            </w:rPr>
            <w:t>CEDAW/C/BWA/CO/4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87634A1" w14:textId="77777777" w:rsidR="009B7FDD" w:rsidRDefault="009B7FDD" w:rsidP="009B7FDD">
          <w:pPr>
            <w:pStyle w:val="Header"/>
          </w:pPr>
        </w:p>
      </w:tc>
    </w:tr>
  </w:tbl>
  <w:p w14:paraId="0D21484C" w14:textId="77777777" w:rsidR="009B7FDD" w:rsidRPr="009B7FDD" w:rsidRDefault="009B7FDD" w:rsidP="009B7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B7FDD" w14:paraId="3E5B0C5C" w14:textId="77777777" w:rsidTr="009B7F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277FEA7" w14:textId="77777777" w:rsidR="009B7FDD" w:rsidRDefault="009B7FDD" w:rsidP="009B7FD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0711C64" w14:textId="1AFE285D" w:rsidR="009B7FDD" w:rsidRPr="009B7FDD" w:rsidRDefault="009B7FDD" w:rsidP="009B7FD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18E4">
            <w:rPr>
              <w:b/>
            </w:rPr>
            <w:t>CEDAW/C/BWA/CO/4</w:t>
          </w:r>
          <w:r>
            <w:rPr>
              <w:b/>
            </w:rPr>
            <w:fldChar w:fldCharType="end"/>
          </w:r>
        </w:p>
      </w:tc>
    </w:tr>
  </w:tbl>
  <w:p w14:paraId="45F5EBC8" w14:textId="77777777" w:rsidR="009B7FDD" w:rsidRPr="009B7FDD" w:rsidRDefault="009B7FDD" w:rsidP="009B7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9B7FDD" w14:paraId="69484592" w14:textId="77777777" w:rsidTr="009B7F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AF6BF51" w14:textId="77777777" w:rsidR="009B7FDD" w:rsidRPr="009B7FDD" w:rsidRDefault="009B7FDD" w:rsidP="009B7FD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7168B0C" w14:textId="77777777" w:rsidR="009B7FDD" w:rsidRDefault="009B7FDD" w:rsidP="009B7FDD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6E138AD" w14:textId="77777777" w:rsidR="009B7FDD" w:rsidRPr="009B7FDD" w:rsidRDefault="009B7FDD" w:rsidP="009B7FD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/C/BWA/CO/4</w:t>
          </w:r>
        </w:p>
      </w:tc>
    </w:tr>
    <w:tr w:rsidR="009B7FDD" w:rsidRPr="00A73BBE" w14:paraId="2DFB0A17" w14:textId="77777777" w:rsidTr="009B7FDD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4A1F47E" w14:textId="77777777" w:rsidR="009B7FDD" w:rsidRPr="009B7FDD" w:rsidRDefault="009B7FDD" w:rsidP="009B7FD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2D47FB3" wp14:editId="5D33ED7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2D4251" w14:textId="77777777" w:rsidR="009B7FDD" w:rsidRPr="009B7FDD" w:rsidRDefault="009B7FDD" w:rsidP="009B7FD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755EE45" w14:textId="77777777" w:rsidR="009B7FDD" w:rsidRPr="009B7FDD" w:rsidRDefault="009B7FDD" w:rsidP="009B7FD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A2CCE5" w14:textId="77777777" w:rsidR="009B7FDD" w:rsidRPr="00A73BBE" w:rsidRDefault="009B7FDD" w:rsidP="009B7FDD">
          <w:pPr>
            <w:pStyle w:val="Distribution"/>
            <w:rPr>
              <w:color w:val="000000"/>
              <w:lang w:val="en-US"/>
            </w:rPr>
          </w:pPr>
          <w:r w:rsidRPr="00A73BBE">
            <w:rPr>
              <w:color w:val="000000"/>
              <w:lang w:val="en-US"/>
            </w:rPr>
            <w:t>Distr.: General</w:t>
          </w:r>
        </w:p>
        <w:p w14:paraId="1E9B4289" w14:textId="77777777" w:rsidR="009B7FDD" w:rsidRPr="00A73BBE" w:rsidRDefault="009B7FDD" w:rsidP="009B7FDD">
          <w:pPr>
            <w:pStyle w:val="Publication"/>
            <w:rPr>
              <w:color w:val="000000"/>
              <w:lang w:val="en-US"/>
            </w:rPr>
          </w:pPr>
          <w:r w:rsidRPr="00A73BBE">
            <w:rPr>
              <w:color w:val="000000"/>
              <w:lang w:val="en-US"/>
            </w:rPr>
            <w:t>14 March 2019</w:t>
          </w:r>
        </w:p>
        <w:p w14:paraId="45545756" w14:textId="77777777" w:rsidR="009B7FDD" w:rsidRPr="00A73BBE" w:rsidRDefault="009B7FDD" w:rsidP="009B7FDD">
          <w:pPr>
            <w:rPr>
              <w:color w:val="000000"/>
              <w:lang w:val="en-US"/>
            </w:rPr>
          </w:pPr>
          <w:r w:rsidRPr="00A73BBE">
            <w:rPr>
              <w:color w:val="000000"/>
              <w:lang w:val="en-US"/>
            </w:rPr>
            <w:t>Russian</w:t>
          </w:r>
        </w:p>
        <w:p w14:paraId="4FA768B7" w14:textId="77777777" w:rsidR="009B7FDD" w:rsidRPr="00A73BBE" w:rsidRDefault="009B7FDD" w:rsidP="009B7FDD">
          <w:pPr>
            <w:pStyle w:val="Original"/>
            <w:rPr>
              <w:color w:val="000000"/>
              <w:lang w:val="en-US"/>
            </w:rPr>
          </w:pPr>
          <w:r w:rsidRPr="00A73BBE">
            <w:rPr>
              <w:color w:val="000000"/>
              <w:lang w:val="en-US"/>
            </w:rPr>
            <w:t>Original: English</w:t>
          </w:r>
        </w:p>
        <w:p w14:paraId="64691297" w14:textId="77777777" w:rsidR="009B7FDD" w:rsidRPr="00A73BBE" w:rsidRDefault="009B7FDD" w:rsidP="009B7FDD">
          <w:pPr>
            <w:rPr>
              <w:lang w:val="en-US"/>
            </w:rPr>
          </w:pPr>
        </w:p>
      </w:tc>
    </w:tr>
  </w:tbl>
  <w:p w14:paraId="12BEE907" w14:textId="77777777" w:rsidR="009B7FDD" w:rsidRPr="00A73BBE" w:rsidRDefault="009B7FDD" w:rsidP="009B7FD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487C2384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6FD"/>
    <w:multiLevelType w:val="hybridMultilevel"/>
    <w:tmpl w:val="E06AD566"/>
    <w:lvl w:ilvl="0" w:tplc="EF82FCE0">
      <w:start w:val="1"/>
      <w:numFmt w:val="upperLetter"/>
      <w:lvlText w:val="%1."/>
      <w:lvlJc w:val="left"/>
      <w:pPr>
        <w:ind w:left="1970" w:hanging="102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44E42048"/>
    <w:multiLevelType w:val="hybridMultilevel"/>
    <w:tmpl w:val="FFFAC142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D7705E7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E8BC358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9"/>
  </w:num>
  <w:num w:numId="30">
    <w:abstractNumId w:val="8"/>
  </w:num>
  <w:num w:numId="31">
    <w:abstractNumId w:val="7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9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4271*"/>
    <w:docVar w:name="CreationDt" w:val="26/04/2019 2:14: PM"/>
    <w:docVar w:name="DocCategory" w:val="Doc"/>
    <w:docVar w:name="DocType" w:val="Final"/>
    <w:docVar w:name="DutyStation" w:val="New York"/>
    <w:docVar w:name="FooterJN" w:val="19-04271"/>
    <w:docVar w:name="jobn" w:val="19-04271 (R)"/>
    <w:docVar w:name="jobnDT" w:val="19-04271 (R)   260419"/>
    <w:docVar w:name="jobnDTDT" w:val="19-04271 (R)   260419   260419"/>
    <w:docVar w:name="JobNo" w:val="1904271R"/>
    <w:docVar w:name="JobNo2" w:val="1907181R"/>
    <w:docVar w:name="LocalDrive" w:val="0"/>
    <w:docVar w:name="OandT" w:val=" "/>
    <w:docVar w:name="sss1" w:val="CEDAW/C/BWA/CO/4"/>
    <w:docVar w:name="sss2" w:val="-"/>
    <w:docVar w:name="Symbol1" w:val="CEDAW/C/BWA/CO/4"/>
    <w:docVar w:name="Symbol2" w:val="-"/>
  </w:docVars>
  <w:rsids>
    <w:rsidRoot w:val="0024714C"/>
    <w:rsid w:val="000257A9"/>
    <w:rsid w:val="00057473"/>
    <w:rsid w:val="00072310"/>
    <w:rsid w:val="000769AD"/>
    <w:rsid w:val="000A1A1B"/>
    <w:rsid w:val="000B01C9"/>
    <w:rsid w:val="000C55A6"/>
    <w:rsid w:val="000F5362"/>
    <w:rsid w:val="00144ED1"/>
    <w:rsid w:val="0017557F"/>
    <w:rsid w:val="001824A1"/>
    <w:rsid w:val="001B0786"/>
    <w:rsid w:val="001C1F00"/>
    <w:rsid w:val="001D2625"/>
    <w:rsid w:val="001F427A"/>
    <w:rsid w:val="00205AF0"/>
    <w:rsid w:val="00210AF4"/>
    <w:rsid w:val="00215A7D"/>
    <w:rsid w:val="0024714C"/>
    <w:rsid w:val="00294A60"/>
    <w:rsid w:val="002A2855"/>
    <w:rsid w:val="002C64EA"/>
    <w:rsid w:val="002E3A10"/>
    <w:rsid w:val="002F1759"/>
    <w:rsid w:val="00312841"/>
    <w:rsid w:val="003218EF"/>
    <w:rsid w:val="00377228"/>
    <w:rsid w:val="003807EF"/>
    <w:rsid w:val="0038495D"/>
    <w:rsid w:val="003D21B1"/>
    <w:rsid w:val="003F7347"/>
    <w:rsid w:val="004240B1"/>
    <w:rsid w:val="004275D7"/>
    <w:rsid w:val="004279A5"/>
    <w:rsid w:val="00431502"/>
    <w:rsid w:val="004513FA"/>
    <w:rsid w:val="004731F9"/>
    <w:rsid w:val="004B49FB"/>
    <w:rsid w:val="004B6EF0"/>
    <w:rsid w:val="00540E72"/>
    <w:rsid w:val="00542D6F"/>
    <w:rsid w:val="005644C2"/>
    <w:rsid w:val="00571999"/>
    <w:rsid w:val="005734D9"/>
    <w:rsid w:val="0058285D"/>
    <w:rsid w:val="00593CD8"/>
    <w:rsid w:val="0059650B"/>
    <w:rsid w:val="005A2266"/>
    <w:rsid w:val="005B58D8"/>
    <w:rsid w:val="005C1989"/>
    <w:rsid w:val="005D6D04"/>
    <w:rsid w:val="005E69CE"/>
    <w:rsid w:val="0061755D"/>
    <w:rsid w:val="00643F79"/>
    <w:rsid w:val="00674730"/>
    <w:rsid w:val="00681199"/>
    <w:rsid w:val="006A10AF"/>
    <w:rsid w:val="006A180F"/>
    <w:rsid w:val="006B0972"/>
    <w:rsid w:val="006D4969"/>
    <w:rsid w:val="006E5CA5"/>
    <w:rsid w:val="006F15E7"/>
    <w:rsid w:val="00705A84"/>
    <w:rsid w:val="007149D6"/>
    <w:rsid w:val="00730640"/>
    <w:rsid w:val="00737EBD"/>
    <w:rsid w:val="00744ADF"/>
    <w:rsid w:val="007C1DD8"/>
    <w:rsid w:val="007D2E54"/>
    <w:rsid w:val="007D7B32"/>
    <w:rsid w:val="007F5340"/>
    <w:rsid w:val="00840363"/>
    <w:rsid w:val="00843551"/>
    <w:rsid w:val="008509EC"/>
    <w:rsid w:val="008C3CA7"/>
    <w:rsid w:val="008D07AC"/>
    <w:rsid w:val="008E0493"/>
    <w:rsid w:val="008E3D70"/>
    <w:rsid w:val="009041EA"/>
    <w:rsid w:val="00911EC9"/>
    <w:rsid w:val="0096420F"/>
    <w:rsid w:val="0097741D"/>
    <w:rsid w:val="009A7489"/>
    <w:rsid w:val="009B5FF8"/>
    <w:rsid w:val="009B7FDD"/>
    <w:rsid w:val="009C134F"/>
    <w:rsid w:val="009D0D8F"/>
    <w:rsid w:val="009D35A8"/>
    <w:rsid w:val="009D55A4"/>
    <w:rsid w:val="009F077A"/>
    <w:rsid w:val="00A06D27"/>
    <w:rsid w:val="00A36942"/>
    <w:rsid w:val="00A57ABA"/>
    <w:rsid w:val="00A63306"/>
    <w:rsid w:val="00A72FF5"/>
    <w:rsid w:val="00A73BBE"/>
    <w:rsid w:val="00A85799"/>
    <w:rsid w:val="00AA0BDA"/>
    <w:rsid w:val="00AB2B17"/>
    <w:rsid w:val="00AC3418"/>
    <w:rsid w:val="00AC570D"/>
    <w:rsid w:val="00AD6C7F"/>
    <w:rsid w:val="00B22346"/>
    <w:rsid w:val="00B25243"/>
    <w:rsid w:val="00B535EE"/>
    <w:rsid w:val="00B57BCF"/>
    <w:rsid w:val="00B745E4"/>
    <w:rsid w:val="00B92969"/>
    <w:rsid w:val="00B937C4"/>
    <w:rsid w:val="00BD23F8"/>
    <w:rsid w:val="00BD563F"/>
    <w:rsid w:val="00C2247A"/>
    <w:rsid w:val="00C26FCC"/>
    <w:rsid w:val="00C41769"/>
    <w:rsid w:val="00C45C26"/>
    <w:rsid w:val="00C7492B"/>
    <w:rsid w:val="00C96630"/>
    <w:rsid w:val="00CA4BB0"/>
    <w:rsid w:val="00CF6B81"/>
    <w:rsid w:val="00D32CC3"/>
    <w:rsid w:val="00D64D79"/>
    <w:rsid w:val="00D760D3"/>
    <w:rsid w:val="00D82BC5"/>
    <w:rsid w:val="00D87055"/>
    <w:rsid w:val="00D96F14"/>
    <w:rsid w:val="00E00F95"/>
    <w:rsid w:val="00E25037"/>
    <w:rsid w:val="00E5412E"/>
    <w:rsid w:val="00E667BF"/>
    <w:rsid w:val="00E720E8"/>
    <w:rsid w:val="00E76A2B"/>
    <w:rsid w:val="00E862B3"/>
    <w:rsid w:val="00EC2A36"/>
    <w:rsid w:val="00ED2975"/>
    <w:rsid w:val="00ED31CE"/>
    <w:rsid w:val="00EE23FA"/>
    <w:rsid w:val="00F204DE"/>
    <w:rsid w:val="00F2422B"/>
    <w:rsid w:val="00F33576"/>
    <w:rsid w:val="00F63321"/>
    <w:rsid w:val="00F65F41"/>
    <w:rsid w:val="00F81CC1"/>
    <w:rsid w:val="00F85DF2"/>
    <w:rsid w:val="00F87807"/>
    <w:rsid w:val="00FB731E"/>
    <w:rsid w:val="00FD3783"/>
    <w:rsid w:val="00FF18E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E95850"/>
  <w15:chartTrackingRefBased/>
  <w15:docId w15:val="{4CD3A2E2-DF92-4357-9530-29AB20B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513F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513F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513F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3F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513F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4513F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513F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513F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513F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513F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513F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513F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513F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513F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513F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513F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4513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4513F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4513F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513F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513F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513F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513F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513F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513F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4513F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513F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4513F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513F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13F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4513F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513F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3F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13F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13F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4513F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513F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513F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513F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513F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513F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513F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513F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4513FA"/>
    <w:rPr>
      <w:szCs w:val="20"/>
    </w:rPr>
  </w:style>
  <w:style w:type="paragraph" w:customStyle="1" w:styleId="Publication">
    <w:name w:val="Publication"/>
    <w:basedOn w:val="Normal"/>
    <w:next w:val="Normal"/>
    <w:qFormat/>
    <w:rsid w:val="004513FA"/>
  </w:style>
  <w:style w:type="paragraph" w:customStyle="1" w:styleId="ReleaseDate">
    <w:name w:val="ReleaseDate"/>
    <w:basedOn w:val="Normal"/>
    <w:next w:val="Normal"/>
    <w:qFormat/>
    <w:rsid w:val="004513FA"/>
    <w:rPr>
      <w:szCs w:val="20"/>
    </w:rPr>
  </w:style>
  <w:style w:type="paragraph" w:customStyle="1" w:styleId="Small">
    <w:name w:val="Small"/>
    <w:basedOn w:val="Normal"/>
    <w:next w:val="Normal"/>
    <w:qFormat/>
    <w:rsid w:val="004513F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51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513F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4513F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4513F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9B7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D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D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A3694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36942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3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BWA/Q/4" TargetMode="External"/><Relationship Id="rId26" Type="http://schemas.openxmlformats.org/officeDocument/2006/relationships/hyperlink" Target="https://undocs.org/ru/CEDAW/C/BOT/CO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BOT/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678" TargetMode="External"/><Relationship Id="rId25" Type="http://schemas.openxmlformats.org/officeDocument/2006/relationships/hyperlink" Target="https://undocs.org/ru/CEDAW/C/BOT/CO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677%20" TargetMode="External"/><Relationship Id="rId20" Type="http://schemas.openxmlformats.org/officeDocument/2006/relationships/hyperlink" Target="https://undocs.org/ru/CEDAW/C/BOT/CO/3/Add.1" TargetMode="External"/><Relationship Id="rId29" Type="http://schemas.openxmlformats.org/officeDocument/2006/relationships/hyperlink" Target="https://undocs.org/ru/HRI/GEN/2/Rev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A/HRC/38/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BWA/4" TargetMode="External"/><Relationship Id="rId23" Type="http://schemas.openxmlformats.org/officeDocument/2006/relationships/hyperlink" Target="https://undocs.org/ru/CEDAW/C/BOT/CO/3" TargetMode="External"/><Relationship Id="rId28" Type="http://schemas.openxmlformats.org/officeDocument/2006/relationships/hyperlink" Target="https://undocs.org/ru/CEDAW/C/BOT/CO/3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BWA/Q/4/Add.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A/65/38" TargetMode="External"/><Relationship Id="rId27" Type="http://schemas.openxmlformats.org/officeDocument/2006/relationships/hyperlink" Target="https://undocs.org/ru/CEDAW/C/BOT/CO/3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6750</Words>
  <Characters>38476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Комитет по ликвидации дискриминации в отношении женщин</vt:lpstr>
      <vt:lpstr>Заключительные замечания по четвертому периодическому докладу Ботсваны*</vt:lpstr>
      <vt:lpstr>A.	Введение</vt:lpstr>
      <vt:lpstr>B.	Позитивные аспекты</vt:lpstr>
      <vt:lpstr>C.	Цели в области устойчивого развития</vt:lpstr>
      <vt:lpstr>D.	Парламент</vt:lpstr>
      <vt:lpstr>E.	Основные вопросы, вызывающие обеспокоенность, и рекомендации</vt:lpstr>
      <vt:lpstr>    Распространение информации о Конвенции, Факультативном протоколе к ней и общих</vt:lpstr>
      <vt:lpstr>    Правовой статус Конвенции и нормативно-правовая база</vt:lpstr>
      <vt:lpstr>    Определение дискриминации в отношении женщин </vt:lpstr>
      <vt:lpstr>    Доступ к правосудию</vt:lpstr>
      <vt:lpstr>    Национальные механизмы по улучшению положения женщин</vt:lpstr>
      <vt:lpstr>    Национальное правозащитное учреждение</vt:lpstr>
      <vt:lpstr>    Временные специальные меры </vt:lpstr>
      <vt:lpstr>    Стереотипы и вредные виды практики </vt:lpstr>
      <vt:lpstr>    Гендерное насилие в отношении женщин </vt:lpstr>
      <vt:lpstr>    Торговля людьми и эксплуатация проституции </vt:lpstr>
      <vt:lpstr>    Участие в политической и общественной жизни</vt:lpstr>
      <vt:lpstr>    Образование </vt:lpstr>
      <vt:lpstr>    Занятость </vt:lpstr>
      <vt:lpstr>    Здравоохранение</vt:lpstr>
      <vt:lpstr>    Расширение экономических возможностей женщин </vt:lpstr>
      <vt:lpstr>    Сельские женщины </vt:lpstr>
      <vt:lpstr>    Группы женщин, находящиеся в неблагоприятном положении</vt:lpstr>
      <vt:lpstr>    Воздействие изменения климата и стихийных бедствий на женщин</vt:lpstr>
      <vt:lpstr>    Брак и семейные отношения</vt:lpstr>
      <vt:lpstr>    Сбор данных</vt:lpstr>
      <vt:lpstr>    Поправка к пункту 1 статьи 20 Конвенции</vt:lpstr>
      <vt:lpstr>    Пекинская декларация и Платформа действий</vt:lpstr>
      <vt:lpstr>    Распространение </vt:lpstr>
      <vt:lpstr>    Техническая помощь </vt:lpstr>
      <vt:lpstr>    Ратификация других договоров</vt:lpstr>
      <vt:lpstr>    Последующая деятельность по выполнению заключительных замечаний</vt:lpstr>
      <vt:lpstr>    Подготовка следующего периодического доклада </vt:lpstr>
    </vt:vector>
  </TitlesOfParts>
  <Company/>
  <LinksUpToDate>false</LinksUpToDate>
  <CharactersWithSpaces>45136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Russian_Text_Processing2</dc:creator>
  <cp:keywords/>
  <dc:description/>
  <cp:lastModifiedBy>Russian_Text_Processing2</cp:lastModifiedBy>
  <cp:revision>4</cp:revision>
  <cp:lastPrinted>2019-04-26T18:44:00Z</cp:lastPrinted>
  <dcterms:created xsi:type="dcterms:W3CDTF">2019-04-26T18:45:00Z</dcterms:created>
  <dcterms:modified xsi:type="dcterms:W3CDTF">2019-04-26T18:45:00Z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1904271R</vt:lpwstr>
  </property>
  <property fmtid="{D5CDD505-2E9C-101B-9397-08002B2CF9AE}" pid="3" name="ODSRefJobNo">
    <vt:lpwstr>1907181R</vt:lpwstr>
  </property>
  <property fmtid="{D5CDD505-2E9C-101B-9397-08002B2CF9AE}" pid="4" name="Symbol1">
    <vt:lpwstr>CEDAW/C/BWA/CO/4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14 March 2019</vt:lpwstr>
  </property>
  <property fmtid="{D5CDD505-2E9C-101B-9397-08002B2CF9AE}" pid="14" name="Original">
    <vt:lpwstr>English</vt:lpwstr>
  </property>
  <property fmtid="{D5CDD505-2E9C-101B-9397-08002B2CF9AE}" pid="15" name="Release Date">
    <vt:lpwstr>260419</vt:lpwstr>
  </property>
  <property fmtid="{D5CDD505-2E9C-101B-9397-08002B2CF9AE}" pid="16" name="Title1">
    <vt:lpwstr>		Заключительные замечания по четвертому периодическому докладу Ботсваны*_x000d_</vt:lpwstr>
  </property>
</Properties>
</file>