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32BBD" w:rsidTr="00A17DFD">
        <w:trPr>
          <w:trHeight w:hRule="exact" w:val="851"/>
        </w:trPr>
        <w:tc>
          <w:tcPr>
            <w:tcW w:w="1276" w:type="dxa"/>
            <w:tcBorders>
              <w:bottom w:val="single" w:sz="4" w:space="0" w:color="auto"/>
            </w:tcBorders>
          </w:tcPr>
          <w:p w:rsidR="002D5AAC" w:rsidRDefault="002D5AAC" w:rsidP="003E0C9F">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7758CF" w:rsidRDefault="006E78B0" w:rsidP="006E78B0">
            <w:pPr>
              <w:jc w:val="right"/>
              <w:rPr>
                <w:lang w:val="en-US"/>
              </w:rPr>
            </w:pPr>
            <w:r w:rsidRPr="007758CF">
              <w:rPr>
                <w:sz w:val="40"/>
                <w:lang w:val="en-US"/>
              </w:rPr>
              <w:t>CAT</w:t>
            </w:r>
            <w:r w:rsidR="003E0C9F" w:rsidRPr="007758CF">
              <w:rPr>
                <w:lang w:val="en-US"/>
              </w:rPr>
              <w:t>/</w:t>
            </w:r>
            <w:r w:rsidRPr="007758CF">
              <w:rPr>
                <w:lang w:val="en-US"/>
              </w:rPr>
              <w:t>OP</w:t>
            </w:r>
            <w:r w:rsidR="003E0C9F" w:rsidRPr="007758CF">
              <w:rPr>
                <w:lang w:val="en-US"/>
              </w:rPr>
              <w:t>/</w:t>
            </w:r>
            <w:r w:rsidR="00702F10" w:rsidRPr="007758CF">
              <w:rPr>
                <w:lang w:val="en-US"/>
              </w:rPr>
              <w:t>PER</w:t>
            </w:r>
            <w:r w:rsidRPr="007758CF">
              <w:rPr>
                <w:lang w:val="en-US"/>
              </w:rPr>
              <w:t>/</w:t>
            </w:r>
            <w:r w:rsidR="00702F10" w:rsidRPr="007758CF">
              <w:rPr>
                <w:lang w:val="en-US"/>
              </w:rPr>
              <w:t>1</w:t>
            </w:r>
            <w:r w:rsidRPr="007758CF">
              <w:rPr>
                <w:lang w:val="en-US"/>
              </w:rPr>
              <w:t>/Add.</w:t>
            </w:r>
            <w:r w:rsidR="00702F10" w:rsidRPr="007758CF">
              <w:rPr>
                <w:lang w:val="en-US"/>
              </w:rPr>
              <w:t>1</w:t>
            </w:r>
          </w:p>
        </w:tc>
      </w:tr>
      <w:tr w:rsidR="002D5AAC" w:rsidTr="00A17DFD">
        <w:trPr>
          <w:trHeight w:hRule="exact" w:val="2835"/>
        </w:trPr>
        <w:tc>
          <w:tcPr>
            <w:tcW w:w="1276" w:type="dxa"/>
            <w:tcBorders>
              <w:top w:val="single" w:sz="4" w:space="0" w:color="auto"/>
              <w:bottom w:val="single" w:sz="12" w:space="0" w:color="auto"/>
            </w:tcBorders>
          </w:tcPr>
          <w:p w:rsidR="002D5AAC" w:rsidRDefault="00190B99" w:rsidP="00A17DFD">
            <w:pPr>
              <w:spacing w:before="120"/>
              <w:jc w:val="center"/>
            </w:pPr>
            <w:r>
              <w:rPr>
                <w:noProof/>
              </w:rPr>
              <w:drawing>
                <wp:inline distT="0" distB="0" distL="0" distR="0" wp14:anchorId="470A7CDF" wp14:editId="78655545">
                  <wp:extent cx="714375" cy="590550"/>
                  <wp:effectExtent l="0" t="0" r="9525"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758CF" w:rsidRDefault="00B52259" w:rsidP="00F617E7">
            <w:pPr>
              <w:spacing w:before="120" w:line="380" w:lineRule="exact"/>
              <w:rPr>
                <w:b/>
                <w:sz w:val="34"/>
                <w:szCs w:val="34"/>
              </w:rPr>
            </w:pPr>
            <w:r w:rsidRPr="007758CF">
              <w:rPr>
                <w:b/>
                <w:sz w:val="34"/>
                <w:szCs w:val="34"/>
              </w:rPr>
              <w:t>Protocolo Facultativo de la</w:t>
            </w:r>
            <w:r w:rsidRPr="007758CF">
              <w:rPr>
                <w:b/>
                <w:sz w:val="34"/>
                <w:szCs w:val="34"/>
              </w:rPr>
              <w:br/>
              <w:t>Convención contra la Tortura</w:t>
            </w:r>
            <w:r w:rsidRPr="007758CF">
              <w:rPr>
                <w:b/>
                <w:sz w:val="34"/>
                <w:szCs w:val="34"/>
              </w:rPr>
              <w:br/>
              <w:t>y Otros Tratos o Penas Crueles</w:t>
            </w:r>
            <w:r w:rsidR="006C1A4E" w:rsidRPr="007758CF">
              <w:rPr>
                <w:b/>
                <w:sz w:val="34"/>
                <w:szCs w:val="34"/>
              </w:rPr>
              <w:t>,</w:t>
            </w:r>
            <w:r w:rsidRPr="007758CF">
              <w:rPr>
                <w:b/>
                <w:sz w:val="34"/>
                <w:szCs w:val="34"/>
              </w:rPr>
              <w:br/>
              <w:t>Inhumanos o Degradantes</w:t>
            </w:r>
          </w:p>
        </w:tc>
        <w:tc>
          <w:tcPr>
            <w:tcW w:w="2813" w:type="dxa"/>
            <w:tcBorders>
              <w:top w:val="single" w:sz="4" w:space="0" w:color="auto"/>
              <w:bottom w:val="single" w:sz="12" w:space="0" w:color="auto"/>
            </w:tcBorders>
          </w:tcPr>
          <w:p w:rsidR="002D5AAC" w:rsidRPr="007758CF" w:rsidRDefault="003E0C9F" w:rsidP="00D03969">
            <w:pPr>
              <w:spacing w:before="240"/>
            </w:pPr>
            <w:proofErr w:type="spellStart"/>
            <w:r w:rsidRPr="007758CF">
              <w:t>Distr</w:t>
            </w:r>
            <w:proofErr w:type="spellEnd"/>
            <w:r w:rsidRPr="007758CF">
              <w:t>. general</w:t>
            </w:r>
          </w:p>
          <w:p w:rsidR="003E0C9F" w:rsidRPr="007758CF" w:rsidRDefault="00403B5F" w:rsidP="003E0C9F">
            <w:pPr>
              <w:spacing w:line="240" w:lineRule="exact"/>
            </w:pPr>
            <w:r>
              <w:t>8</w:t>
            </w:r>
            <w:r w:rsidR="00702F10" w:rsidRPr="007758CF">
              <w:t xml:space="preserve"> de </w:t>
            </w:r>
            <w:r w:rsidR="00941F3D">
              <w:t xml:space="preserve">agosto </w:t>
            </w:r>
            <w:r w:rsidR="00702F10" w:rsidRPr="007758CF">
              <w:t>de 2017</w:t>
            </w:r>
          </w:p>
          <w:p w:rsidR="00261B80" w:rsidRDefault="00261B80" w:rsidP="003E0C9F">
            <w:pPr>
              <w:spacing w:line="240" w:lineRule="exact"/>
            </w:pPr>
          </w:p>
          <w:p w:rsidR="003E0C9F" w:rsidRPr="007758CF" w:rsidRDefault="003E0C9F" w:rsidP="003E0C9F">
            <w:pPr>
              <w:spacing w:line="240" w:lineRule="exact"/>
            </w:pPr>
            <w:r w:rsidRPr="007758CF">
              <w:t xml:space="preserve">Original: </w:t>
            </w:r>
            <w:r w:rsidR="00941F3D">
              <w:t>e</w:t>
            </w:r>
            <w:r w:rsidR="00702F10" w:rsidRPr="007758CF">
              <w:t>spañol</w:t>
            </w:r>
          </w:p>
          <w:p w:rsidR="006E78B0" w:rsidRPr="007758CF" w:rsidRDefault="00261B80" w:rsidP="00941F3D">
            <w:pPr>
              <w:spacing w:line="240" w:lineRule="exact"/>
            </w:pPr>
            <w:r>
              <w:t>E</w:t>
            </w:r>
            <w:r w:rsidRPr="007758CF">
              <w:t>spañol</w:t>
            </w:r>
            <w:r w:rsidR="006E78B0" w:rsidRPr="007758CF">
              <w:t xml:space="preserve">, </w:t>
            </w:r>
            <w:r w:rsidR="00702F10" w:rsidRPr="007758CF">
              <w:t xml:space="preserve">francés </w:t>
            </w:r>
            <w:r w:rsidR="00941F3D">
              <w:t>e</w:t>
            </w:r>
            <w:r w:rsidR="00702F10" w:rsidRPr="007758CF">
              <w:t xml:space="preserve"> </w:t>
            </w:r>
            <w:r>
              <w:t>i</w:t>
            </w:r>
            <w:r w:rsidRPr="007758CF">
              <w:t xml:space="preserve">nglés </w:t>
            </w:r>
            <w:r w:rsidR="006E78B0" w:rsidRPr="007758CF">
              <w:t>únicamente</w:t>
            </w:r>
          </w:p>
        </w:tc>
      </w:tr>
    </w:tbl>
    <w:p w:rsidR="006F35EE" w:rsidRPr="00E026EE" w:rsidRDefault="00E026EE" w:rsidP="003E0C9F">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6E78B0" w:rsidRPr="0068032F" w:rsidRDefault="006E78B0" w:rsidP="006E78B0">
      <w:pPr>
        <w:pStyle w:val="HMG"/>
        <w:rPr>
          <w:lang w:val="es-ES_tradnl"/>
        </w:rPr>
      </w:pPr>
      <w:r>
        <w:rPr>
          <w:lang w:val="es-ES_tradnl"/>
        </w:rPr>
        <w:tab/>
      </w:r>
      <w:r>
        <w:rPr>
          <w:lang w:val="es-ES_tradnl"/>
        </w:rPr>
        <w:tab/>
      </w:r>
      <w:r w:rsidR="00702F10" w:rsidRPr="00FC5A57">
        <w:rPr>
          <w:lang w:val="es-ES_tradnl"/>
        </w:rPr>
        <w:t>Visita a</w:t>
      </w:r>
      <w:r w:rsidR="00702F10">
        <w:rPr>
          <w:lang w:val="es-ES_tradnl"/>
        </w:rPr>
        <w:t>l</w:t>
      </w:r>
      <w:r w:rsidR="00702F10" w:rsidRPr="00FC5A57">
        <w:rPr>
          <w:lang w:val="es-ES_tradnl"/>
        </w:rPr>
        <w:t xml:space="preserve"> Perú del 10 al 20 de septiembre de 2013: observaciones y recomendaciones dirigidas al </w:t>
      </w:r>
      <w:r w:rsidR="00941F3D">
        <w:rPr>
          <w:lang w:val="es-ES_tradnl"/>
        </w:rPr>
        <w:t>Estado parte</w:t>
      </w:r>
    </w:p>
    <w:p w:rsidR="006E78B0" w:rsidRPr="0068032F" w:rsidRDefault="006E78B0" w:rsidP="006E78B0">
      <w:pPr>
        <w:pStyle w:val="HChG"/>
        <w:rPr>
          <w:bCs/>
          <w:lang w:val="es-ES_tradnl"/>
        </w:rPr>
      </w:pPr>
      <w:r>
        <w:rPr>
          <w:lang w:val="es-ES_tradnl"/>
        </w:rPr>
        <w:tab/>
      </w:r>
      <w:r>
        <w:rPr>
          <w:lang w:val="es-ES_tradnl"/>
        </w:rPr>
        <w:tab/>
      </w:r>
      <w:r w:rsidRPr="0068032F">
        <w:rPr>
          <w:lang w:val="es-ES_tradnl"/>
        </w:rPr>
        <w:t>Informe del Subcomité</w:t>
      </w:r>
      <w:r w:rsidRPr="006E78B0">
        <w:rPr>
          <w:rStyle w:val="Refdenotaalpie"/>
          <w:b w:val="0"/>
          <w:sz w:val="20"/>
          <w:vertAlign w:val="baseline"/>
          <w:lang w:val="es-ES_tradnl"/>
        </w:rPr>
        <w:footnoteReference w:customMarkFollows="1" w:id="1"/>
        <w:t>*</w:t>
      </w:r>
      <w:bookmarkStart w:id="0" w:name="_GoBack"/>
      <w:bookmarkEnd w:id="0"/>
    </w:p>
    <w:p w:rsidR="006E78B0" w:rsidRPr="0068032F" w:rsidRDefault="006E78B0" w:rsidP="006E78B0">
      <w:pPr>
        <w:pStyle w:val="H23G"/>
        <w:rPr>
          <w:lang w:val="es-ES_tradnl"/>
        </w:rPr>
      </w:pPr>
      <w:r>
        <w:rPr>
          <w:lang w:val="es-ES_tradnl"/>
        </w:rPr>
        <w:tab/>
      </w:r>
      <w:r>
        <w:rPr>
          <w:lang w:val="es-ES_tradnl"/>
        </w:rPr>
        <w:tab/>
      </w:r>
      <w:r w:rsidRPr="0068032F">
        <w:rPr>
          <w:lang w:val="es-ES_tradnl"/>
        </w:rPr>
        <w:t>Adición</w:t>
      </w:r>
    </w:p>
    <w:p w:rsidR="00A764EB" w:rsidRDefault="006E78B0" w:rsidP="003E7721">
      <w:pPr>
        <w:pStyle w:val="HChG"/>
        <w:rPr>
          <w:rStyle w:val="Hipervnculovisitado"/>
          <w:color w:val="auto"/>
          <w:lang w:val="es-ES_tradnl"/>
        </w:rPr>
      </w:pPr>
      <w:r>
        <w:rPr>
          <w:lang w:val="es-ES_tradnl"/>
        </w:rPr>
        <w:tab/>
      </w:r>
      <w:r>
        <w:rPr>
          <w:lang w:val="es-ES_tradnl"/>
        </w:rPr>
        <w:tab/>
      </w:r>
      <w:r w:rsidRPr="0068032F">
        <w:rPr>
          <w:lang w:val="es-ES_tradnl"/>
        </w:rPr>
        <w:t xml:space="preserve">Respuestas </w:t>
      </w:r>
      <w:r w:rsidRPr="007758CF">
        <w:rPr>
          <w:lang w:val="es-ES_tradnl"/>
        </w:rPr>
        <w:t xml:space="preserve">del </w:t>
      </w:r>
      <w:r w:rsidR="00702F10" w:rsidRPr="007758CF">
        <w:rPr>
          <w:lang w:val="es-ES_tradnl"/>
        </w:rPr>
        <w:t>Perú</w:t>
      </w:r>
      <w:r w:rsidRPr="007E0CA6">
        <w:rPr>
          <w:rStyle w:val="Refdenotaalpie"/>
          <w:b w:val="0"/>
          <w:sz w:val="20"/>
        </w:rPr>
        <w:footnoteReference w:customMarkFollows="1" w:id="2"/>
        <w:t>**</w:t>
      </w:r>
      <w:r w:rsidR="007E0CA6" w:rsidRPr="007E0CA6">
        <w:rPr>
          <w:b w:val="0"/>
          <w:sz w:val="20"/>
          <w:vertAlign w:val="superscript"/>
        </w:rPr>
        <w:t>,</w:t>
      </w:r>
      <w:r w:rsidRPr="007E0CA6">
        <w:rPr>
          <w:b w:val="0"/>
          <w:sz w:val="24"/>
          <w:szCs w:val="24"/>
          <w:vertAlign w:val="superscript"/>
          <w:lang w:val="es-ES_tradnl"/>
        </w:rPr>
        <w:t xml:space="preserve"> </w:t>
      </w:r>
      <w:r w:rsidRPr="007E0CA6">
        <w:rPr>
          <w:rStyle w:val="Refdenotaalpie"/>
          <w:b w:val="0"/>
          <w:sz w:val="20"/>
        </w:rPr>
        <w:footnoteReference w:customMarkFollows="1" w:id="3"/>
        <w:t>***</w:t>
      </w:r>
      <w:r w:rsidR="007E0CA6" w:rsidRPr="007E0CA6">
        <w:rPr>
          <w:b w:val="0"/>
          <w:sz w:val="20"/>
          <w:vertAlign w:val="superscript"/>
        </w:rPr>
        <w:t>,</w:t>
      </w:r>
      <w:r w:rsidRPr="007E0CA6">
        <w:rPr>
          <w:b w:val="0"/>
          <w:sz w:val="24"/>
          <w:szCs w:val="24"/>
          <w:vertAlign w:val="superscript"/>
          <w:lang w:val="es-ES_tradnl"/>
        </w:rPr>
        <w:t xml:space="preserve"> </w:t>
      </w:r>
      <w:r w:rsidRPr="007E0CA6">
        <w:rPr>
          <w:rStyle w:val="Refdenotaalpie"/>
          <w:b w:val="0"/>
          <w:sz w:val="20"/>
        </w:rPr>
        <w:footnoteReference w:customMarkFollows="1" w:id="4"/>
        <w:t>***</w:t>
      </w:r>
      <w:r w:rsidRPr="007E0CA6">
        <w:rPr>
          <w:rStyle w:val="Refdenotaalpie"/>
          <w:sz w:val="20"/>
        </w:rPr>
        <w:t>*</w:t>
      </w:r>
      <w:r w:rsidRPr="006E78B0">
        <w:rPr>
          <w:b w:val="0"/>
          <w:lang w:val="es-ES_tradnl"/>
        </w:rPr>
        <w:t xml:space="preserve"> </w:t>
      </w:r>
    </w:p>
    <w:p w:rsidR="00A764EB" w:rsidRPr="00F176D8" w:rsidRDefault="00A764EB" w:rsidP="00A764EB">
      <w:pPr>
        <w:spacing w:after="160" w:line="259" w:lineRule="auto"/>
        <w:rPr>
          <w:b/>
          <w:sz w:val="22"/>
          <w:szCs w:val="22"/>
        </w:rPr>
      </w:pPr>
      <w:r w:rsidRPr="00F176D8">
        <w:rPr>
          <w:b/>
          <w:sz w:val="22"/>
          <w:szCs w:val="22"/>
        </w:rPr>
        <w:br w:type="page"/>
      </w:r>
    </w:p>
    <w:p w:rsidR="007758CF" w:rsidRDefault="007758CF" w:rsidP="007758CF">
      <w:pPr>
        <w:spacing w:after="120"/>
        <w:rPr>
          <w:sz w:val="28"/>
        </w:rPr>
      </w:pPr>
      <w:r w:rsidRPr="00502AEB">
        <w:rPr>
          <w:sz w:val="28"/>
        </w:rPr>
        <w:lastRenderedPageBreak/>
        <w:t>Índice</w:t>
      </w:r>
    </w:p>
    <w:p w:rsidR="007758CF" w:rsidRDefault="00C97111" w:rsidP="00C97111">
      <w:pPr>
        <w:tabs>
          <w:tab w:val="right" w:pos="9638"/>
        </w:tabs>
        <w:spacing w:after="120"/>
        <w:ind w:left="283"/>
        <w:rPr>
          <w:lang w:val="es-ES_tradnl"/>
        </w:rPr>
      </w:pPr>
      <w:r>
        <w:rPr>
          <w:lang w:val="es-ES_tradnl"/>
        </w:rPr>
        <w:tab/>
      </w:r>
      <w:r w:rsidR="007758CF" w:rsidRPr="00C97111">
        <w:rPr>
          <w:i/>
          <w:sz w:val="18"/>
        </w:rPr>
        <w:t>Página</w:t>
      </w:r>
    </w:p>
    <w:p w:rsidR="007758CF" w:rsidRPr="00C97111" w:rsidRDefault="00C97111" w:rsidP="00C97111">
      <w:pPr>
        <w:tabs>
          <w:tab w:val="right" w:pos="850"/>
          <w:tab w:val="left" w:pos="1134"/>
          <w:tab w:val="left" w:pos="1559"/>
          <w:tab w:val="left" w:pos="1984"/>
          <w:tab w:val="left" w:leader="dot" w:pos="8929"/>
          <w:tab w:val="right" w:pos="9638"/>
        </w:tabs>
        <w:spacing w:after="120"/>
      </w:pPr>
      <w:r w:rsidRPr="00C97111">
        <w:tab/>
      </w:r>
      <w:r w:rsidR="007758CF" w:rsidRPr="00C97111">
        <w:tab/>
        <w:t>Abreviaturas y Siglas</w:t>
      </w:r>
      <w:r w:rsidR="007758CF" w:rsidRPr="00C97111">
        <w:tab/>
      </w:r>
      <w:r w:rsidRPr="00C97111">
        <w:tab/>
      </w:r>
      <w:r w:rsidR="007758CF" w:rsidRPr="00C97111">
        <w:t>3</w:t>
      </w:r>
    </w:p>
    <w:p w:rsidR="007758CF" w:rsidRPr="00C97111" w:rsidRDefault="007758CF" w:rsidP="00C97111">
      <w:pPr>
        <w:tabs>
          <w:tab w:val="right" w:pos="850"/>
          <w:tab w:val="left" w:pos="1134"/>
          <w:tab w:val="left" w:pos="1559"/>
          <w:tab w:val="left" w:pos="1984"/>
          <w:tab w:val="left" w:leader="dot" w:pos="8929"/>
          <w:tab w:val="right" w:pos="9638"/>
        </w:tabs>
        <w:spacing w:after="120"/>
      </w:pPr>
      <w:r w:rsidRPr="00C97111">
        <w:tab/>
      </w:r>
      <w:r w:rsidR="00275C68">
        <w:t>I.</w:t>
      </w:r>
      <w:r w:rsidR="00C97111" w:rsidRPr="00C97111">
        <w:tab/>
      </w:r>
      <w:r w:rsidRPr="00C97111">
        <w:t>Introducción</w:t>
      </w:r>
      <w:r w:rsidR="00C97111">
        <w:tab/>
      </w:r>
      <w:r w:rsidRPr="00C97111">
        <w:tab/>
        <w:t>4</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rsidR="007758CF" w:rsidRPr="00C97111">
        <w:t>I</w:t>
      </w:r>
      <w:r w:rsidR="00275C68">
        <w:t>I</w:t>
      </w:r>
      <w:r w:rsidR="007758CF" w:rsidRPr="00C97111">
        <w:t>.</w:t>
      </w:r>
      <w:r w:rsidR="007758CF" w:rsidRPr="00C97111">
        <w:tab/>
        <w:t>La adopción de la Ley sobre el Mecanismo Nacional de Prevención</w:t>
      </w:r>
      <w:r w:rsidR="007758CF" w:rsidRPr="00C97111">
        <w:tab/>
      </w:r>
      <w:r>
        <w:tab/>
      </w:r>
      <w:r w:rsidR="007758CF" w:rsidRPr="00C97111">
        <w:t>4</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rsidR="007758CF" w:rsidRPr="00C97111">
        <w:t>II</w:t>
      </w:r>
      <w:r w:rsidR="00275C68">
        <w:t>I</w:t>
      </w:r>
      <w:r w:rsidR="007758CF" w:rsidRPr="00C97111">
        <w:t>.</w:t>
      </w:r>
      <w:r w:rsidR="007758CF" w:rsidRPr="00C97111">
        <w:tab/>
        <w:t>Situación de las personas privadas de libertad</w:t>
      </w:r>
      <w:r w:rsidR="007758CF" w:rsidRPr="00C97111">
        <w:tab/>
      </w:r>
      <w:r>
        <w:tab/>
      </w:r>
      <w:r w:rsidR="007758CF" w:rsidRPr="00C97111">
        <w:t>5</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tab/>
      </w:r>
      <w:r w:rsidR="00E92B5D">
        <w:t>3</w:t>
      </w:r>
      <w:r w:rsidR="007758CF" w:rsidRPr="00C97111">
        <w:t>.1</w:t>
      </w:r>
      <w:r w:rsidR="007758CF" w:rsidRPr="00C97111">
        <w:tab/>
        <w:t xml:space="preserve">Detención en sedes policiales y </w:t>
      </w:r>
      <w:proofErr w:type="spellStart"/>
      <w:r w:rsidR="007758CF" w:rsidRPr="00C97111">
        <w:t>carceletas</w:t>
      </w:r>
      <w:proofErr w:type="spellEnd"/>
      <w:r w:rsidR="007758CF" w:rsidRPr="00C97111">
        <w:t xml:space="preserve"> del Poder Judicial</w:t>
      </w:r>
      <w:r w:rsidR="007758CF" w:rsidRPr="00C97111">
        <w:tab/>
      </w:r>
      <w:r>
        <w:tab/>
      </w:r>
      <w:r w:rsidR="007758CF" w:rsidRPr="00C97111">
        <w:t>5</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.1.1</w:t>
      </w:r>
      <w:r w:rsidR="007758CF" w:rsidRPr="00C97111">
        <w:tab/>
        <w:t>Condiciones materiales</w:t>
      </w:r>
      <w:r w:rsidR="007758CF" w:rsidRPr="00C97111">
        <w:tab/>
      </w:r>
      <w:r>
        <w:tab/>
      </w:r>
      <w:r w:rsidR="007758CF" w:rsidRPr="00C97111">
        <w:t>5</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.1.2</w:t>
      </w:r>
      <w:r w:rsidR="007758CF" w:rsidRPr="00C97111">
        <w:tab/>
        <w:t>Reconocimiento médico</w:t>
      </w:r>
      <w:r w:rsidR="007758CF" w:rsidRPr="00C97111">
        <w:tab/>
      </w:r>
      <w:r>
        <w:tab/>
      </w:r>
      <w:r w:rsidR="007758CF" w:rsidRPr="00C97111">
        <w:t>5</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.1.3</w:t>
      </w:r>
      <w:r w:rsidR="007758CF" w:rsidRPr="00C97111">
        <w:tab/>
        <w:t>Torturas y malos tratos</w:t>
      </w:r>
      <w:r w:rsidR="007758CF" w:rsidRPr="00C97111">
        <w:tab/>
      </w:r>
      <w:r>
        <w:tab/>
      </w:r>
      <w:r w:rsidR="007758CF" w:rsidRPr="00C97111">
        <w:t>6</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rsidR="00E92B5D">
        <w:t>3</w:t>
      </w:r>
      <w:r w:rsidR="007758CF" w:rsidRPr="00C97111">
        <w:t>.2</w:t>
      </w:r>
      <w:r w:rsidR="007758CF" w:rsidRPr="00C97111">
        <w:tab/>
        <w:t>Establecimientos Penitenciarios</w:t>
      </w:r>
      <w:r w:rsidR="007758CF" w:rsidRPr="00C97111">
        <w:tab/>
      </w:r>
      <w:r>
        <w:tab/>
      </w:r>
      <w:r w:rsidR="007758CF" w:rsidRPr="00C97111">
        <w:t>9</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.2.1</w:t>
      </w:r>
      <w:r w:rsidR="007758CF" w:rsidRPr="00C97111">
        <w:tab/>
        <w:t>Condiciones de detención</w:t>
      </w:r>
      <w:r w:rsidR="007758CF" w:rsidRPr="00C97111">
        <w:tab/>
      </w:r>
      <w:r>
        <w:tab/>
      </w:r>
      <w:r w:rsidR="007758CF" w:rsidRPr="00C97111">
        <w:t>9</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.2.2</w:t>
      </w:r>
      <w:r w:rsidR="007758CF" w:rsidRPr="00C97111">
        <w:tab/>
        <w:t>Servicios de salud</w:t>
      </w:r>
      <w:r w:rsidR="007758CF" w:rsidRPr="00C97111">
        <w:tab/>
      </w:r>
      <w:r>
        <w:tab/>
      </w:r>
      <w:r w:rsidR="007758CF" w:rsidRPr="00C97111">
        <w:t>11</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.2.3</w:t>
      </w:r>
      <w:r w:rsidR="007758CF" w:rsidRPr="00C97111">
        <w:tab/>
        <w:t>Registros</w:t>
      </w:r>
      <w:r w:rsidR="007758CF" w:rsidRPr="00C97111">
        <w:tab/>
      </w:r>
      <w:r>
        <w:tab/>
      </w:r>
      <w:r w:rsidR="007758CF" w:rsidRPr="00C97111">
        <w:t>13</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.2.4</w:t>
      </w:r>
      <w:r w:rsidR="007758CF" w:rsidRPr="00C97111">
        <w:tab/>
        <w:t>Malos tratos y represalias</w:t>
      </w:r>
      <w:r w:rsidR="007758CF" w:rsidRPr="00C97111">
        <w:tab/>
      </w:r>
      <w:r>
        <w:tab/>
      </w:r>
      <w:r w:rsidR="007758CF" w:rsidRPr="00C97111">
        <w:t>1</w:t>
      </w:r>
      <w:r w:rsidR="00C57360">
        <w:t>3</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.2.5</w:t>
      </w:r>
      <w:r w:rsidR="007758CF" w:rsidRPr="00C97111">
        <w:tab/>
        <w:t>Regímenes de detención y mecanismos informales de disciplina</w:t>
      </w:r>
      <w:r w:rsidR="007758CF" w:rsidRPr="00C97111">
        <w:tab/>
      </w:r>
      <w:r>
        <w:tab/>
      </w:r>
      <w:r w:rsidR="007758CF" w:rsidRPr="00C97111">
        <w:t>1</w:t>
      </w:r>
      <w:r w:rsidR="00C57360">
        <w:t>4</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.2.6</w:t>
      </w:r>
      <w:r w:rsidR="007758CF" w:rsidRPr="00C97111">
        <w:tab/>
        <w:t>Particularidades de la situación de las mujeres</w:t>
      </w:r>
      <w:r w:rsidR="007758CF" w:rsidRPr="00C97111">
        <w:tab/>
      </w:r>
      <w:r>
        <w:tab/>
      </w:r>
      <w:r w:rsidR="007758CF" w:rsidRPr="00C97111">
        <w:t>1</w:t>
      </w:r>
      <w:r w:rsidR="00C57360">
        <w:t>4</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.2.7</w:t>
      </w:r>
      <w:r w:rsidR="007758CF" w:rsidRPr="00C97111">
        <w:tab/>
        <w:t>La restricción de beneficios penitenciarios</w:t>
      </w:r>
      <w:r w:rsidR="007758CF" w:rsidRPr="00C97111">
        <w:tab/>
      </w:r>
      <w:r>
        <w:tab/>
      </w:r>
      <w:r w:rsidR="007758CF" w:rsidRPr="00C97111">
        <w:t>1</w:t>
      </w:r>
      <w:r w:rsidR="00C57360">
        <w:t>5</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tab/>
      </w:r>
      <w:r w:rsidR="00E92B5D">
        <w:t>3</w:t>
      </w:r>
      <w:r w:rsidR="007758CF" w:rsidRPr="00C97111">
        <w:t>.3</w:t>
      </w:r>
      <w:r w:rsidR="007758CF" w:rsidRPr="00C97111">
        <w:tab/>
        <w:t>Centros de Detención Juvenil</w:t>
      </w:r>
      <w:r w:rsidR="007758CF" w:rsidRPr="00C97111">
        <w:tab/>
      </w:r>
      <w:r>
        <w:tab/>
      </w:r>
      <w:r w:rsidR="007758CF" w:rsidRPr="00C97111">
        <w:t>1</w:t>
      </w:r>
      <w:r w:rsidR="00C57360">
        <w:t>6</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.3.1</w:t>
      </w:r>
      <w:r w:rsidR="007758CF" w:rsidRPr="00C97111">
        <w:tab/>
        <w:t>Cuestiones Generales</w:t>
      </w:r>
      <w:r w:rsidR="007758CF" w:rsidRPr="00C97111">
        <w:tab/>
      </w:r>
      <w:r>
        <w:tab/>
      </w:r>
      <w:r w:rsidR="007758CF" w:rsidRPr="00C97111">
        <w:t>1</w:t>
      </w:r>
      <w:r w:rsidR="00C57360">
        <w:t>6</w:t>
      </w:r>
    </w:p>
    <w:p w:rsidR="007758CF" w:rsidRPr="00C97111" w:rsidRDefault="00C97111" w:rsidP="00C97111">
      <w:pPr>
        <w:tabs>
          <w:tab w:val="right" w:pos="850"/>
          <w:tab w:val="left" w:pos="1134"/>
          <w:tab w:val="left" w:pos="1559"/>
          <w:tab w:val="left" w:pos="2127"/>
          <w:tab w:val="left" w:leader="dot" w:pos="8929"/>
          <w:tab w:val="right" w:pos="9638"/>
        </w:tabs>
        <w:spacing w:after="120"/>
      </w:pPr>
      <w:r>
        <w:tab/>
      </w:r>
      <w:r>
        <w:tab/>
      </w:r>
      <w:r>
        <w:tab/>
      </w:r>
      <w:r w:rsidR="00E92B5D">
        <w:t>3</w:t>
      </w:r>
      <w:r w:rsidR="007758CF" w:rsidRPr="00C97111">
        <w:t>.3.2</w:t>
      </w:r>
      <w:r w:rsidR="007758CF" w:rsidRPr="00C97111">
        <w:tab/>
        <w:t>Tortura y malos tratos</w:t>
      </w:r>
      <w:r w:rsidR="007758CF" w:rsidRPr="00C97111">
        <w:tab/>
      </w:r>
      <w:r>
        <w:tab/>
      </w:r>
      <w:r w:rsidR="007758CF" w:rsidRPr="00C97111">
        <w:t>2</w:t>
      </w:r>
      <w:r w:rsidR="00C57360">
        <w:t>0</w:t>
      </w:r>
    </w:p>
    <w:p w:rsidR="007758CF" w:rsidRPr="00C97111" w:rsidRDefault="00A9792F" w:rsidP="00742A2C">
      <w:pPr>
        <w:tabs>
          <w:tab w:val="right" w:pos="850"/>
          <w:tab w:val="left" w:pos="1134"/>
          <w:tab w:val="left" w:pos="1559"/>
          <w:tab w:val="left" w:pos="2127"/>
          <w:tab w:val="left" w:leader="dot" w:pos="8929"/>
          <w:tab w:val="right" w:pos="9638"/>
        </w:tabs>
        <w:spacing w:after="120"/>
      </w:pPr>
      <w:r>
        <w:tab/>
      </w:r>
      <w:r w:rsidR="00C97111">
        <w:tab/>
      </w:r>
      <w:r w:rsidR="00C97111">
        <w:tab/>
      </w:r>
      <w:r>
        <w:t>3.3.3</w:t>
      </w:r>
      <w:r w:rsidR="007758CF" w:rsidRPr="00C97111">
        <w:tab/>
        <w:t>Instituciones Psiquiátricas</w:t>
      </w:r>
      <w:r w:rsidR="007758CF" w:rsidRPr="00C97111">
        <w:tab/>
      </w:r>
      <w:r w:rsidR="00C97111">
        <w:tab/>
      </w:r>
      <w:r w:rsidR="007758CF" w:rsidRPr="00C97111">
        <w:t>2</w:t>
      </w:r>
      <w:r w:rsidR="00C57360">
        <w:t>1</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rsidR="007758CF" w:rsidRPr="00C97111">
        <w:t>I</w:t>
      </w:r>
      <w:r w:rsidR="00275C68">
        <w:t>V</w:t>
      </w:r>
      <w:r w:rsidR="007758CF" w:rsidRPr="00C97111">
        <w:t>.</w:t>
      </w:r>
      <w:r w:rsidR="007758CF" w:rsidRPr="00C97111">
        <w:tab/>
        <w:t xml:space="preserve">Aspectos relativos al marco jurídico e institucional para la prevención de la tortura y </w:t>
      </w:r>
      <w:r>
        <w:br/>
      </w:r>
      <w:r>
        <w:tab/>
      </w:r>
      <w:r>
        <w:tab/>
      </w:r>
      <w:r w:rsidR="007758CF" w:rsidRPr="00C97111">
        <w:t>malos tratos</w:t>
      </w:r>
      <w:r w:rsidR="007758CF" w:rsidRPr="00C97111">
        <w:tab/>
      </w:r>
      <w:r>
        <w:tab/>
      </w:r>
      <w:r w:rsidR="007758CF" w:rsidRPr="00C97111">
        <w:t>2</w:t>
      </w:r>
      <w:r w:rsidR="00C57360">
        <w:t>2</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tab/>
      </w:r>
      <w:r w:rsidR="00E92B5D">
        <w:t>4</w:t>
      </w:r>
      <w:r w:rsidR="007758CF" w:rsidRPr="00C97111">
        <w:t>.1</w:t>
      </w:r>
      <w:r w:rsidR="007758CF" w:rsidRPr="00C97111">
        <w:tab/>
        <w:t>La definición de la tortura en el derecho interno</w:t>
      </w:r>
      <w:r w:rsidR="007758CF" w:rsidRPr="00C97111">
        <w:tab/>
      </w:r>
      <w:r>
        <w:tab/>
      </w:r>
      <w:r w:rsidR="007758CF" w:rsidRPr="00C97111">
        <w:t>2</w:t>
      </w:r>
      <w:r w:rsidR="00C57360">
        <w:t>2</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tab/>
      </w:r>
      <w:r w:rsidR="00E92B5D">
        <w:t>4</w:t>
      </w:r>
      <w:r w:rsidR="007758CF" w:rsidRPr="00C97111">
        <w:t>.2</w:t>
      </w:r>
      <w:r w:rsidR="007758CF" w:rsidRPr="00C97111">
        <w:tab/>
        <w:t>La Defensa Pública</w:t>
      </w:r>
      <w:r w:rsidR="007758CF" w:rsidRPr="00C97111">
        <w:tab/>
      </w:r>
      <w:r>
        <w:tab/>
      </w:r>
      <w:r w:rsidR="007758CF" w:rsidRPr="00C97111">
        <w:t>2</w:t>
      </w:r>
      <w:r w:rsidR="00C57360">
        <w:t>3</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tab/>
      </w:r>
      <w:r w:rsidR="00E92B5D">
        <w:t>4</w:t>
      </w:r>
      <w:r w:rsidR="007758CF" w:rsidRPr="00C97111">
        <w:t>.3</w:t>
      </w:r>
      <w:r w:rsidR="007758CF" w:rsidRPr="00C97111">
        <w:tab/>
        <w:t>El problema de la impunidad</w:t>
      </w:r>
      <w:r w:rsidR="007758CF" w:rsidRPr="00C97111">
        <w:tab/>
      </w:r>
      <w:r>
        <w:tab/>
      </w:r>
      <w:r w:rsidR="007758CF" w:rsidRPr="00C97111">
        <w:t>2</w:t>
      </w:r>
      <w:r w:rsidR="00C57360">
        <w:t>4</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tab/>
      </w:r>
      <w:r w:rsidR="00E92B5D">
        <w:t>4</w:t>
      </w:r>
      <w:r w:rsidR="007758CF" w:rsidRPr="00C97111">
        <w:t>.4</w:t>
      </w:r>
      <w:r w:rsidR="007758CF" w:rsidRPr="00C97111">
        <w:tab/>
        <w:t>El problema de la corrupción</w:t>
      </w:r>
      <w:r w:rsidR="007758CF" w:rsidRPr="00C97111">
        <w:tab/>
      </w:r>
      <w:r>
        <w:tab/>
      </w:r>
      <w:r w:rsidR="007758CF" w:rsidRPr="00C97111">
        <w:t>2</w:t>
      </w:r>
      <w:r w:rsidR="00C57360">
        <w:t>4</w:t>
      </w:r>
    </w:p>
    <w:p w:rsidR="007758CF" w:rsidRPr="00C97111" w:rsidRDefault="00C97111" w:rsidP="00C97111">
      <w:pPr>
        <w:tabs>
          <w:tab w:val="right" w:pos="850"/>
          <w:tab w:val="left" w:pos="1134"/>
          <w:tab w:val="left" w:pos="1559"/>
          <w:tab w:val="left" w:pos="1984"/>
          <w:tab w:val="left" w:leader="dot" w:pos="8929"/>
          <w:tab w:val="right" w:pos="9638"/>
        </w:tabs>
        <w:spacing w:after="120"/>
      </w:pPr>
      <w:r>
        <w:tab/>
      </w:r>
      <w:r w:rsidR="007758CF" w:rsidRPr="00C97111">
        <w:t>V.</w:t>
      </w:r>
      <w:r w:rsidR="007758CF" w:rsidRPr="00C97111">
        <w:tab/>
        <w:t>Conclusiones</w:t>
      </w:r>
      <w:r w:rsidR="007758CF" w:rsidRPr="00C97111">
        <w:tab/>
      </w:r>
      <w:r>
        <w:tab/>
      </w:r>
      <w:r w:rsidR="007758CF" w:rsidRPr="00C97111">
        <w:t>2</w:t>
      </w:r>
      <w:r w:rsidR="00C57360">
        <w:t>5</w:t>
      </w:r>
    </w:p>
    <w:p w:rsidR="007758CF" w:rsidRPr="00C97111" w:rsidRDefault="007758CF" w:rsidP="00C97111">
      <w:pPr>
        <w:tabs>
          <w:tab w:val="right" w:pos="850"/>
          <w:tab w:val="left" w:pos="1134"/>
          <w:tab w:val="left" w:pos="1559"/>
          <w:tab w:val="left" w:pos="1984"/>
          <w:tab w:val="left" w:leader="dot" w:pos="8929"/>
          <w:tab w:val="right" w:pos="9638"/>
        </w:tabs>
        <w:spacing w:after="120"/>
      </w:pPr>
    </w:p>
    <w:p w:rsidR="007758CF" w:rsidRDefault="007758CF">
      <w:pPr>
        <w:spacing w:line="240" w:lineRule="auto"/>
        <w:rPr>
          <w:sz w:val="22"/>
          <w:szCs w:val="22"/>
        </w:rPr>
      </w:pPr>
      <w:r>
        <w:rPr>
          <w:sz w:val="22"/>
          <w:szCs w:val="22"/>
        </w:rPr>
        <w:br w:type="page"/>
      </w:r>
    </w:p>
    <w:p w:rsidR="00A764EB" w:rsidRPr="00F176D8" w:rsidRDefault="003E7721" w:rsidP="003E7721">
      <w:pPr>
        <w:pStyle w:val="HChG"/>
      </w:pPr>
      <w:bookmarkStart w:id="1" w:name="_Toc485946871"/>
      <w:r>
        <w:lastRenderedPageBreak/>
        <w:tab/>
      </w:r>
      <w:r>
        <w:tab/>
      </w:r>
      <w:r w:rsidR="00A764EB" w:rsidRPr="00F176D8">
        <w:t>Abreviaturas y Siglas</w:t>
      </w:r>
      <w:bookmarkEnd w:id="1"/>
    </w:p>
    <w:tbl>
      <w:tblPr>
        <w:tblStyle w:val="Tablaconcuadrcula"/>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13"/>
        <w:gridCol w:w="5244"/>
      </w:tblGrid>
      <w:tr w:rsidR="00403B5F" w:rsidRPr="00214959" w:rsidTr="00742A2C">
        <w:tc>
          <w:tcPr>
            <w:tcW w:w="2113" w:type="dxa"/>
          </w:tcPr>
          <w:p w:rsidR="00403B5F" w:rsidRPr="00742A2C" w:rsidRDefault="00403B5F" w:rsidP="00742A2C">
            <w:pPr>
              <w:spacing w:after="120"/>
            </w:pPr>
            <w:r w:rsidRPr="00742A2C">
              <w:t>CCT</w:t>
            </w:r>
          </w:p>
        </w:tc>
        <w:tc>
          <w:tcPr>
            <w:tcW w:w="5244" w:type="dxa"/>
          </w:tcPr>
          <w:p w:rsidR="00403B5F" w:rsidRPr="00742A2C" w:rsidRDefault="00403B5F" w:rsidP="00742A2C">
            <w:pPr>
              <w:spacing w:after="120"/>
              <w:jc w:val="both"/>
              <w:rPr>
                <w:lang w:val="es-PE"/>
              </w:rPr>
            </w:pPr>
            <w:r w:rsidRPr="00742A2C">
              <w:rPr>
                <w:lang w:val="es-PE"/>
              </w:rPr>
              <w:t>Convención contra la Tortura y Otros Tratos o Penas Crueles, Inhumanos y Degradantes</w:t>
            </w:r>
          </w:p>
        </w:tc>
      </w:tr>
      <w:tr w:rsidR="00403B5F" w:rsidRPr="00214959" w:rsidTr="00742A2C">
        <w:tc>
          <w:tcPr>
            <w:tcW w:w="2113" w:type="dxa"/>
          </w:tcPr>
          <w:p w:rsidR="00403B5F" w:rsidRPr="00742A2C" w:rsidRDefault="00403B5F" w:rsidP="00742A2C">
            <w:pPr>
              <w:spacing w:after="120"/>
            </w:pPr>
            <w:r w:rsidRPr="00742A2C">
              <w:t>CEP</w:t>
            </w:r>
          </w:p>
        </w:tc>
        <w:tc>
          <w:tcPr>
            <w:tcW w:w="5244" w:type="dxa"/>
          </w:tcPr>
          <w:p w:rsidR="00403B5F" w:rsidRPr="00742A2C" w:rsidRDefault="00403B5F" w:rsidP="00742A2C">
            <w:pPr>
              <w:spacing w:after="120"/>
              <w:jc w:val="both"/>
              <w:rPr>
                <w:lang w:val="es-PE"/>
              </w:rPr>
            </w:pPr>
            <w:r w:rsidRPr="00742A2C">
              <w:rPr>
                <w:lang w:val="es-PE"/>
              </w:rPr>
              <w:t>Código de Ejecución Penal</w:t>
            </w:r>
          </w:p>
        </w:tc>
      </w:tr>
      <w:tr w:rsidR="00403B5F" w:rsidRPr="00214959" w:rsidTr="00742A2C">
        <w:tc>
          <w:tcPr>
            <w:tcW w:w="2113" w:type="dxa"/>
          </w:tcPr>
          <w:p w:rsidR="00403B5F" w:rsidRPr="00742A2C" w:rsidRDefault="00403B5F" w:rsidP="00742A2C">
            <w:pPr>
              <w:spacing w:after="120"/>
            </w:pPr>
            <w:r w:rsidRPr="00742A2C">
              <w:t>CENECP</w:t>
            </w:r>
          </w:p>
        </w:tc>
        <w:tc>
          <w:tcPr>
            <w:tcW w:w="5244" w:type="dxa"/>
          </w:tcPr>
          <w:p w:rsidR="00403B5F" w:rsidRPr="00742A2C" w:rsidRDefault="00403B5F" w:rsidP="00742A2C">
            <w:pPr>
              <w:spacing w:after="120"/>
              <w:jc w:val="both"/>
            </w:pPr>
            <w:r w:rsidRPr="00742A2C">
              <w:t xml:space="preserve">Centro Nacional de Estudios Criminológicos y Penitenciarios </w:t>
            </w:r>
          </w:p>
        </w:tc>
      </w:tr>
      <w:tr w:rsidR="00403B5F" w:rsidRPr="00214959" w:rsidTr="00742A2C">
        <w:tc>
          <w:tcPr>
            <w:tcW w:w="2113" w:type="dxa"/>
          </w:tcPr>
          <w:p w:rsidR="00403B5F" w:rsidRPr="00742A2C" w:rsidRDefault="00403B5F" w:rsidP="00742A2C">
            <w:pPr>
              <w:spacing w:after="120"/>
            </w:pPr>
            <w:r w:rsidRPr="00742A2C">
              <w:t>CNA</w:t>
            </w:r>
          </w:p>
        </w:tc>
        <w:tc>
          <w:tcPr>
            <w:tcW w:w="5244" w:type="dxa"/>
          </w:tcPr>
          <w:p w:rsidR="00403B5F" w:rsidRPr="00742A2C" w:rsidRDefault="00403B5F" w:rsidP="00742A2C">
            <w:pPr>
              <w:spacing w:after="120"/>
              <w:jc w:val="both"/>
              <w:rPr>
                <w:lang w:val="es-PE"/>
              </w:rPr>
            </w:pPr>
            <w:r w:rsidRPr="00742A2C">
              <w:rPr>
                <w:lang w:val="es-PE"/>
              </w:rPr>
              <w:t>Código de los Niños y Adolescentes</w:t>
            </w:r>
          </w:p>
        </w:tc>
      </w:tr>
      <w:tr w:rsidR="00403B5F" w:rsidRPr="00214959" w:rsidTr="00742A2C">
        <w:tc>
          <w:tcPr>
            <w:tcW w:w="2113" w:type="dxa"/>
          </w:tcPr>
          <w:p w:rsidR="00403B5F" w:rsidRPr="00742A2C" w:rsidRDefault="00403B5F" w:rsidP="00742A2C">
            <w:pPr>
              <w:spacing w:after="120"/>
            </w:pPr>
            <w:r w:rsidRPr="00742A2C">
              <w:t>CONACOD</w:t>
            </w:r>
          </w:p>
        </w:tc>
        <w:tc>
          <w:tcPr>
            <w:tcW w:w="5244" w:type="dxa"/>
          </w:tcPr>
          <w:p w:rsidR="00403B5F" w:rsidRPr="00742A2C" w:rsidRDefault="00403B5F" w:rsidP="00742A2C">
            <w:pPr>
              <w:spacing w:after="120"/>
              <w:jc w:val="both"/>
              <w:rPr>
                <w:lang w:val="es-PE"/>
              </w:rPr>
            </w:pPr>
            <w:r w:rsidRPr="00742A2C">
              <w:rPr>
                <w:lang w:val="es-PE"/>
              </w:rPr>
              <w:t>Comisión Nacional contra la Discriminación</w:t>
            </w:r>
          </w:p>
        </w:tc>
      </w:tr>
      <w:tr w:rsidR="00403B5F" w:rsidRPr="00214959" w:rsidTr="00742A2C">
        <w:trPr>
          <w:trHeight w:val="290"/>
        </w:trPr>
        <w:tc>
          <w:tcPr>
            <w:tcW w:w="2113" w:type="dxa"/>
          </w:tcPr>
          <w:p w:rsidR="00403B5F" w:rsidRPr="00742A2C" w:rsidRDefault="00403B5F" w:rsidP="00742A2C">
            <w:pPr>
              <w:spacing w:after="120"/>
              <w:jc w:val="both"/>
              <w:rPr>
                <w:lang w:val="es-PE"/>
              </w:rPr>
            </w:pPr>
            <w:r w:rsidRPr="00742A2C">
              <w:rPr>
                <w:lang w:val="es-PE"/>
              </w:rPr>
              <w:br w:type="page"/>
              <w:t>CPC</w:t>
            </w:r>
          </w:p>
        </w:tc>
        <w:tc>
          <w:tcPr>
            <w:tcW w:w="5244" w:type="dxa"/>
          </w:tcPr>
          <w:p w:rsidR="00403B5F" w:rsidRPr="00742A2C" w:rsidRDefault="00403B5F" w:rsidP="00742A2C">
            <w:pPr>
              <w:spacing w:after="120"/>
              <w:jc w:val="both"/>
              <w:rPr>
                <w:lang w:val="es-PE"/>
              </w:rPr>
            </w:pPr>
            <w:r w:rsidRPr="00742A2C">
              <w:rPr>
                <w:lang w:val="es-PE"/>
              </w:rPr>
              <w:t>Código Procesal Constitucional</w:t>
            </w:r>
          </w:p>
        </w:tc>
      </w:tr>
      <w:tr w:rsidR="00403B5F" w:rsidRPr="00214959" w:rsidTr="00742A2C">
        <w:trPr>
          <w:trHeight w:val="280"/>
        </w:trPr>
        <w:tc>
          <w:tcPr>
            <w:tcW w:w="2113" w:type="dxa"/>
          </w:tcPr>
          <w:p w:rsidR="00403B5F" w:rsidRPr="00742A2C" w:rsidRDefault="00403B5F" w:rsidP="00742A2C">
            <w:pPr>
              <w:spacing w:after="120"/>
              <w:jc w:val="both"/>
              <w:rPr>
                <w:lang w:val="es-PE"/>
              </w:rPr>
            </w:pPr>
            <w:r w:rsidRPr="00742A2C">
              <w:rPr>
                <w:lang w:val="es-PE"/>
              </w:rPr>
              <w:t>CP</w:t>
            </w:r>
          </w:p>
        </w:tc>
        <w:tc>
          <w:tcPr>
            <w:tcW w:w="5244" w:type="dxa"/>
          </w:tcPr>
          <w:p w:rsidR="00403B5F" w:rsidRPr="00742A2C" w:rsidRDefault="00403B5F" w:rsidP="00742A2C">
            <w:pPr>
              <w:spacing w:after="120"/>
              <w:jc w:val="both"/>
              <w:rPr>
                <w:lang w:val="es-PE"/>
              </w:rPr>
            </w:pPr>
            <w:r w:rsidRPr="00742A2C">
              <w:rPr>
                <w:lang w:val="es-PE"/>
              </w:rPr>
              <w:t>Código Penal</w:t>
            </w:r>
          </w:p>
        </w:tc>
      </w:tr>
      <w:tr w:rsidR="00403B5F" w:rsidRPr="00214959" w:rsidTr="00742A2C">
        <w:trPr>
          <w:trHeight w:val="284"/>
        </w:trPr>
        <w:tc>
          <w:tcPr>
            <w:tcW w:w="2113" w:type="dxa"/>
          </w:tcPr>
          <w:p w:rsidR="00403B5F" w:rsidRPr="00742A2C" w:rsidRDefault="00403B5F" w:rsidP="00742A2C">
            <w:pPr>
              <w:spacing w:after="120"/>
              <w:jc w:val="both"/>
              <w:rPr>
                <w:lang w:val="es-PE"/>
              </w:rPr>
            </w:pPr>
            <w:r w:rsidRPr="00742A2C">
              <w:rPr>
                <w:lang w:val="es-PE"/>
              </w:rPr>
              <w:t>DDHH</w:t>
            </w:r>
          </w:p>
        </w:tc>
        <w:tc>
          <w:tcPr>
            <w:tcW w:w="5244" w:type="dxa"/>
          </w:tcPr>
          <w:p w:rsidR="00403B5F" w:rsidRPr="00742A2C" w:rsidRDefault="00403B5F" w:rsidP="00742A2C">
            <w:pPr>
              <w:spacing w:after="120"/>
              <w:jc w:val="both"/>
              <w:rPr>
                <w:lang w:val="es-PE"/>
              </w:rPr>
            </w:pPr>
            <w:r w:rsidRPr="00742A2C">
              <w:rPr>
                <w:lang w:val="es-PE"/>
              </w:rPr>
              <w:t>Derechos Humanos</w:t>
            </w:r>
          </w:p>
        </w:tc>
      </w:tr>
      <w:tr w:rsidR="00403B5F" w:rsidRPr="00214959" w:rsidTr="00742A2C">
        <w:trPr>
          <w:trHeight w:val="315"/>
        </w:trPr>
        <w:tc>
          <w:tcPr>
            <w:tcW w:w="2113" w:type="dxa"/>
          </w:tcPr>
          <w:p w:rsidR="00403B5F" w:rsidRPr="00742A2C" w:rsidRDefault="00403B5F" w:rsidP="00742A2C">
            <w:pPr>
              <w:spacing w:after="120"/>
              <w:jc w:val="both"/>
              <w:rPr>
                <w:lang w:val="es-PE"/>
              </w:rPr>
            </w:pPr>
            <w:r w:rsidRPr="00742A2C">
              <w:rPr>
                <w:lang w:val="es-PE"/>
              </w:rPr>
              <w:t>DGDP</w:t>
            </w:r>
          </w:p>
        </w:tc>
        <w:tc>
          <w:tcPr>
            <w:tcW w:w="5244" w:type="dxa"/>
          </w:tcPr>
          <w:p w:rsidR="00403B5F" w:rsidRPr="00742A2C" w:rsidRDefault="00403B5F" w:rsidP="00742A2C">
            <w:pPr>
              <w:spacing w:after="120"/>
              <w:jc w:val="both"/>
              <w:rPr>
                <w:lang w:val="es-PE"/>
              </w:rPr>
            </w:pPr>
            <w:r w:rsidRPr="00742A2C">
              <w:rPr>
                <w:lang w:val="es-PE"/>
              </w:rPr>
              <w:t>Dirección General de Defensa Pública y Acceso a la Justicia</w:t>
            </w:r>
          </w:p>
        </w:tc>
      </w:tr>
      <w:tr w:rsidR="00403B5F" w:rsidRPr="00214959" w:rsidTr="00742A2C">
        <w:tc>
          <w:tcPr>
            <w:tcW w:w="2113" w:type="dxa"/>
          </w:tcPr>
          <w:p w:rsidR="00403B5F" w:rsidRPr="00742A2C" w:rsidRDefault="00403B5F" w:rsidP="00742A2C">
            <w:pPr>
              <w:spacing w:after="120"/>
              <w:jc w:val="both"/>
              <w:rPr>
                <w:lang w:val="es-PE"/>
              </w:rPr>
            </w:pPr>
            <w:r w:rsidRPr="00742A2C">
              <w:rPr>
                <w:lang w:val="es-PE"/>
              </w:rPr>
              <w:t>DP</w:t>
            </w:r>
          </w:p>
        </w:tc>
        <w:tc>
          <w:tcPr>
            <w:tcW w:w="5244" w:type="dxa"/>
          </w:tcPr>
          <w:p w:rsidR="00403B5F" w:rsidRPr="00742A2C" w:rsidRDefault="00403B5F" w:rsidP="00742A2C">
            <w:pPr>
              <w:spacing w:after="120"/>
              <w:jc w:val="both"/>
              <w:rPr>
                <w:lang w:val="es-PE"/>
              </w:rPr>
            </w:pPr>
            <w:r w:rsidRPr="00742A2C">
              <w:rPr>
                <w:lang w:val="es-PE"/>
              </w:rPr>
              <w:t>Defensoría del Pueblo</w:t>
            </w:r>
          </w:p>
        </w:tc>
      </w:tr>
      <w:tr w:rsidR="00403B5F" w:rsidRPr="00214959" w:rsidTr="00742A2C">
        <w:tc>
          <w:tcPr>
            <w:tcW w:w="2113" w:type="dxa"/>
          </w:tcPr>
          <w:p w:rsidR="00403B5F" w:rsidRPr="00742A2C" w:rsidRDefault="00403B5F" w:rsidP="00742A2C">
            <w:pPr>
              <w:spacing w:after="120"/>
            </w:pPr>
            <w:r w:rsidRPr="00742A2C">
              <w:t>IML</w:t>
            </w:r>
          </w:p>
        </w:tc>
        <w:tc>
          <w:tcPr>
            <w:tcW w:w="5244" w:type="dxa"/>
          </w:tcPr>
          <w:p w:rsidR="00403B5F" w:rsidRPr="00742A2C" w:rsidRDefault="00403B5F" w:rsidP="00742A2C">
            <w:pPr>
              <w:spacing w:after="120"/>
            </w:pPr>
            <w:r w:rsidRPr="00742A2C">
              <w:t>Instituto de Medicina Legal y Ciencias Forenses</w:t>
            </w:r>
          </w:p>
        </w:tc>
      </w:tr>
      <w:tr w:rsidR="00403B5F" w:rsidRPr="00214959" w:rsidTr="00742A2C">
        <w:tc>
          <w:tcPr>
            <w:tcW w:w="2113" w:type="dxa"/>
          </w:tcPr>
          <w:p w:rsidR="00403B5F" w:rsidRPr="00742A2C" w:rsidRDefault="00403B5F" w:rsidP="00742A2C">
            <w:pPr>
              <w:spacing w:after="120"/>
            </w:pPr>
            <w:r w:rsidRPr="00742A2C">
              <w:t>INPE</w:t>
            </w:r>
          </w:p>
        </w:tc>
        <w:tc>
          <w:tcPr>
            <w:tcW w:w="5244" w:type="dxa"/>
          </w:tcPr>
          <w:p w:rsidR="00403B5F" w:rsidRPr="00742A2C" w:rsidRDefault="00403B5F" w:rsidP="00742A2C">
            <w:pPr>
              <w:spacing w:after="120"/>
            </w:pPr>
            <w:r w:rsidRPr="00742A2C">
              <w:t>Instituto Nacional Penitenciario</w:t>
            </w:r>
          </w:p>
        </w:tc>
      </w:tr>
      <w:tr w:rsidR="00403B5F" w:rsidRPr="00214959" w:rsidTr="00742A2C">
        <w:tc>
          <w:tcPr>
            <w:tcW w:w="2113" w:type="dxa"/>
          </w:tcPr>
          <w:p w:rsidR="00403B5F" w:rsidRPr="00742A2C" w:rsidRDefault="00403B5F" w:rsidP="00742A2C">
            <w:pPr>
              <w:spacing w:after="120"/>
            </w:pPr>
            <w:r w:rsidRPr="00742A2C">
              <w:t>MININTER</w:t>
            </w:r>
          </w:p>
        </w:tc>
        <w:tc>
          <w:tcPr>
            <w:tcW w:w="5244" w:type="dxa"/>
          </w:tcPr>
          <w:p w:rsidR="00403B5F" w:rsidRPr="00742A2C" w:rsidRDefault="00403B5F" w:rsidP="00742A2C">
            <w:pPr>
              <w:spacing w:after="120"/>
            </w:pPr>
            <w:r w:rsidRPr="00742A2C">
              <w:t>Ministerio del Interior</w:t>
            </w:r>
          </w:p>
        </w:tc>
      </w:tr>
      <w:tr w:rsidR="00403B5F" w:rsidRPr="00214959" w:rsidTr="00742A2C">
        <w:tc>
          <w:tcPr>
            <w:tcW w:w="2113" w:type="dxa"/>
          </w:tcPr>
          <w:p w:rsidR="00403B5F" w:rsidRPr="00742A2C" w:rsidRDefault="00403B5F" w:rsidP="00742A2C">
            <w:pPr>
              <w:spacing w:after="120"/>
            </w:pPr>
            <w:r w:rsidRPr="00742A2C">
              <w:t>MIMP</w:t>
            </w:r>
          </w:p>
        </w:tc>
        <w:tc>
          <w:tcPr>
            <w:tcW w:w="5244" w:type="dxa"/>
          </w:tcPr>
          <w:p w:rsidR="00403B5F" w:rsidRPr="00742A2C" w:rsidRDefault="00403B5F" w:rsidP="00742A2C">
            <w:pPr>
              <w:spacing w:after="120"/>
            </w:pPr>
            <w:r w:rsidRPr="00742A2C">
              <w:t>Ministerio de la Mujer y Poblaciones Vulnerables</w:t>
            </w:r>
          </w:p>
        </w:tc>
      </w:tr>
      <w:tr w:rsidR="00403B5F" w:rsidRPr="00214959" w:rsidTr="00742A2C">
        <w:tc>
          <w:tcPr>
            <w:tcW w:w="2113" w:type="dxa"/>
          </w:tcPr>
          <w:p w:rsidR="00403B5F" w:rsidRPr="00742A2C" w:rsidRDefault="00403B5F" w:rsidP="00742A2C">
            <w:pPr>
              <w:spacing w:after="120"/>
            </w:pPr>
            <w:r w:rsidRPr="00742A2C">
              <w:t>MINJUS</w:t>
            </w:r>
          </w:p>
        </w:tc>
        <w:tc>
          <w:tcPr>
            <w:tcW w:w="5244" w:type="dxa"/>
          </w:tcPr>
          <w:p w:rsidR="00403B5F" w:rsidRPr="00742A2C" w:rsidRDefault="00403B5F" w:rsidP="00742A2C">
            <w:pPr>
              <w:spacing w:after="120"/>
            </w:pPr>
            <w:r w:rsidRPr="00742A2C">
              <w:t>Ministerio de Justicia y Derechos Humanos</w:t>
            </w:r>
          </w:p>
        </w:tc>
      </w:tr>
      <w:tr w:rsidR="00403B5F" w:rsidRPr="00214959" w:rsidTr="00742A2C">
        <w:tc>
          <w:tcPr>
            <w:tcW w:w="2113" w:type="dxa"/>
          </w:tcPr>
          <w:p w:rsidR="00403B5F" w:rsidRPr="00742A2C" w:rsidRDefault="00403B5F" w:rsidP="00742A2C">
            <w:pPr>
              <w:spacing w:after="120"/>
            </w:pPr>
            <w:r w:rsidRPr="00742A2C">
              <w:t>MINSA</w:t>
            </w:r>
          </w:p>
        </w:tc>
        <w:tc>
          <w:tcPr>
            <w:tcW w:w="5244" w:type="dxa"/>
          </w:tcPr>
          <w:p w:rsidR="00403B5F" w:rsidRPr="00742A2C" w:rsidRDefault="00403B5F" w:rsidP="00742A2C">
            <w:pPr>
              <w:spacing w:after="120"/>
            </w:pPr>
            <w:r w:rsidRPr="00742A2C">
              <w:t>Ministerio de Salud</w:t>
            </w:r>
          </w:p>
        </w:tc>
      </w:tr>
      <w:tr w:rsidR="00403B5F" w:rsidRPr="00214959" w:rsidTr="00742A2C">
        <w:tc>
          <w:tcPr>
            <w:tcW w:w="2113" w:type="dxa"/>
          </w:tcPr>
          <w:p w:rsidR="00403B5F" w:rsidRPr="00742A2C" w:rsidRDefault="00403B5F" w:rsidP="00742A2C">
            <w:pPr>
              <w:spacing w:after="120"/>
            </w:pPr>
            <w:r w:rsidRPr="00742A2C">
              <w:t>MNPT</w:t>
            </w:r>
          </w:p>
        </w:tc>
        <w:tc>
          <w:tcPr>
            <w:tcW w:w="5244" w:type="dxa"/>
          </w:tcPr>
          <w:p w:rsidR="00403B5F" w:rsidRPr="00742A2C" w:rsidRDefault="00403B5F" w:rsidP="00742A2C">
            <w:pPr>
              <w:spacing w:after="120"/>
              <w:jc w:val="both"/>
            </w:pPr>
            <w:r w:rsidRPr="00742A2C">
              <w:t>Mecanismo Nacional de Prevención de la Tortura y otros Tratos o Penas Crueles, Inhumanos o Degradantes</w:t>
            </w:r>
          </w:p>
        </w:tc>
      </w:tr>
      <w:tr w:rsidR="00403B5F" w:rsidRPr="00214959" w:rsidTr="00742A2C">
        <w:tc>
          <w:tcPr>
            <w:tcW w:w="2113" w:type="dxa"/>
          </w:tcPr>
          <w:p w:rsidR="00403B5F" w:rsidRPr="00742A2C" w:rsidRDefault="00403B5F" w:rsidP="00742A2C">
            <w:pPr>
              <w:spacing w:after="120"/>
            </w:pPr>
            <w:r w:rsidRPr="00742A2C">
              <w:t>MP</w:t>
            </w:r>
          </w:p>
        </w:tc>
        <w:tc>
          <w:tcPr>
            <w:tcW w:w="5244" w:type="dxa"/>
          </w:tcPr>
          <w:p w:rsidR="00403B5F" w:rsidRPr="00742A2C" w:rsidRDefault="00403B5F" w:rsidP="00742A2C">
            <w:pPr>
              <w:spacing w:after="120"/>
            </w:pPr>
            <w:r w:rsidRPr="00742A2C">
              <w:rPr>
                <w:lang w:val="es-PE"/>
              </w:rPr>
              <w:t>Ministerio Público</w:t>
            </w:r>
          </w:p>
        </w:tc>
      </w:tr>
      <w:tr w:rsidR="00403B5F" w:rsidRPr="00214959" w:rsidTr="00742A2C">
        <w:tc>
          <w:tcPr>
            <w:tcW w:w="2113" w:type="dxa"/>
          </w:tcPr>
          <w:p w:rsidR="00403B5F" w:rsidRPr="00742A2C" w:rsidRDefault="00403B5F" w:rsidP="00742A2C">
            <w:pPr>
              <w:spacing w:after="120"/>
            </w:pPr>
            <w:r w:rsidRPr="00742A2C">
              <w:t>NCPP</w:t>
            </w:r>
          </w:p>
        </w:tc>
        <w:tc>
          <w:tcPr>
            <w:tcW w:w="5244" w:type="dxa"/>
          </w:tcPr>
          <w:p w:rsidR="00403B5F" w:rsidRPr="00742A2C" w:rsidRDefault="00403B5F" w:rsidP="00742A2C">
            <w:pPr>
              <w:spacing w:after="120"/>
              <w:rPr>
                <w:lang w:val="es-PE"/>
              </w:rPr>
            </w:pPr>
            <w:r w:rsidRPr="00742A2C">
              <w:rPr>
                <w:rFonts w:eastAsiaTheme="minorHAnsi"/>
              </w:rPr>
              <w:t>Nuevo Código Procesal Penal</w:t>
            </w:r>
          </w:p>
        </w:tc>
      </w:tr>
      <w:tr w:rsidR="00403B5F" w:rsidRPr="00214959" w:rsidTr="00742A2C">
        <w:tc>
          <w:tcPr>
            <w:tcW w:w="2113" w:type="dxa"/>
          </w:tcPr>
          <w:p w:rsidR="00403B5F" w:rsidRPr="00742A2C" w:rsidRDefault="00403B5F" w:rsidP="00742A2C">
            <w:pPr>
              <w:spacing w:after="120"/>
            </w:pPr>
            <w:r w:rsidRPr="00742A2C">
              <w:t>PFCCT</w:t>
            </w:r>
          </w:p>
        </w:tc>
        <w:tc>
          <w:tcPr>
            <w:tcW w:w="5244" w:type="dxa"/>
          </w:tcPr>
          <w:p w:rsidR="00403B5F" w:rsidRPr="00742A2C" w:rsidRDefault="00403B5F" w:rsidP="00742A2C">
            <w:pPr>
              <w:spacing w:after="120"/>
              <w:jc w:val="both"/>
            </w:pPr>
            <w:r w:rsidRPr="00742A2C">
              <w:t>Protocolo Facultativo de la Convención contra la Tortura y Otros Tratos o Penas Crueles, Inhumanos o Degradantes</w:t>
            </w:r>
          </w:p>
        </w:tc>
      </w:tr>
      <w:tr w:rsidR="00403B5F" w:rsidRPr="00214959" w:rsidTr="00742A2C">
        <w:tc>
          <w:tcPr>
            <w:tcW w:w="2113" w:type="dxa"/>
          </w:tcPr>
          <w:p w:rsidR="00403B5F" w:rsidRPr="00742A2C" w:rsidRDefault="00403B5F" w:rsidP="00742A2C">
            <w:pPr>
              <w:spacing w:after="120"/>
            </w:pPr>
            <w:r w:rsidRPr="00742A2C">
              <w:t>PJ</w:t>
            </w:r>
          </w:p>
        </w:tc>
        <w:tc>
          <w:tcPr>
            <w:tcW w:w="5244" w:type="dxa"/>
          </w:tcPr>
          <w:p w:rsidR="00403B5F" w:rsidRPr="00742A2C" w:rsidRDefault="00403B5F" w:rsidP="00742A2C">
            <w:pPr>
              <w:spacing w:after="120"/>
              <w:jc w:val="both"/>
            </w:pPr>
            <w:r w:rsidRPr="00742A2C">
              <w:t>Poder Judicial</w:t>
            </w:r>
          </w:p>
        </w:tc>
      </w:tr>
      <w:tr w:rsidR="00403B5F" w:rsidRPr="00214959" w:rsidTr="00742A2C">
        <w:tc>
          <w:tcPr>
            <w:tcW w:w="2113" w:type="dxa"/>
          </w:tcPr>
          <w:p w:rsidR="00403B5F" w:rsidRPr="00742A2C" w:rsidRDefault="00403B5F" w:rsidP="00742A2C">
            <w:pPr>
              <w:spacing w:after="120"/>
            </w:pPr>
            <w:r w:rsidRPr="00742A2C">
              <w:t>PNAIA</w:t>
            </w:r>
          </w:p>
        </w:tc>
        <w:tc>
          <w:tcPr>
            <w:tcW w:w="5244" w:type="dxa"/>
          </w:tcPr>
          <w:p w:rsidR="00403B5F" w:rsidRPr="00742A2C" w:rsidRDefault="00403B5F" w:rsidP="00742A2C">
            <w:pPr>
              <w:spacing w:after="120"/>
              <w:rPr>
                <w:lang w:val="es-ES_tradnl"/>
              </w:rPr>
            </w:pPr>
            <w:r w:rsidRPr="00742A2C">
              <w:rPr>
                <w:lang w:val="es-ES_tradnl"/>
              </w:rPr>
              <w:t>Plan Nacional de Acción por la Infancia y la Adolescencia</w:t>
            </w:r>
          </w:p>
        </w:tc>
      </w:tr>
      <w:tr w:rsidR="00403B5F" w:rsidRPr="00214959" w:rsidTr="00742A2C">
        <w:tc>
          <w:tcPr>
            <w:tcW w:w="2113" w:type="dxa"/>
          </w:tcPr>
          <w:p w:rsidR="00403B5F" w:rsidRPr="00742A2C" w:rsidRDefault="00403B5F" w:rsidP="00742A2C">
            <w:pPr>
              <w:spacing w:after="120"/>
            </w:pPr>
            <w:r w:rsidRPr="00742A2C">
              <w:t>PNCVFS</w:t>
            </w:r>
          </w:p>
        </w:tc>
        <w:tc>
          <w:tcPr>
            <w:tcW w:w="5244" w:type="dxa"/>
          </w:tcPr>
          <w:p w:rsidR="00403B5F" w:rsidRPr="00742A2C" w:rsidRDefault="00403B5F" w:rsidP="00742A2C">
            <w:pPr>
              <w:spacing w:after="120"/>
              <w:rPr>
                <w:lang w:val="es-ES_tradnl"/>
              </w:rPr>
            </w:pPr>
            <w:r w:rsidRPr="00742A2C">
              <w:t>Programa Nacional contra la Violencia Familiar y Sexual</w:t>
            </w:r>
          </w:p>
        </w:tc>
      </w:tr>
      <w:tr w:rsidR="00403B5F" w:rsidRPr="00214959" w:rsidTr="00742A2C">
        <w:tc>
          <w:tcPr>
            <w:tcW w:w="2113" w:type="dxa"/>
          </w:tcPr>
          <w:p w:rsidR="00403B5F" w:rsidRPr="00742A2C" w:rsidRDefault="00403B5F" w:rsidP="00742A2C">
            <w:pPr>
              <w:spacing w:after="120"/>
            </w:pPr>
            <w:r w:rsidRPr="00742A2C">
              <w:t>PNP</w:t>
            </w:r>
          </w:p>
        </w:tc>
        <w:tc>
          <w:tcPr>
            <w:tcW w:w="5244" w:type="dxa"/>
          </w:tcPr>
          <w:p w:rsidR="00403B5F" w:rsidRPr="00742A2C" w:rsidRDefault="00403B5F" w:rsidP="00742A2C">
            <w:pPr>
              <w:spacing w:after="120"/>
            </w:pPr>
            <w:r w:rsidRPr="00742A2C">
              <w:rPr>
                <w:lang w:val="es-ES_tradnl"/>
              </w:rPr>
              <w:t>Policía Nacional del Perú</w:t>
            </w:r>
          </w:p>
        </w:tc>
      </w:tr>
      <w:tr w:rsidR="00403B5F" w:rsidRPr="00214959" w:rsidTr="00742A2C">
        <w:tc>
          <w:tcPr>
            <w:tcW w:w="2113" w:type="dxa"/>
          </w:tcPr>
          <w:p w:rsidR="00403B5F" w:rsidRPr="00742A2C" w:rsidRDefault="00403B5F" w:rsidP="00742A2C">
            <w:pPr>
              <w:spacing w:after="120"/>
            </w:pPr>
            <w:r w:rsidRPr="00742A2C">
              <w:t>PNEDDF</w:t>
            </w:r>
          </w:p>
        </w:tc>
        <w:tc>
          <w:tcPr>
            <w:tcW w:w="5244" w:type="dxa"/>
          </w:tcPr>
          <w:p w:rsidR="00403B5F" w:rsidRPr="00742A2C" w:rsidRDefault="00403B5F" w:rsidP="00742A2C">
            <w:pPr>
              <w:spacing w:after="120"/>
            </w:pPr>
            <w:r w:rsidRPr="00742A2C">
              <w:t>Plan Nacional de Educación en Derechos y Deberes Fundamentales</w:t>
            </w:r>
          </w:p>
        </w:tc>
      </w:tr>
      <w:tr w:rsidR="00403B5F" w:rsidRPr="00214959" w:rsidTr="00742A2C">
        <w:tc>
          <w:tcPr>
            <w:tcW w:w="2113" w:type="dxa"/>
          </w:tcPr>
          <w:p w:rsidR="00403B5F" w:rsidRPr="00742A2C" w:rsidRDefault="00403B5F" w:rsidP="00742A2C">
            <w:pPr>
              <w:spacing w:after="120"/>
            </w:pPr>
            <w:r w:rsidRPr="00742A2C">
              <w:t>PPL</w:t>
            </w:r>
          </w:p>
        </w:tc>
        <w:tc>
          <w:tcPr>
            <w:tcW w:w="5244" w:type="dxa"/>
          </w:tcPr>
          <w:p w:rsidR="00403B5F" w:rsidRPr="00742A2C" w:rsidRDefault="00403B5F" w:rsidP="00742A2C">
            <w:pPr>
              <w:spacing w:after="120"/>
            </w:pPr>
            <w:r w:rsidRPr="00742A2C">
              <w:t>Personas Privadas de Libertad</w:t>
            </w:r>
          </w:p>
        </w:tc>
      </w:tr>
      <w:tr w:rsidR="00403B5F" w:rsidRPr="00214959" w:rsidTr="00742A2C">
        <w:tc>
          <w:tcPr>
            <w:tcW w:w="2113" w:type="dxa"/>
          </w:tcPr>
          <w:p w:rsidR="00403B5F" w:rsidRPr="00742A2C" w:rsidRDefault="00403B5F" w:rsidP="00742A2C">
            <w:pPr>
              <w:spacing w:after="120"/>
            </w:pPr>
            <w:r w:rsidRPr="00742A2C">
              <w:t>SIS</w:t>
            </w:r>
          </w:p>
        </w:tc>
        <w:tc>
          <w:tcPr>
            <w:tcW w:w="5244" w:type="dxa"/>
          </w:tcPr>
          <w:p w:rsidR="00403B5F" w:rsidRPr="00742A2C" w:rsidRDefault="00403B5F" w:rsidP="00742A2C">
            <w:pPr>
              <w:spacing w:after="120"/>
              <w:jc w:val="both"/>
            </w:pPr>
            <w:r w:rsidRPr="00742A2C">
              <w:t>Seguro Integral de Salud</w:t>
            </w:r>
          </w:p>
        </w:tc>
      </w:tr>
      <w:tr w:rsidR="00403B5F" w:rsidRPr="00214959" w:rsidTr="00742A2C">
        <w:tc>
          <w:tcPr>
            <w:tcW w:w="2113" w:type="dxa"/>
          </w:tcPr>
          <w:p w:rsidR="00403B5F" w:rsidRPr="00742A2C" w:rsidRDefault="00403B5F" w:rsidP="00742A2C">
            <w:pPr>
              <w:spacing w:after="120"/>
            </w:pPr>
            <w:r w:rsidRPr="00742A2C">
              <w:t>SOA</w:t>
            </w:r>
          </w:p>
        </w:tc>
        <w:tc>
          <w:tcPr>
            <w:tcW w:w="5244" w:type="dxa"/>
          </w:tcPr>
          <w:p w:rsidR="00403B5F" w:rsidRPr="00742A2C" w:rsidRDefault="00403B5F" w:rsidP="00742A2C">
            <w:pPr>
              <w:spacing w:after="120"/>
              <w:jc w:val="both"/>
            </w:pPr>
            <w:r w:rsidRPr="00742A2C">
              <w:t>Servicios de Orientación al Adolescente</w:t>
            </w:r>
          </w:p>
        </w:tc>
      </w:tr>
      <w:tr w:rsidR="00403B5F" w:rsidRPr="00214959" w:rsidTr="00742A2C">
        <w:tc>
          <w:tcPr>
            <w:tcW w:w="2113" w:type="dxa"/>
          </w:tcPr>
          <w:p w:rsidR="00403B5F" w:rsidRPr="00742A2C" w:rsidRDefault="00403B5F" w:rsidP="00742A2C">
            <w:pPr>
              <w:spacing w:after="120"/>
            </w:pPr>
            <w:r w:rsidRPr="00742A2C">
              <w:t>SPT</w:t>
            </w:r>
          </w:p>
        </w:tc>
        <w:tc>
          <w:tcPr>
            <w:tcW w:w="5244" w:type="dxa"/>
          </w:tcPr>
          <w:p w:rsidR="00403B5F" w:rsidRPr="00742A2C" w:rsidRDefault="00403B5F" w:rsidP="00742A2C">
            <w:pPr>
              <w:spacing w:after="120"/>
              <w:jc w:val="both"/>
            </w:pPr>
            <w:r w:rsidRPr="00742A2C">
              <w:t>Subcomité para la Prevención de la Tortura y Otros Tratos o Penas Crueles, Inhumanos o Degradantes</w:t>
            </w:r>
          </w:p>
        </w:tc>
      </w:tr>
      <w:tr w:rsidR="00403B5F" w:rsidRPr="00214959" w:rsidTr="00742A2C">
        <w:tc>
          <w:tcPr>
            <w:tcW w:w="2113" w:type="dxa"/>
          </w:tcPr>
          <w:p w:rsidR="00403B5F" w:rsidRPr="00742A2C" w:rsidRDefault="00403B5F" w:rsidP="00A764EB">
            <w:pPr>
              <w:spacing w:before="60" w:line="240" w:lineRule="auto"/>
            </w:pPr>
            <w:r w:rsidRPr="00742A2C">
              <w:t>TBC</w:t>
            </w:r>
          </w:p>
        </w:tc>
        <w:tc>
          <w:tcPr>
            <w:tcW w:w="5244" w:type="dxa"/>
          </w:tcPr>
          <w:p w:rsidR="00403B5F" w:rsidRPr="00742A2C" w:rsidRDefault="00403B5F" w:rsidP="00A764EB">
            <w:pPr>
              <w:spacing w:before="60" w:line="240" w:lineRule="auto"/>
              <w:jc w:val="both"/>
            </w:pPr>
            <w:r w:rsidRPr="00742A2C">
              <w:t>Tuberculosis</w:t>
            </w:r>
          </w:p>
        </w:tc>
      </w:tr>
    </w:tbl>
    <w:p w:rsidR="00A764EB" w:rsidRPr="00F176D8" w:rsidRDefault="00A764EB" w:rsidP="00A764EB">
      <w:pPr>
        <w:spacing w:line="240" w:lineRule="auto"/>
        <w:contextualSpacing/>
        <w:jc w:val="both"/>
        <w:rPr>
          <w:sz w:val="22"/>
          <w:szCs w:val="22"/>
        </w:rPr>
      </w:pPr>
    </w:p>
    <w:p w:rsidR="00A764EB" w:rsidRPr="00F176D8" w:rsidRDefault="00A764EB" w:rsidP="00A764EB">
      <w:pPr>
        <w:pStyle w:val="Ttulo1"/>
        <w:rPr>
          <w:rFonts w:cs="Times New Roman"/>
          <w:sz w:val="22"/>
          <w:szCs w:val="22"/>
        </w:rPr>
      </w:pPr>
      <w:r w:rsidRPr="00F176D8">
        <w:rPr>
          <w:rFonts w:cs="Times New Roman"/>
          <w:sz w:val="22"/>
          <w:szCs w:val="22"/>
        </w:rPr>
        <w:br w:type="page"/>
      </w:r>
    </w:p>
    <w:p w:rsidR="00A764EB" w:rsidRPr="00A764EB" w:rsidRDefault="00A764EB" w:rsidP="00A764EB">
      <w:pPr>
        <w:pStyle w:val="HChG"/>
      </w:pPr>
      <w:bookmarkStart w:id="2" w:name="_Toc485946872"/>
      <w:r>
        <w:lastRenderedPageBreak/>
        <w:tab/>
        <w:t>I.</w:t>
      </w:r>
      <w:r>
        <w:tab/>
      </w:r>
      <w:r w:rsidRPr="00F176D8">
        <w:t>Introducción</w:t>
      </w:r>
      <w:bookmarkEnd w:id="2"/>
      <w:r w:rsidRPr="00F176D8">
        <w:t xml:space="preserve"> </w:t>
      </w:r>
    </w:p>
    <w:p w:rsidR="00A764EB" w:rsidRPr="00F176D8" w:rsidRDefault="00C47121" w:rsidP="00C47121">
      <w:pPr>
        <w:pStyle w:val="SingleTxtG"/>
      </w:pPr>
      <w:r>
        <w:t>1.</w:t>
      </w:r>
      <w:r>
        <w:tab/>
      </w:r>
      <w:r w:rsidR="00A764EB" w:rsidRPr="00F176D8">
        <w:t>El Perú ha ratificado la Convención contra la Tortura y Otros Tratos o Penas Crueles, Inhumanos y Degradantes (en adelante, “CCT”) y su Protocolo Facultativo (en adelante, “PFCCT”), comprometiéndose de esa manera a implementar las disposiciones contenidas en dichos tratados y colaborar con el Subcomité para la Prevención de la Tortura y Otros Tratos o Penas Crueles, Inhumanos o Degradantes (en adelante, “SPT”).</w:t>
      </w:r>
    </w:p>
    <w:p w:rsidR="00A764EB" w:rsidRPr="00F176D8" w:rsidRDefault="00C47121" w:rsidP="00C47121">
      <w:pPr>
        <w:pStyle w:val="SingleTxtG"/>
      </w:pPr>
      <w:r>
        <w:t>2.</w:t>
      </w:r>
      <w:r>
        <w:tab/>
      </w:r>
      <w:r w:rsidR="00A764EB" w:rsidRPr="00F176D8">
        <w:t>Precisamente, el SPT elaboró un informe [CAT/OP-PER/R.1] a partir de la visita realizada al Perú en el 2013 donde recomendó se adopten diversas medidas, entre ellas, las referidas a:</w:t>
      </w:r>
      <w:r w:rsidR="00A764EB" w:rsidRPr="00F176D8">
        <w:rPr>
          <w:b/>
          <w:i/>
        </w:rPr>
        <w:t xml:space="preserve"> i)</w:t>
      </w:r>
      <w:r w:rsidR="00A764EB" w:rsidRPr="00F176D8">
        <w:t xml:space="preserve"> el Mecanismo Nacional de Prevención; </w:t>
      </w:r>
      <w:r w:rsidR="00A764EB" w:rsidRPr="00F176D8">
        <w:rPr>
          <w:b/>
          <w:i/>
        </w:rPr>
        <w:t xml:space="preserve">ii) </w:t>
      </w:r>
      <w:r w:rsidR="00A764EB" w:rsidRPr="00F176D8">
        <w:t xml:space="preserve">la situación de las personas privadas de libertad (en adelante, “PPL”); y, </w:t>
      </w:r>
      <w:r w:rsidR="00A764EB" w:rsidRPr="00F176D8">
        <w:rPr>
          <w:b/>
          <w:i/>
        </w:rPr>
        <w:t xml:space="preserve">iii) </w:t>
      </w:r>
      <w:r w:rsidR="00A764EB" w:rsidRPr="00F176D8">
        <w:t>los aspectos relativos al marco jurídico e institucional para la prevenció</w:t>
      </w:r>
      <w:r>
        <w:t>n de la tortura y malos tratos.</w:t>
      </w:r>
    </w:p>
    <w:p w:rsidR="00A764EB" w:rsidRPr="00F176D8" w:rsidRDefault="00C47121" w:rsidP="00C47121">
      <w:pPr>
        <w:pStyle w:val="SingleTxtG"/>
      </w:pPr>
      <w:r>
        <w:rPr>
          <w:lang w:val="es-ES_tradnl"/>
        </w:rPr>
        <w:t>3.</w:t>
      </w:r>
      <w:r>
        <w:rPr>
          <w:lang w:val="es-ES_tradnl"/>
        </w:rPr>
        <w:tab/>
      </w:r>
      <w:r w:rsidR="00A764EB" w:rsidRPr="00F176D8">
        <w:rPr>
          <w:lang w:val="es-ES_tradnl"/>
        </w:rPr>
        <w:t xml:space="preserve">Al respecto, las recomendaciones contenidas en el citado informe </w:t>
      </w:r>
      <w:r w:rsidR="00A764EB" w:rsidRPr="00F176D8">
        <w:t>constituyen un punto de partida para poder identificar los retos pendientes en la implementación de las disposiciones establecidas en los tratado</w:t>
      </w:r>
      <w:r>
        <w:t>s relacionados a dicha materia.</w:t>
      </w:r>
    </w:p>
    <w:p w:rsidR="00A764EB" w:rsidRPr="00F176D8" w:rsidRDefault="00C47121" w:rsidP="00C47121">
      <w:pPr>
        <w:pStyle w:val="SingleTxtG"/>
      </w:pPr>
      <w:r>
        <w:rPr>
          <w:lang w:val="es-ES_tradnl"/>
        </w:rPr>
        <w:t>4.</w:t>
      </w:r>
      <w:r>
        <w:rPr>
          <w:lang w:val="es-ES_tradnl"/>
        </w:rPr>
        <w:tab/>
      </w:r>
      <w:r w:rsidR="00A764EB" w:rsidRPr="00F176D8">
        <w:rPr>
          <w:lang w:val="es-ES_tradnl"/>
        </w:rPr>
        <w:t xml:space="preserve">En esa línea, el Estado peruano </w:t>
      </w:r>
      <w:r w:rsidR="00A764EB" w:rsidRPr="00F176D8">
        <w:t xml:space="preserve">solicita al SPT hacer público su informe </w:t>
      </w:r>
      <w:r w:rsidR="00A764EB" w:rsidRPr="00F176D8">
        <w:rPr>
          <w:lang w:val="es-ES_tradnl"/>
        </w:rPr>
        <w:t xml:space="preserve">con el propósito de hacer de éste un diagnóstico a partir del cual se compromete a seguir adoptando diversas medidas que garanticen </w:t>
      </w:r>
      <w:r w:rsidR="00A764EB" w:rsidRPr="00F176D8">
        <w:t>el respeto de la dignidad de la persona humana frente a la tortura y otros tratos o penas crueles, inhumanos o degradantes, para lograr así que las entidades e instituciones concernidas logren inter</w:t>
      </w:r>
      <w:r>
        <w:t>venciones eficaces y oportunas.</w:t>
      </w:r>
    </w:p>
    <w:p w:rsidR="00A764EB" w:rsidRPr="00C47121" w:rsidRDefault="00C47121" w:rsidP="00C47121">
      <w:pPr>
        <w:pStyle w:val="SingleTxtG"/>
      </w:pPr>
      <w:r>
        <w:t>5.</w:t>
      </w:r>
      <w:r>
        <w:tab/>
      </w:r>
      <w:r w:rsidR="00A764EB" w:rsidRPr="00F176D8">
        <w:t>De la misma forma, se solicita al SPT hacer público el presente documento de respuesta a sus recomendaciones con la finalidad de dar cuenta de los avances cons</w:t>
      </w:r>
      <w:r>
        <w:t xml:space="preserve">eguidos después de su visita.  </w:t>
      </w:r>
    </w:p>
    <w:p w:rsidR="00A764EB" w:rsidRPr="00C47121" w:rsidRDefault="00C47121" w:rsidP="00C47121">
      <w:pPr>
        <w:pStyle w:val="HChG"/>
      </w:pPr>
      <w:bookmarkStart w:id="3" w:name="_Toc485946873"/>
      <w:r>
        <w:tab/>
        <w:t>II.</w:t>
      </w:r>
      <w:r>
        <w:tab/>
      </w:r>
      <w:r w:rsidR="00A764EB" w:rsidRPr="00F176D8">
        <w:t>La adopción de la Ley sobre el Mecanismo Nacional de Prevención</w:t>
      </w:r>
      <w:bookmarkEnd w:id="3"/>
    </w:p>
    <w:p w:rsidR="00A764EB" w:rsidRPr="00F176D8" w:rsidRDefault="00C47121" w:rsidP="00C47121">
      <w:pPr>
        <w:pStyle w:val="SingleTxtG"/>
        <w:rPr>
          <w:b/>
        </w:rPr>
      </w:pPr>
      <w:r>
        <w:t>6.</w:t>
      </w:r>
      <w:r>
        <w:tab/>
      </w:r>
      <w:r w:rsidR="00A764EB" w:rsidRPr="00F176D8">
        <w:t xml:space="preserve">El SPT recomienda en el </w:t>
      </w:r>
      <w:r w:rsidR="00A764EB" w:rsidRPr="00F176D8">
        <w:rPr>
          <w:b/>
        </w:rPr>
        <w:t>párrafo 13</w:t>
      </w:r>
      <w:r w:rsidR="00A764EB" w:rsidRPr="00F176D8">
        <w:rPr>
          <w:b/>
          <w:i/>
        </w:rPr>
        <w:t xml:space="preserve"> </w:t>
      </w:r>
      <w:r w:rsidR="00A764EB" w:rsidRPr="00F176D8">
        <w:t xml:space="preserve">de su informe que el Congreso de la República adopte la ley sobre el Mecanismo Nacional de Prevención de la Tortura y otros Tratos o Penas Crueles, Inhumanos o Degradantes (en adelante, “MNPT”), a la mayor brevedad durante el año en curso. </w:t>
      </w:r>
    </w:p>
    <w:p w:rsidR="00A764EB" w:rsidRPr="00C47121" w:rsidRDefault="00C47121" w:rsidP="00C47121">
      <w:pPr>
        <w:pStyle w:val="SingleTxtG"/>
      </w:pPr>
      <w:r>
        <w:t>7.</w:t>
      </w:r>
      <w:r>
        <w:tab/>
      </w:r>
      <w:r w:rsidR="00A764EB" w:rsidRPr="00F176D8">
        <w:t xml:space="preserve">Al respecto, cabe señalar que en diciembre de 2015 el Perú aprobó la Ley </w:t>
      </w:r>
      <w:r w:rsidR="00403B5F">
        <w:t>núm. </w:t>
      </w:r>
      <w:r w:rsidR="00A764EB" w:rsidRPr="00F176D8">
        <w:t>30394</w:t>
      </w:r>
      <w:r w:rsidR="00A764EB" w:rsidRPr="00742A2C">
        <w:rPr>
          <w:rStyle w:val="Refdenotaalpie"/>
          <w:szCs w:val="18"/>
        </w:rPr>
        <w:footnoteReference w:id="5"/>
      </w:r>
      <w:r w:rsidR="00A764EB" w:rsidRPr="00F176D8">
        <w:t xml:space="preserve"> mediante la cual ampliarán las funciones de la Defensoría del Pueblo (en adelante, “DP”) </w:t>
      </w:r>
      <w:r>
        <w:t>como órgano encargado del MNPT.</w:t>
      </w:r>
    </w:p>
    <w:p w:rsidR="00A764EB" w:rsidRPr="00C47121" w:rsidRDefault="00C47121" w:rsidP="00C47121">
      <w:pPr>
        <w:pStyle w:val="SingleTxtG"/>
        <w:rPr>
          <w:b/>
        </w:rPr>
      </w:pPr>
      <w:r>
        <w:t>8.</w:t>
      </w:r>
      <w:r>
        <w:tab/>
      </w:r>
      <w:r w:rsidR="00A764EB" w:rsidRPr="00F176D8">
        <w:t>Asimismo, en dicho texto normativo se estableció que el MNPT tendrá autonomía orgánica y funcional, será independiente de los Poderes Ejecutivo, Legislativo y Judicial, teniendo, entre otras funciones, la de examinar periódicamente el trato a las PPL con miras a fortalecer, si fuera necesario, su protección contra la tortura y otros tratos o penas crueles, inhumanos o degradantes.</w:t>
      </w:r>
    </w:p>
    <w:p w:rsidR="00A764EB" w:rsidRPr="00F176D8" w:rsidRDefault="00C47121" w:rsidP="00C47121">
      <w:pPr>
        <w:pStyle w:val="SingleTxtG"/>
      </w:pPr>
      <w:r>
        <w:t>9.</w:t>
      </w:r>
      <w:r>
        <w:tab/>
      </w:r>
      <w:r w:rsidR="00A764EB" w:rsidRPr="00F176D8">
        <w:t xml:space="preserve">En esa línea, mediante Resolución </w:t>
      </w:r>
      <w:proofErr w:type="spellStart"/>
      <w:r w:rsidR="00A764EB" w:rsidRPr="00F176D8">
        <w:t>Defensorial</w:t>
      </w:r>
      <w:proofErr w:type="spellEnd"/>
      <w:r w:rsidR="00A764EB" w:rsidRPr="00F176D8">
        <w:t xml:space="preserve"> </w:t>
      </w:r>
      <w:r w:rsidR="00403B5F">
        <w:t>núm.</w:t>
      </w:r>
      <w:r w:rsidR="00A764EB" w:rsidRPr="00F176D8">
        <w:t xml:space="preserve"> 007-2017/DP (</w:t>
      </w:r>
      <w:r w:rsidR="00403B5F">
        <w:t>20 de abril de 2017</w:t>
      </w:r>
      <w:r w:rsidR="00A764EB" w:rsidRPr="00F176D8">
        <w:t>) se modificó el Reglamento de Organización y Funciones de la DP y se incorporó a la Dirección del Mecanismo Nacional de Prevención de la Tortura en su estructura institucional como un órgano de línea que depende de la Primera Adjuntía pero con capacidad de ejecución e independencia funcional par</w:t>
      </w:r>
      <w:r>
        <w:t xml:space="preserve">a el ejercicio de sus labores. </w:t>
      </w:r>
    </w:p>
    <w:p w:rsidR="00A764EB" w:rsidRPr="00C47121" w:rsidRDefault="00C47121" w:rsidP="00C47121">
      <w:pPr>
        <w:pStyle w:val="SingleTxtG"/>
      </w:pPr>
      <w:r>
        <w:t>10.</w:t>
      </w:r>
      <w:r>
        <w:tab/>
      </w:r>
      <w:r w:rsidR="00A764EB" w:rsidRPr="00F176D8">
        <w:t>Cabe señalar, que la DP ha señalado en su “Primer Informe Anual del Mecanismo Nacional de Prevención de la Tortura y Otros Tratos o Penas Crueles, Inhumanos o Degradantes”</w:t>
      </w:r>
      <w:r w:rsidR="00A764EB" w:rsidRPr="00742A2C">
        <w:rPr>
          <w:rStyle w:val="Refdenotaalpie"/>
          <w:szCs w:val="18"/>
        </w:rPr>
        <w:footnoteReference w:id="6"/>
      </w:r>
      <w:r w:rsidR="00A764EB" w:rsidRPr="00F176D8">
        <w:t xml:space="preserve"> que el Poder Ejecutivo no ha proporcionado los recursos necesarios para el </w:t>
      </w:r>
      <w:r w:rsidR="00A764EB" w:rsidRPr="00F176D8">
        <w:lastRenderedPageBreak/>
        <w:t xml:space="preserve">funcionamiento del MNPT; sin perjuicio de ello, se han ido implementado diversas medidas para </w:t>
      </w:r>
      <w:r>
        <w:t xml:space="preserve">la constitución del Mecanismo. </w:t>
      </w:r>
    </w:p>
    <w:p w:rsidR="00A764EB" w:rsidRPr="00BB10CE" w:rsidRDefault="00C47121" w:rsidP="00BB10CE">
      <w:pPr>
        <w:pStyle w:val="HChG"/>
      </w:pPr>
      <w:bookmarkStart w:id="4" w:name="_Toc485946874"/>
      <w:r w:rsidRPr="00BB10CE">
        <w:tab/>
        <w:t>III.</w:t>
      </w:r>
      <w:r w:rsidRPr="00BB10CE">
        <w:tab/>
      </w:r>
      <w:r w:rsidR="00A764EB" w:rsidRPr="00BB10CE">
        <w:t>Situación de las personas privadas de libertad</w:t>
      </w:r>
      <w:bookmarkEnd w:id="4"/>
      <w:r w:rsidR="00A764EB" w:rsidRPr="00BB10CE">
        <w:t xml:space="preserve"> </w:t>
      </w:r>
    </w:p>
    <w:p w:rsidR="00A764EB" w:rsidRPr="005E3185" w:rsidRDefault="003E7721" w:rsidP="003E7721">
      <w:pPr>
        <w:pStyle w:val="H1G"/>
      </w:pPr>
      <w:bookmarkStart w:id="5" w:name="_Toc485946875"/>
      <w:r>
        <w:tab/>
        <w:t>3.1</w:t>
      </w:r>
      <w:r>
        <w:tab/>
      </w:r>
      <w:r w:rsidR="00A764EB" w:rsidRPr="00F176D8">
        <w:t xml:space="preserve">Detención en sedes policiales y </w:t>
      </w:r>
      <w:proofErr w:type="spellStart"/>
      <w:r w:rsidR="00A764EB" w:rsidRPr="00F176D8">
        <w:t>carceletas</w:t>
      </w:r>
      <w:proofErr w:type="spellEnd"/>
      <w:r w:rsidR="00A764EB" w:rsidRPr="00F176D8">
        <w:t xml:space="preserve"> del Poder Judicial</w:t>
      </w:r>
      <w:bookmarkEnd w:id="5"/>
    </w:p>
    <w:p w:rsidR="00A764EB" w:rsidRPr="005E3185" w:rsidRDefault="003E7721" w:rsidP="003E7721">
      <w:pPr>
        <w:pStyle w:val="H23G"/>
      </w:pPr>
      <w:bookmarkStart w:id="6" w:name="_Toc485946876"/>
      <w:r>
        <w:tab/>
        <w:t>3.1.1</w:t>
      </w:r>
      <w:r>
        <w:tab/>
      </w:r>
      <w:r w:rsidR="00A764EB" w:rsidRPr="00F176D8">
        <w:t>Condiciones materiales</w:t>
      </w:r>
      <w:bookmarkEnd w:id="6"/>
    </w:p>
    <w:p w:rsidR="00A764EB" w:rsidRPr="00BB10CE" w:rsidRDefault="005E3185" w:rsidP="005E3185">
      <w:pPr>
        <w:pStyle w:val="SingleTxtG"/>
      </w:pPr>
      <w:r>
        <w:t>11.</w:t>
      </w:r>
      <w:r>
        <w:tab/>
      </w:r>
      <w:r w:rsidR="00A764EB" w:rsidRPr="00F176D8">
        <w:t xml:space="preserve">En el </w:t>
      </w:r>
      <w:r w:rsidR="00A764EB" w:rsidRPr="00F176D8">
        <w:rPr>
          <w:b/>
        </w:rPr>
        <w:t>párrafo 17</w:t>
      </w:r>
      <w:r w:rsidR="00A764EB" w:rsidRPr="00F176D8">
        <w:t xml:space="preserve"> del informe del SPT se recomienda al Estado peruano tomar medidas para que las condiciones de detención se ajusten a las normas internacionales y respondan a las necesidades básicas de los detenidos en lo relativo al saneamiento, ropa de cama, alimentos, agua y la posibilidad de esparcimiento. </w:t>
      </w:r>
    </w:p>
    <w:p w:rsidR="00A764EB" w:rsidRPr="00BB10CE" w:rsidRDefault="005E3185" w:rsidP="005E3185">
      <w:pPr>
        <w:pStyle w:val="SingleTxtG"/>
      </w:pPr>
      <w:r>
        <w:t>12.</w:t>
      </w:r>
      <w:r>
        <w:tab/>
      </w:r>
      <w:r w:rsidR="00A764EB" w:rsidRPr="00F176D8">
        <w:t xml:space="preserve">Con la finalidad de cambiar las condiciones en los establecimientos penitenciarios, en el 2016, se aprobaron mediante Decreto Supremo </w:t>
      </w:r>
      <w:r w:rsidR="00403B5F">
        <w:t>núm.</w:t>
      </w:r>
      <w:r w:rsidR="00A764EB" w:rsidRPr="00F176D8">
        <w:t xml:space="preserve"> 005-2016-JUS</w:t>
      </w:r>
      <w:r w:rsidR="00A764EB" w:rsidRPr="00742A2C">
        <w:rPr>
          <w:rStyle w:val="Refdenotaalpie"/>
          <w:szCs w:val="18"/>
        </w:rPr>
        <w:footnoteReference w:id="7"/>
      </w:r>
      <w:r w:rsidR="00A764EB" w:rsidRPr="00F176D8">
        <w:t>, la Política Nacional Penitenciaria y el Plan Nacional de la Política Penitenciaria 2016</w:t>
      </w:r>
      <w:r w:rsidR="000164A0">
        <w:t>-</w:t>
      </w:r>
      <w:r w:rsidR="00A764EB" w:rsidRPr="00F176D8">
        <w:t xml:space="preserve">2020. </w:t>
      </w:r>
    </w:p>
    <w:p w:rsidR="00A764EB" w:rsidRPr="00BB10CE" w:rsidRDefault="005E3185" w:rsidP="005E3185">
      <w:pPr>
        <w:pStyle w:val="SingleTxtG"/>
      </w:pPr>
      <w:r>
        <w:t>13.</w:t>
      </w:r>
      <w:r>
        <w:tab/>
      </w:r>
      <w:r w:rsidR="00A764EB" w:rsidRPr="00F176D8">
        <w:t xml:space="preserve">Precisamente, la Política Nacional Penitenciaria incorpora los enfoques de derechos humanos (en adelante, “DDHH”), género, persona e interculturalidad y cuenta con tres ejes estratégicos: </w:t>
      </w:r>
      <w:r w:rsidR="00A764EB" w:rsidRPr="00F176D8">
        <w:rPr>
          <w:b/>
          <w:i/>
        </w:rPr>
        <w:t xml:space="preserve">i) </w:t>
      </w:r>
      <w:r w:rsidR="00A764EB" w:rsidRPr="00F176D8">
        <w:t xml:space="preserve">sistema de justicia penal, enfocado en la racionalización del ingreso y salida de ciudadanos del sistema penitenciario; </w:t>
      </w:r>
      <w:r w:rsidR="00A764EB" w:rsidRPr="00F176D8">
        <w:rPr>
          <w:b/>
          <w:i/>
        </w:rPr>
        <w:t>ii)</w:t>
      </w:r>
      <w:r w:rsidR="00A764EB" w:rsidRPr="00F176D8">
        <w:t xml:space="preserve"> tratamiento, que corresponde a todas las actividades orientadas a la rehabilitación de la población penitenciaria en el Sistema Penitenciario en Régimen Abierto y Medio Libre; y </w:t>
      </w:r>
      <w:r w:rsidR="00A764EB" w:rsidRPr="00F176D8">
        <w:rPr>
          <w:b/>
          <w:i/>
        </w:rPr>
        <w:t>iii)</w:t>
      </w:r>
      <w:r w:rsidR="00A764EB" w:rsidRPr="00F176D8">
        <w:t xml:space="preserve"> racionalización, orientado a facilitar la relación y vinculación de la población penitenciaria con la sociedad, a partir de los cuáles desarrolla su propuesta en seis (6) lineamientos generales y veintitrés (23) específicos. </w:t>
      </w:r>
    </w:p>
    <w:p w:rsidR="00A764EB" w:rsidRPr="00BB10CE" w:rsidRDefault="005E3185" w:rsidP="005E3185">
      <w:pPr>
        <w:pStyle w:val="SingleTxtG"/>
      </w:pPr>
      <w:r>
        <w:t>14.</w:t>
      </w:r>
      <w:r>
        <w:tab/>
      </w:r>
      <w:r w:rsidR="00A764EB" w:rsidRPr="00F176D8">
        <w:t>De otro lado, es necesario precisar que las “</w:t>
      </w:r>
      <w:proofErr w:type="spellStart"/>
      <w:r w:rsidR="00A764EB" w:rsidRPr="00F176D8">
        <w:t>carceletas</w:t>
      </w:r>
      <w:proofErr w:type="spellEnd"/>
      <w:r w:rsidR="00A764EB" w:rsidRPr="00F176D8">
        <w:t xml:space="preserve"> del Poder Judicial”, como se menciona en el informe del SPT, no se encuentran a cargo del Poder Judicial (en adelante, “PJ”) sino del Instituto Nacional Penitenciario</w:t>
      </w:r>
      <w:r w:rsidR="00A764EB" w:rsidRPr="00742A2C">
        <w:rPr>
          <w:rStyle w:val="Refdenotaalpie"/>
          <w:szCs w:val="18"/>
        </w:rPr>
        <w:footnoteReference w:id="8"/>
      </w:r>
      <w:r w:rsidR="00A764EB" w:rsidRPr="00F176D8">
        <w:t xml:space="preserve"> (en adelante, “INPE”), siendo su designación correcta, “Establecimientos Transitorios de Procesados en Lima y otras Regiones del País”</w:t>
      </w:r>
      <w:r w:rsidR="00A764EB" w:rsidRPr="00214959">
        <w:rPr>
          <w:rStyle w:val="Refdenotaalpie"/>
          <w:szCs w:val="22"/>
        </w:rPr>
        <w:footnoteReference w:id="9"/>
      </w:r>
      <w:r w:rsidR="00FF1481">
        <w:t>.</w:t>
      </w:r>
      <w:r w:rsidR="00A764EB" w:rsidRPr="00F176D8">
        <w:t xml:space="preserve"> </w:t>
      </w:r>
    </w:p>
    <w:p w:rsidR="00A764EB" w:rsidRPr="00BB10CE" w:rsidRDefault="00103EFD" w:rsidP="00103EFD">
      <w:pPr>
        <w:pStyle w:val="H23G"/>
      </w:pPr>
      <w:bookmarkStart w:id="7" w:name="_Toc485946877"/>
      <w:r>
        <w:tab/>
        <w:t>3.1.2</w:t>
      </w:r>
      <w:r>
        <w:tab/>
      </w:r>
      <w:r w:rsidR="00A764EB" w:rsidRPr="00F176D8">
        <w:t>Reconocimiento médico</w:t>
      </w:r>
      <w:bookmarkEnd w:id="7"/>
    </w:p>
    <w:p w:rsidR="00A764EB" w:rsidRPr="005E3185" w:rsidRDefault="005E3185" w:rsidP="005E3185">
      <w:pPr>
        <w:pStyle w:val="SingleTxtG"/>
        <w:rPr>
          <w:lang w:val="es-ES_tradnl"/>
        </w:rPr>
      </w:pPr>
      <w:r>
        <w:rPr>
          <w:lang w:val="es-ES_tradnl"/>
        </w:rPr>
        <w:t>15.</w:t>
      </w:r>
      <w:r>
        <w:rPr>
          <w:lang w:val="es-ES_tradnl"/>
        </w:rPr>
        <w:tab/>
      </w:r>
      <w:r w:rsidR="00A764EB" w:rsidRPr="00F176D8">
        <w:rPr>
          <w:lang w:val="es-ES_tradnl"/>
        </w:rPr>
        <w:t xml:space="preserve">En </w:t>
      </w:r>
      <w:r w:rsidR="00A764EB" w:rsidRPr="00F176D8">
        <w:t>el</w:t>
      </w:r>
      <w:r w:rsidR="00A764EB" w:rsidRPr="00F176D8">
        <w:rPr>
          <w:lang w:val="es-ES_tradnl"/>
        </w:rPr>
        <w:t xml:space="preserve"> </w:t>
      </w:r>
      <w:r w:rsidR="00A764EB" w:rsidRPr="00F176D8">
        <w:rPr>
          <w:b/>
          <w:lang w:val="es-ES_tradnl"/>
        </w:rPr>
        <w:t>párrafo 20</w:t>
      </w:r>
      <w:r w:rsidR="00A764EB" w:rsidRPr="00F176D8">
        <w:rPr>
          <w:lang w:val="es-ES_tradnl"/>
        </w:rPr>
        <w:t xml:space="preserve"> del informe del SPT se recomienda, entre otras acciones, se realice el reconocimiento médico de las personas que ingresan a un centro de detención y se registre apropiadamente las lesiones detectadas durante el mismo.</w:t>
      </w:r>
    </w:p>
    <w:p w:rsidR="00A764EB" w:rsidRPr="00BB10CE" w:rsidRDefault="005E3185" w:rsidP="005E3185">
      <w:pPr>
        <w:pStyle w:val="SingleTxtG"/>
        <w:rPr>
          <w:lang w:val="es-ES_tradnl"/>
        </w:rPr>
      </w:pPr>
      <w:r>
        <w:rPr>
          <w:lang w:val="es-ES_tradnl"/>
        </w:rPr>
        <w:t>16.</w:t>
      </w:r>
      <w:r>
        <w:rPr>
          <w:lang w:val="es-ES_tradnl"/>
        </w:rPr>
        <w:tab/>
      </w:r>
      <w:r w:rsidR="00A764EB" w:rsidRPr="00F176D8">
        <w:rPr>
          <w:lang w:val="es-ES_tradnl"/>
        </w:rPr>
        <w:t xml:space="preserve">Al </w:t>
      </w:r>
      <w:r w:rsidR="00A764EB" w:rsidRPr="00F176D8">
        <w:t>respecto</w:t>
      </w:r>
      <w:r w:rsidR="00A764EB" w:rsidRPr="00F176D8">
        <w:rPr>
          <w:lang w:val="es-ES_tradnl"/>
        </w:rPr>
        <w:t>, cabe señalar que el Instituto de Medicina Legal y Ciencias Forenses</w:t>
      </w:r>
      <w:r w:rsidR="00A764EB" w:rsidRPr="00742A2C">
        <w:rPr>
          <w:rStyle w:val="Refdenotaalpie"/>
          <w:szCs w:val="18"/>
          <w:lang w:val="es-ES_tradnl"/>
        </w:rPr>
        <w:footnoteReference w:id="10"/>
      </w:r>
      <w:r w:rsidR="00A764EB" w:rsidRPr="00F176D8">
        <w:rPr>
          <w:lang w:val="es-ES_tradnl"/>
        </w:rPr>
        <w:t xml:space="preserve"> (en adelante, “IML”) cuenta para los casos de reconocimiento médico con el “Protocolo de Investigación de Torturas o Tratos Crueles, Inhumanos o Degradantes” que constituye la adaptación del Protocolo de Estambul, aprobado mediante </w:t>
      </w:r>
      <w:proofErr w:type="spellStart"/>
      <w:r w:rsidR="00A764EB" w:rsidRPr="00F176D8">
        <w:rPr>
          <w:lang w:val="es-ES_tradnl"/>
        </w:rPr>
        <w:t>Memorandum</w:t>
      </w:r>
      <w:proofErr w:type="spellEnd"/>
      <w:r w:rsidR="00A764EB" w:rsidRPr="00F176D8">
        <w:rPr>
          <w:lang w:val="es-ES_tradnl"/>
        </w:rPr>
        <w:t xml:space="preserve"> </w:t>
      </w:r>
      <w:r w:rsidR="00403B5F">
        <w:rPr>
          <w:lang w:val="es-ES_tradnl"/>
        </w:rPr>
        <w:t>núm.</w:t>
      </w:r>
      <w:r w:rsidR="00FF1481">
        <w:rPr>
          <w:lang w:val="es-ES_tradnl"/>
        </w:rPr>
        <w:t> </w:t>
      </w:r>
      <w:r w:rsidR="00A764EB" w:rsidRPr="00F176D8">
        <w:rPr>
          <w:lang w:val="es-ES_tradnl"/>
        </w:rPr>
        <w:t>271</w:t>
      </w:r>
      <w:r w:rsidR="00FF1481">
        <w:rPr>
          <w:lang w:val="es-ES_tradnl"/>
        </w:rPr>
        <w:noBreakHyphen/>
      </w:r>
      <w:r w:rsidR="00A764EB" w:rsidRPr="00F176D8">
        <w:rPr>
          <w:lang w:val="es-ES_tradnl"/>
        </w:rPr>
        <w:t>2010</w:t>
      </w:r>
      <w:r w:rsidR="00FF1481">
        <w:rPr>
          <w:lang w:val="es-ES_tradnl"/>
        </w:rPr>
        <w:noBreakHyphen/>
      </w:r>
      <w:proofErr w:type="spellStart"/>
      <w:r w:rsidR="00A764EB" w:rsidRPr="00F176D8">
        <w:rPr>
          <w:lang w:val="es-ES_tradnl"/>
        </w:rPr>
        <w:t>MP</w:t>
      </w:r>
      <w:proofErr w:type="spellEnd"/>
      <w:r w:rsidR="00A764EB" w:rsidRPr="00F176D8">
        <w:rPr>
          <w:lang w:val="es-ES_tradnl"/>
        </w:rPr>
        <w:t xml:space="preserve">-FN-IML/JN (Fecha: </w:t>
      </w:r>
      <w:r w:rsidR="00FF1481">
        <w:rPr>
          <w:lang w:val="es-ES_tradnl"/>
        </w:rPr>
        <w:t>6 de abril de 2010</w:t>
      </w:r>
      <w:r w:rsidR="00A764EB" w:rsidRPr="00F176D8">
        <w:rPr>
          <w:lang w:val="es-ES_tradnl"/>
        </w:rPr>
        <w:t xml:space="preserve">). </w:t>
      </w:r>
    </w:p>
    <w:p w:rsidR="00A764EB" w:rsidRPr="00BB10CE" w:rsidRDefault="005E3185" w:rsidP="005E3185">
      <w:pPr>
        <w:pStyle w:val="SingleTxtG"/>
      </w:pPr>
      <w:r>
        <w:lastRenderedPageBreak/>
        <w:t>17.</w:t>
      </w:r>
      <w:r>
        <w:tab/>
      </w:r>
      <w:r w:rsidR="00A764EB" w:rsidRPr="00F176D8">
        <w:t xml:space="preserve">Posteriormente, en el 2016 mediante la Resolución de la Fiscalía de la Nación </w:t>
      </w:r>
      <w:r w:rsidR="00403B5F">
        <w:t>núm.</w:t>
      </w:r>
      <w:r w:rsidR="00214959">
        <w:t> </w:t>
      </w:r>
      <w:r w:rsidR="00A764EB" w:rsidRPr="00F176D8">
        <w:t xml:space="preserve">3963-2016-MP-FN, el IML aprobó las siguientes guías: </w:t>
      </w:r>
      <w:r w:rsidR="00A764EB" w:rsidRPr="00F176D8">
        <w:rPr>
          <w:b/>
          <w:i/>
        </w:rPr>
        <w:t>i)</w:t>
      </w:r>
      <w:r w:rsidR="00A764EB" w:rsidRPr="00F176D8">
        <w:t xml:space="preserve"> Guía de Valoración del Daño Psíquico en Personas Adultas Víctimas de Violencia Intencional; </w:t>
      </w:r>
      <w:r w:rsidR="00A764EB" w:rsidRPr="00F176D8">
        <w:rPr>
          <w:b/>
          <w:i/>
        </w:rPr>
        <w:t>ii)</w:t>
      </w:r>
      <w:r w:rsidR="00A764EB" w:rsidRPr="00F176D8">
        <w:t xml:space="preserve"> Guía del Procedimiento de Entrevista Única a Víctimas en el Marco de la Ley </w:t>
      </w:r>
      <w:r w:rsidR="00403B5F">
        <w:t>núm.</w:t>
      </w:r>
      <w:r w:rsidR="00214959">
        <w:t> </w:t>
      </w:r>
      <w:r w:rsidR="00A764EB" w:rsidRPr="00F176D8">
        <w:t xml:space="preserve">30364 para Prevenir, Sancionar y Erradicar la Violencia contra las Mujeres y los Integrantes del Grupo Familiar y, a Niños y Adolescentes Varones Víctimas de Violencia; </w:t>
      </w:r>
      <w:r w:rsidR="00A764EB" w:rsidRPr="00F176D8">
        <w:rPr>
          <w:b/>
          <w:i/>
        </w:rPr>
        <w:t>iii)</w:t>
      </w:r>
      <w:r w:rsidR="00A764EB" w:rsidRPr="00F176D8">
        <w:t xml:space="preserve"> Guía de Evaluación Psicológica Forense en caso de Violencia contra las Mujeres y los Integrantes del Grupo Familiar y en otros casos de Violencia; y </w:t>
      </w:r>
      <w:r w:rsidR="00A764EB" w:rsidRPr="00F176D8">
        <w:rPr>
          <w:b/>
          <w:i/>
        </w:rPr>
        <w:t>iv)</w:t>
      </w:r>
      <w:r w:rsidR="00A764EB" w:rsidRPr="00F176D8">
        <w:t xml:space="preserve"> Guía Médico Legal de Valoración Integral de Lesiones Corporales.</w:t>
      </w:r>
    </w:p>
    <w:p w:rsidR="00A764EB" w:rsidRPr="005E3185" w:rsidRDefault="00103EFD" w:rsidP="00103EFD">
      <w:pPr>
        <w:pStyle w:val="H23G"/>
      </w:pPr>
      <w:bookmarkStart w:id="8" w:name="_Toc485946878"/>
      <w:r>
        <w:tab/>
        <w:t>3.1.3</w:t>
      </w:r>
      <w:r>
        <w:tab/>
      </w:r>
      <w:r w:rsidR="00A764EB" w:rsidRPr="00F176D8">
        <w:t>Torturas y malos tratos</w:t>
      </w:r>
      <w:bookmarkEnd w:id="8"/>
    </w:p>
    <w:p w:rsidR="00A764EB" w:rsidRPr="00BB10CE" w:rsidRDefault="005E3185" w:rsidP="005E3185">
      <w:pPr>
        <w:pStyle w:val="SingleTxtG"/>
        <w:rPr>
          <w:lang w:val="es-ES_tradnl"/>
        </w:rPr>
      </w:pPr>
      <w:r>
        <w:rPr>
          <w:lang w:val="es-ES_tradnl"/>
        </w:rPr>
        <w:t>18.</w:t>
      </w:r>
      <w:r>
        <w:rPr>
          <w:lang w:val="es-ES_tradnl"/>
        </w:rPr>
        <w:tab/>
      </w:r>
      <w:r w:rsidR="00A764EB" w:rsidRPr="00F176D8">
        <w:rPr>
          <w:lang w:val="es-ES_tradnl"/>
        </w:rPr>
        <w:t xml:space="preserve">El SPT recomendó en el </w:t>
      </w:r>
      <w:r w:rsidR="00A764EB" w:rsidRPr="00F176D8">
        <w:rPr>
          <w:b/>
          <w:lang w:val="es-ES_tradnl"/>
        </w:rPr>
        <w:t xml:space="preserve">párrafo 26 </w:t>
      </w:r>
      <w:r w:rsidR="00A764EB" w:rsidRPr="00F176D8">
        <w:rPr>
          <w:lang w:val="es-ES_tradnl"/>
        </w:rPr>
        <w:t xml:space="preserve">de su informe la adopción de </w:t>
      </w:r>
      <w:r w:rsidR="00A764EB" w:rsidRPr="00F176D8">
        <w:t>medidas</w:t>
      </w:r>
      <w:r w:rsidR="00A764EB" w:rsidRPr="00F176D8">
        <w:rPr>
          <w:lang w:val="es-ES_tradnl"/>
        </w:rPr>
        <w:t xml:space="preserve"> para prevenir eficazmente la tortura y malos tratos por parte de la policía en todas las circunstancias y asegurar que esas prácticas sean debidamente investigadas y los responsables castigados. Debiendo incluir como destinatarios de dicha obligación los integrantes de las Fuerzas del Orden como a las empresas de seguridad privada, entre otras acciones.</w:t>
      </w:r>
    </w:p>
    <w:p w:rsidR="00A764EB" w:rsidRPr="00BB10CE" w:rsidRDefault="005E3185" w:rsidP="005E3185">
      <w:pPr>
        <w:pStyle w:val="SingleTxtG"/>
        <w:rPr>
          <w:rFonts w:eastAsiaTheme="minorHAnsi"/>
        </w:rPr>
      </w:pPr>
      <w:r>
        <w:rPr>
          <w:lang w:val="es-ES_tradnl"/>
        </w:rPr>
        <w:t>19.</w:t>
      </w:r>
      <w:r>
        <w:rPr>
          <w:lang w:val="es-ES_tradnl"/>
        </w:rPr>
        <w:tab/>
      </w:r>
      <w:r w:rsidR="00A764EB" w:rsidRPr="00F176D8">
        <w:rPr>
          <w:lang w:val="es-ES_tradnl"/>
        </w:rPr>
        <w:t xml:space="preserve">Al respecto, mediante el </w:t>
      </w:r>
      <w:r w:rsidR="00A764EB" w:rsidRPr="00F176D8">
        <w:rPr>
          <w:bCs/>
        </w:rPr>
        <w:t xml:space="preserve">Decreto Legislativo </w:t>
      </w:r>
      <w:r w:rsidR="00403B5F">
        <w:rPr>
          <w:bCs/>
        </w:rPr>
        <w:t>núm.</w:t>
      </w:r>
      <w:r w:rsidR="00A764EB" w:rsidRPr="00F176D8">
        <w:rPr>
          <w:bCs/>
        </w:rPr>
        <w:t xml:space="preserve"> 1186</w:t>
      </w:r>
      <w:r w:rsidR="00A764EB" w:rsidRPr="00214959">
        <w:rPr>
          <w:rStyle w:val="Refdenotaalpie"/>
          <w:bCs/>
          <w:szCs w:val="22"/>
        </w:rPr>
        <w:footnoteReference w:id="11"/>
      </w:r>
      <w:r w:rsidR="00A764EB" w:rsidRPr="00F176D8">
        <w:rPr>
          <w:bCs/>
        </w:rPr>
        <w:t xml:space="preserve"> y su reglamento</w:t>
      </w:r>
      <w:r w:rsidR="00A764EB" w:rsidRPr="00214959">
        <w:rPr>
          <w:rStyle w:val="Refdenotaalpie"/>
          <w:bCs/>
          <w:szCs w:val="22"/>
        </w:rPr>
        <w:footnoteReference w:id="12"/>
      </w:r>
      <w:r w:rsidR="00A764EB" w:rsidRPr="00F176D8">
        <w:rPr>
          <w:bCs/>
        </w:rPr>
        <w:t xml:space="preserve">, se aprobaron las reglas de uso de la fuerza por parte de la Policía Nacional del Perú (en adelante, “PNP”) </w:t>
      </w:r>
      <w:r w:rsidR="00A764EB" w:rsidRPr="00F176D8">
        <w:rPr>
          <w:rFonts w:eastAsiaTheme="minorHAnsi"/>
        </w:rPr>
        <w:t>teniendo por finalidad establecer una base normativa para el adecuado ejercicio de la función policial, señalando las circunstancias y condiciones en las que esta se ejerce, los procedimientos a aplicarse y las responsabilidades derivadas de su indebido empleo. Todo ello en el marco de los estándares internacionales en materia de DDHH relacionados a la función policial.</w:t>
      </w:r>
    </w:p>
    <w:p w:rsidR="00A764EB" w:rsidRPr="00BB10CE" w:rsidRDefault="005E3185" w:rsidP="005E3185">
      <w:pPr>
        <w:pStyle w:val="SingleTxtG"/>
      </w:pPr>
      <w:r>
        <w:t>20.</w:t>
      </w:r>
      <w:r>
        <w:tab/>
      </w:r>
      <w:r w:rsidR="00A764EB" w:rsidRPr="00F176D8">
        <w:t>Cabe señalar</w:t>
      </w:r>
      <w:r w:rsidR="00A764EB" w:rsidRPr="00F176D8">
        <w:rPr>
          <w:rFonts w:eastAsiaTheme="minorHAnsi"/>
        </w:rPr>
        <w:t>, que dichas disposiciones están concordadas con el Código de Conducta para Funcionarios Encargados de Hacer Cumplir la Ley y los Principios Básicos sobre el empleo de la fuerza y de armas de fuego por los Funcionarios Encargados de Hacer Cumplir la Ley.</w:t>
      </w:r>
    </w:p>
    <w:p w:rsidR="00A764EB" w:rsidRPr="00BB10CE" w:rsidRDefault="005E3185" w:rsidP="005E3185">
      <w:pPr>
        <w:pStyle w:val="SingleTxtG"/>
      </w:pPr>
      <w:r>
        <w:t>21.</w:t>
      </w:r>
      <w:r>
        <w:tab/>
      </w:r>
      <w:r w:rsidR="00A764EB" w:rsidRPr="00F176D8">
        <w:t xml:space="preserve">En esa línea, el Ministerio del Interior (en adelante, “MININTER”) </w:t>
      </w:r>
      <w:r w:rsidR="00A764EB" w:rsidRPr="00F176D8">
        <w:rPr>
          <w:bCs/>
        </w:rPr>
        <w:t>ha dispuesto la actualización del Manual de DDHH aplicados a la Función Policial</w:t>
      </w:r>
      <w:r w:rsidR="00A764EB" w:rsidRPr="00214959">
        <w:rPr>
          <w:rStyle w:val="Refdenotaalpie"/>
          <w:szCs w:val="22"/>
        </w:rPr>
        <w:footnoteReference w:id="13"/>
      </w:r>
      <w:r w:rsidR="00A764EB" w:rsidRPr="00F176D8">
        <w:rPr>
          <w:bCs/>
        </w:rPr>
        <w:t xml:space="preserve">, la formulación de lineamientos para la enseñanza y capacitación en DDHH, la certificación para el uso de medios de policía mediante los cursos de capacitación en DDHH aplicados a la función policial y la adecuación de los planes de capacitación y entrenamiento relacionados al uso de la fuerza con los estándares y disposiciones establecidos en el Decreto Legislativo </w:t>
      </w:r>
      <w:r w:rsidR="00403B5F">
        <w:rPr>
          <w:bCs/>
        </w:rPr>
        <w:t>núm.</w:t>
      </w:r>
      <w:r w:rsidR="00214959">
        <w:rPr>
          <w:bCs/>
        </w:rPr>
        <w:t> </w:t>
      </w:r>
      <w:r w:rsidR="00A764EB" w:rsidRPr="00F176D8">
        <w:rPr>
          <w:bCs/>
        </w:rPr>
        <w:t>1186</w:t>
      </w:r>
      <w:r w:rsidR="00A764EB" w:rsidRPr="00214959">
        <w:rPr>
          <w:rStyle w:val="Refdenotaalpie"/>
          <w:bCs/>
          <w:szCs w:val="22"/>
        </w:rPr>
        <w:footnoteReference w:id="14"/>
      </w:r>
      <w:r w:rsidR="00C37FDE">
        <w:rPr>
          <w:bCs/>
        </w:rPr>
        <w:t>.</w:t>
      </w:r>
    </w:p>
    <w:p w:rsidR="00A764EB" w:rsidRPr="00BB10CE" w:rsidRDefault="005E3185" w:rsidP="005E3185">
      <w:pPr>
        <w:pStyle w:val="SingleTxtG"/>
        <w:rPr>
          <w:rFonts w:eastAsiaTheme="minorHAnsi"/>
        </w:rPr>
      </w:pPr>
      <w:r>
        <w:rPr>
          <w:rFonts w:eastAsiaTheme="minorHAnsi"/>
        </w:rPr>
        <w:t>22.</w:t>
      </w:r>
      <w:r>
        <w:rPr>
          <w:rFonts w:eastAsiaTheme="minorHAnsi"/>
        </w:rPr>
        <w:tab/>
      </w:r>
      <w:r w:rsidR="00A764EB" w:rsidRPr="00F176D8">
        <w:rPr>
          <w:rFonts w:eastAsiaTheme="minorHAnsi"/>
        </w:rPr>
        <w:t xml:space="preserve">Asimismo, </w:t>
      </w:r>
      <w:r w:rsidR="00A764EB" w:rsidRPr="00F176D8">
        <w:t xml:space="preserve">la PNP, </w:t>
      </w:r>
      <w:r w:rsidR="00A764EB" w:rsidRPr="00F176D8">
        <w:rPr>
          <w:shd w:val="clear" w:color="auto" w:fill="FFFFFF" w:themeFill="background1"/>
        </w:rPr>
        <w:t xml:space="preserve">además de aplicar las disposiciones señaladas, con relación al tratamiento de personas detenidas aplica la Directiva </w:t>
      </w:r>
      <w:r w:rsidR="00403B5F">
        <w:rPr>
          <w:shd w:val="clear" w:color="auto" w:fill="FFFFFF" w:themeFill="background1"/>
        </w:rPr>
        <w:t>núm.</w:t>
      </w:r>
      <w:r w:rsidR="00A764EB" w:rsidRPr="00F176D8">
        <w:rPr>
          <w:shd w:val="clear" w:color="auto" w:fill="FFFFFF" w:themeFill="background1"/>
        </w:rPr>
        <w:t xml:space="preserve"> </w:t>
      </w:r>
      <w:r w:rsidR="00A764EB" w:rsidRPr="00F176D8">
        <w:t xml:space="preserve">03-14-2015-DIRGEN-PNP/EMG-DIRINCRI-B, </w:t>
      </w:r>
      <w:r w:rsidR="00A764EB" w:rsidRPr="00F176D8">
        <w:rPr>
          <w:bCs/>
        </w:rPr>
        <w:t xml:space="preserve">aprobada mediante la Resolución Directoral </w:t>
      </w:r>
      <w:r w:rsidR="00403B5F">
        <w:rPr>
          <w:bCs/>
        </w:rPr>
        <w:t>núm.</w:t>
      </w:r>
      <w:r w:rsidR="00A764EB" w:rsidRPr="00F176D8">
        <w:rPr>
          <w:bCs/>
        </w:rPr>
        <w:t xml:space="preserve"> 579-2015-DIRGEN/EMG-PNP, que establece normas y procedimientos de seguridad con los detenidos en las unidades y dependencias de la PNP, o en establecimientos a su cargo, así como durante su custodia y/o conducción ante las autoridades competentes.</w:t>
      </w:r>
    </w:p>
    <w:p w:rsidR="00A764EB" w:rsidRPr="00BB10CE" w:rsidRDefault="005E3185" w:rsidP="005E3185">
      <w:pPr>
        <w:pStyle w:val="SingleTxtG"/>
      </w:pPr>
      <w:r>
        <w:rPr>
          <w:bCs/>
        </w:rPr>
        <w:t>23.</w:t>
      </w:r>
      <w:r>
        <w:rPr>
          <w:bCs/>
        </w:rPr>
        <w:tab/>
      </w:r>
      <w:r w:rsidR="00A764EB" w:rsidRPr="00F176D8">
        <w:rPr>
          <w:bCs/>
        </w:rPr>
        <w:t>Con relación a las acciones impulsadas en materia de DDHH aplicados a la función policial, el 2013 se capacitó a 3</w:t>
      </w:r>
      <w:r w:rsidR="00214959">
        <w:rPr>
          <w:bCs/>
        </w:rPr>
        <w:t>.</w:t>
      </w:r>
      <w:r w:rsidR="00A764EB" w:rsidRPr="00F176D8">
        <w:rPr>
          <w:bCs/>
        </w:rPr>
        <w:t>031; el 2014 a 4</w:t>
      </w:r>
      <w:r w:rsidR="00214959">
        <w:rPr>
          <w:bCs/>
        </w:rPr>
        <w:t>.</w:t>
      </w:r>
      <w:r w:rsidR="00A764EB" w:rsidRPr="00F176D8">
        <w:rPr>
          <w:bCs/>
        </w:rPr>
        <w:t>552 y el 2015 a 5</w:t>
      </w:r>
      <w:r w:rsidR="00214959">
        <w:rPr>
          <w:bCs/>
        </w:rPr>
        <w:t>.</w:t>
      </w:r>
      <w:r w:rsidR="00A764EB" w:rsidRPr="00F176D8">
        <w:rPr>
          <w:bCs/>
        </w:rPr>
        <w:t xml:space="preserve">560 efectivos policiales que prestaban servicios en diferentes unidades policiales del país. En el presente año, la PNP, a través de su Dirección de Asesoramiento en DDHH del Estado Mayor General PNP, </w:t>
      </w:r>
      <w:r w:rsidR="00A764EB" w:rsidRPr="00F176D8">
        <w:rPr>
          <w:bCs/>
        </w:rPr>
        <w:lastRenderedPageBreak/>
        <w:t>informó que se había capacitado a 8</w:t>
      </w:r>
      <w:r w:rsidR="00C37FDE">
        <w:rPr>
          <w:bCs/>
        </w:rPr>
        <w:t>.</w:t>
      </w:r>
      <w:r w:rsidR="00A764EB" w:rsidRPr="00F176D8">
        <w:rPr>
          <w:bCs/>
        </w:rPr>
        <w:t>000 efectivos policiales en veinte actividades en varias regiones del país</w:t>
      </w:r>
      <w:r w:rsidR="00A764EB" w:rsidRPr="00214959">
        <w:rPr>
          <w:rStyle w:val="Refdenotaalpie"/>
          <w:bCs/>
          <w:szCs w:val="22"/>
        </w:rPr>
        <w:footnoteReference w:id="15"/>
      </w:r>
      <w:r w:rsidR="00C37FDE">
        <w:rPr>
          <w:bCs/>
        </w:rPr>
        <w:t>.</w:t>
      </w:r>
    </w:p>
    <w:p w:rsidR="00A764EB" w:rsidRPr="00BB10CE" w:rsidRDefault="005E3185" w:rsidP="005E3185">
      <w:pPr>
        <w:pStyle w:val="SingleTxtG"/>
      </w:pPr>
      <w:r>
        <w:t>24.</w:t>
      </w:r>
      <w:r>
        <w:tab/>
      </w:r>
      <w:r w:rsidR="00A764EB" w:rsidRPr="00F176D8">
        <w:t>Por otro lado, de acuerdo con lo establecido en el artículo 263° del Nuevo Código Procesal Penal</w:t>
      </w:r>
      <w:r w:rsidR="00A764EB" w:rsidRPr="00214959">
        <w:rPr>
          <w:rStyle w:val="Refdenotaalpie"/>
          <w:szCs w:val="22"/>
        </w:rPr>
        <w:footnoteReference w:id="16"/>
      </w:r>
      <w:r w:rsidR="00A764EB" w:rsidRPr="00F176D8">
        <w:t xml:space="preserve"> (en adelante, “NCPP”), la PNP tiene, entre otros, los siguientes deberes: informar al detenido el delito que se le atribuye, comunicar al Ministerio Público (en adelante, “MP”), poner al detenido inmediatamente a disposición del juez de la investigación preparatoria, ser asistido desde los actos iniciales de investigación por un abogado defensor y ser examinado por un médico legista.</w:t>
      </w:r>
    </w:p>
    <w:p w:rsidR="00A764EB" w:rsidRPr="00BB10CE" w:rsidRDefault="005E3185" w:rsidP="005E3185">
      <w:pPr>
        <w:pStyle w:val="SingleTxtG"/>
        <w:rPr>
          <w:bCs/>
        </w:rPr>
      </w:pPr>
      <w:r>
        <w:t>25.</w:t>
      </w:r>
      <w:r>
        <w:tab/>
      </w:r>
      <w:r w:rsidR="00A764EB" w:rsidRPr="00F176D8">
        <w:t>En complemento a ello, en el literal e) del numeral 2 del artículo 71° del citado texto normativo se dispone que los jueces, los fiscales o la PNP deben informar al imputado de manera inmediata y comprensible sobre su derecho a “que no se emplee en su contra medios coactivos, intimidatorios o contrarios a su dignidad, ni a ser sometido a técnicas o métodos que induzcan o alteren su libre voluntad o a sufrir una restricción no autorizada ni permitida por ley”.</w:t>
      </w:r>
    </w:p>
    <w:p w:rsidR="00A764EB" w:rsidRPr="00BB10CE" w:rsidRDefault="005E3185" w:rsidP="005E3185">
      <w:pPr>
        <w:pStyle w:val="SingleTxtG"/>
        <w:rPr>
          <w:bCs/>
        </w:rPr>
      </w:pPr>
      <w:r>
        <w:t>26.</w:t>
      </w:r>
      <w:r>
        <w:tab/>
      </w:r>
      <w:r w:rsidR="00A764EB" w:rsidRPr="00F176D8">
        <w:t>Es importante resaltar que cuando el</w:t>
      </w:r>
      <w:r w:rsidR="00A764EB" w:rsidRPr="00F176D8">
        <w:rPr>
          <w:bCs/>
        </w:rPr>
        <w:t xml:space="preserve"> </w:t>
      </w:r>
      <w:r w:rsidR="00A764EB" w:rsidRPr="00F176D8">
        <w:t>imputado</w:t>
      </w:r>
      <w:r w:rsidR="00A764EB" w:rsidRPr="00F176D8">
        <w:rPr>
          <w:bCs/>
        </w:rPr>
        <w:t xml:space="preserve"> considere que durante las diligencias preliminares o en la investigación preparatoria no se ha dado cumplimiento a estas disposiciones, o que sus derechos no son respetados, o que es objeto de medidas limitativas de derechos indebidas o de requerimientos ilegales, puede acudir en vía de tutela al juez de la investigación preparatoria para que subsane la omisión o dicte las medidas de corrección o de protección que correspondan. La solicitud del imputado se resolverá inmediatamente, previa constatación de los hechos y realización de una audiencia con intervención de las partes</w:t>
      </w:r>
      <w:r w:rsidR="00A764EB" w:rsidRPr="00214959">
        <w:rPr>
          <w:rStyle w:val="Refdenotaalpie"/>
          <w:bCs/>
          <w:szCs w:val="22"/>
        </w:rPr>
        <w:footnoteReference w:id="17"/>
      </w:r>
      <w:r w:rsidR="00C37FDE">
        <w:rPr>
          <w:bCs/>
        </w:rPr>
        <w:t>.</w:t>
      </w:r>
    </w:p>
    <w:p w:rsidR="00A764EB" w:rsidRPr="00BB10CE" w:rsidRDefault="005E3185" w:rsidP="005E3185">
      <w:pPr>
        <w:pStyle w:val="SingleTxtG"/>
        <w:rPr>
          <w:rFonts w:eastAsiaTheme="minorHAnsi"/>
        </w:rPr>
      </w:pPr>
      <w:r>
        <w:rPr>
          <w:rFonts w:eastAsiaTheme="minorHAnsi"/>
        </w:rPr>
        <w:t>27.</w:t>
      </w:r>
      <w:r>
        <w:rPr>
          <w:rFonts w:eastAsiaTheme="minorHAnsi"/>
        </w:rPr>
        <w:tab/>
      </w:r>
      <w:r w:rsidR="00A764EB" w:rsidRPr="00F176D8">
        <w:rPr>
          <w:rFonts w:eastAsiaTheme="minorHAnsi"/>
        </w:rPr>
        <w:t xml:space="preserve">De otro lado, con relación a las empresas de seguridad privada, mediante Decreto Legislativo </w:t>
      </w:r>
      <w:r w:rsidR="00403B5F">
        <w:rPr>
          <w:rFonts w:eastAsiaTheme="minorHAnsi"/>
        </w:rPr>
        <w:t>núm.</w:t>
      </w:r>
      <w:r w:rsidR="00A764EB" w:rsidRPr="00F176D8">
        <w:rPr>
          <w:rFonts w:eastAsiaTheme="minorHAnsi"/>
        </w:rPr>
        <w:t xml:space="preserve"> 1213</w:t>
      </w:r>
      <w:r w:rsidR="00A764EB" w:rsidRPr="00214959">
        <w:rPr>
          <w:rStyle w:val="Refdenotaalpie"/>
          <w:rFonts w:eastAsiaTheme="minorHAnsi"/>
          <w:szCs w:val="22"/>
        </w:rPr>
        <w:footnoteReference w:id="18"/>
      </w:r>
      <w:r w:rsidR="00A764EB" w:rsidRPr="00F176D8">
        <w:rPr>
          <w:rFonts w:eastAsiaTheme="minorHAnsi"/>
        </w:rPr>
        <w:t>, se estableció la regulación de los servicios de seguridad privada, el objeto de dicha norma es gestionar la prestación y desarrollo de actividades de servicios de seguridad privada para la protección de personas y bienes, brindadas por personas naturales o jurídicas, públicas o privadas. Así, también se señala que los servicios de seguridad privada tienen carácter preventivo y son complementarios a la función de la PNP, por lo que coadyuvan a la seguridad ciudadana.</w:t>
      </w:r>
    </w:p>
    <w:p w:rsidR="00A764EB" w:rsidRPr="00BB10CE" w:rsidRDefault="005E3185" w:rsidP="005E3185">
      <w:pPr>
        <w:pStyle w:val="SingleTxtG"/>
        <w:rPr>
          <w:rFonts w:eastAsiaTheme="minorHAnsi"/>
        </w:rPr>
      </w:pPr>
      <w:r>
        <w:rPr>
          <w:rFonts w:eastAsiaTheme="minorHAnsi"/>
        </w:rPr>
        <w:t>28.</w:t>
      </w:r>
      <w:r>
        <w:rPr>
          <w:rFonts w:eastAsiaTheme="minorHAnsi"/>
        </w:rPr>
        <w:tab/>
      </w:r>
      <w:r w:rsidR="00A764EB" w:rsidRPr="00F176D8">
        <w:rPr>
          <w:rFonts w:eastAsiaTheme="minorHAnsi"/>
        </w:rPr>
        <w:t>La norma precitada, además, establece que las personas naturales y jurídicas públicas o privadas, destinatarias de la presente norma, deben mantener y promover el respeto de los DDHH en el desarrollo de sus actividades</w:t>
      </w:r>
      <w:r w:rsidR="00A764EB" w:rsidRPr="00214959">
        <w:rPr>
          <w:rStyle w:val="Refdenotaalpie"/>
          <w:rFonts w:eastAsiaTheme="minorHAnsi"/>
          <w:szCs w:val="22"/>
        </w:rPr>
        <w:footnoteReference w:id="19"/>
      </w:r>
      <w:r w:rsidR="00A764EB" w:rsidRPr="00F176D8">
        <w:rPr>
          <w:rFonts w:eastAsiaTheme="minorHAnsi"/>
        </w:rPr>
        <w:t>.</w:t>
      </w:r>
    </w:p>
    <w:p w:rsidR="00A764EB" w:rsidRPr="00BB10CE" w:rsidRDefault="005E3185" w:rsidP="005E3185">
      <w:pPr>
        <w:pStyle w:val="SingleTxtG"/>
        <w:rPr>
          <w:rFonts w:eastAsiaTheme="minorHAnsi"/>
        </w:rPr>
      </w:pPr>
      <w:r>
        <w:rPr>
          <w:lang w:val="es-ES_tradnl"/>
        </w:rPr>
        <w:t>29.</w:t>
      </w:r>
      <w:r>
        <w:rPr>
          <w:lang w:val="es-ES_tradnl"/>
        </w:rPr>
        <w:tab/>
      </w:r>
      <w:r w:rsidR="00A764EB" w:rsidRPr="00F176D8">
        <w:rPr>
          <w:lang w:val="es-ES_tradnl"/>
        </w:rPr>
        <w:t xml:space="preserve">En el </w:t>
      </w:r>
      <w:r w:rsidR="00A764EB" w:rsidRPr="00F176D8">
        <w:rPr>
          <w:b/>
          <w:lang w:val="es-ES_tradnl"/>
        </w:rPr>
        <w:t xml:space="preserve">párrafo </w:t>
      </w:r>
      <w:r w:rsidR="00A764EB" w:rsidRPr="00F176D8">
        <w:rPr>
          <w:rFonts w:eastAsiaTheme="minorHAnsi"/>
          <w:b/>
        </w:rPr>
        <w:t>27</w:t>
      </w:r>
      <w:r w:rsidR="00A764EB" w:rsidRPr="00F176D8">
        <w:rPr>
          <w:b/>
          <w:lang w:val="es-ES_tradnl"/>
        </w:rPr>
        <w:t xml:space="preserve"> </w:t>
      </w:r>
      <w:r w:rsidR="00A764EB" w:rsidRPr="00F176D8">
        <w:rPr>
          <w:lang w:val="es-ES_tradnl"/>
        </w:rPr>
        <w:t>del informe del SPT se recomienda la adopción de medidas efectivas para proteger a personas del colectivo LGTB contra agresiones, maltratos y detención arbitraria por parte de las fuerzas de seguridad, y velar por que todos los casos de violencia sean, sin demora y de manera efectiva e imparcial, objeto de investigación, enjuiciamiento y sanciones y las víctimas obtengan reparación.</w:t>
      </w:r>
    </w:p>
    <w:p w:rsidR="00A764EB" w:rsidRPr="00BB10CE" w:rsidRDefault="005E3185" w:rsidP="005E3185">
      <w:pPr>
        <w:pStyle w:val="SingleTxtG"/>
        <w:rPr>
          <w:rFonts w:eastAsiaTheme="minorHAnsi"/>
        </w:rPr>
      </w:pPr>
      <w:r>
        <w:t>30.</w:t>
      </w:r>
      <w:r>
        <w:tab/>
      </w:r>
      <w:r w:rsidR="00A764EB" w:rsidRPr="00F176D8">
        <w:t>Co</w:t>
      </w:r>
      <w:r w:rsidR="00A764EB" w:rsidRPr="00F176D8">
        <w:rPr>
          <w:lang w:val="es-ES_tradnl"/>
        </w:rPr>
        <w:t>n relación a la adopción de medidas para proteger a personas del colectivo LGTBI, el Manual de DDHH aplicados a la función policial dispone que la policía deberá tratar a estas personas con el mismo respeto que cualquier otro ciudadano, debiendo evitar cualquier acto discriminatorio o vejatorio</w:t>
      </w:r>
      <w:r w:rsidR="00A764EB" w:rsidRPr="00214959">
        <w:rPr>
          <w:rStyle w:val="Refdenotaalpie"/>
          <w:szCs w:val="22"/>
          <w:lang w:val="es-ES_tradnl"/>
        </w:rPr>
        <w:footnoteReference w:id="20"/>
      </w:r>
      <w:r w:rsidR="00C37FDE">
        <w:rPr>
          <w:lang w:val="es-ES_tradnl"/>
        </w:rPr>
        <w:t>.</w:t>
      </w:r>
    </w:p>
    <w:p w:rsidR="00A764EB" w:rsidRPr="00BB10CE" w:rsidRDefault="005E3185" w:rsidP="005E3185">
      <w:pPr>
        <w:pStyle w:val="SingleTxtG"/>
        <w:rPr>
          <w:rFonts w:eastAsiaTheme="minorHAnsi"/>
        </w:rPr>
      </w:pPr>
      <w:r>
        <w:rPr>
          <w:lang w:val="es-ES_tradnl"/>
        </w:rPr>
        <w:lastRenderedPageBreak/>
        <w:t>31.</w:t>
      </w:r>
      <w:r>
        <w:rPr>
          <w:lang w:val="es-ES_tradnl"/>
        </w:rPr>
        <w:tab/>
      </w:r>
      <w:r w:rsidR="00A764EB" w:rsidRPr="00F176D8">
        <w:rPr>
          <w:lang w:val="es-ES_tradnl"/>
        </w:rPr>
        <w:t xml:space="preserve">En esa misma línea, el Decreto Legislativo </w:t>
      </w:r>
      <w:r w:rsidR="00403B5F">
        <w:rPr>
          <w:lang w:val="es-ES_tradnl"/>
        </w:rPr>
        <w:t>núm.</w:t>
      </w:r>
      <w:r w:rsidR="00A764EB" w:rsidRPr="00F176D8">
        <w:rPr>
          <w:lang w:val="es-ES_tradnl"/>
        </w:rPr>
        <w:t xml:space="preserve"> 1268</w:t>
      </w:r>
      <w:r w:rsidR="00A764EB" w:rsidRPr="00214959">
        <w:rPr>
          <w:rStyle w:val="Refdenotaalpie"/>
          <w:szCs w:val="22"/>
        </w:rPr>
        <w:footnoteReference w:id="21"/>
      </w:r>
      <w:r w:rsidR="00A764EB" w:rsidRPr="00F176D8">
        <w:rPr>
          <w:lang w:val="es-ES_tradnl"/>
        </w:rPr>
        <w:t xml:space="preserve"> del Régimen Disciplinario de la PNP señala como una infracción grave “actuar con motivo del ejercicio de su función, discriminando por diversas razones o de cualquier índole”.</w:t>
      </w:r>
    </w:p>
    <w:p w:rsidR="00A764EB" w:rsidRPr="00BB10CE" w:rsidRDefault="005E3185" w:rsidP="005E3185">
      <w:pPr>
        <w:pStyle w:val="SingleTxtG"/>
        <w:rPr>
          <w:rFonts w:eastAsiaTheme="minorHAnsi"/>
        </w:rPr>
      </w:pPr>
      <w:r>
        <w:t>32.</w:t>
      </w:r>
      <w:r>
        <w:tab/>
      </w:r>
      <w:r w:rsidR="00A764EB" w:rsidRPr="00F176D8">
        <w:t xml:space="preserve">Por su parte, el Ministerio de la Mujer y Poblaciones Vulnerables (En adelante, “MIMP” viene desarrollando servicios que brindan atención y protección a las víctimas de violencia de género, </w:t>
      </w:r>
      <w:r w:rsidR="00A764EB" w:rsidRPr="00F176D8">
        <w:rPr>
          <w:rFonts w:eastAsiaTheme="minorHAnsi"/>
        </w:rPr>
        <w:t xml:space="preserve">aprobando </w:t>
      </w:r>
      <w:r w:rsidR="00A764EB" w:rsidRPr="00F176D8">
        <w:t xml:space="preserve">mediante la Resolución Directoral </w:t>
      </w:r>
      <w:r w:rsidR="00403B5F">
        <w:t>núm.</w:t>
      </w:r>
      <w:r w:rsidR="00A764EB" w:rsidRPr="00F176D8">
        <w:t xml:space="preserve"> 017-2016-MIMP/PNCVFS-DE los “Lineamientos para la atención de personas LGTBI en los servicios de atención del Programa Nacional contra la Violencia Familiar y Sexual del MIMP” con la finalidad de estandarizar criterios y metodologías para la atención de lesbianas, ga</w:t>
      </w:r>
      <w:r w:rsidR="00C429E9">
        <w:t>i</w:t>
      </w:r>
      <w:r w:rsidR="00A764EB" w:rsidRPr="00F176D8">
        <w:t xml:space="preserve">s, </w:t>
      </w:r>
      <w:proofErr w:type="spellStart"/>
      <w:r w:rsidR="00A764EB" w:rsidRPr="00F176D8">
        <w:t>trans</w:t>
      </w:r>
      <w:proofErr w:type="spellEnd"/>
      <w:r w:rsidR="00A764EB" w:rsidRPr="00F176D8">
        <w:t>, bisexuales e intersexuales en los servicios del MIMP, especializados en violencia de género</w:t>
      </w:r>
      <w:r w:rsidR="00A764EB" w:rsidRPr="00214959">
        <w:rPr>
          <w:rStyle w:val="Refdenotaalpie"/>
          <w:szCs w:val="22"/>
        </w:rPr>
        <w:footnoteReference w:id="22"/>
      </w:r>
      <w:r w:rsidR="00C37FDE">
        <w:t>.</w:t>
      </w:r>
    </w:p>
    <w:p w:rsidR="00A764EB" w:rsidRPr="00BB10CE" w:rsidRDefault="005E3185" w:rsidP="005E3185">
      <w:pPr>
        <w:pStyle w:val="SingleTxtG"/>
        <w:rPr>
          <w:rFonts w:eastAsiaTheme="minorHAnsi"/>
        </w:rPr>
      </w:pPr>
      <w:r>
        <w:t>33.</w:t>
      </w:r>
      <w:r>
        <w:tab/>
      </w:r>
      <w:r w:rsidR="00A764EB" w:rsidRPr="00F176D8">
        <w:t>Asimismo</w:t>
      </w:r>
      <w:r w:rsidR="00A764EB" w:rsidRPr="00F176D8">
        <w:rPr>
          <w:lang w:val="es-ES_tradnl"/>
        </w:rPr>
        <w:t>, es importante mencionar la creación de la “Mesa de Trabajo para promover los derechos de Ga</w:t>
      </w:r>
      <w:r w:rsidR="00C429E9">
        <w:rPr>
          <w:lang w:val="es-ES_tradnl"/>
        </w:rPr>
        <w:t>i</w:t>
      </w:r>
      <w:r w:rsidR="00A764EB" w:rsidRPr="00F176D8">
        <w:rPr>
          <w:lang w:val="es-ES_tradnl"/>
        </w:rPr>
        <w:t xml:space="preserve">s, Transexuales, Bisexuales e Intersexuales (en adelante, “GTBI”) (Resolución Ministerial </w:t>
      </w:r>
      <w:r w:rsidR="00403B5F">
        <w:rPr>
          <w:lang w:val="es-ES_tradnl"/>
        </w:rPr>
        <w:t>núm.</w:t>
      </w:r>
      <w:r w:rsidR="00A764EB" w:rsidRPr="00F176D8">
        <w:rPr>
          <w:lang w:val="es-ES_tradnl"/>
        </w:rPr>
        <w:t xml:space="preserve"> 294-2016-MIMP), cuyo fin es ser un mecanismo de coordinación entre el MIMP y la sociedad civil para promover propuestas de sensibilización orientadas a la sociedad en su conjunto para combatir la discriminación de la población GTBI y desarrollar acciones para la protección de sus derechos fundamentales y la promoción del ejercicio de los mismos, así como para la elaboración de propuestas de lineamientos de políticas públicas inclusivas</w:t>
      </w:r>
      <w:r w:rsidR="00A764EB" w:rsidRPr="00214959">
        <w:rPr>
          <w:rStyle w:val="Refdenotaalpie"/>
          <w:szCs w:val="22"/>
          <w:lang w:val="es-ES_tradnl"/>
        </w:rPr>
        <w:footnoteReference w:id="23"/>
      </w:r>
      <w:r w:rsidR="00C429E9">
        <w:rPr>
          <w:lang w:val="es-ES_tradnl"/>
        </w:rPr>
        <w:t>.</w:t>
      </w:r>
      <w:r w:rsidR="00A764EB" w:rsidRPr="00F176D8">
        <w:rPr>
          <w:lang w:val="es-ES_tradnl"/>
        </w:rPr>
        <w:t xml:space="preserve"> </w:t>
      </w:r>
    </w:p>
    <w:p w:rsidR="00A764EB" w:rsidRPr="00BB10CE" w:rsidRDefault="005E3185" w:rsidP="005E3185">
      <w:pPr>
        <w:pStyle w:val="SingleTxtG"/>
        <w:rPr>
          <w:rFonts w:eastAsiaTheme="minorHAnsi"/>
        </w:rPr>
      </w:pPr>
      <w:r>
        <w:rPr>
          <w:lang w:val="es-ES_tradnl"/>
        </w:rPr>
        <w:t>34.</w:t>
      </w:r>
      <w:r>
        <w:rPr>
          <w:lang w:val="es-ES_tradnl"/>
        </w:rPr>
        <w:tab/>
      </w:r>
      <w:r w:rsidR="00A764EB" w:rsidRPr="00F176D8">
        <w:rPr>
          <w:lang w:val="es-ES_tradnl"/>
        </w:rPr>
        <w:t xml:space="preserve">Con anterioridad, mediante la Resolución Ministerial </w:t>
      </w:r>
      <w:r w:rsidR="00403B5F">
        <w:rPr>
          <w:lang w:val="es-ES_tradnl"/>
        </w:rPr>
        <w:t>núm.</w:t>
      </w:r>
      <w:r w:rsidR="00A764EB" w:rsidRPr="00F176D8">
        <w:rPr>
          <w:lang w:val="es-ES_tradnl"/>
        </w:rPr>
        <w:t xml:space="preserve"> 099-2016-MIMP se conformó el Grupo de Trabajo</w:t>
      </w:r>
      <w:r w:rsidR="00A764EB" w:rsidRPr="00214959">
        <w:rPr>
          <w:rStyle w:val="Refdenotaalpie"/>
          <w:szCs w:val="22"/>
          <w:lang w:val="es-ES_tradnl"/>
        </w:rPr>
        <w:footnoteReference w:id="24"/>
      </w:r>
      <w:r w:rsidR="00A764EB" w:rsidRPr="00F176D8">
        <w:rPr>
          <w:lang w:val="es-ES_tradnl"/>
        </w:rPr>
        <w:t xml:space="preserve"> denominado “Mesa de Trabajo para promover los derechos de lesbianas”, para viabilizar y eliminar la situación de exclusión y discriminación de las mujeres lesbianas y desarrollar acciones en la promoción y protección de sus derechos.</w:t>
      </w:r>
    </w:p>
    <w:p w:rsidR="00A764EB" w:rsidRPr="00BB10CE" w:rsidRDefault="005E3185" w:rsidP="005E3185">
      <w:pPr>
        <w:pStyle w:val="SingleTxtG"/>
        <w:rPr>
          <w:rFonts w:eastAsiaTheme="minorHAnsi"/>
        </w:rPr>
      </w:pPr>
      <w:r>
        <w:rPr>
          <w:lang w:val="es-ES_tradnl"/>
        </w:rPr>
        <w:t>35.</w:t>
      </w:r>
      <w:r>
        <w:rPr>
          <w:lang w:val="es-ES_tradnl"/>
        </w:rPr>
        <w:tab/>
      </w:r>
      <w:r w:rsidR="00A764EB" w:rsidRPr="00F176D8">
        <w:rPr>
          <w:lang w:val="es-ES_tradnl"/>
        </w:rPr>
        <w:t xml:space="preserve">Cabe señalar que mediante el Decreto Legislativo </w:t>
      </w:r>
      <w:r w:rsidR="00403B5F">
        <w:rPr>
          <w:lang w:val="es-ES_tradnl"/>
        </w:rPr>
        <w:t>núm.</w:t>
      </w:r>
      <w:r w:rsidR="00A764EB" w:rsidRPr="00F176D8">
        <w:rPr>
          <w:lang w:val="es-ES_tradnl"/>
        </w:rPr>
        <w:t xml:space="preserve"> 1323 se incluyó en el tipo penal de discriminación (artículo 323° del CP), como motivo prohibido, la orientación sexual e identidad de género</w:t>
      </w:r>
      <w:r w:rsidR="00A764EB" w:rsidRPr="00214959">
        <w:rPr>
          <w:rStyle w:val="Refdenotaalpie"/>
          <w:szCs w:val="22"/>
          <w:lang w:val="es-ES_tradnl"/>
        </w:rPr>
        <w:footnoteReference w:id="25"/>
      </w:r>
      <w:r w:rsidR="00A764EB" w:rsidRPr="00F176D8">
        <w:rPr>
          <w:lang w:val="es-ES_tradnl"/>
        </w:rPr>
        <w:t xml:space="preserve">; asimismo dichas causales fueron consideradas como agravantes de un delito (Art. 46° del CP). </w:t>
      </w:r>
    </w:p>
    <w:p w:rsidR="00A764EB" w:rsidRPr="00BB10CE" w:rsidRDefault="005E3185" w:rsidP="005E3185">
      <w:pPr>
        <w:pStyle w:val="SingleTxtG"/>
        <w:rPr>
          <w:rFonts w:eastAsiaTheme="minorHAnsi"/>
        </w:rPr>
      </w:pPr>
      <w:r>
        <w:rPr>
          <w:lang w:val="es-ES_tradnl"/>
        </w:rPr>
        <w:t>36.</w:t>
      </w:r>
      <w:r>
        <w:rPr>
          <w:lang w:val="es-ES_tradnl"/>
        </w:rPr>
        <w:tab/>
      </w:r>
      <w:r w:rsidR="00A764EB" w:rsidRPr="00F176D8">
        <w:rPr>
          <w:lang w:val="es-ES_tradnl"/>
        </w:rPr>
        <w:t>Adicionalmente, se creó la Comisión Nacional contra la Discriminación</w:t>
      </w:r>
      <w:r w:rsidR="00A764EB" w:rsidRPr="00214959">
        <w:rPr>
          <w:rStyle w:val="Refdenotaalpie"/>
          <w:szCs w:val="22"/>
          <w:lang w:val="es-ES_tradnl"/>
        </w:rPr>
        <w:footnoteReference w:id="26"/>
      </w:r>
      <w:r w:rsidR="00A764EB" w:rsidRPr="00F176D8">
        <w:rPr>
          <w:lang w:val="es-ES_tradnl"/>
        </w:rPr>
        <w:t xml:space="preserve"> (en adelante, “CONACOD”), cuyo fin es realizar labores de seguimiento, fiscalización, así como emitir opiniones y brindar asesoramiento técnico al Poder Ejecutivo en el desarrollo de políticas públicas, programas, proyectos, planes de acción y estrategias en materia de igualdad y no discriminación. </w:t>
      </w:r>
    </w:p>
    <w:p w:rsidR="00A764EB" w:rsidRPr="00BB10CE" w:rsidRDefault="005E3185" w:rsidP="005E3185">
      <w:pPr>
        <w:pStyle w:val="SingleTxtG"/>
        <w:rPr>
          <w:rFonts w:eastAsiaTheme="minorHAnsi"/>
        </w:rPr>
      </w:pPr>
      <w:r>
        <w:rPr>
          <w:lang w:val="es-ES_tradnl"/>
        </w:rPr>
        <w:t>37.</w:t>
      </w:r>
      <w:r>
        <w:rPr>
          <w:lang w:val="es-ES_tradnl"/>
        </w:rPr>
        <w:tab/>
      </w:r>
      <w:r w:rsidR="00A764EB" w:rsidRPr="00F176D8">
        <w:rPr>
          <w:lang w:val="es-ES_tradnl"/>
        </w:rPr>
        <w:t>Es importante señalar que el MINJUS ha iniciado la elaboración del nuevo PNDH 2017-2021, que incorpora, entre otros, a la población LGBTI como grupo en situación de especial protección, a fin de que se diseñen y ejecuten políticas a su favor y ejerzan plenamente sus derechos fundamentales.</w:t>
      </w:r>
    </w:p>
    <w:p w:rsidR="00A764EB" w:rsidRPr="00BB10CE" w:rsidRDefault="00103EFD" w:rsidP="00103EFD">
      <w:pPr>
        <w:pStyle w:val="H1G"/>
        <w:rPr>
          <w:rFonts w:eastAsiaTheme="minorHAnsi"/>
        </w:rPr>
      </w:pPr>
      <w:bookmarkStart w:id="9" w:name="_Toc485946879"/>
      <w:r>
        <w:lastRenderedPageBreak/>
        <w:tab/>
        <w:t>3.2</w:t>
      </w:r>
      <w:r>
        <w:tab/>
      </w:r>
      <w:r w:rsidR="00A764EB" w:rsidRPr="00F176D8">
        <w:t>Establecimientos</w:t>
      </w:r>
      <w:r w:rsidR="00A764EB" w:rsidRPr="00F176D8">
        <w:rPr>
          <w:rFonts w:eastAsiaTheme="minorHAnsi"/>
        </w:rPr>
        <w:t xml:space="preserve"> Penitenciarios</w:t>
      </w:r>
      <w:bookmarkEnd w:id="9"/>
      <w:r w:rsidR="00A764EB" w:rsidRPr="00F176D8">
        <w:rPr>
          <w:rFonts w:eastAsiaTheme="minorHAnsi"/>
        </w:rPr>
        <w:t xml:space="preserve"> </w:t>
      </w:r>
    </w:p>
    <w:p w:rsidR="00A764EB" w:rsidRPr="00BB10CE" w:rsidRDefault="00103EFD" w:rsidP="00103EFD">
      <w:pPr>
        <w:pStyle w:val="H23G"/>
        <w:rPr>
          <w:rFonts w:eastAsiaTheme="minorHAnsi"/>
        </w:rPr>
      </w:pPr>
      <w:bookmarkStart w:id="10" w:name="_Toc485946880"/>
      <w:r>
        <w:rPr>
          <w:rFonts w:eastAsiaTheme="minorHAnsi"/>
        </w:rPr>
        <w:tab/>
        <w:t>3.2.1</w:t>
      </w:r>
      <w:r>
        <w:rPr>
          <w:rFonts w:eastAsiaTheme="minorHAnsi"/>
        </w:rPr>
        <w:tab/>
      </w:r>
      <w:r w:rsidR="00A764EB" w:rsidRPr="00F176D8">
        <w:rPr>
          <w:rFonts w:eastAsiaTheme="minorHAnsi"/>
        </w:rPr>
        <w:t>Condiciones de detención</w:t>
      </w:r>
      <w:bookmarkEnd w:id="10"/>
    </w:p>
    <w:p w:rsidR="00A764EB" w:rsidRPr="00BB10CE" w:rsidRDefault="005E3185" w:rsidP="005E3185">
      <w:pPr>
        <w:pStyle w:val="SingleTxtG"/>
        <w:rPr>
          <w:rFonts w:eastAsiaTheme="minorHAnsi"/>
        </w:rPr>
      </w:pPr>
      <w:r>
        <w:rPr>
          <w:lang w:val="es-ES_tradnl"/>
        </w:rPr>
        <w:t>38.</w:t>
      </w:r>
      <w:r>
        <w:rPr>
          <w:lang w:val="es-ES_tradnl"/>
        </w:rPr>
        <w:tab/>
      </w:r>
      <w:r w:rsidR="00A764EB" w:rsidRPr="00F176D8">
        <w:rPr>
          <w:lang w:val="es-ES_tradnl"/>
        </w:rPr>
        <w:t>En</w:t>
      </w:r>
      <w:r w:rsidR="00A764EB" w:rsidRPr="00F176D8">
        <w:rPr>
          <w:rFonts w:eastAsiaTheme="minorHAnsi"/>
        </w:rPr>
        <w:t xml:space="preserve"> los </w:t>
      </w:r>
      <w:r w:rsidR="00A764EB" w:rsidRPr="00F176D8">
        <w:rPr>
          <w:rFonts w:eastAsiaTheme="minorHAnsi"/>
          <w:b/>
        </w:rPr>
        <w:t>párrafos 32, 38, 40, 43</w:t>
      </w:r>
      <w:r w:rsidR="000164A0">
        <w:rPr>
          <w:rFonts w:eastAsiaTheme="minorHAnsi"/>
          <w:b/>
        </w:rPr>
        <w:t xml:space="preserve">, </w:t>
      </w:r>
      <w:r w:rsidR="00A764EB" w:rsidRPr="00F176D8">
        <w:rPr>
          <w:rFonts w:eastAsiaTheme="minorHAnsi"/>
          <w:b/>
        </w:rPr>
        <w:t>44 y 46</w:t>
      </w:r>
      <w:r w:rsidR="00A764EB" w:rsidRPr="00F176D8">
        <w:rPr>
          <w:rFonts w:eastAsiaTheme="minorHAnsi"/>
          <w:b/>
          <w:i/>
        </w:rPr>
        <w:t xml:space="preserve"> </w:t>
      </w:r>
      <w:r w:rsidR="00A764EB" w:rsidRPr="00F176D8">
        <w:rPr>
          <w:rFonts w:eastAsiaTheme="minorHAnsi"/>
        </w:rPr>
        <w:t xml:space="preserve">del informe del SPT, se recomienda al Estado peruano que reconsidere sus políticas y adopte medidas referentes a resolver la problemática en los establecimientos penitenciarios relacionadas a: </w:t>
      </w:r>
      <w:r w:rsidR="00A764EB" w:rsidRPr="00F176D8">
        <w:rPr>
          <w:rFonts w:eastAsiaTheme="minorHAnsi"/>
          <w:b/>
          <w:i/>
        </w:rPr>
        <w:t>i)</w:t>
      </w:r>
      <w:r w:rsidR="00A764EB" w:rsidRPr="00F176D8">
        <w:rPr>
          <w:rFonts w:eastAsiaTheme="minorHAnsi"/>
        </w:rPr>
        <w:t xml:space="preserve"> condiciones de detención (sobrepoblación y hacinamiento); </w:t>
      </w:r>
      <w:r w:rsidR="00A764EB" w:rsidRPr="00F176D8">
        <w:rPr>
          <w:rFonts w:eastAsiaTheme="minorHAnsi"/>
          <w:b/>
          <w:i/>
        </w:rPr>
        <w:t>ii)</w:t>
      </w:r>
      <w:r w:rsidR="00A764EB" w:rsidRPr="00F176D8">
        <w:rPr>
          <w:rFonts w:eastAsiaTheme="minorHAnsi"/>
        </w:rPr>
        <w:t xml:space="preserve"> condiciones materiales; </w:t>
      </w:r>
      <w:r w:rsidR="00A764EB" w:rsidRPr="00F176D8">
        <w:rPr>
          <w:rFonts w:eastAsiaTheme="minorHAnsi"/>
          <w:b/>
          <w:i/>
        </w:rPr>
        <w:t>iii)</w:t>
      </w:r>
      <w:r w:rsidR="00A764EB" w:rsidRPr="00F176D8">
        <w:rPr>
          <w:rFonts w:eastAsiaTheme="minorHAnsi"/>
        </w:rPr>
        <w:t xml:space="preserve"> alimentación; </w:t>
      </w:r>
      <w:r w:rsidR="00A764EB" w:rsidRPr="00F176D8">
        <w:rPr>
          <w:rFonts w:eastAsiaTheme="minorHAnsi"/>
          <w:b/>
          <w:i/>
        </w:rPr>
        <w:t xml:space="preserve">iv) </w:t>
      </w:r>
      <w:r w:rsidR="00A764EB" w:rsidRPr="00F176D8">
        <w:rPr>
          <w:rFonts w:eastAsiaTheme="minorHAnsi"/>
        </w:rPr>
        <w:t xml:space="preserve">contacto con el exterior; y, </w:t>
      </w:r>
      <w:r w:rsidR="00A764EB" w:rsidRPr="00F176D8">
        <w:rPr>
          <w:rFonts w:eastAsiaTheme="minorHAnsi"/>
          <w:b/>
          <w:i/>
        </w:rPr>
        <w:t>v)</w:t>
      </w:r>
      <w:r w:rsidR="00A764EB" w:rsidRPr="00F176D8">
        <w:rPr>
          <w:rFonts w:eastAsiaTheme="minorHAnsi"/>
        </w:rPr>
        <w:t xml:space="preserve"> situaciones de autogobierno.</w:t>
      </w:r>
    </w:p>
    <w:p w:rsidR="00A764EB" w:rsidRPr="00BB10CE" w:rsidRDefault="005E3185" w:rsidP="005E3185">
      <w:pPr>
        <w:pStyle w:val="SingleTxtG"/>
        <w:rPr>
          <w:rFonts w:eastAsiaTheme="minorHAnsi"/>
        </w:rPr>
      </w:pPr>
      <w:r>
        <w:rPr>
          <w:rFonts w:eastAsiaTheme="minorHAnsi"/>
        </w:rPr>
        <w:t>39.</w:t>
      </w:r>
      <w:r>
        <w:rPr>
          <w:rFonts w:eastAsiaTheme="minorHAnsi"/>
        </w:rPr>
        <w:tab/>
      </w:r>
      <w:r w:rsidR="00A764EB" w:rsidRPr="00F176D8">
        <w:rPr>
          <w:rFonts w:eastAsiaTheme="minorHAnsi"/>
        </w:rPr>
        <w:t xml:space="preserve">Al respecto, con la finalidad de atender la crisis en los establecimientos penitenciarios se promovió la aprobación del Decreto Legislativo </w:t>
      </w:r>
      <w:r w:rsidR="00403B5F">
        <w:rPr>
          <w:rFonts w:eastAsiaTheme="minorHAnsi"/>
        </w:rPr>
        <w:t>núm.</w:t>
      </w:r>
      <w:r w:rsidR="00A764EB" w:rsidRPr="00F176D8">
        <w:rPr>
          <w:rFonts w:eastAsiaTheme="minorHAnsi"/>
        </w:rPr>
        <w:t xml:space="preserve"> 1325 que declaró en emergencia y reestructura el Sistema Nacional Penitenciario y el INPE, dictando medidas en los ámbitos de salud, infraestructura, seguridad, lucha contra la corrupción y fortalecimiento de la gestión administrativa; para garantizar el funcionamiento y operatividad de los establecimientos penitenciarios</w:t>
      </w:r>
      <w:r w:rsidR="00A764EB" w:rsidRPr="00214959">
        <w:rPr>
          <w:rStyle w:val="Refdenotaalpie"/>
          <w:szCs w:val="22"/>
          <w:lang w:val="es-ES_tradnl"/>
        </w:rPr>
        <w:footnoteReference w:id="27"/>
      </w:r>
      <w:r w:rsidR="00C429E9">
        <w:rPr>
          <w:rFonts w:eastAsiaTheme="minorHAnsi"/>
        </w:rPr>
        <w:t>.</w:t>
      </w:r>
    </w:p>
    <w:p w:rsidR="00A764EB" w:rsidRPr="00BB10CE" w:rsidRDefault="005E3185" w:rsidP="005E3185">
      <w:pPr>
        <w:pStyle w:val="SingleTxtG"/>
        <w:rPr>
          <w:rFonts w:eastAsiaTheme="minorHAnsi"/>
        </w:rPr>
      </w:pPr>
      <w:r>
        <w:rPr>
          <w:rFonts w:eastAsiaTheme="minorHAnsi"/>
        </w:rPr>
        <w:t>40.</w:t>
      </w:r>
      <w:r>
        <w:rPr>
          <w:rFonts w:eastAsiaTheme="minorHAnsi"/>
        </w:rPr>
        <w:tab/>
      </w:r>
      <w:r w:rsidR="00A764EB" w:rsidRPr="00F176D8">
        <w:rPr>
          <w:rFonts w:eastAsiaTheme="minorHAnsi"/>
        </w:rPr>
        <w:t>Precisamente, contribuyeron a la adopción de tal medida los resultados de</w:t>
      </w:r>
      <w:r w:rsidR="00A764EB" w:rsidRPr="00F176D8">
        <w:t>l primer “Censo Nacional de Población Penitenciaria 2016</w:t>
      </w:r>
      <w:r w:rsidR="00A764EB" w:rsidRPr="00214959">
        <w:rPr>
          <w:rStyle w:val="Refdenotaalpie"/>
          <w:szCs w:val="22"/>
        </w:rPr>
        <w:footnoteReference w:id="28"/>
      </w:r>
      <w:r w:rsidR="00A764EB" w:rsidRPr="00F176D8">
        <w:t xml:space="preserve">”, realizado de manera conjunta con el Instituto Nacional de Estadística e Informática (en adelante, “INEI”), el INPE y el Observatorio Nacional de Criminalidad en los 67 establecimientos penitenciarios del Estado. </w:t>
      </w:r>
    </w:p>
    <w:p w:rsidR="00A764EB" w:rsidRPr="00BB10CE" w:rsidRDefault="005E3185" w:rsidP="005E3185">
      <w:pPr>
        <w:pStyle w:val="SingleTxtG"/>
        <w:rPr>
          <w:rFonts w:eastAsiaTheme="minorHAnsi"/>
        </w:rPr>
      </w:pPr>
      <w:r>
        <w:t>41.</w:t>
      </w:r>
      <w:r>
        <w:tab/>
      </w:r>
      <w:r w:rsidR="00A764EB" w:rsidRPr="00F176D8">
        <w:t xml:space="preserve">Con anterioridad, se aprobó el Decreto Legislativo </w:t>
      </w:r>
      <w:r w:rsidR="00403B5F">
        <w:t>núm.</w:t>
      </w:r>
      <w:r w:rsidR="00A764EB" w:rsidRPr="00F176D8">
        <w:t xml:space="preserve"> 1229</w:t>
      </w:r>
      <w:r w:rsidR="00A764EB" w:rsidRPr="00214959">
        <w:rPr>
          <w:rStyle w:val="Refdenotaalpie"/>
          <w:szCs w:val="22"/>
        </w:rPr>
        <w:footnoteReference w:id="29"/>
      </w:r>
      <w:r w:rsidR="00A764EB" w:rsidRPr="00F176D8">
        <w:t xml:space="preserve">, reglamentado mediante el Decreto Supremo </w:t>
      </w:r>
      <w:r w:rsidR="00403B5F">
        <w:t>núm.</w:t>
      </w:r>
      <w:r w:rsidR="00A764EB" w:rsidRPr="00F176D8">
        <w:t xml:space="preserve"> 007-2016-JUS</w:t>
      </w:r>
      <w:r w:rsidR="00A764EB" w:rsidRPr="00214959">
        <w:rPr>
          <w:rStyle w:val="Refdenotaalpie"/>
          <w:szCs w:val="22"/>
        </w:rPr>
        <w:footnoteReference w:id="30"/>
      </w:r>
      <w:r w:rsidR="00C429E9">
        <w:t>,</w:t>
      </w:r>
      <w:r w:rsidR="00A764EB" w:rsidRPr="00F176D8">
        <w:t xml:space="preserve"> mediante el cual se declara de interés público y prioridad nacional la adopción de medidas para el mejoramiento e implementación de servicios que mejoren las condiciones de la infraestructura, administración, tratamiento y seguridad penitenciaria.</w:t>
      </w:r>
    </w:p>
    <w:p w:rsidR="00A764EB" w:rsidRPr="00BB10CE" w:rsidRDefault="005E3185" w:rsidP="005E3185">
      <w:pPr>
        <w:pStyle w:val="SingleTxtG"/>
        <w:rPr>
          <w:rFonts w:eastAsiaTheme="minorHAnsi"/>
        </w:rPr>
      </w:pPr>
      <w:r>
        <w:rPr>
          <w:rFonts w:eastAsiaTheme="minorHAnsi"/>
        </w:rPr>
        <w:t>42.</w:t>
      </w:r>
      <w:r>
        <w:rPr>
          <w:rFonts w:eastAsiaTheme="minorHAnsi"/>
        </w:rPr>
        <w:tab/>
      </w:r>
      <w:r w:rsidR="00A764EB" w:rsidRPr="00F176D8">
        <w:rPr>
          <w:rFonts w:eastAsiaTheme="minorHAnsi"/>
        </w:rPr>
        <w:t>Cabe destacar, la aprobación de la Resolución Presidencial del INPE</w:t>
      </w:r>
      <w:r w:rsidR="00A764EB" w:rsidRPr="00214959">
        <w:rPr>
          <w:rStyle w:val="Refdenotaalpie"/>
          <w:rFonts w:eastAsiaTheme="minorHAnsi"/>
          <w:szCs w:val="22"/>
        </w:rPr>
        <w:footnoteReference w:id="31"/>
      </w:r>
      <w:r w:rsidR="00A764EB" w:rsidRPr="00F176D8">
        <w:rPr>
          <w:rFonts w:eastAsiaTheme="minorHAnsi"/>
        </w:rPr>
        <w:t xml:space="preserve"> </w:t>
      </w:r>
      <w:r w:rsidR="00403B5F">
        <w:rPr>
          <w:rFonts w:eastAsiaTheme="minorHAnsi"/>
        </w:rPr>
        <w:t>núm.</w:t>
      </w:r>
      <w:r w:rsidR="00C429E9">
        <w:rPr>
          <w:rFonts w:eastAsiaTheme="minorHAnsi"/>
        </w:rPr>
        <w:t> </w:t>
      </w:r>
      <w:r w:rsidR="00A764EB" w:rsidRPr="00F176D8">
        <w:rPr>
          <w:rFonts w:eastAsiaTheme="minorHAnsi"/>
        </w:rPr>
        <w:t>017</w:t>
      </w:r>
      <w:r w:rsidR="00C429E9">
        <w:rPr>
          <w:rFonts w:eastAsiaTheme="minorHAnsi"/>
        </w:rPr>
        <w:noBreakHyphen/>
      </w:r>
      <w:r w:rsidR="00A764EB" w:rsidRPr="00F176D8">
        <w:rPr>
          <w:rFonts w:eastAsiaTheme="minorHAnsi"/>
        </w:rPr>
        <w:t>2016-INPE que aprueba la Directiva “Creación, implementación y ejecución de intervención en reclusión para la reinserción social” que tiene por objetivo regular y estandarizar las actividades necesarias para el diseño, formalización, implementación y ejecución de programas de reinserción social en reclusión.</w:t>
      </w:r>
    </w:p>
    <w:p w:rsidR="00A764EB" w:rsidRPr="00BB10CE" w:rsidRDefault="005E3185" w:rsidP="005E3185">
      <w:pPr>
        <w:pStyle w:val="SingleTxtG"/>
        <w:rPr>
          <w:rFonts w:eastAsiaTheme="minorHAnsi"/>
        </w:rPr>
      </w:pPr>
      <w:r>
        <w:rPr>
          <w:rFonts w:eastAsiaTheme="minorHAnsi"/>
        </w:rPr>
        <w:t>43.</w:t>
      </w:r>
      <w:r>
        <w:rPr>
          <w:rFonts w:eastAsiaTheme="minorHAnsi"/>
        </w:rPr>
        <w:tab/>
      </w:r>
      <w:r w:rsidR="00A764EB" w:rsidRPr="00F176D8">
        <w:rPr>
          <w:rFonts w:eastAsiaTheme="minorHAnsi"/>
        </w:rPr>
        <w:t>Asimismo, el INPE ha informado que viene implementando las “10 Medidas de Reforma del Sistema Penitenciario”, que considera la construcción de nuevos establecimientos penitenciarios para disminuir los niveles de hacinamiento y brindar apropiadas condiciones de seguridad y habitabilidad, la ubicación conforme a los regímenes y etapas que les corresponda</w:t>
      </w:r>
      <w:r w:rsidR="00A764EB" w:rsidRPr="00214959">
        <w:rPr>
          <w:rStyle w:val="Refdenotaalpie"/>
          <w:rFonts w:eastAsiaTheme="minorHAnsi"/>
          <w:szCs w:val="22"/>
        </w:rPr>
        <w:footnoteReference w:id="32"/>
      </w:r>
      <w:r w:rsidR="00C429E9">
        <w:rPr>
          <w:rFonts w:eastAsiaTheme="minorHAnsi"/>
        </w:rPr>
        <w:t>.</w:t>
      </w:r>
    </w:p>
    <w:p w:rsidR="00A764EB" w:rsidRPr="00BB10CE" w:rsidRDefault="005E3185" w:rsidP="005E3185">
      <w:pPr>
        <w:pStyle w:val="SingleTxtG"/>
        <w:rPr>
          <w:rFonts w:eastAsiaTheme="minorHAnsi"/>
        </w:rPr>
      </w:pPr>
      <w:r>
        <w:rPr>
          <w:rFonts w:eastAsiaTheme="minorHAnsi"/>
        </w:rPr>
        <w:t>44.</w:t>
      </w:r>
      <w:r>
        <w:rPr>
          <w:rFonts w:eastAsiaTheme="minorHAnsi"/>
        </w:rPr>
        <w:tab/>
      </w:r>
      <w:r w:rsidR="00A764EB" w:rsidRPr="00F176D8">
        <w:rPr>
          <w:rFonts w:eastAsiaTheme="minorHAnsi"/>
        </w:rPr>
        <w:t>Por su parte, la Oficina de Infraestructura Penitenciaria ha efectuado diversas intervenciones relacionadas al mantenimiento y acondicionamiento de los ambientes, mejoramiento de la seguridad de la infraestructura, saneamiento de los servicios básicos y recuperación de la capacidad de los albergues</w:t>
      </w:r>
      <w:r w:rsidR="00A764EB" w:rsidRPr="00214959">
        <w:rPr>
          <w:rStyle w:val="Refdenotaalpie"/>
          <w:rFonts w:eastAsiaTheme="minorHAnsi"/>
          <w:szCs w:val="22"/>
        </w:rPr>
        <w:footnoteReference w:id="33"/>
      </w:r>
      <w:r w:rsidR="00D13CA3">
        <w:rPr>
          <w:rFonts w:eastAsiaTheme="minorHAnsi"/>
        </w:rPr>
        <w:t>.</w:t>
      </w:r>
      <w:r w:rsidR="00A764EB" w:rsidRPr="00F176D8">
        <w:rPr>
          <w:rFonts w:eastAsiaTheme="minorHAnsi"/>
        </w:rPr>
        <w:t xml:space="preserve"> Ver Tabla del </w:t>
      </w:r>
      <w:r w:rsidR="000164A0">
        <w:rPr>
          <w:rFonts w:eastAsiaTheme="minorHAnsi"/>
        </w:rPr>
        <w:t>a</w:t>
      </w:r>
      <w:r w:rsidR="00A764EB" w:rsidRPr="00F176D8">
        <w:rPr>
          <w:rFonts w:eastAsiaTheme="minorHAnsi"/>
        </w:rPr>
        <w:t xml:space="preserve">nexo </w:t>
      </w:r>
      <w:r w:rsidR="00403B5F">
        <w:rPr>
          <w:rFonts w:eastAsiaTheme="minorHAnsi"/>
        </w:rPr>
        <w:t>núm.</w:t>
      </w:r>
      <w:r w:rsidR="00A764EB" w:rsidRPr="00F176D8">
        <w:rPr>
          <w:rFonts w:eastAsiaTheme="minorHAnsi"/>
        </w:rPr>
        <w:t xml:space="preserve"> 1.</w:t>
      </w:r>
    </w:p>
    <w:p w:rsidR="00A764EB" w:rsidRPr="00BB10CE" w:rsidRDefault="005E3185" w:rsidP="005E3185">
      <w:pPr>
        <w:pStyle w:val="SingleTxtG"/>
        <w:rPr>
          <w:rFonts w:eastAsiaTheme="minorHAnsi"/>
        </w:rPr>
      </w:pPr>
      <w:r>
        <w:rPr>
          <w:rFonts w:eastAsiaTheme="minorHAnsi"/>
        </w:rPr>
        <w:t>45.</w:t>
      </w:r>
      <w:r>
        <w:rPr>
          <w:rFonts w:eastAsiaTheme="minorHAnsi"/>
        </w:rPr>
        <w:tab/>
      </w:r>
      <w:r w:rsidR="00A764EB" w:rsidRPr="00F176D8">
        <w:rPr>
          <w:rFonts w:eastAsiaTheme="minorHAnsi"/>
        </w:rPr>
        <w:t xml:space="preserve">En esa línea, con relación al Establecimiento Penitenciario de </w:t>
      </w:r>
      <w:proofErr w:type="spellStart"/>
      <w:r w:rsidR="00A764EB" w:rsidRPr="00F176D8">
        <w:rPr>
          <w:rFonts w:eastAsiaTheme="minorHAnsi"/>
        </w:rPr>
        <w:t>Huacariz</w:t>
      </w:r>
      <w:proofErr w:type="spellEnd"/>
      <w:r w:rsidR="00A764EB" w:rsidRPr="00F176D8">
        <w:rPr>
          <w:rFonts w:eastAsiaTheme="minorHAnsi"/>
        </w:rPr>
        <w:t xml:space="preserve"> (Cajamarca) se han efectuado intervenciones que ha permitido incrementar la capacidad de albergue con </w:t>
      </w:r>
      <w:r w:rsidR="00A764EB" w:rsidRPr="00F176D8">
        <w:rPr>
          <w:rFonts w:eastAsiaTheme="minorHAnsi"/>
        </w:rPr>
        <w:lastRenderedPageBreak/>
        <w:t>un total de 456 nuevas unidades, elevándose a la fecha a un total de 888, reduciéndose en un 50% el hacinamiento</w:t>
      </w:r>
      <w:r w:rsidR="00A764EB" w:rsidRPr="00214959">
        <w:rPr>
          <w:rStyle w:val="Refdenotaalpie"/>
          <w:rFonts w:eastAsiaTheme="minorHAnsi"/>
          <w:szCs w:val="22"/>
        </w:rPr>
        <w:footnoteReference w:id="34"/>
      </w:r>
      <w:r w:rsidR="00D13CA3">
        <w:rPr>
          <w:rFonts w:eastAsiaTheme="minorHAnsi"/>
        </w:rPr>
        <w:t>.</w:t>
      </w:r>
    </w:p>
    <w:p w:rsidR="00A764EB" w:rsidRPr="00BB10CE" w:rsidRDefault="005E3185" w:rsidP="005E3185">
      <w:pPr>
        <w:pStyle w:val="SingleTxtG"/>
        <w:rPr>
          <w:rFonts w:eastAsiaTheme="minorHAnsi"/>
        </w:rPr>
      </w:pPr>
      <w:r>
        <w:rPr>
          <w:rFonts w:eastAsiaTheme="minorHAnsi"/>
        </w:rPr>
        <w:t>46.</w:t>
      </w:r>
      <w:r>
        <w:rPr>
          <w:rFonts w:eastAsiaTheme="minorHAnsi"/>
        </w:rPr>
        <w:tab/>
      </w:r>
      <w:r w:rsidR="00A764EB" w:rsidRPr="00F176D8">
        <w:rPr>
          <w:rFonts w:eastAsiaTheme="minorHAnsi"/>
        </w:rPr>
        <w:t xml:space="preserve">Con relación al Establecimiento Penitenciario </w:t>
      </w:r>
      <w:proofErr w:type="spellStart"/>
      <w:r w:rsidR="00A764EB" w:rsidRPr="00F176D8">
        <w:rPr>
          <w:rFonts w:eastAsiaTheme="minorHAnsi"/>
        </w:rPr>
        <w:t>Yanamayo</w:t>
      </w:r>
      <w:proofErr w:type="spellEnd"/>
      <w:r w:rsidR="00A764EB" w:rsidRPr="00F176D8">
        <w:rPr>
          <w:rFonts w:eastAsiaTheme="minorHAnsi"/>
        </w:rPr>
        <w:t>, en el 2016 se entregaron ambientes con condiciones de habitabilidad adecuadas, incorporándose 426 unidades de albergue</w:t>
      </w:r>
      <w:r w:rsidR="00A764EB" w:rsidRPr="00214959">
        <w:rPr>
          <w:rStyle w:val="Refdenotaalpie"/>
          <w:rFonts w:eastAsiaTheme="minorHAnsi"/>
          <w:szCs w:val="22"/>
        </w:rPr>
        <w:footnoteReference w:id="35"/>
      </w:r>
      <w:r w:rsidR="00D13CA3">
        <w:rPr>
          <w:rFonts w:eastAsiaTheme="minorHAnsi"/>
        </w:rPr>
        <w:t>.</w:t>
      </w:r>
      <w:r w:rsidR="00BB10CE">
        <w:rPr>
          <w:rFonts w:eastAsiaTheme="minorHAnsi"/>
        </w:rPr>
        <w:t xml:space="preserve"> </w:t>
      </w:r>
    </w:p>
    <w:p w:rsidR="00A764EB" w:rsidRPr="00BB10CE" w:rsidRDefault="005E3185" w:rsidP="005E3185">
      <w:pPr>
        <w:pStyle w:val="SingleTxtG"/>
        <w:rPr>
          <w:rFonts w:eastAsiaTheme="minorHAnsi"/>
        </w:rPr>
      </w:pPr>
      <w:r>
        <w:rPr>
          <w:rFonts w:eastAsiaTheme="minorHAnsi"/>
        </w:rPr>
        <w:t>47.</w:t>
      </w:r>
      <w:r>
        <w:rPr>
          <w:rFonts w:eastAsiaTheme="minorHAnsi"/>
        </w:rPr>
        <w:tab/>
      </w:r>
      <w:r w:rsidR="00A764EB" w:rsidRPr="00F176D8">
        <w:rPr>
          <w:rFonts w:eastAsiaTheme="minorHAnsi"/>
        </w:rPr>
        <w:t xml:space="preserve">No obstante ello, la DP ha señalado que a pesar de la construcción de nuevos establecimientos, entre ellos, el Establecimiento Penitenciario de </w:t>
      </w:r>
      <w:proofErr w:type="spellStart"/>
      <w:r w:rsidR="00A764EB" w:rsidRPr="00F176D8">
        <w:rPr>
          <w:rFonts w:eastAsiaTheme="minorHAnsi"/>
        </w:rPr>
        <w:t>Cochamarca</w:t>
      </w:r>
      <w:proofErr w:type="spellEnd"/>
      <w:r w:rsidR="00A764EB" w:rsidRPr="00F176D8">
        <w:rPr>
          <w:rFonts w:eastAsiaTheme="minorHAnsi"/>
        </w:rPr>
        <w:t xml:space="preserve"> en Pasco con una capacidad de alberque para 1224 personas, tomando en cuenta la dimensión del problema de hacinamiento dichos esfuerzos son insuficientes</w:t>
      </w:r>
      <w:r w:rsidR="00A764EB" w:rsidRPr="00214959">
        <w:rPr>
          <w:rStyle w:val="Refdenotaalpie"/>
          <w:rFonts w:eastAsiaTheme="minorHAnsi"/>
          <w:szCs w:val="22"/>
        </w:rPr>
        <w:footnoteReference w:id="36"/>
      </w:r>
      <w:r w:rsidR="007E0CA6">
        <w:rPr>
          <w:rFonts w:eastAsiaTheme="minorHAnsi"/>
        </w:rPr>
        <w:t>.</w:t>
      </w:r>
    </w:p>
    <w:p w:rsidR="00A764EB" w:rsidRPr="00BB10CE" w:rsidRDefault="005E3185" w:rsidP="005E3185">
      <w:pPr>
        <w:pStyle w:val="SingleTxtG"/>
      </w:pPr>
      <w:r>
        <w:t>48.</w:t>
      </w:r>
      <w:r>
        <w:tab/>
      </w:r>
      <w:r w:rsidR="00A764EB" w:rsidRPr="00F176D8">
        <w:t xml:space="preserve">De otro lado, también son de aplicación los alcances del Decreto Legislativo </w:t>
      </w:r>
      <w:r w:rsidR="00403B5F">
        <w:t>núm.</w:t>
      </w:r>
      <w:r w:rsidR="00D13CA3">
        <w:t> </w:t>
      </w:r>
      <w:r w:rsidR="00A764EB" w:rsidRPr="00F176D8">
        <w:t>1322</w:t>
      </w:r>
      <w:r w:rsidR="00A764EB" w:rsidRPr="00214959">
        <w:rPr>
          <w:rStyle w:val="Refdenotaalpie"/>
          <w:szCs w:val="22"/>
        </w:rPr>
        <w:footnoteReference w:id="37"/>
      </w:r>
      <w:r w:rsidR="00A764EB" w:rsidRPr="00F176D8">
        <w:t xml:space="preserve">, que busca, entre otros, contribuir con la disminución de los niveles de hacinamiento en los establecimientos penitenciarios, mediante un sistema de vigilancia electrónica que procede: </w:t>
      </w:r>
      <w:r w:rsidR="00A764EB" w:rsidRPr="00F176D8">
        <w:rPr>
          <w:b/>
          <w:i/>
        </w:rPr>
        <w:t>i)</w:t>
      </w:r>
      <w:r w:rsidR="00A764EB" w:rsidRPr="00F176D8">
        <w:t xml:space="preserve"> para el caso de los procesados, cuando la imputación se refiera a la presunta comisión de delitos sancionados con una pena no mayor a ocho años y </w:t>
      </w:r>
      <w:r w:rsidR="00A764EB" w:rsidRPr="00F176D8">
        <w:rPr>
          <w:b/>
          <w:i/>
        </w:rPr>
        <w:t>ii)</w:t>
      </w:r>
      <w:r w:rsidR="00A764EB" w:rsidRPr="00F176D8">
        <w:t xml:space="preserve"> para el caso de los condenados con una pena privativa de libertad efectiva no mayor a ocho años. </w:t>
      </w:r>
    </w:p>
    <w:p w:rsidR="00A764EB" w:rsidRPr="00BB10CE" w:rsidRDefault="005E3185" w:rsidP="005E3185">
      <w:pPr>
        <w:pStyle w:val="SingleTxtG"/>
      </w:pPr>
      <w:r>
        <w:t>49.</w:t>
      </w:r>
      <w:r>
        <w:tab/>
      </w:r>
      <w:r w:rsidR="00A764EB" w:rsidRPr="00F176D8">
        <w:t>La citada norma considera como criterios de prioridad para el otorgamiento de la vigilancia electrónica, entre otros, a personas mayores de 65 años, personas que tengan enfermedad grave acreditada con pericia médico legal, personas con discapacidad física permanente que afecte su desplazamiento, mujeres gestantes, mujeres con hijos menores de tres años, la madre o padre que sea cabeza de familia con hijo menor de edad o con hijo o cónyuge que tenga discapacidad permanente, siempre y cuando haya estado bajo su cuidado</w:t>
      </w:r>
      <w:r w:rsidR="00A764EB" w:rsidRPr="00214959">
        <w:rPr>
          <w:rStyle w:val="Refdenotaalpie"/>
          <w:szCs w:val="22"/>
        </w:rPr>
        <w:footnoteReference w:id="38"/>
      </w:r>
      <w:r w:rsidR="00D13CA3">
        <w:t>.</w:t>
      </w:r>
    </w:p>
    <w:p w:rsidR="00A764EB" w:rsidRPr="00BB10CE" w:rsidRDefault="005E3185" w:rsidP="005E3185">
      <w:pPr>
        <w:pStyle w:val="SingleTxtG"/>
        <w:rPr>
          <w:rFonts w:eastAsiaTheme="minorHAnsi"/>
        </w:rPr>
      </w:pPr>
      <w:r>
        <w:rPr>
          <w:rFonts w:eastAsiaTheme="minorHAnsi"/>
        </w:rPr>
        <w:t>50.</w:t>
      </w:r>
      <w:r>
        <w:rPr>
          <w:rFonts w:eastAsiaTheme="minorHAnsi"/>
        </w:rPr>
        <w:tab/>
      </w:r>
      <w:r w:rsidR="00A764EB" w:rsidRPr="00F176D8">
        <w:rPr>
          <w:rFonts w:eastAsiaTheme="minorHAnsi"/>
        </w:rPr>
        <w:t>Además de ello, se modificaron las disposiciones del artículo 290° del NCPP</w:t>
      </w:r>
      <w:r w:rsidR="00A764EB" w:rsidRPr="00214959">
        <w:rPr>
          <w:rStyle w:val="Refdenotaalpie"/>
          <w:rFonts w:eastAsiaTheme="minorHAnsi"/>
          <w:szCs w:val="22"/>
        </w:rPr>
        <w:footnoteReference w:id="39"/>
      </w:r>
      <w:r w:rsidR="00A764EB" w:rsidRPr="00F176D8">
        <w:rPr>
          <w:rFonts w:eastAsiaTheme="minorHAnsi"/>
        </w:rPr>
        <w:t xml:space="preserve"> sobre la detención domiciliaria, estableciendo que se impondrá esta cuando, pese a corresponder prisión preventiva, el imputado: </w:t>
      </w:r>
      <w:r w:rsidR="00A764EB" w:rsidRPr="00F176D8">
        <w:rPr>
          <w:rFonts w:eastAsiaTheme="minorHAnsi"/>
          <w:b/>
          <w:i/>
        </w:rPr>
        <w:t>i)</w:t>
      </w:r>
      <w:r w:rsidR="00A764EB" w:rsidRPr="00F176D8">
        <w:rPr>
          <w:rFonts w:eastAsiaTheme="minorHAnsi"/>
        </w:rPr>
        <w:t xml:space="preserve"> sea mayor de 65 años de edad; </w:t>
      </w:r>
      <w:r w:rsidR="00A764EB" w:rsidRPr="00F176D8">
        <w:rPr>
          <w:rFonts w:eastAsiaTheme="minorHAnsi"/>
          <w:b/>
          <w:i/>
        </w:rPr>
        <w:t>ii)</w:t>
      </w:r>
      <w:r w:rsidR="00A764EB" w:rsidRPr="00F176D8">
        <w:rPr>
          <w:rFonts w:eastAsiaTheme="minorHAnsi"/>
        </w:rPr>
        <w:t xml:space="preserve"> adolezca de una enfermedad grave o incurable; </w:t>
      </w:r>
      <w:r w:rsidR="00A764EB" w:rsidRPr="00F176D8">
        <w:rPr>
          <w:rFonts w:eastAsiaTheme="minorHAnsi"/>
          <w:b/>
          <w:i/>
        </w:rPr>
        <w:t>iii)</w:t>
      </w:r>
      <w:r w:rsidR="00A764EB" w:rsidRPr="00F176D8">
        <w:rPr>
          <w:rFonts w:eastAsiaTheme="minorHAnsi"/>
        </w:rPr>
        <w:t xml:space="preserve"> sufra grave incapacidad física permanente que afecte sensiblemente su capacidad de desplazamiento; y, </w:t>
      </w:r>
      <w:r w:rsidR="00A764EB" w:rsidRPr="00F176D8">
        <w:rPr>
          <w:rFonts w:eastAsiaTheme="minorHAnsi"/>
          <w:b/>
          <w:i/>
        </w:rPr>
        <w:t>iv)</w:t>
      </w:r>
      <w:r w:rsidR="00A764EB" w:rsidRPr="00F176D8">
        <w:rPr>
          <w:rFonts w:eastAsiaTheme="minorHAnsi"/>
        </w:rPr>
        <w:t xml:space="preserve"> sea una madre gestante.</w:t>
      </w:r>
    </w:p>
    <w:p w:rsidR="00A764EB" w:rsidRPr="00BB10CE" w:rsidRDefault="005E3185" w:rsidP="005E3185">
      <w:pPr>
        <w:pStyle w:val="SingleTxtG"/>
        <w:rPr>
          <w:rFonts w:eastAsiaTheme="minorHAnsi"/>
        </w:rPr>
      </w:pPr>
      <w:r>
        <w:t>51.</w:t>
      </w:r>
      <w:r>
        <w:tab/>
      </w:r>
      <w:r w:rsidR="00A764EB" w:rsidRPr="00F176D8">
        <w:t>Cabe señalar que en el Plan Nacional de Acceso a la Justicia de las Personas en Condición de Vulnerabilidad 2016</w:t>
      </w:r>
      <w:r w:rsidR="00EC38A9">
        <w:t>-</w:t>
      </w:r>
      <w:r w:rsidR="00A764EB" w:rsidRPr="00F176D8">
        <w:t>2021 del PJ</w:t>
      </w:r>
      <w:r w:rsidR="00A764EB" w:rsidRPr="00214959">
        <w:rPr>
          <w:rStyle w:val="Refdenotaalpie"/>
          <w:szCs w:val="22"/>
        </w:rPr>
        <w:footnoteReference w:id="40"/>
      </w:r>
      <w:r w:rsidR="00A764EB" w:rsidRPr="00F176D8">
        <w:t xml:space="preserve"> se incorpora el “Eje </w:t>
      </w:r>
      <w:r w:rsidR="00403B5F">
        <w:t>núm.</w:t>
      </w:r>
      <w:r w:rsidR="00A764EB" w:rsidRPr="00F176D8">
        <w:t xml:space="preserve"> 9: Privación de la Libertad” que define estrategias de implementación que benefician a las PPL, entre ellas, “</w:t>
      </w:r>
      <w:r w:rsidR="00A764EB" w:rsidRPr="00F176D8">
        <w:rPr>
          <w:b/>
          <w:i/>
        </w:rPr>
        <w:t>i)</w:t>
      </w:r>
      <w:r w:rsidR="00A764EB" w:rsidRPr="00F176D8">
        <w:rPr>
          <w:b/>
        </w:rPr>
        <w:t xml:space="preserve"> </w:t>
      </w:r>
      <w:r w:rsidR="00A764EB" w:rsidRPr="00F176D8">
        <w:t xml:space="preserve">coordinar con el INPE, para identificar a las personas en condición de vulnerabilidad privadas de libertad, con la finalidad de brindarles un trato acorde a su situación; y </w:t>
      </w:r>
      <w:r w:rsidR="00A764EB" w:rsidRPr="00F176D8">
        <w:rPr>
          <w:b/>
          <w:i/>
        </w:rPr>
        <w:t>ii)</w:t>
      </w:r>
      <w:r w:rsidR="00055918">
        <w:rPr>
          <w:b/>
        </w:rPr>
        <w:t> </w:t>
      </w:r>
      <w:r w:rsidR="00A764EB" w:rsidRPr="00F176D8">
        <w:t>actualizar los datos estadísticos respecto a los sentenciados (as) e inculpados (as) que son personas en condición de vulnerabilidad a fin de mejorar sus atenciones médicas, alimentos, higiene, entre otros”.</w:t>
      </w:r>
    </w:p>
    <w:p w:rsidR="00A764EB" w:rsidRPr="00BB10CE" w:rsidRDefault="005E3185" w:rsidP="005E3185">
      <w:pPr>
        <w:pStyle w:val="SingleTxtG"/>
        <w:rPr>
          <w:rFonts w:eastAsiaTheme="minorHAnsi"/>
        </w:rPr>
      </w:pPr>
      <w:r>
        <w:rPr>
          <w:rFonts w:eastAsiaTheme="minorHAnsi"/>
        </w:rPr>
        <w:t>52.</w:t>
      </w:r>
      <w:r>
        <w:rPr>
          <w:rFonts w:eastAsiaTheme="minorHAnsi"/>
        </w:rPr>
        <w:tab/>
      </w:r>
      <w:r w:rsidR="00A764EB" w:rsidRPr="00F176D8">
        <w:rPr>
          <w:rFonts w:eastAsiaTheme="minorHAnsi"/>
        </w:rPr>
        <w:t xml:space="preserve">De otro lado, con relación a la reducción de horario de visitas en los establecimientos penitenciarios de Trujillo, Chiclayo y Cajamarca, el INPE ha informado que debido al alto índice de hacinamiento que hay en dichos penales y con la finalidad de </w:t>
      </w:r>
      <w:r w:rsidR="00A764EB" w:rsidRPr="00F176D8">
        <w:rPr>
          <w:rFonts w:eastAsiaTheme="minorHAnsi"/>
        </w:rPr>
        <w:lastRenderedPageBreak/>
        <w:t xml:space="preserve">evitar acciones delictivas se ha dispuesto que las visitas sean los días sábados para las mujeres y domingos para los varones y que sean </w:t>
      </w:r>
      <w:r w:rsidR="00A764EB" w:rsidRPr="00E57C00">
        <w:rPr>
          <w:rFonts w:eastAsiaTheme="minorHAnsi"/>
        </w:rPr>
        <w:t>familiares directos</w:t>
      </w:r>
      <w:r w:rsidR="00A764EB" w:rsidRPr="00214959">
        <w:rPr>
          <w:rStyle w:val="Refdenotaalpie"/>
          <w:rFonts w:eastAsiaTheme="minorHAnsi"/>
          <w:szCs w:val="22"/>
        </w:rPr>
        <w:footnoteReference w:id="41"/>
      </w:r>
      <w:r w:rsidR="00055918">
        <w:rPr>
          <w:rFonts w:eastAsiaTheme="minorHAnsi"/>
        </w:rPr>
        <w:t>.</w:t>
      </w:r>
    </w:p>
    <w:p w:rsidR="00A764EB" w:rsidRPr="00BB10CE" w:rsidRDefault="005E3185" w:rsidP="005E3185">
      <w:pPr>
        <w:pStyle w:val="SingleTxtG"/>
        <w:rPr>
          <w:rFonts w:eastAsiaTheme="minorHAnsi"/>
        </w:rPr>
      </w:pPr>
      <w:r>
        <w:rPr>
          <w:rFonts w:eastAsiaTheme="minorHAnsi"/>
        </w:rPr>
        <w:t>53.</w:t>
      </w:r>
      <w:r>
        <w:rPr>
          <w:rFonts w:eastAsiaTheme="minorHAnsi"/>
        </w:rPr>
        <w:tab/>
      </w:r>
      <w:r w:rsidR="00A764EB" w:rsidRPr="00E57C00">
        <w:rPr>
          <w:rFonts w:eastAsiaTheme="minorHAnsi"/>
        </w:rPr>
        <w:t>A la fecha, el INPE prevé que solo el personal femenino verifique y revise las partes íntimas de mujeres con el fin de “evitar el ingreso de sustancias tóxicas, armas y otros artículos prohibidos al interior de los establecimientos penitenciarios”</w:t>
      </w:r>
      <w:r w:rsidR="00A764EB" w:rsidRPr="00214959">
        <w:rPr>
          <w:rStyle w:val="Refdenotaalpie"/>
          <w:rFonts w:eastAsiaTheme="minorHAnsi"/>
          <w:szCs w:val="22"/>
        </w:rPr>
        <w:footnoteReference w:id="42"/>
      </w:r>
      <w:r w:rsidR="00A764EB" w:rsidRPr="00E57C00">
        <w:rPr>
          <w:rFonts w:eastAsiaTheme="minorHAnsi"/>
        </w:rPr>
        <w:t xml:space="preserve">. Para dicha revisión se utilizan técnicas e instrumentos tecnológicos como el </w:t>
      </w:r>
      <w:proofErr w:type="spellStart"/>
      <w:r w:rsidR="00A764EB" w:rsidRPr="00E57C00">
        <w:rPr>
          <w:rFonts w:eastAsiaTheme="minorHAnsi"/>
        </w:rPr>
        <w:t>garrett</w:t>
      </w:r>
      <w:proofErr w:type="spellEnd"/>
      <w:r w:rsidR="00A764EB" w:rsidRPr="00E57C00">
        <w:rPr>
          <w:rFonts w:eastAsiaTheme="minorHAnsi"/>
        </w:rPr>
        <w:t xml:space="preserve"> </w:t>
      </w:r>
      <w:proofErr w:type="spellStart"/>
      <w:r w:rsidR="00A764EB" w:rsidRPr="00E57C00">
        <w:rPr>
          <w:rFonts w:eastAsiaTheme="minorHAnsi"/>
        </w:rPr>
        <w:t>body</w:t>
      </w:r>
      <w:proofErr w:type="spellEnd"/>
      <w:r w:rsidR="00A764EB" w:rsidRPr="00E57C00">
        <w:rPr>
          <w:rFonts w:eastAsiaTheme="minorHAnsi"/>
        </w:rPr>
        <w:t xml:space="preserve"> scanner, con cuya confirmación previa, sobre </w:t>
      </w:r>
      <w:r w:rsidR="00A764EB">
        <w:rPr>
          <w:rFonts w:eastAsiaTheme="minorHAnsi"/>
        </w:rPr>
        <w:t xml:space="preserve">el </w:t>
      </w:r>
      <w:r w:rsidR="00A764EB" w:rsidRPr="00E57C00">
        <w:rPr>
          <w:rFonts w:eastAsiaTheme="minorHAnsi"/>
        </w:rPr>
        <w:t xml:space="preserve">transporte </w:t>
      </w:r>
      <w:r w:rsidR="00A764EB">
        <w:rPr>
          <w:rFonts w:eastAsiaTheme="minorHAnsi"/>
        </w:rPr>
        <w:t xml:space="preserve">de </w:t>
      </w:r>
      <w:r w:rsidR="00A764EB" w:rsidRPr="00E57C00">
        <w:rPr>
          <w:rFonts w:eastAsiaTheme="minorHAnsi"/>
        </w:rPr>
        <w:t>artículos o sustancias prohibidas, recién se procede a la revisión corporal física</w:t>
      </w:r>
      <w:r w:rsidR="00A764EB" w:rsidRPr="00214959">
        <w:rPr>
          <w:rStyle w:val="Refdenotaalpie"/>
          <w:rFonts w:eastAsiaTheme="minorHAnsi"/>
          <w:szCs w:val="22"/>
        </w:rPr>
        <w:footnoteReference w:id="43"/>
      </w:r>
      <w:r w:rsidR="00055918">
        <w:rPr>
          <w:rFonts w:eastAsiaTheme="minorHAnsi"/>
        </w:rPr>
        <w:t>.</w:t>
      </w:r>
    </w:p>
    <w:p w:rsidR="00A764EB" w:rsidRPr="00BB10CE" w:rsidRDefault="00103EFD" w:rsidP="00103EFD">
      <w:pPr>
        <w:pStyle w:val="H23G"/>
        <w:rPr>
          <w:rFonts w:eastAsiaTheme="minorHAnsi"/>
        </w:rPr>
      </w:pPr>
      <w:bookmarkStart w:id="12" w:name="_Toc485946881"/>
      <w:r>
        <w:rPr>
          <w:rFonts w:eastAsiaTheme="minorHAnsi"/>
        </w:rPr>
        <w:tab/>
        <w:t>3.2.2</w:t>
      </w:r>
      <w:r>
        <w:rPr>
          <w:rFonts w:eastAsiaTheme="minorHAnsi"/>
        </w:rPr>
        <w:tab/>
      </w:r>
      <w:r w:rsidR="00A764EB" w:rsidRPr="00F176D8">
        <w:rPr>
          <w:rFonts w:eastAsiaTheme="minorHAnsi"/>
        </w:rPr>
        <w:t>Servicios de salud</w:t>
      </w:r>
      <w:bookmarkEnd w:id="12"/>
    </w:p>
    <w:p w:rsidR="00A764EB" w:rsidRPr="00BB10CE" w:rsidRDefault="005E3185" w:rsidP="005E3185">
      <w:pPr>
        <w:pStyle w:val="SingleTxtG"/>
        <w:rPr>
          <w:lang w:val="es-ES_tradnl"/>
        </w:rPr>
      </w:pPr>
      <w:r>
        <w:rPr>
          <w:lang w:val="es-ES_tradnl"/>
        </w:rPr>
        <w:t>54.</w:t>
      </w:r>
      <w:r>
        <w:rPr>
          <w:lang w:val="es-ES_tradnl"/>
        </w:rPr>
        <w:tab/>
      </w:r>
      <w:r w:rsidR="00A764EB" w:rsidRPr="00F176D8">
        <w:rPr>
          <w:lang w:val="es-ES_tradnl"/>
        </w:rPr>
        <w:t xml:space="preserve">El </w:t>
      </w:r>
      <w:r w:rsidR="00A764EB" w:rsidRPr="00F176D8">
        <w:rPr>
          <w:rFonts w:eastAsiaTheme="minorHAnsi"/>
        </w:rPr>
        <w:t>SPT</w:t>
      </w:r>
      <w:r w:rsidR="00A764EB" w:rsidRPr="00F176D8">
        <w:rPr>
          <w:lang w:val="es-ES_tradnl"/>
        </w:rPr>
        <w:t xml:space="preserve"> recomendó en los </w:t>
      </w:r>
      <w:r w:rsidR="00A764EB" w:rsidRPr="00F176D8">
        <w:rPr>
          <w:b/>
          <w:lang w:val="es-ES_tradnl"/>
        </w:rPr>
        <w:t>párrafos 48, 50</w:t>
      </w:r>
      <w:r w:rsidR="000164A0">
        <w:rPr>
          <w:b/>
          <w:lang w:val="es-ES_tradnl"/>
        </w:rPr>
        <w:t xml:space="preserve"> a</w:t>
      </w:r>
      <w:r w:rsidR="00A764EB" w:rsidRPr="00F176D8">
        <w:rPr>
          <w:b/>
          <w:lang w:val="es-ES_tradnl"/>
        </w:rPr>
        <w:t>52, 54, 56 y 58</w:t>
      </w:r>
      <w:r w:rsidR="00A764EB" w:rsidRPr="00F176D8">
        <w:rPr>
          <w:lang w:val="es-ES_tradnl"/>
        </w:rPr>
        <w:t xml:space="preserve"> de su informe, que las autoridades del INPE y al Ministerio de Salud (en adelante, “MINSA”) adopten políticas que tengan por objetivo garantizar debidamente el derecho a la salud de las PPL. </w:t>
      </w:r>
    </w:p>
    <w:p w:rsidR="00A764EB" w:rsidRPr="00BB10CE" w:rsidRDefault="005E3185" w:rsidP="005E3185">
      <w:pPr>
        <w:pStyle w:val="SingleTxtG"/>
        <w:rPr>
          <w:lang w:val="es-ES_tradnl"/>
        </w:rPr>
      </w:pPr>
      <w:r>
        <w:rPr>
          <w:lang w:val="es-ES_tradnl"/>
        </w:rPr>
        <w:t>55.</w:t>
      </w:r>
      <w:r>
        <w:rPr>
          <w:lang w:val="es-ES_tradnl"/>
        </w:rPr>
        <w:tab/>
      </w:r>
      <w:r w:rsidR="00A764EB" w:rsidRPr="00F176D8">
        <w:rPr>
          <w:lang w:val="es-ES_tradnl"/>
        </w:rPr>
        <w:t>De acuerdo a lo establecido en el Reglamento del Código de Ejecución Penal</w:t>
      </w:r>
      <w:r w:rsidR="00A764EB" w:rsidRPr="00214959">
        <w:rPr>
          <w:rStyle w:val="Refdenotaalpie"/>
          <w:szCs w:val="22"/>
          <w:lang w:val="es-ES_tradnl"/>
        </w:rPr>
        <w:footnoteReference w:id="44"/>
      </w:r>
      <w:r w:rsidR="00A764EB" w:rsidRPr="00F176D8">
        <w:rPr>
          <w:lang w:val="es-ES_tradnl"/>
        </w:rPr>
        <w:t xml:space="preserve"> (en adelante, “CEP”) se establece que la administración penitenciaria brindará a todos los internos una atención médico - sanitaria equivalente a la dispensada al conjunto de la población en libertad, proveyendo al interno las medicinas y otras prestaciones complementarias básicas que requiera la atención de su salud.</w:t>
      </w:r>
    </w:p>
    <w:p w:rsidR="00A764EB" w:rsidRPr="00BB10CE" w:rsidRDefault="005E3185" w:rsidP="005E3185">
      <w:pPr>
        <w:pStyle w:val="SingleTxtG"/>
        <w:rPr>
          <w:lang w:val="es-ES_tradnl"/>
        </w:rPr>
      </w:pPr>
      <w:r>
        <w:rPr>
          <w:lang w:val="es-ES_tradnl"/>
        </w:rPr>
        <w:t>56.</w:t>
      </w:r>
      <w:r>
        <w:rPr>
          <w:lang w:val="es-ES_tradnl"/>
        </w:rPr>
        <w:tab/>
      </w:r>
      <w:r w:rsidR="00A764EB" w:rsidRPr="00F176D8">
        <w:rPr>
          <w:lang w:val="es-ES_tradnl"/>
        </w:rPr>
        <w:t>Asimismo, en dicho texto normativo se hace referencia que la administración penitenciaria deberá contar con sistemas de vigilancia epidemiológica que le permitan conocer las enfermedades prevalentes en la población penitenciaria y los grupos de mayor riesgo, con la finalidad adecuar la asistencia a las necesidades reales detectadas</w:t>
      </w:r>
      <w:r w:rsidR="00A764EB" w:rsidRPr="00214959">
        <w:rPr>
          <w:rStyle w:val="Refdenotaalpie"/>
          <w:szCs w:val="22"/>
          <w:lang w:val="es-ES_tradnl"/>
        </w:rPr>
        <w:footnoteReference w:id="45"/>
      </w:r>
      <w:r w:rsidR="00055918">
        <w:rPr>
          <w:lang w:val="es-ES_tradnl"/>
        </w:rPr>
        <w:t>.</w:t>
      </w:r>
    </w:p>
    <w:p w:rsidR="00A764EB" w:rsidRPr="00BB10CE" w:rsidRDefault="005E3185" w:rsidP="005E3185">
      <w:pPr>
        <w:pStyle w:val="SingleTxtG"/>
        <w:rPr>
          <w:lang w:val="es-ES_tradnl"/>
        </w:rPr>
      </w:pPr>
      <w:r>
        <w:rPr>
          <w:lang w:val="es-ES_tradnl"/>
        </w:rPr>
        <w:t>57.</w:t>
      </w:r>
      <w:r>
        <w:rPr>
          <w:lang w:val="es-ES_tradnl"/>
        </w:rPr>
        <w:tab/>
      </w:r>
      <w:r w:rsidR="00A764EB" w:rsidRPr="00F176D8">
        <w:rPr>
          <w:lang w:val="es-ES_tradnl"/>
        </w:rPr>
        <w:t>Es por ello que, el 2014, se firmó un Convenio Marco de Cooperación Interinstitucional entre el INPE y el Seguro Integral de Salud</w:t>
      </w:r>
      <w:r w:rsidR="00A764EB" w:rsidRPr="00214959">
        <w:rPr>
          <w:rStyle w:val="Refdenotaalpie"/>
          <w:szCs w:val="22"/>
          <w:lang w:val="es-ES_tradnl"/>
        </w:rPr>
        <w:footnoteReference w:id="46"/>
      </w:r>
      <w:r w:rsidR="00A764EB" w:rsidRPr="00F176D8">
        <w:rPr>
          <w:lang w:val="es-ES_tradnl"/>
        </w:rPr>
        <w:t xml:space="preserve"> (en adelante, “SIS”) con el objetivo de </w:t>
      </w:r>
      <w:r w:rsidR="00A764EB" w:rsidRPr="00F176D8">
        <w:rPr>
          <w:b/>
          <w:i/>
          <w:lang w:val="es-ES_tradnl"/>
        </w:rPr>
        <w:t>i)</w:t>
      </w:r>
      <w:r w:rsidR="00A764EB" w:rsidRPr="00F176D8">
        <w:rPr>
          <w:lang w:val="es-ES_tradnl"/>
        </w:rPr>
        <w:t xml:space="preserve"> realizar en el marco de aseguramiento universal en salud, el aseguramiento de las PPL en los establecimientos penitenciarios a nivel nacional a cargo del INPE al Régimen de Financiamiento Subsidiado del SIS, y por lo tanto, brindar cobertura prestacional de salud a través de los establecimientos de salud y </w:t>
      </w:r>
      <w:r w:rsidR="00A764EB" w:rsidRPr="00F176D8">
        <w:rPr>
          <w:b/>
          <w:i/>
          <w:lang w:val="es-ES_tradnl"/>
        </w:rPr>
        <w:t>ii)</w:t>
      </w:r>
      <w:r w:rsidR="00A764EB" w:rsidRPr="00F176D8">
        <w:rPr>
          <w:lang w:val="es-ES_tradnl"/>
        </w:rPr>
        <w:t xml:space="preserve"> establecer el financiamiento de las prestaciones de salud brindadas a los asegurados al SIS por los establecimientos de salud establecidos.</w:t>
      </w:r>
    </w:p>
    <w:p w:rsidR="00A764EB" w:rsidRPr="00BB10CE" w:rsidRDefault="005E3185" w:rsidP="005E3185">
      <w:pPr>
        <w:pStyle w:val="SingleTxtG"/>
        <w:rPr>
          <w:lang w:val="es-ES_tradnl"/>
        </w:rPr>
      </w:pPr>
      <w:r>
        <w:rPr>
          <w:lang w:val="es-ES_tradnl"/>
        </w:rPr>
        <w:t>58.</w:t>
      </w:r>
      <w:r>
        <w:rPr>
          <w:lang w:val="es-ES_tradnl"/>
        </w:rPr>
        <w:tab/>
      </w:r>
      <w:r w:rsidR="00A764EB" w:rsidRPr="00F176D8">
        <w:rPr>
          <w:lang w:val="es-ES_tradnl"/>
        </w:rPr>
        <w:t>En el marco de dicho Convenio, el SIS se comprometió, entre otras acciones, a coordinar conjuntamente con las autoridades del MINSA y del INPE la realización de intervenciones y/o campañas médicas preventivas en cada uno de los establecimientos penitenciarios, las mismas que se realizarán de acuerdo a la disponibilidad presupuestal y condiciones necesarias.</w:t>
      </w:r>
    </w:p>
    <w:p w:rsidR="00A764EB" w:rsidRPr="00BB10CE" w:rsidRDefault="005E3185" w:rsidP="005E3185">
      <w:pPr>
        <w:pStyle w:val="SingleTxtG"/>
        <w:rPr>
          <w:lang w:val="es-ES_tradnl"/>
        </w:rPr>
      </w:pPr>
      <w:r>
        <w:rPr>
          <w:lang w:val="es-ES_tradnl"/>
        </w:rPr>
        <w:t>59.</w:t>
      </w:r>
      <w:r>
        <w:rPr>
          <w:lang w:val="es-ES_tradnl"/>
        </w:rPr>
        <w:tab/>
      </w:r>
      <w:r w:rsidR="00A764EB" w:rsidRPr="00F176D8">
        <w:rPr>
          <w:lang w:val="es-ES_tradnl"/>
        </w:rPr>
        <w:t xml:space="preserve">Actualmente, se cuenta con el 93% de la población penal asegurada, el 7% restante corresponde a internos extranjeros, afiliados a Fuerzas Armadas y Policiales, afiliados a sistemas privados de salud e indocumentados. En caso de la población penal que no se encuentra asegurada y requiere recibir atención médica especializada de emergencia, se le </w:t>
      </w:r>
      <w:r w:rsidR="00A764EB" w:rsidRPr="00F176D8">
        <w:rPr>
          <w:lang w:val="es-ES_tradnl"/>
        </w:rPr>
        <w:lastRenderedPageBreak/>
        <w:t>afiliará al SIS temporalmente (45 días renovables)</w:t>
      </w:r>
      <w:r w:rsidR="00A764EB" w:rsidRPr="00F176D8">
        <w:rPr>
          <w:rStyle w:val="Refdenotaalpie"/>
          <w:sz w:val="22"/>
          <w:szCs w:val="22"/>
          <w:lang w:val="es-ES_tradnl"/>
        </w:rPr>
        <w:t xml:space="preserve"> </w:t>
      </w:r>
      <w:r w:rsidR="00A764EB" w:rsidRPr="00214959">
        <w:rPr>
          <w:rStyle w:val="Refdenotaalpie"/>
          <w:szCs w:val="22"/>
          <w:lang w:val="es-ES_tradnl"/>
        </w:rPr>
        <w:footnoteReference w:id="47"/>
      </w:r>
      <w:r w:rsidR="00A764EB" w:rsidRPr="00F176D8">
        <w:rPr>
          <w:lang w:val="es-ES_tradnl"/>
        </w:rPr>
        <w:t>, de acuerdo a lo establecido en el artículo</w:t>
      </w:r>
      <w:r w:rsidR="00055918">
        <w:rPr>
          <w:lang w:val="es-ES_tradnl"/>
        </w:rPr>
        <w:t> </w:t>
      </w:r>
      <w:r w:rsidR="00A764EB" w:rsidRPr="00F176D8">
        <w:rPr>
          <w:lang w:val="es-ES_tradnl"/>
        </w:rPr>
        <w:t xml:space="preserve">5° del Decreto Legislativo </w:t>
      </w:r>
      <w:r w:rsidR="00403B5F">
        <w:rPr>
          <w:lang w:val="es-ES_tradnl"/>
        </w:rPr>
        <w:t>núm.</w:t>
      </w:r>
      <w:r w:rsidR="00A764EB" w:rsidRPr="00F176D8">
        <w:rPr>
          <w:lang w:val="es-ES_tradnl"/>
        </w:rPr>
        <w:t xml:space="preserve"> 1164</w:t>
      </w:r>
      <w:r w:rsidR="00A764EB" w:rsidRPr="00214959">
        <w:rPr>
          <w:rStyle w:val="Refdenotaalpie"/>
          <w:szCs w:val="22"/>
          <w:lang w:val="es-ES_tradnl"/>
        </w:rPr>
        <w:footnoteReference w:id="48"/>
      </w:r>
      <w:r w:rsidR="00055918">
        <w:rPr>
          <w:lang w:val="es-ES_tradnl"/>
        </w:rPr>
        <w:t>.</w:t>
      </w:r>
    </w:p>
    <w:p w:rsidR="00A764EB" w:rsidRPr="00F176D8" w:rsidRDefault="00215FAC" w:rsidP="005E3185">
      <w:pPr>
        <w:pStyle w:val="SingleTxtG"/>
        <w:rPr>
          <w:lang w:val="es-ES_tradnl"/>
        </w:rPr>
      </w:pPr>
      <w:r>
        <w:rPr>
          <w:lang w:val="es-ES_tradnl"/>
        </w:rPr>
        <w:t>60.</w:t>
      </w:r>
      <w:r>
        <w:rPr>
          <w:lang w:val="es-ES_tradnl"/>
        </w:rPr>
        <w:tab/>
      </w:r>
      <w:r w:rsidR="00A764EB" w:rsidRPr="00F176D8">
        <w:rPr>
          <w:lang w:val="es-ES_tradnl"/>
        </w:rPr>
        <w:t xml:space="preserve">Con la finalidad de atender la problemáticas de las PPL con diagnóstico de tuberculosis, se aprobó la Ley </w:t>
      </w:r>
      <w:r w:rsidR="00403B5F">
        <w:rPr>
          <w:lang w:val="es-ES_tradnl"/>
        </w:rPr>
        <w:t>núm.</w:t>
      </w:r>
      <w:r w:rsidR="00A764EB" w:rsidRPr="00F176D8">
        <w:rPr>
          <w:lang w:val="es-ES_tradnl"/>
        </w:rPr>
        <w:t xml:space="preserve"> 30287, Ley de Prevención y Control de la Tuberculosis en el Perú</w:t>
      </w:r>
      <w:r w:rsidR="00A764EB" w:rsidRPr="00214959">
        <w:rPr>
          <w:rStyle w:val="Refdenotaalpie"/>
          <w:szCs w:val="22"/>
          <w:lang w:val="es-ES_tradnl"/>
        </w:rPr>
        <w:footnoteReference w:id="49"/>
      </w:r>
      <w:r w:rsidR="00A764EB" w:rsidRPr="00F176D8">
        <w:rPr>
          <w:lang w:val="es-ES_tradnl"/>
        </w:rPr>
        <w:t>, donde se dispone que cuando se trata de una PPL</w:t>
      </w:r>
      <w:r w:rsidR="00A764EB" w:rsidRPr="00214959">
        <w:rPr>
          <w:rStyle w:val="Refdenotaalpie"/>
          <w:szCs w:val="22"/>
          <w:lang w:val="es-ES_tradnl"/>
        </w:rPr>
        <w:footnoteReference w:id="50"/>
      </w:r>
      <w:r w:rsidR="00A764EB" w:rsidRPr="00F176D8">
        <w:rPr>
          <w:lang w:val="es-ES_tradnl"/>
        </w:rPr>
        <w:t xml:space="preserve"> con diagnóstico de TBC, el MINJUS, a través del INPE, en coordinación con el MINSA, implementará la estrategia sanitaria de prevención y control de la TBC de acuerdo al Plan Nacional Multisectorial contra la TBC en los servicios de salud de los ce</w:t>
      </w:r>
      <w:r w:rsidR="005E3185">
        <w:rPr>
          <w:lang w:val="es-ES_tradnl"/>
        </w:rPr>
        <w:t xml:space="preserve">ntros penitenciarios del país. </w:t>
      </w:r>
    </w:p>
    <w:p w:rsidR="00A764EB" w:rsidRPr="005E3185" w:rsidRDefault="00215FAC" w:rsidP="00215FAC">
      <w:pPr>
        <w:pStyle w:val="SingleTxtG"/>
        <w:rPr>
          <w:lang w:val="es-ES_tradnl"/>
        </w:rPr>
      </w:pPr>
      <w:r>
        <w:rPr>
          <w:lang w:val="es-ES_tradnl"/>
        </w:rPr>
        <w:t>61.</w:t>
      </w:r>
      <w:r>
        <w:rPr>
          <w:lang w:val="es-ES_tradnl"/>
        </w:rPr>
        <w:tab/>
      </w:r>
      <w:r w:rsidR="00A764EB" w:rsidRPr="00F176D8">
        <w:rPr>
          <w:lang w:val="es-ES_tradnl"/>
        </w:rPr>
        <w:t>La norma precitada señala que la persona afectada por TBC tiene derecho a acceder a una atención integral</w:t>
      </w:r>
      <w:r w:rsidR="00A764EB" w:rsidRPr="00214959">
        <w:rPr>
          <w:rStyle w:val="Refdenotaalpie"/>
          <w:szCs w:val="22"/>
          <w:lang w:val="es-ES_tradnl"/>
        </w:rPr>
        <w:footnoteReference w:id="51"/>
      </w:r>
      <w:r w:rsidR="00A764EB" w:rsidRPr="00F176D8">
        <w:rPr>
          <w:lang w:val="es-ES_tradnl"/>
        </w:rPr>
        <w:t>, continua, gratuita y permanente de salud brindada por el Estado, a través de todos los establecimientos de salud donde tenga administración, gestión o participación directa o indirecta y a la prestación provisional que el caso requiera.</w:t>
      </w:r>
    </w:p>
    <w:p w:rsidR="00A764EB" w:rsidRPr="005E3185" w:rsidRDefault="00215FAC" w:rsidP="00215FAC">
      <w:pPr>
        <w:pStyle w:val="SingleTxtG"/>
        <w:rPr>
          <w:lang w:val="es-ES_tradnl"/>
        </w:rPr>
      </w:pPr>
      <w:r>
        <w:rPr>
          <w:lang w:val="es-ES_tradnl"/>
        </w:rPr>
        <w:t>62.</w:t>
      </w:r>
      <w:r>
        <w:rPr>
          <w:lang w:val="es-ES_tradnl"/>
        </w:rPr>
        <w:tab/>
      </w:r>
      <w:r w:rsidR="00A764EB" w:rsidRPr="00F176D8">
        <w:rPr>
          <w:lang w:val="es-ES_tradnl"/>
        </w:rPr>
        <w:t>Así, se dispone que el MINJUS</w:t>
      </w:r>
      <w:r w:rsidR="00A764EB" w:rsidRPr="00214959">
        <w:rPr>
          <w:rStyle w:val="Refdenotaalpie"/>
          <w:szCs w:val="22"/>
          <w:lang w:val="es-ES_tradnl"/>
        </w:rPr>
        <w:footnoteReference w:id="52"/>
      </w:r>
      <w:r w:rsidR="00A764EB" w:rsidRPr="00F176D8">
        <w:rPr>
          <w:lang w:val="es-ES_tradnl"/>
        </w:rPr>
        <w:t>, a través del INPE, determinará la ubicación o reubicación de la persona afectada por TBC en un establecimiento penitenciario. Uno de los criterios será la disponibilidad del tratamiento médico anti TBC; los establecimientos penitenciarios del país implementarán ambientes especiales para ubicar a los internos afectados por TBC en cualquiera de sus formas clínicas, mientras dure su tratamiento médico, y brindará medidas de control de infecciones a las personas que los visitan.</w:t>
      </w:r>
    </w:p>
    <w:p w:rsidR="00A764EB" w:rsidRPr="005E3185" w:rsidRDefault="00215FAC" w:rsidP="00215FAC">
      <w:pPr>
        <w:pStyle w:val="SingleTxtG"/>
        <w:rPr>
          <w:lang w:val="es-ES_tradnl"/>
        </w:rPr>
      </w:pPr>
      <w:r>
        <w:rPr>
          <w:lang w:val="es-ES_tradnl"/>
        </w:rPr>
        <w:t>63.</w:t>
      </w:r>
      <w:r>
        <w:rPr>
          <w:lang w:val="es-ES_tradnl"/>
        </w:rPr>
        <w:tab/>
      </w:r>
      <w:r w:rsidR="00A764EB" w:rsidRPr="00F176D8">
        <w:rPr>
          <w:lang w:val="es-ES_tradnl"/>
        </w:rPr>
        <w:t>Cabe señalar que en el Establecimiento Penitenciario de Huaral se acondicionó un ambiente para el internamiento y tratamiento de internos con TBC, construyéndose un ambiente para hospitalización, un cuarto de instrumentación y esterilización, una farmacia, un laboratorio, un área de preparación de cultivos, una estación de enfermería, un consultorio médico y un tópico, con la finalidad de proveer una infraestructura adecuada en post de la recuperación del interno</w:t>
      </w:r>
      <w:r w:rsidR="00A764EB" w:rsidRPr="00214959">
        <w:rPr>
          <w:rStyle w:val="Refdenotaalpie"/>
          <w:szCs w:val="22"/>
          <w:lang w:val="es-ES_tradnl"/>
        </w:rPr>
        <w:footnoteReference w:id="53"/>
      </w:r>
      <w:r w:rsidR="00055918">
        <w:rPr>
          <w:lang w:val="es-ES_tradnl"/>
        </w:rPr>
        <w:t>.</w:t>
      </w:r>
      <w:r w:rsidR="00A764EB" w:rsidRPr="00F176D8">
        <w:rPr>
          <w:lang w:val="es-ES_tradnl"/>
        </w:rPr>
        <w:t xml:space="preserve"> </w:t>
      </w:r>
    </w:p>
    <w:p w:rsidR="00A764EB" w:rsidRPr="005E3185" w:rsidRDefault="00215FAC" w:rsidP="00215FAC">
      <w:pPr>
        <w:pStyle w:val="SingleTxtG"/>
        <w:rPr>
          <w:lang w:val="es-ES_tradnl"/>
        </w:rPr>
      </w:pPr>
      <w:r>
        <w:rPr>
          <w:lang w:val="es-ES_tradnl"/>
        </w:rPr>
        <w:t>64.</w:t>
      </w:r>
      <w:r>
        <w:rPr>
          <w:lang w:val="es-ES_tradnl"/>
        </w:rPr>
        <w:tab/>
      </w:r>
      <w:r w:rsidR="00A764EB" w:rsidRPr="00F176D8">
        <w:rPr>
          <w:lang w:val="es-ES_tradnl"/>
        </w:rPr>
        <w:t xml:space="preserve">A su vez, mediante el Decreto Legislativo </w:t>
      </w:r>
      <w:r w:rsidR="00403B5F">
        <w:rPr>
          <w:lang w:val="es-ES_tradnl"/>
        </w:rPr>
        <w:t>núm.</w:t>
      </w:r>
      <w:r w:rsidR="00A764EB" w:rsidRPr="00F176D8">
        <w:rPr>
          <w:lang w:val="es-ES_tradnl"/>
        </w:rPr>
        <w:t xml:space="preserve"> 1325 se estableció que se deberá garantizar que la población penitenciaria vulnerable reciba tratamiento especializado e integral, en particular por razones de identidad de género, orientación sexual, étnica racial, así como a las internas, sus hijos e hijas menores, los dependientes de drogas, extranjeros y extranjeras, internos e internas adultos mayores y personas con discapacidad</w:t>
      </w:r>
      <w:r w:rsidR="00A764EB" w:rsidRPr="00214959">
        <w:rPr>
          <w:rStyle w:val="Refdenotaalpie"/>
          <w:szCs w:val="22"/>
          <w:lang w:val="es-ES_tradnl"/>
        </w:rPr>
        <w:footnoteReference w:id="54"/>
      </w:r>
      <w:r w:rsidR="00EB0523">
        <w:rPr>
          <w:rStyle w:val="Refdenotaalpie"/>
          <w:sz w:val="22"/>
          <w:szCs w:val="22"/>
          <w:lang w:val="es-ES_tradnl"/>
        </w:rPr>
        <w:t>.</w:t>
      </w:r>
    </w:p>
    <w:p w:rsidR="00A764EB" w:rsidRPr="005E3185" w:rsidRDefault="00215FAC" w:rsidP="00215FAC">
      <w:pPr>
        <w:pStyle w:val="SingleTxtG"/>
        <w:rPr>
          <w:lang w:val="es-ES_tradnl"/>
        </w:rPr>
      </w:pPr>
      <w:r>
        <w:rPr>
          <w:lang w:val="es-ES_tradnl"/>
        </w:rPr>
        <w:t>65.</w:t>
      </w:r>
      <w:r>
        <w:rPr>
          <w:lang w:val="es-ES_tradnl"/>
        </w:rPr>
        <w:tab/>
      </w:r>
      <w:r w:rsidR="00A764EB" w:rsidRPr="00F176D8">
        <w:rPr>
          <w:lang w:val="es-ES_tradnl"/>
        </w:rPr>
        <w:t xml:space="preserve">Con relación a la confidencialidad médica, la Ley General de Salud </w:t>
      </w:r>
      <w:r w:rsidR="00403B5F">
        <w:rPr>
          <w:lang w:val="es-ES_tradnl"/>
        </w:rPr>
        <w:t>núm.</w:t>
      </w:r>
      <w:r w:rsidR="00A764EB" w:rsidRPr="00F176D8">
        <w:rPr>
          <w:lang w:val="es-ES_tradnl"/>
        </w:rPr>
        <w:t xml:space="preserve"> 26482</w:t>
      </w:r>
      <w:r w:rsidR="00A764EB" w:rsidRPr="00214959">
        <w:rPr>
          <w:rStyle w:val="Refdenotaalpie"/>
          <w:szCs w:val="22"/>
          <w:lang w:val="es-ES_tradnl"/>
        </w:rPr>
        <w:footnoteReference w:id="55"/>
      </w:r>
      <w:r w:rsidR="00A764EB" w:rsidRPr="00F176D8">
        <w:rPr>
          <w:lang w:val="es-ES_tradnl"/>
        </w:rPr>
        <w:t xml:space="preserve"> dispone que toda información relativa al acto médico que se realiza, tiene carácter de reservado. Así, el profesional de la salud, el técnico o el auxiliar que proporciona o divulga por cualquier medio, información relacionada al acto médico en el que participa o del que tiene conocimiento, concurre en responsabilidad civil o penal, según sea el caso, sin perjuicio de las sanciones que correspondan en aplicación de los respectivos Códigos de Ética Profesional</w:t>
      </w:r>
      <w:r w:rsidR="00A764EB" w:rsidRPr="00214959">
        <w:rPr>
          <w:rStyle w:val="Refdenotaalpie"/>
          <w:szCs w:val="22"/>
          <w:lang w:val="es-ES_tradnl"/>
        </w:rPr>
        <w:footnoteReference w:id="56"/>
      </w:r>
      <w:r w:rsidR="00A764EB" w:rsidRPr="00F176D8">
        <w:rPr>
          <w:lang w:val="es-ES_tradnl"/>
        </w:rPr>
        <w:t>.</w:t>
      </w:r>
    </w:p>
    <w:p w:rsidR="00A764EB" w:rsidRPr="005E3185" w:rsidRDefault="00A2680F" w:rsidP="00A2680F">
      <w:pPr>
        <w:pStyle w:val="H23G"/>
        <w:rPr>
          <w:lang w:val="es-ES_tradnl"/>
        </w:rPr>
      </w:pPr>
      <w:bookmarkStart w:id="13" w:name="_Toc485946882"/>
      <w:r>
        <w:rPr>
          <w:lang w:val="es-ES_tradnl"/>
        </w:rPr>
        <w:lastRenderedPageBreak/>
        <w:tab/>
        <w:t>3.2.3</w:t>
      </w:r>
      <w:r>
        <w:rPr>
          <w:lang w:val="es-ES_tradnl"/>
        </w:rPr>
        <w:tab/>
      </w:r>
      <w:r w:rsidR="00A764EB" w:rsidRPr="00F176D8">
        <w:rPr>
          <w:lang w:val="es-ES_tradnl"/>
        </w:rPr>
        <w:t>Registros</w:t>
      </w:r>
      <w:bookmarkEnd w:id="13"/>
      <w:r w:rsidR="00A764EB" w:rsidRPr="00F176D8">
        <w:rPr>
          <w:lang w:val="es-ES_tradnl"/>
        </w:rPr>
        <w:t xml:space="preserve"> </w:t>
      </w:r>
    </w:p>
    <w:p w:rsidR="00A764EB" w:rsidRPr="005E3185" w:rsidRDefault="00215FAC" w:rsidP="00215FAC">
      <w:pPr>
        <w:pStyle w:val="SingleTxtG"/>
        <w:rPr>
          <w:lang w:val="es-ES_tradnl"/>
        </w:rPr>
      </w:pPr>
      <w:r>
        <w:rPr>
          <w:lang w:val="es-ES_tradnl"/>
        </w:rPr>
        <w:t>66.</w:t>
      </w:r>
      <w:r>
        <w:rPr>
          <w:lang w:val="es-ES_tradnl"/>
        </w:rPr>
        <w:tab/>
      </w:r>
      <w:r w:rsidR="00A764EB" w:rsidRPr="00F176D8">
        <w:rPr>
          <w:lang w:val="es-ES_tradnl"/>
        </w:rPr>
        <w:t xml:space="preserve">El SPT recomendó en el </w:t>
      </w:r>
      <w:r w:rsidR="00A764EB" w:rsidRPr="00F176D8">
        <w:rPr>
          <w:b/>
          <w:lang w:val="es-ES_tradnl"/>
        </w:rPr>
        <w:t xml:space="preserve">párrafo 61 </w:t>
      </w:r>
      <w:r w:rsidR="00A764EB" w:rsidRPr="00F176D8">
        <w:rPr>
          <w:lang w:val="es-ES_tradnl"/>
        </w:rPr>
        <w:t>de su informe, entre otras medidas, se cuente con: a)</w:t>
      </w:r>
      <w:r w:rsidR="00A764EB" w:rsidRPr="00F176D8">
        <w:rPr>
          <w:b/>
          <w:lang w:val="es-ES_tradnl"/>
        </w:rPr>
        <w:t xml:space="preserve"> </w:t>
      </w:r>
      <w:r w:rsidR="00A764EB" w:rsidRPr="00F176D8">
        <w:rPr>
          <w:lang w:val="es-ES_tradnl"/>
        </w:rPr>
        <w:t>un registro informatizado uniforme en todo el país, que incluya la información sobre ingresos, egresos, medidas disciplinarias, decisiones judiciales y otros datos relevantes sobre la situación de PPL; b) asegurar que las clínicas y tópicos cuenten con registros de todas sus intervenciones; y, c) crear una base de datos unificada donde se recoja la información sobre las PPL fallecidas con miras a adoptar políticas públicas en materia de salud.</w:t>
      </w:r>
    </w:p>
    <w:p w:rsidR="00A764EB" w:rsidRPr="005E3185" w:rsidRDefault="00215FAC" w:rsidP="00215FAC">
      <w:pPr>
        <w:pStyle w:val="SingleTxtG"/>
        <w:rPr>
          <w:lang w:val="es-ES_tradnl"/>
        </w:rPr>
      </w:pPr>
      <w:r>
        <w:rPr>
          <w:lang w:val="es-ES_tradnl"/>
        </w:rPr>
        <w:t>67.</w:t>
      </w:r>
      <w:r>
        <w:rPr>
          <w:lang w:val="es-ES_tradnl"/>
        </w:rPr>
        <w:tab/>
      </w:r>
      <w:r w:rsidR="00A764EB" w:rsidRPr="00F176D8">
        <w:rPr>
          <w:lang w:val="es-ES_tradnl"/>
        </w:rPr>
        <w:t>En esa línea, el INPE ha implementado un sistema que funciona de manera local y transmite la información registrada del interno vía internet al servidor central denominado SIP-POPE y para el registro de los internos que ingresan por Lima y Callao, se utiliza el SRP. Ambos sistemas cuentan con campos de información que permite estandarizar la información de identificación, registro de resoluciones judiciales, reportes  y documentos (certificado de antecedentes judiciales, certificado de libertad, constancia de reclusión, ficha de identificación), estableciéndose como único sistema oficial para el acopio de información en reemplazo de los sistemas Excel y otros que venían siendo usados</w:t>
      </w:r>
      <w:r w:rsidR="00A764EB" w:rsidRPr="00214959">
        <w:rPr>
          <w:rStyle w:val="Refdenotaalpie"/>
          <w:szCs w:val="22"/>
          <w:lang w:val="es-ES_tradnl"/>
        </w:rPr>
        <w:footnoteReference w:id="57"/>
      </w:r>
      <w:r w:rsidR="00EB0523">
        <w:rPr>
          <w:lang w:val="es-ES_tradnl"/>
        </w:rPr>
        <w:t>.</w:t>
      </w:r>
      <w:r w:rsidR="00A764EB" w:rsidRPr="00F176D8">
        <w:rPr>
          <w:lang w:val="es-ES_tradnl"/>
        </w:rPr>
        <w:t xml:space="preserve"> </w:t>
      </w:r>
    </w:p>
    <w:p w:rsidR="00A764EB" w:rsidRPr="005E3185" w:rsidRDefault="00215FAC" w:rsidP="00215FAC">
      <w:pPr>
        <w:pStyle w:val="SingleTxtG"/>
        <w:rPr>
          <w:lang w:val="es-ES_tradnl"/>
        </w:rPr>
      </w:pPr>
      <w:r>
        <w:rPr>
          <w:lang w:val="es-ES_tradnl"/>
        </w:rPr>
        <w:t>68.</w:t>
      </w:r>
      <w:r>
        <w:rPr>
          <w:lang w:val="es-ES_tradnl"/>
        </w:rPr>
        <w:tab/>
      </w:r>
      <w:r w:rsidR="00A764EB" w:rsidRPr="00F176D8">
        <w:rPr>
          <w:lang w:val="es-ES_tradnl"/>
        </w:rPr>
        <w:t xml:space="preserve">De otro lado, cabe mencionar que mediante el Decreto Legislativo </w:t>
      </w:r>
      <w:r w:rsidR="00403B5F">
        <w:rPr>
          <w:lang w:val="es-ES_tradnl"/>
        </w:rPr>
        <w:t>núm.</w:t>
      </w:r>
      <w:r w:rsidR="00A764EB" w:rsidRPr="00F176D8">
        <w:rPr>
          <w:lang w:val="es-ES_tradnl"/>
        </w:rPr>
        <w:t xml:space="preserve"> 1325 se dispuso que el Registro Nacional de Identificación y Estado Civil (en adelante, “RENIEC”) en un plazo no mayor de doce (12) meses proced</w:t>
      </w:r>
      <w:r w:rsidR="00F54E13">
        <w:rPr>
          <w:lang w:val="es-ES_tradnl"/>
        </w:rPr>
        <w:t>iera</w:t>
      </w:r>
      <w:r w:rsidR="00A764EB" w:rsidRPr="00F176D8">
        <w:rPr>
          <w:lang w:val="es-ES_tradnl"/>
        </w:rPr>
        <w:t xml:space="preserve"> a identificar a la totalidad de la población penitenciaria. Asimismo, una vez culminado el proceso de identificación, el INPE coordinará con el RENIEC la entrega del Documento Nacional de Identidad (en adelante, “DNI”) del interno a la autoridad penitenciaria, para el acceso a los servicios de salud, educación, trabajo, entre otras</w:t>
      </w:r>
      <w:r w:rsidR="00A764EB" w:rsidRPr="00214959">
        <w:rPr>
          <w:rStyle w:val="Refdenotaalpie"/>
          <w:szCs w:val="22"/>
          <w:lang w:val="es-ES_tradnl"/>
        </w:rPr>
        <w:footnoteReference w:id="58"/>
      </w:r>
      <w:r w:rsidR="00EB0523">
        <w:rPr>
          <w:lang w:val="es-ES_tradnl"/>
        </w:rPr>
        <w:t>.</w:t>
      </w:r>
      <w:r w:rsidR="00A764EB" w:rsidRPr="00F176D8">
        <w:rPr>
          <w:lang w:val="es-ES_tradnl"/>
        </w:rPr>
        <w:t xml:space="preserve"> </w:t>
      </w:r>
    </w:p>
    <w:p w:rsidR="00A764EB" w:rsidRPr="005E3185" w:rsidRDefault="00215FAC" w:rsidP="00215FAC">
      <w:pPr>
        <w:pStyle w:val="SingleTxtG"/>
      </w:pPr>
      <w:r>
        <w:t>69.</w:t>
      </w:r>
      <w:r>
        <w:tab/>
      </w:r>
      <w:r w:rsidR="00A764EB" w:rsidRPr="00F176D8">
        <w:t xml:space="preserve">Además, mediante el Decreto Legislativo </w:t>
      </w:r>
      <w:r w:rsidR="00403B5F">
        <w:t>núm.</w:t>
      </w:r>
      <w:r w:rsidR="00A764EB" w:rsidRPr="00F176D8">
        <w:t xml:space="preserve"> 1328 se señala que el INPE implementará el Registro Nacional Penitenciario que contiene la carpeta digital individual de la población penitenciaria nacional</w:t>
      </w:r>
      <w:r w:rsidR="00A764EB" w:rsidRPr="00214959">
        <w:rPr>
          <w:rStyle w:val="Refdenotaalpie"/>
          <w:szCs w:val="22"/>
        </w:rPr>
        <w:footnoteReference w:id="59"/>
      </w:r>
      <w:r w:rsidR="00EB0523">
        <w:t>.</w:t>
      </w:r>
      <w:r w:rsidR="00A764EB" w:rsidRPr="00F176D8">
        <w:t xml:space="preserve"> </w:t>
      </w:r>
    </w:p>
    <w:p w:rsidR="00A764EB" w:rsidRPr="005E3185" w:rsidRDefault="00215FAC" w:rsidP="00215FAC">
      <w:pPr>
        <w:pStyle w:val="SingleTxtG"/>
      </w:pPr>
      <w:r>
        <w:rPr>
          <w:lang w:val="es-ES_tradnl"/>
        </w:rPr>
        <w:t>70.</w:t>
      </w:r>
      <w:r>
        <w:rPr>
          <w:lang w:val="es-ES_tradnl"/>
        </w:rPr>
        <w:tab/>
      </w:r>
      <w:r w:rsidR="00A764EB" w:rsidRPr="00F176D8">
        <w:rPr>
          <w:lang w:val="es-ES_tradnl"/>
        </w:rPr>
        <w:t>Asimismo</w:t>
      </w:r>
      <w:r w:rsidR="00A764EB" w:rsidRPr="00F176D8">
        <w:t xml:space="preserve">, mediante la Resolución Presidencial </w:t>
      </w:r>
      <w:r w:rsidR="00403B5F">
        <w:t>núm.</w:t>
      </w:r>
      <w:r w:rsidR="00A764EB" w:rsidRPr="00F176D8">
        <w:t xml:space="preserve"> 296-2012-INPE/P, se conformó la “Comisión Multidisciplinaria para el Diagnóstico, Evaluación y Control del Deceso de Internos en los establecimientos penitenciarios”, a nivel nacional, la cual tiene como función recoger y procesar información sobre internos fallecidos, con el fin de apoyar a la Presidencia del INPE en la toma de decisiones con relación al fallecimiento de internos</w:t>
      </w:r>
      <w:r w:rsidR="00A764EB" w:rsidRPr="00214959">
        <w:rPr>
          <w:rStyle w:val="Refdenotaalpie"/>
          <w:szCs w:val="22"/>
        </w:rPr>
        <w:footnoteReference w:id="60"/>
      </w:r>
      <w:r w:rsidR="00EB0523">
        <w:t>.</w:t>
      </w:r>
    </w:p>
    <w:p w:rsidR="00A764EB" w:rsidRPr="005E3185" w:rsidRDefault="00A2680F" w:rsidP="00A2680F">
      <w:pPr>
        <w:pStyle w:val="H23G"/>
        <w:rPr>
          <w:lang w:val="es-ES_tradnl"/>
        </w:rPr>
      </w:pPr>
      <w:bookmarkStart w:id="14" w:name="_Toc485946883"/>
      <w:r>
        <w:rPr>
          <w:lang w:val="es-ES_tradnl"/>
        </w:rPr>
        <w:tab/>
        <w:t>3.2.4</w:t>
      </w:r>
      <w:r>
        <w:rPr>
          <w:lang w:val="es-ES_tradnl"/>
        </w:rPr>
        <w:tab/>
      </w:r>
      <w:r w:rsidR="00A764EB" w:rsidRPr="00F176D8">
        <w:rPr>
          <w:lang w:val="es-ES_tradnl"/>
        </w:rPr>
        <w:t>Malos tratos y represalias</w:t>
      </w:r>
      <w:bookmarkEnd w:id="14"/>
    </w:p>
    <w:p w:rsidR="00A764EB" w:rsidRPr="005E3185" w:rsidRDefault="00215FAC" w:rsidP="00215FAC">
      <w:pPr>
        <w:pStyle w:val="SingleTxtG"/>
        <w:rPr>
          <w:lang w:val="es-ES_tradnl"/>
        </w:rPr>
      </w:pPr>
      <w:r>
        <w:rPr>
          <w:lang w:val="es-ES_tradnl"/>
        </w:rPr>
        <w:t>71.</w:t>
      </w:r>
      <w:r>
        <w:rPr>
          <w:lang w:val="es-ES_tradnl"/>
        </w:rPr>
        <w:tab/>
      </w:r>
      <w:r w:rsidR="00A764EB" w:rsidRPr="00F176D8">
        <w:rPr>
          <w:lang w:val="es-ES_tradnl"/>
        </w:rPr>
        <w:t xml:space="preserve">En el </w:t>
      </w:r>
      <w:r w:rsidR="00A764EB" w:rsidRPr="00F176D8">
        <w:rPr>
          <w:b/>
          <w:lang w:val="es-ES_tradnl"/>
        </w:rPr>
        <w:t>párrafo 66</w:t>
      </w:r>
      <w:r w:rsidR="00A764EB" w:rsidRPr="00F176D8">
        <w:rPr>
          <w:lang w:val="es-ES_tradnl"/>
        </w:rPr>
        <w:t xml:space="preserve"> del informe del SPT se recomienda al Estado peruano adoptar medidas relacionadas con la capacitación y actualización permanente en DDHH para prevenir que el personal penitenciario inflija malos tratos a los internos, entre otras acciones. </w:t>
      </w:r>
    </w:p>
    <w:p w:rsidR="00A764EB" w:rsidRPr="005E3185" w:rsidRDefault="00215FAC" w:rsidP="00215FAC">
      <w:pPr>
        <w:pStyle w:val="SingleTxtG"/>
      </w:pPr>
      <w:r>
        <w:rPr>
          <w:lang w:val="es-ES_tradnl"/>
        </w:rPr>
        <w:t>72.</w:t>
      </w:r>
      <w:r>
        <w:rPr>
          <w:lang w:val="es-ES_tradnl"/>
        </w:rPr>
        <w:tab/>
      </w:r>
      <w:r w:rsidR="00A764EB" w:rsidRPr="00F176D8">
        <w:rPr>
          <w:lang w:val="es-ES_tradnl"/>
        </w:rPr>
        <w:t>En</w:t>
      </w:r>
      <w:r w:rsidR="00A764EB" w:rsidRPr="00F176D8">
        <w:t xml:space="preserve"> </w:t>
      </w:r>
      <w:r w:rsidR="00A764EB" w:rsidRPr="00F176D8">
        <w:rPr>
          <w:lang w:val="es-ES_tradnl"/>
        </w:rPr>
        <w:t>esa</w:t>
      </w:r>
      <w:r w:rsidR="00A764EB" w:rsidRPr="00F176D8">
        <w:t xml:space="preserve"> línea, cabe señalar que se han previsto como acciones estratégicas vinculadas a la formación y difusión en DDHH en el Plan Nacional de Educación en Derechos y Deberes Fundamentales al 2021 (en adelante, “PNEDDF”) “incorporar en la formación de servidores públicos la temática de derechos humanos que sea necesaria para el cumplimiento de sus funciones”</w:t>
      </w:r>
      <w:r w:rsidR="00A764EB" w:rsidRPr="00214959">
        <w:rPr>
          <w:rStyle w:val="Refdenotaalpie"/>
          <w:szCs w:val="22"/>
        </w:rPr>
        <w:footnoteReference w:id="61"/>
      </w:r>
      <w:r w:rsidR="00EB0523">
        <w:t>.</w:t>
      </w:r>
    </w:p>
    <w:p w:rsidR="00A764EB" w:rsidRPr="005E3185" w:rsidRDefault="00215FAC" w:rsidP="00215FAC">
      <w:pPr>
        <w:pStyle w:val="SingleTxtG"/>
      </w:pPr>
      <w:r>
        <w:rPr>
          <w:lang w:val="es-ES_tradnl"/>
        </w:rPr>
        <w:t>73.</w:t>
      </w:r>
      <w:r>
        <w:rPr>
          <w:lang w:val="es-ES_tradnl"/>
        </w:rPr>
        <w:tab/>
      </w:r>
      <w:r w:rsidR="00A764EB" w:rsidRPr="00F176D8">
        <w:rPr>
          <w:lang w:val="es-ES_tradnl"/>
        </w:rPr>
        <w:t>A su vez,</w:t>
      </w:r>
      <w:r w:rsidR="00A764EB" w:rsidRPr="00F176D8">
        <w:t xml:space="preserve"> el INPE cuenta con el Centro Nacional de Estudios Criminológicos y Penitenciarios (CENECP) que tiene la función de seleccionar, formar, capacitar y </w:t>
      </w:r>
      <w:r w:rsidR="00A764EB" w:rsidRPr="00F176D8">
        <w:lastRenderedPageBreak/>
        <w:t>perfeccionar al personal penitenciario, así como efectuar estudios e investigaciones en ciencias penitenciarias y criminología</w:t>
      </w:r>
      <w:r w:rsidR="00A764EB" w:rsidRPr="00214959">
        <w:rPr>
          <w:rStyle w:val="Refdenotaalpie"/>
          <w:szCs w:val="22"/>
        </w:rPr>
        <w:footnoteReference w:id="62"/>
      </w:r>
      <w:r w:rsidR="00A764EB" w:rsidRPr="00F176D8">
        <w:t xml:space="preserve">. </w:t>
      </w:r>
    </w:p>
    <w:p w:rsidR="00A764EB" w:rsidRPr="005E3185" w:rsidRDefault="00215FAC" w:rsidP="00215FAC">
      <w:pPr>
        <w:pStyle w:val="SingleTxtG"/>
      </w:pPr>
      <w:r>
        <w:t>74.</w:t>
      </w:r>
      <w:r>
        <w:tab/>
      </w:r>
      <w:r w:rsidR="00A764EB" w:rsidRPr="00F176D8">
        <w:t xml:space="preserve">En los párrafos </w:t>
      </w:r>
      <w:r w:rsidR="00A764EB" w:rsidRPr="00F176D8">
        <w:rPr>
          <w:b/>
        </w:rPr>
        <w:t xml:space="preserve">67 </w:t>
      </w:r>
      <w:r w:rsidR="00EB0523">
        <w:rPr>
          <w:b/>
        </w:rPr>
        <w:t>y</w:t>
      </w:r>
      <w:r w:rsidR="00A764EB" w:rsidRPr="00F176D8">
        <w:rPr>
          <w:b/>
        </w:rPr>
        <w:t xml:space="preserve"> 68 </w:t>
      </w:r>
      <w:r w:rsidR="00A764EB" w:rsidRPr="00F176D8">
        <w:t>del informe del SPT se recomienda que se garantice a las PPL el derecho a presentar denuncias de forma directa y confidencial a la autoridad responsable del penal. Así, en caso presenten denuncias, incluso por tortura o malos tratos, no deben sufrir represalias por ello.</w:t>
      </w:r>
    </w:p>
    <w:p w:rsidR="00A764EB" w:rsidRPr="005E3185" w:rsidRDefault="00215FAC" w:rsidP="00215FAC">
      <w:pPr>
        <w:pStyle w:val="SingleTxtG"/>
      </w:pPr>
      <w:r>
        <w:rPr>
          <w:lang w:val="es-ES_tradnl"/>
        </w:rPr>
        <w:t>75.</w:t>
      </w:r>
      <w:r>
        <w:rPr>
          <w:lang w:val="es-ES_tradnl"/>
        </w:rPr>
        <w:tab/>
      </w:r>
      <w:r w:rsidR="00A764EB" w:rsidRPr="00F176D8">
        <w:rPr>
          <w:lang w:val="es-ES_tradnl"/>
        </w:rPr>
        <w:t xml:space="preserve">Cabe resaltar que, conforme a lo dispuesto en el artículo 32° numeral 14 de la Ley </w:t>
      </w:r>
      <w:r w:rsidR="00403B5F">
        <w:rPr>
          <w:lang w:val="es-ES_tradnl"/>
        </w:rPr>
        <w:t>núm.</w:t>
      </w:r>
      <w:r w:rsidR="00A764EB" w:rsidRPr="00F176D8">
        <w:rPr>
          <w:lang w:val="es-ES_tradnl"/>
        </w:rPr>
        <w:t xml:space="preserve"> 29709</w:t>
      </w:r>
      <w:r w:rsidR="00A764EB" w:rsidRPr="00214959">
        <w:rPr>
          <w:rStyle w:val="Refdenotaalpie"/>
          <w:szCs w:val="22"/>
          <w:lang w:val="es-ES_tradnl"/>
        </w:rPr>
        <w:footnoteReference w:id="63"/>
      </w:r>
      <w:r w:rsidR="00A764EB" w:rsidRPr="00F176D8">
        <w:rPr>
          <w:lang w:val="es-ES_tradnl"/>
        </w:rPr>
        <w:t xml:space="preserve">, Ley de la Carrera Especial Pública Penitenciaria, uno de los deberes del servidor penitenciario es tener un trato firme, pero respetuoso de los derechos de las PPL y los liberados. </w:t>
      </w:r>
    </w:p>
    <w:p w:rsidR="00A764EB" w:rsidRPr="005E3185" w:rsidRDefault="00D95A8F" w:rsidP="00215FAC">
      <w:pPr>
        <w:pStyle w:val="SingleTxtG"/>
        <w:rPr>
          <w:lang w:val="es-ES_tradnl"/>
        </w:rPr>
      </w:pPr>
      <w:r>
        <w:rPr>
          <w:lang w:val="es-ES_tradnl"/>
        </w:rPr>
        <w:t>76.</w:t>
      </w:r>
      <w:r>
        <w:rPr>
          <w:lang w:val="es-ES_tradnl"/>
        </w:rPr>
        <w:tab/>
      </w:r>
      <w:r w:rsidR="00A764EB" w:rsidRPr="00F176D8">
        <w:rPr>
          <w:lang w:val="es-ES_tradnl"/>
        </w:rPr>
        <w:t xml:space="preserve">Asimismo, en el artículo 54° numeral 29 del reglamento de la referida ley, aprobado mediante el Decreto Supremo </w:t>
      </w:r>
      <w:r w:rsidR="00403B5F">
        <w:rPr>
          <w:lang w:val="es-ES_tradnl"/>
        </w:rPr>
        <w:t>núm.</w:t>
      </w:r>
      <w:r w:rsidR="00A764EB" w:rsidRPr="00F176D8">
        <w:rPr>
          <w:lang w:val="es-ES_tradnl"/>
        </w:rPr>
        <w:t xml:space="preserve"> 013-2012-JUS</w:t>
      </w:r>
      <w:r w:rsidR="00A764EB" w:rsidRPr="00214959">
        <w:rPr>
          <w:rStyle w:val="Refdenotaalpie"/>
          <w:szCs w:val="22"/>
          <w:lang w:val="es-ES_tradnl"/>
        </w:rPr>
        <w:footnoteReference w:id="64"/>
      </w:r>
      <w:r w:rsidR="00A764EB" w:rsidRPr="00F176D8">
        <w:rPr>
          <w:lang w:val="es-ES_tradnl"/>
        </w:rPr>
        <w:t xml:space="preserve">, se establece como una de las prohibiciones del servidor penitenciario realizar actos que pudieran ir en contra de la dignidad de los internos bajo su custodia. </w:t>
      </w:r>
    </w:p>
    <w:p w:rsidR="00A764EB" w:rsidRPr="00F176D8" w:rsidRDefault="00A2680F" w:rsidP="008D061E">
      <w:pPr>
        <w:pStyle w:val="H23G"/>
        <w:rPr>
          <w:lang w:val="es-ES_tradnl"/>
        </w:rPr>
      </w:pPr>
      <w:bookmarkStart w:id="15" w:name="_Toc485946884"/>
      <w:r>
        <w:rPr>
          <w:lang w:val="es-ES_tradnl"/>
        </w:rPr>
        <w:tab/>
      </w:r>
      <w:r w:rsidR="00910B7E">
        <w:rPr>
          <w:lang w:val="es-ES_tradnl"/>
        </w:rPr>
        <w:t>3.2.5</w:t>
      </w:r>
      <w:r>
        <w:rPr>
          <w:lang w:val="es-ES_tradnl"/>
        </w:rPr>
        <w:tab/>
      </w:r>
      <w:r w:rsidR="00A764EB" w:rsidRPr="00F176D8">
        <w:rPr>
          <w:lang w:val="es-ES_tradnl"/>
        </w:rPr>
        <w:t>Regímenes de detención y mecanismos informales de disciplina</w:t>
      </w:r>
      <w:bookmarkEnd w:id="15"/>
    </w:p>
    <w:p w:rsidR="00A764EB" w:rsidRPr="005E3185" w:rsidRDefault="00D95A8F" w:rsidP="00215FAC">
      <w:pPr>
        <w:pStyle w:val="SingleTxtG"/>
        <w:rPr>
          <w:lang w:val="es-ES_tradnl"/>
        </w:rPr>
      </w:pPr>
      <w:r>
        <w:rPr>
          <w:lang w:val="es-ES_tradnl"/>
        </w:rPr>
        <w:t>77.</w:t>
      </w:r>
      <w:r>
        <w:rPr>
          <w:lang w:val="es-ES_tradnl"/>
        </w:rPr>
        <w:tab/>
      </w:r>
      <w:r w:rsidR="00A764EB" w:rsidRPr="00F176D8">
        <w:rPr>
          <w:lang w:val="es-ES_tradnl"/>
        </w:rPr>
        <w:t xml:space="preserve">En el párrafo 75 del informe del SPT, se insta al Estado a asegurar que en todas las actuaciones relacionadas con sanciones disciplinarias se garantice el principio del debido proceso, la sanción de aislamiento debe ser excepcional y ser objeto de control judicial. Así, como existan reglas claras y conocidas por el personal y las PPL en materia de traslados, con miras a evitar que éstos se utilicen de manera abusiva. </w:t>
      </w:r>
    </w:p>
    <w:p w:rsidR="00A764EB" w:rsidRPr="005E3185" w:rsidRDefault="00D95A8F" w:rsidP="00215FAC">
      <w:pPr>
        <w:pStyle w:val="SingleTxtG"/>
        <w:rPr>
          <w:lang w:val="es-ES_tradnl"/>
        </w:rPr>
      </w:pPr>
      <w:r>
        <w:rPr>
          <w:lang w:val="es-ES_tradnl"/>
        </w:rPr>
        <w:t>78.</w:t>
      </w:r>
      <w:r>
        <w:rPr>
          <w:lang w:val="es-ES_tradnl"/>
        </w:rPr>
        <w:tab/>
      </w:r>
      <w:r w:rsidR="00A764EB" w:rsidRPr="00F176D8">
        <w:rPr>
          <w:lang w:val="es-ES_tradnl"/>
        </w:rPr>
        <w:t xml:space="preserve">Al respecto, en el Decreto Legislativo </w:t>
      </w:r>
      <w:r w:rsidR="00403B5F">
        <w:rPr>
          <w:lang w:val="es-ES_tradnl"/>
        </w:rPr>
        <w:t>núm.</w:t>
      </w:r>
      <w:r w:rsidR="00A764EB" w:rsidRPr="00F176D8">
        <w:rPr>
          <w:lang w:val="es-ES_tradnl"/>
        </w:rPr>
        <w:t xml:space="preserve"> 1325 se determinó que los traslados de las PPL se realizarán cuando el interno o la interna pongan en riesgo la seguridad penitenciaria o atenten contra la integridad del personal penitenciario o policial, o son encontrados en flagrancia delictiva o </w:t>
      </w:r>
      <w:r w:rsidR="00F54E13" w:rsidRPr="00F176D8">
        <w:rPr>
          <w:lang w:val="es-ES_tradnl"/>
        </w:rPr>
        <w:t>están</w:t>
      </w:r>
      <w:r w:rsidR="00A764EB" w:rsidRPr="00F176D8">
        <w:rPr>
          <w:lang w:val="es-ES_tradnl"/>
        </w:rPr>
        <w:t xml:space="preserve"> involucrado en la comisión de un delito, que pongan en riesgo la seguridad ciudadana; siendo así, el traslado a otro establecimiento penitenciario lo determina el INPE, en un plazo máximo de 48 horas, bajo responsabilidad funcional</w:t>
      </w:r>
      <w:r w:rsidR="00A764EB" w:rsidRPr="00214959">
        <w:rPr>
          <w:rStyle w:val="Refdenotaalpie"/>
          <w:szCs w:val="22"/>
          <w:lang w:val="es-ES_tradnl"/>
        </w:rPr>
        <w:footnoteReference w:id="65"/>
      </w:r>
      <w:r w:rsidR="00EB0523">
        <w:rPr>
          <w:lang w:val="es-ES_tradnl"/>
        </w:rPr>
        <w:t>.</w:t>
      </w:r>
    </w:p>
    <w:p w:rsidR="00A764EB" w:rsidRPr="00F176D8" w:rsidRDefault="00910B7E" w:rsidP="00910B7E">
      <w:pPr>
        <w:pStyle w:val="H23G"/>
        <w:rPr>
          <w:lang w:val="es-ES_tradnl"/>
        </w:rPr>
      </w:pPr>
      <w:bookmarkStart w:id="16" w:name="_Toc485946885"/>
      <w:r>
        <w:rPr>
          <w:lang w:val="es-ES_tradnl"/>
        </w:rPr>
        <w:tab/>
        <w:t>3.2.6</w:t>
      </w:r>
      <w:r>
        <w:rPr>
          <w:lang w:val="es-ES_tradnl"/>
        </w:rPr>
        <w:tab/>
      </w:r>
      <w:r w:rsidR="00A764EB" w:rsidRPr="00F176D8">
        <w:rPr>
          <w:lang w:val="es-ES_tradnl"/>
        </w:rPr>
        <w:t>Particularidades de la situación de las mujeres</w:t>
      </w:r>
      <w:bookmarkEnd w:id="16"/>
      <w:r w:rsidR="00A764EB" w:rsidRPr="00F176D8">
        <w:rPr>
          <w:lang w:val="es-ES_tradnl"/>
        </w:rPr>
        <w:t xml:space="preserve"> </w:t>
      </w:r>
    </w:p>
    <w:p w:rsidR="00A764EB" w:rsidRPr="005E3185" w:rsidRDefault="00D95A8F" w:rsidP="00215FAC">
      <w:pPr>
        <w:pStyle w:val="SingleTxtG"/>
        <w:rPr>
          <w:lang w:val="es-ES_tradnl"/>
        </w:rPr>
      </w:pPr>
      <w:r>
        <w:t>79.</w:t>
      </w:r>
      <w:r>
        <w:tab/>
      </w:r>
      <w:r w:rsidR="00A764EB" w:rsidRPr="00F176D8">
        <w:t>El SPT recomendó</w:t>
      </w:r>
      <w:r w:rsidR="00A764EB" w:rsidRPr="00F176D8">
        <w:rPr>
          <w:lang w:val="es-ES_tradnl"/>
        </w:rPr>
        <w:t xml:space="preserve"> en los </w:t>
      </w:r>
      <w:r w:rsidR="00A764EB" w:rsidRPr="00F176D8">
        <w:rPr>
          <w:b/>
          <w:lang w:val="es-ES_tradnl"/>
        </w:rPr>
        <w:t xml:space="preserve">párrafos 79 </w:t>
      </w:r>
      <w:r w:rsidR="00EB0523">
        <w:rPr>
          <w:b/>
          <w:lang w:val="es-ES_tradnl"/>
        </w:rPr>
        <w:t>a</w:t>
      </w:r>
      <w:r w:rsidR="00A764EB" w:rsidRPr="00F176D8">
        <w:rPr>
          <w:b/>
          <w:lang w:val="es-ES_tradnl"/>
        </w:rPr>
        <w:t xml:space="preserve"> 81 </w:t>
      </w:r>
      <w:r w:rsidR="00A764EB" w:rsidRPr="00F176D8">
        <w:rPr>
          <w:lang w:val="es-ES_tradnl"/>
        </w:rPr>
        <w:t xml:space="preserve">de su informe, establecer mecanismos independientes para monitorear la implementación de la normativa vigente y tomar medidas para asegurar que los hijos/as menores de tres años puedan instalarse con sus madres en los centros penitenciarios, si éstas lo solicitan, así como establecer una política penitenciaria con perspectiva de género. </w:t>
      </w:r>
    </w:p>
    <w:p w:rsidR="00A764EB" w:rsidRPr="005E3185" w:rsidRDefault="00D95A8F" w:rsidP="00215FAC">
      <w:pPr>
        <w:pStyle w:val="SingleTxtG"/>
        <w:rPr>
          <w:lang w:val="es-ES_tradnl"/>
        </w:rPr>
      </w:pPr>
      <w:r>
        <w:rPr>
          <w:lang w:val="es-ES_tradnl"/>
        </w:rPr>
        <w:t>80.</w:t>
      </w:r>
      <w:r>
        <w:rPr>
          <w:lang w:val="es-ES_tradnl"/>
        </w:rPr>
        <w:tab/>
      </w:r>
      <w:r w:rsidR="00A764EB" w:rsidRPr="00F176D8">
        <w:rPr>
          <w:lang w:val="es-ES_tradnl"/>
        </w:rPr>
        <w:t xml:space="preserve">Al </w:t>
      </w:r>
      <w:r w:rsidR="00A764EB" w:rsidRPr="00F176D8">
        <w:t>respecto</w:t>
      </w:r>
      <w:r w:rsidR="00A764EB" w:rsidRPr="00F176D8">
        <w:rPr>
          <w:lang w:val="es-ES_tradnl"/>
        </w:rPr>
        <w:t>, en el artículo 12° del Reglamento del Código de Ejecución Penal</w:t>
      </w:r>
      <w:r w:rsidR="00A764EB" w:rsidRPr="00214959">
        <w:rPr>
          <w:rStyle w:val="Refdenotaalpie"/>
          <w:szCs w:val="22"/>
          <w:lang w:val="es-ES_tradnl"/>
        </w:rPr>
        <w:footnoteReference w:id="66"/>
      </w:r>
      <w:r w:rsidR="00A764EB" w:rsidRPr="00F176D8">
        <w:rPr>
          <w:lang w:val="es-ES_tradnl"/>
        </w:rPr>
        <w:t xml:space="preserve"> se encuentra establecido que “las mujeres privadas de libertad tienen derecho a permanecer en el establecimiento penitenciario con sus hijos hasta que éstos cumplan tres años de edad, oportunidad en la cual serán entregados a la persona que corresponda de conformidad con la normatividad sobre la materia, o en su defecto se procederá por la vía legal correspondiente a la colocación familiar u otra institución tutelar conforme a lo dispuesto por el Código de los Niños y Adolescentes”.</w:t>
      </w:r>
    </w:p>
    <w:p w:rsidR="00A764EB" w:rsidRPr="005E3185" w:rsidRDefault="00D95A8F" w:rsidP="00215FAC">
      <w:pPr>
        <w:pStyle w:val="SingleTxtG"/>
      </w:pPr>
      <w:r>
        <w:lastRenderedPageBreak/>
        <w:t>81.</w:t>
      </w:r>
      <w:r>
        <w:tab/>
      </w:r>
      <w:r w:rsidR="00A764EB" w:rsidRPr="00F176D8">
        <w:t>Cabe señalar que, en el 2015, el MIMP y el INPE suscribieron un Convenio Marco de Cooperación Interinstitucional para mejorar el Sistema Penitenciario Nacional</w:t>
      </w:r>
      <w:r w:rsidR="00A764EB" w:rsidRPr="00214959">
        <w:rPr>
          <w:rStyle w:val="Refdenotaalpie"/>
          <w:szCs w:val="22"/>
        </w:rPr>
        <w:footnoteReference w:id="67"/>
      </w:r>
      <w:r w:rsidR="00EB0523">
        <w:t>.</w:t>
      </w:r>
    </w:p>
    <w:p w:rsidR="00A764EB" w:rsidRPr="00215FAC" w:rsidRDefault="00D95A8F" w:rsidP="00215FAC">
      <w:pPr>
        <w:pStyle w:val="SingleTxtG"/>
        <w:rPr>
          <w:lang w:val="es-ES_tradnl"/>
        </w:rPr>
      </w:pPr>
      <w:r>
        <w:t>82.</w:t>
      </w:r>
      <w:r>
        <w:tab/>
      </w:r>
      <w:r w:rsidR="00A764EB" w:rsidRPr="00F176D8">
        <w:t>Precisamente, la Dirección de Investigación Tutelar de la Dirección General de Niñas, Niños y Adolescentes d</w:t>
      </w:r>
      <w:r w:rsidR="00A764EB" w:rsidRPr="00F176D8">
        <w:rPr>
          <w:lang w:val="es-ES_tradnl"/>
        </w:rPr>
        <w:t>el MIMP</w:t>
      </w:r>
      <w:r w:rsidR="00A764EB" w:rsidRPr="00214959">
        <w:rPr>
          <w:rStyle w:val="Refdenotaalpie"/>
          <w:szCs w:val="22"/>
          <w:lang w:val="es-ES_tradnl"/>
        </w:rPr>
        <w:footnoteReference w:id="68"/>
      </w:r>
      <w:r w:rsidR="00A764EB" w:rsidRPr="00F176D8">
        <w:t xml:space="preserve">, ha venido realizando en coordinación estrecha con la Dirección de Tratamiento y Recuperación del INPE, lo siguiente: </w:t>
      </w:r>
    </w:p>
    <w:p w:rsidR="00A764EB" w:rsidRPr="00215FAC" w:rsidRDefault="00D95A8F" w:rsidP="00742A2C">
      <w:pPr>
        <w:pStyle w:val="SingleTxtG"/>
        <w:ind w:left="1701"/>
        <w:rPr>
          <w:lang w:val="es-ES_tradnl"/>
        </w:rPr>
      </w:pPr>
      <w:r>
        <w:rPr>
          <w:lang w:val="es-ES_tradnl"/>
        </w:rPr>
        <w:tab/>
        <w:t>82.1</w:t>
      </w:r>
      <w:r>
        <w:rPr>
          <w:lang w:val="es-ES_tradnl"/>
        </w:rPr>
        <w:tab/>
      </w:r>
      <w:r w:rsidR="00A764EB" w:rsidRPr="00F176D8">
        <w:rPr>
          <w:lang w:val="es-ES_tradnl"/>
        </w:rPr>
        <w:t xml:space="preserve">Asegurar la </w:t>
      </w:r>
      <w:r w:rsidR="00A764EB" w:rsidRPr="00F176D8">
        <w:t>intervención especializada a través de profesionales en psicoterapia familiar, con el objetivo de disminuir en la hija, hijo y madre interna, los efectos de la separación física, llevando a cabo sesiones terapéuticas individuales y grupales durante los seis meses previos al egreso de la niña o niño del establecimiento penitenciario.</w:t>
      </w:r>
    </w:p>
    <w:p w:rsidR="00A764EB" w:rsidRPr="00215FAC" w:rsidRDefault="00D95A8F" w:rsidP="00742A2C">
      <w:pPr>
        <w:pStyle w:val="SingleTxtG"/>
        <w:ind w:left="1701"/>
        <w:rPr>
          <w:lang w:val="es-ES_tradnl"/>
        </w:rPr>
      </w:pPr>
      <w:r>
        <w:tab/>
        <w:t>82.2</w:t>
      </w:r>
      <w:r>
        <w:tab/>
      </w:r>
      <w:r w:rsidR="00A764EB" w:rsidRPr="00F176D8">
        <w:t>Evaluación, preparación y fortalecimiento de capacidades de los integrantes del entorno familiar para</w:t>
      </w:r>
      <w:r w:rsidR="00A764EB" w:rsidRPr="00F176D8">
        <w:rPr>
          <w:lang w:val="es-ES_tradnl"/>
        </w:rPr>
        <w:t xml:space="preserve"> </w:t>
      </w:r>
      <w:r w:rsidR="00A764EB" w:rsidRPr="00F176D8">
        <w:rPr>
          <w:b/>
          <w:i/>
        </w:rPr>
        <w:t>i)</w:t>
      </w:r>
      <w:r w:rsidR="00A764EB" w:rsidRPr="00F176D8">
        <w:t xml:space="preserve"> que la niña o niño se incorpore a un entorno saludable, donde genere vínculos afectivos con la familia que lo acogerá a fin que logre su desarrollo integral y </w:t>
      </w:r>
      <w:r w:rsidR="00A764EB" w:rsidRPr="00F176D8">
        <w:rPr>
          <w:b/>
          <w:i/>
        </w:rPr>
        <w:t>ii)</w:t>
      </w:r>
      <w:r w:rsidR="00A764EB" w:rsidRPr="00F176D8">
        <w:t xml:space="preserve"> que la separación física no genere un efecto en la niña o niño que lo desvincule de su madre.</w:t>
      </w:r>
    </w:p>
    <w:p w:rsidR="00A764EB" w:rsidRPr="00215FAC" w:rsidRDefault="00D95A8F" w:rsidP="00D95A8F">
      <w:pPr>
        <w:pStyle w:val="SingleTxtG"/>
      </w:pPr>
      <w:r>
        <w:t>83.</w:t>
      </w:r>
      <w:r>
        <w:tab/>
      </w:r>
      <w:r w:rsidR="00A764EB" w:rsidRPr="00F176D8">
        <w:t xml:space="preserve">Asimismo, mediante el Decreto Supremo </w:t>
      </w:r>
      <w:r w:rsidR="00403B5F">
        <w:t>núm.</w:t>
      </w:r>
      <w:r w:rsidR="00A764EB" w:rsidRPr="00F176D8">
        <w:t xml:space="preserve"> 006-2016-MIMP</w:t>
      </w:r>
      <w:r w:rsidR="00A764EB" w:rsidRPr="00214959">
        <w:rPr>
          <w:rStyle w:val="Refdenotaalpie"/>
          <w:szCs w:val="22"/>
        </w:rPr>
        <w:footnoteReference w:id="69"/>
      </w:r>
      <w:r w:rsidR="00A764EB" w:rsidRPr="00F176D8">
        <w:t xml:space="preserve"> se aprobó el “Protocolo intersectorial entre el MIMP y el INPE para la atención oportuna de hijas o hijos menores de edad de las madres internas en establecimientos penitenciarios</w:t>
      </w:r>
      <w:r w:rsidR="00AA5EAC">
        <w:t>”</w:t>
      </w:r>
      <w:r w:rsidR="00A764EB" w:rsidRPr="00F176D8">
        <w:t>,</w:t>
      </w:r>
      <w:r w:rsidR="00A764EB" w:rsidRPr="00F176D8">
        <w:rPr>
          <w:i/>
        </w:rPr>
        <w:t xml:space="preserve"> </w:t>
      </w:r>
      <w:r w:rsidR="00A764EB" w:rsidRPr="00F176D8">
        <w:t>su finalidad es restablecer el ejercicio de los derechos de las niñas, niños y adolescentes, hijas o hijos de las madres que se encuentran en los establecimientos penitenciarios, para que logren un desarrollo integral y saludable en su entorno familiar.</w:t>
      </w:r>
    </w:p>
    <w:p w:rsidR="00A764EB" w:rsidRPr="00215FAC" w:rsidRDefault="00D95A8F" w:rsidP="00D95A8F">
      <w:pPr>
        <w:pStyle w:val="SingleTxtG"/>
      </w:pPr>
      <w:r>
        <w:t>84.</w:t>
      </w:r>
      <w:r>
        <w:tab/>
      </w:r>
      <w:r w:rsidR="00A764EB" w:rsidRPr="00F176D8">
        <w:t>En esa línea, desde el 2016, en coordinación con la Universidad Cayetano Heredia, se viene realizando el Programa “Vidas color sol” a través del cual se brinda el servicio de estimulación temprana a los niños y niñas que conviven con sus madres al interior de los establecimientos penitenciarios</w:t>
      </w:r>
      <w:r w:rsidR="00A764EB" w:rsidRPr="00214959">
        <w:rPr>
          <w:rStyle w:val="Refdenotaalpie"/>
          <w:szCs w:val="22"/>
        </w:rPr>
        <w:footnoteReference w:id="70"/>
      </w:r>
      <w:r w:rsidR="00EB0523">
        <w:t>.</w:t>
      </w:r>
    </w:p>
    <w:p w:rsidR="00A764EB" w:rsidRPr="00215FAC" w:rsidRDefault="00D95A8F" w:rsidP="00D95A8F">
      <w:pPr>
        <w:pStyle w:val="SingleTxtG"/>
      </w:pPr>
      <w:r>
        <w:t>85.</w:t>
      </w:r>
      <w:r>
        <w:tab/>
      </w:r>
      <w:r w:rsidR="00A764EB" w:rsidRPr="00F176D8">
        <w:t xml:space="preserve">Por otro lado, como reconocimiento de la importancia de la perspectiva de género en las políticas penitenciarias, en el 2015, el INPE, con la asistencia técnica de la Dirección General para la </w:t>
      </w:r>
      <w:proofErr w:type="spellStart"/>
      <w:r w:rsidR="00A764EB" w:rsidRPr="00F176D8">
        <w:t>Transversalización</w:t>
      </w:r>
      <w:proofErr w:type="spellEnd"/>
      <w:r w:rsidR="00A764EB" w:rsidRPr="00F176D8">
        <w:t xml:space="preserve"> del Enfoque de Género del MIMP, creó la Comisión de Naturaleza Permanente para la </w:t>
      </w:r>
      <w:proofErr w:type="spellStart"/>
      <w:r w:rsidR="00A764EB" w:rsidRPr="00F176D8">
        <w:t>Transversalización</w:t>
      </w:r>
      <w:proofErr w:type="spellEnd"/>
      <w:r w:rsidR="00A764EB" w:rsidRPr="00F176D8">
        <w:t xml:space="preserve"> del Enfoque de Género. </w:t>
      </w:r>
    </w:p>
    <w:p w:rsidR="00A764EB" w:rsidRPr="00215FAC" w:rsidRDefault="00D95A8F" w:rsidP="00D95A8F">
      <w:pPr>
        <w:pStyle w:val="SingleTxtG"/>
      </w:pPr>
      <w:r>
        <w:t>86.</w:t>
      </w:r>
      <w:r>
        <w:tab/>
      </w:r>
      <w:r w:rsidR="00A764EB" w:rsidRPr="00F176D8">
        <w:t xml:space="preserve">Asimismo, en el 2016 se aprobó la Directiva </w:t>
      </w:r>
      <w:r w:rsidR="00403B5F">
        <w:t>núm.</w:t>
      </w:r>
      <w:r w:rsidR="00A764EB" w:rsidRPr="00F176D8">
        <w:t xml:space="preserve"> 012-2016-INPE-DTP, denominada “Atención integral y tratamiento penitenciario para mujeres procesadas o sentenciadas en establecimientos penitenciarios y medio libre” con el fin de establecer las pautas para la atención de la población femenina privada de libertad en áreas como ingreso, clasificación, alojamiento, infraestructura, seguridad penitenciaria, entre otras</w:t>
      </w:r>
      <w:r w:rsidR="00A764EB" w:rsidRPr="00214959">
        <w:rPr>
          <w:rStyle w:val="Refdenotaalpie"/>
          <w:szCs w:val="22"/>
        </w:rPr>
        <w:footnoteReference w:id="71"/>
      </w:r>
      <w:r w:rsidR="00AA5EAC">
        <w:t>.</w:t>
      </w:r>
      <w:r w:rsidR="00A764EB" w:rsidRPr="00F176D8">
        <w:t xml:space="preserve"> </w:t>
      </w:r>
    </w:p>
    <w:p w:rsidR="00A764EB" w:rsidRPr="00215FAC" w:rsidRDefault="00910B7E" w:rsidP="00910B7E">
      <w:pPr>
        <w:pStyle w:val="H23G"/>
        <w:rPr>
          <w:lang w:val="es-ES_tradnl"/>
        </w:rPr>
      </w:pPr>
      <w:bookmarkStart w:id="17" w:name="_Toc485946886"/>
      <w:r>
        <w:rPr>
          <w:lang w:val="es-ES_tradnl"/>
        </w:rPr>
        <w:tab/>
        <w:t>3.2.7</w:t>
      </w:r>
      <w:r>
        <w:rPr>
          <w:lang w:val="es-ES_tradnl"/>
        </w:rPr>
        <w:tab/>
      </w:r>
      <w:r w:rsidR="00A764EB" w:rsidRPr="00F176D8">
        <w:rPr>
          <w:lang w:val="es-ES_tradnl"/>
        </w:rPr>
        <w:t>La restricción de beneficios penitenciarios</w:t>
      </w:r>
      <w:bookmarkEnd w:id="17"/>
    </w:p>
    <w:p w:rsidR="00A764EB" w:rsidRPr="00215FAC" w:rsidRDefault="00D95A8F" w:rsidP="00D95A8F">
      <w:pPr>
        <w:pStyle w:val="SingleTxtG"/>
        <w:rPr>
          <w:lang w:val="es-ES_tradnl"/>
        </w:rPr>
      </w:pPr>
      <w:r>
        <w:rPr>
          <w:lang w:val="es-ES_tradnl"/>
        </w:rPr>
        <w:t>87.</w:t>
      </w:r>
      <w:r>
        <w:rPr>
          <w:lang w:val="es-ES_tradnl"/>
        </w:rPr>
        <w:tab/>
      </w:r>
      <w:r w:rsidR="00A764EB" w:rsidRPr="00F176D8">
        <w:rPr>
          <w:lang w:val="es-ES_tradnl"/>
        </w:rPr>
        <w:t xml:space="preserve">Con relación a la recomendación señalada en el </w:t>
      </w:r>
      <w:r w:rsidR="00A764EB" w:rsidRPr="00F176D8">
        <w:rPr>
          <w:b/>
          <w:lang w:val="es-ES_tradnl"/>
        </w:rPr>
        <w:t>párrafo 86</w:t>
      </w:r>
      <w:r w:rsidR="00A764EB" w:rsidRPr="00F176D8">
        <w:rPr>
          <w:lang w:val="es-ES_tradnl"/>
        </w:rPr>
        <w:t xml:space="preserve"> del Informe del SPT, respecto a la aplicación de los beneficios penitenciarios. Cabe señalar, que en el artículo VIII del Título Preliminar del Código de Ejecución Penal se señala que la retroactividad y la interpretación de dicho Código se resuelven en lo más favorable al interno</w:t>
      </w:r>
      <w:r w:rsidR="00A764EB" w:rsidRPr="00214959">
        <w:rPr>
          <w:rStyle w:val="Refdenotaalpie"/>
          <w:szCs w:val="22"/>
          <w:lang w:val="es-ES_tradnl"/>
        </w:rPr>
        <w:footnoteReference w:id="72"/>
      </w:r>
      <w:r w:rsidR="00AA5EAC">
        <w:rPr>
          <w:lang w:val="es-ES_tradnl"/>
        </w:rPr>
        <w:t>.</w:t>
      </w:r>
    </w:p>
    <w:p w:rsidR="00A764EB" w:rsidRPr="00215FAC" w:rsidRDefault="00D95A8F" w:rsidP="00D95A8F">
      <w:pPr>
        <w:pStyle w:val="SingleTxtG"/>
        <w:rPr>
          <w:lang w:val="es-ES_tradnl"/>
        </w:rPr>
      </w:pPr>
      <w:r>
        <w:rPr>
          <w:lang w:val="es-ES_tradnl"/>
        </w:rPr>
        <w:lastRenderedPageBreak/>
        <w:t>88.</w:t>
      </w:r>
      <w:r>
        <w:rPr>
          <w:lang w:val="es-ES_tradnl"/>
        </w:rPr>
        <w:tab/>
      </w:r>
      <w:r w:rsidR="00A764EB" w:rsidRPr="00F176D8">
        <w:rPr>
          <w:lang w:val="es-ES_tradnl"/>
        </w:rPr>
        <w:t xml:space="preserve">Por su </w:t>
      </w:r>
      <w:r w:rsidR="00F54E13" w:rsidRPr="00F176D8">
        <w:rPr>
          <w:lang w:val="es-ES_tradnl"/>
        </w:rPr>
        <w:t>parte</w:t>
      </w:r>
      <w:r w:rsidR="00A764EB" w:rsidRPr="00F176D8">
        <w:rPr>
          <w:lang w:val="es-ES_tradnl"/>
        </w:rPr>
        <w:t xml:space="preserve">, el PJ aprobó el Acuerdo Plenario </w:t>
      </w:r>
      <w:r w:rsidR="00403B5F">
        <w:rPr>
          <w:lang w:val="es-ES_tradnl"/>
        </w:rPr>
        <w:t>núm.</w:t>
      </w:r>
      <w:r w:rsidR="00A764EB" w:rsidRPr="00F176D8">
        <w:rPr>
          <w:lang w:val="es-ES_tradnl"/>
        </w:rPr>
        <w:t xml:space="preserve"> 2-2015/CJ-116 con el objetivo de concordar la jurisprudencia en materia de beneficios penitenciarios que deberá ser aplicado por todos los jueces en todas las instancias</w:t>
      </w:r>
      <w:r w:rsidR="00A764EB" w:rsidRPr="00214959">
        <w:rPr>
          <w:rStyle w:val="Refdenotaalpie"/>
          <w:szCs w:val="22"/>
          <w:lang w:val="es-ES_tradnl"/>
        </w:rPr>
        <w:footnoteReference w:id="73"/>
      </w:r>
      <w:r w:rsidR="00AA5EAC">
        <w:rPr>
          <w:lang w:val="es-ES_tradnl"/>
        </w:rPr>
        <w:t>.</w:t>
      </w:r>
    </w:p>
    <w:p w:rsidR="00A764EB" w:rsidRPr="00215FAC" w:rsidRDefault="00FF5926" w:rsidP="00FF5926">
      <w:pPr>
        <w:pStyle w:val="H1G"/>
        <w:rPr>
          <w:lang w:val="es-ES_tradnl"/>
        </w:rPr>
      </w:pPr>
      <w:bookmarkStart w:id="18" w:name="_Toc485946887"/>
      <w:r>
        <w:rPr>
          <w:lang w:val="es-ES_tradnl"/>
        </w:rPr>
        <w:tab/>
        <w:t>3.3</w:t>
      </w:r>
      <w:r>
        <w:rPr>
          <w:lang w:val="es-ES_tradnl"/>
        </w:rPr>
        <w:tab/>
      </w:r>
      <w:r w:rsidR="00A764EB" w:rsidRPr="00F176D8">
        <w:rPr>
          <w:lang w:val="es-ES_tradnl"/>
        </w:rPr>
        <w:t>Centros de Detención Juvenil</w:t>
      </w:r>
      <w:bookmarkEnd w:id="18"/>
      <w:r w:rsidR="00A764EB" w:rsidRPr="00F176D8">
        <w:rPr>
          <w:lang w:val="es-ES_tradnl"/>
        </w:rPr>
        <w:t xml:space="preserve"> </w:t>
      </w:r>
    </w:p>
    <w:p w:rsidR="00A764EB" w:rsidRPr="00215FAC" w:rsidRDefault="00FF5926" w:rsidP="00FF5926">
      <w:pPr>
        <w:pStyle w:val="H23G"/>
        <w:rPr>
          <w:lang w:val="es-ES_tradnl"/>
        </w:rPr>
      </w:pPr>
      <w:bookmarkStart w:id="19" w:name="_Toc485946888"/>
      <w:r>
        <w:rPr>
          <w:lang w:val="es-ES_tradnl"/>
        </w:rPr>
        <w:tab/>
        <w:t>3.3.1</w:t>
      </w:r>
      <w:r>
        <w:rPr>
          <w:lang w:val="es-ES_tradnl"/>
        </w:rPr>
        <w:tab/>
      </w:r>
      <w:r w:rsidR="00A764EB" w:rsidRPr="00F176D8">
        <w:rPr>
          <w:lang w:val="es-ES_tradnl"/>
        </w:rPr>
        <w:t>Cuestiones Generales</w:t>
      </w:r>
      <w:bookmarkEnd w:id="19"/>
    </w:p>
    <w:p w:rsidR="00A764EB" w:rsidRPr="00215FAC" w:rsidRDefault="00D95A8F" w:rsidP="00D95A8F">
      <w:pPr>
        <w:pStyle w:val="SingleTxtG"/>
        <w:rPr>
          <w:lang w:val="es-ES_tradnl"/>
        </w:rPr>
      </w:pPr>
      <w:r>
        <w:rPr>
          <w:lang w:val="es-ES_tradnl"/>
        </w:rPr>
        <w:t>89.</w:t>
      </w:r>
      <w:r>
        <w:rPr>
          <w:lang w:val="es-ES_tradnl"/>
        </w:rPr>
        <w:tab/>
      </w:r>
      <w:r w:rsidR="00A764EB" w:rsidRPr="00F176D8">
        <w:rPr>
          <w:lang w:val="es-ES_tradnl"/>
        </w:rPr>
        <w:t xml:space="preserve">En el </w:t>
      </w:r>
      <w:r w:rsidR="00A764EB" w:rsidRPr="00F176D8">
        <w:rPr>
          <w:b/>
          <w:lang w:val="es-ES_tradnl"/>
        </w:rPr>
        <w:t>párrafo 88</w:t>
      </w:r>
      <w:r w:rsidR="00A764EB" w:rsidRPr="00F176D8">
        <w:rPr>
          <w:lang w:val="es-ES_tradnl"/>
        </w:rPr>
        <w:t xml:space="preserve"> del informe del SPT se recomienda armonizar el Código de los Niños y Adolescentes</w:t>
      </w:r>
      <w:r w:rsidR="00A764EB" w:rsidRPr="00214959">
        <w:rPr>
          <w:rStyle w:val="Refdenotaalpie"/>
          <w:szCs w:val="22"/>
          <w:lang w:val="es-ES_tradnl"/>
        </w:rPr>
        <w:footnoteReference w:id="74"/>
      </w:r>
      <w:r w:rsidR="00A764EB" w:rsidRPr="00F176D8">
        <w:rPr>
          <w:lang w:val="es-ES_tradnl"/>
        </w:rPr>
        <w:t xml:space="preserve"> (en adelante, “CNA”), en particular el Decreto Legislativo </w:t>
      </w:r>
      <w:r w:rsidR="00403B5F">
        <w:rPr>
          <w:lang w:val="es-ES_tradnl"/>
        </w:rPr>
        <w:t>núm.</w:t>
      </w:r>
      <w:r w:rsidR="00A764EB" w:rsidRPr="00F176D8">
        <w:rPr>
          <w:lang w:val="es-ES_tradnl"/>
        </w:rPr>
        <w:t xml:space="preserve"> 990 (2007), a los estándares internacionales, según los cuales la privación de la libertad de niños y adolescentes debe utilizarse como medida de último recurso.</w:t>
      </w:r>
    </w:p>
    <w:p w:rsidR="00A764EB" w:rsidRPr="00215FAC" w:rsidRDefault="00D95A8F" w:rsidP="00D95A8F">
      <w:pPr>
        <w:pStyle w:val="SingleTxtG"/>
        <w:rPr>
          <w:lang w:val="es-ES_tradnl"/>
        </w:rPr>
      </w:pPr>
      <w:r>
        <w:rPr>
          <w:lang w:val="es-ES_tradnl"/>
        </w:rPr>
        <w:t>90.</w:t>
      </w:r>
      <w:r>
        <w:rPr>
          <w:lang w:val="es-ES_tradnl"/>
        </w:rPr>
        <w:tab/>
      </w:r>
      <w:r w:rsidR="00A764EB" w:rsidRPr="00F176D8">
        <w:rPr>
          <w:lang w:val="es-ES_tradnl"/>
        </w:rPr>
        <w:t xml:space="preserve">Mediante el Decreto Legislativo </w:t>
      </w:r>
      <w:r w:rsidR="00403B5F">
        <w:rPr>
          <w:lang w:val="es-ES_tradnl"/>
        </w:rPr>
        <w:t>núm.</w:t>
      </w:r>
      <w:r w:rsidR="00A764EB" w:rsidRPr="00F176D8">
        <w:rPr>
          <w:lang w:val="es-ES_tradnl"/>
        </w:rPr>
        <w:t xml:space="preserve"> 1204 que modifica el CNA para regular las sanciones a los adolescentes infractores de la ley penal y su ejecución</w:t>
      </w:r>
      <w:r w:rsidR="00A764EB" w:rsidRPr="00214959">
        <w:rPr>
          <w:rStyle w:val="Refdenotaalpie"/>
          <w:szCs w:val="22"/>
          <w:lang w:val="es-ES_tradnl"/>
        </w:rPr>
        <w:footnoteReference w:id="75"/>
      </w:r>
      <w:r w:rsidR="00A764EB" w:rsidRPr="00F176D8">
        <w:rPr>
          <w:lang w:val="es-ES_tradnl"/>
        </w:rPr>
        <w:t xml:space="preserve"> se derogaron y cambiaron algunas de las disposiciones señaladas en el Decreto Legislativo </w:t>
      </w:r>
      <w:r w:rsidR="00403B5F">
        <w:rPr>
          <w:lang w:val="es-ES_tradnl"/>
        </w:rPr>
        <w:t>núm.</w:t>
      </w:r>
      <w:r w:rsidR="00A764EB" w:rsidRPr="00F176D8">
        <w:rPr>
          <w:lang w:val="es-ES_tradnl"/>
        </w:rPr>
        <w:t xml:space="preserve"> 990</w:t>
      </w:r>
      <w:r w:rsidR="00A764EB" w:rsidRPr="00214959">
        <w:rPr>
          <w:rStyle w:val="Refdenotaalpie"/>
          <w:szCs w:val="22"/>
          <w:lang w:val="es-ES_tradnl"/>
        </w:rPr>
        <w:footnoteReference w:id="76"/>
      </w:r>
      <w:r w:rsidR="00A764EB" w:rsidRPr="00F176D8">
        <w:rPr>
          <w:lang w:val="es-ES_tradnl"/>
        </w:rPr>
        <w:t xml:space="preserve">. </w:t>
      </w:r>
    </w:p>
    <w:p w:rsidR="00A764EB" w:rsidRPr="00215FAC" w:rsidRDefault="00D95A8F" w:rsidP="00D95A8F">
      <w:pPr>
        <w:pStyle w:val="SingleTxtG"/>
        <w:rPr>
          <w:lang w:val="es-ES_tradnl"/>
        </w:rPr>
      </w:pPr>
      <w:r>
        <w:rPr>
          <w:lang w:val="es-ES_tradnl"/>
        </w:rPr>
        <w:t>91.</w:t>
      </w:r>
      <w:r>
        <w:rPr>
          <w:lang w:val="es-ES_tradnl"/>
        </w:rPr>
        <w:tab/>
      </w:r>
      <w:r w:rsidR="00A764EB" w:rsidRPr="00F176D8">
        <w:rPr>
          <w:lang w:val="es-ES_tradnl"/>
        </w:rPr>
        <w:t xml:space="preserve">Así, a diferencia de lo establecido por el Decreto Legislativo </w:t>
      </w:r>
      <w:r w:rsidR="00403B5F">
        <w:rPr>
          <w:lang w:val="es-ES_tradnl"/>
        </w:rPr>
        <w:t>núm.</w:t>
      </w:r>
      <w:r w:rsidR="00A764EB" w:rsidRPr="00F176D8">
        <w:rPr>
          <w:lang w:val="es-ES_tradnl"/>
        </w:rPr>
        <w:t xml:space="preserve"> 990, respecto de la internación del adolescente, mediante el Decreto Legislativo </w:t>
      </w:r>
      <w:r w:rsidR="00403B5F">
        <w:rPr>
          <w:lang w:val="es-ES_tradnl"/>
        </w:rPr>
        <w:t>núm.</w:t>
      </w:r>
      <w:r w:rsidR="00A764EB" w:rsidRPr="00F176D8">
        <w:rPr>
          <w:lang w:val="es-ES_tradnl"/>
        </w:rPr>
        <w:t xml:space="preserve"> 1204 se dispuso que esta es una sanción privativa de libertad de carácter excepcional y se aplica como último recurso. Asimismo, se incluyeron disposiciones para regular las sanciones a adolescentes infractores.</w:t>
      </w:r>
    </w:p>
    <w:p w:rsidR="00A764EB" w:rsidRPr="00215FAC" w:rsidRDefault="00D95A8F" w:rsidP="00D95A8F">
      <w:pPr>
        <w:pStyle w:val="SingleTxtG"/>
        <w:rPr>
          <w:lang w:val="es-ES_tradnl"/>
        </w:rPr>
      </w:pPr>
      <w:r>
        <w:rPr>
          <w:lang w:val="es-ES_tradnl"/>
        </w:rPr>
        <w:t>92.</w:t>
      </w:r>
      <w:r>
        <w:rPr>
          <w:lang w:val="es-ES_tradnl"/>
        </w:rPr>
        <w:tab/>
      </w:r>
      <w:r w:rsidR="00A764EB" w:rsidRPr="00F176D8">
        <w:rPr>
          <w:lang w:val="es-ES_tradnl"/>
        </w:rPr>
        <w:t xml:space="preserve">Posteriormente, mediante el Decreto Legislativo </w:t>
      </w:r>
      <w:r w:rsidR="00403B5F">
        <w:rPr>
          <w:lang w:val="es-ES_tradnl"/>
        </w:rPr>
        <w:t>núm.</w:t>
      </w:r>
      <w:r w:rsidR="00A764EB" w:rsidRPr="00F176D8">
        <w:rPr>
          <w:lang w:val="es-ES_tradnl"/>
        </w:rPr>
        <w:t xml:space="preserve"> 1348</w:t>
      </w:r>
      <w:r w:rsidR="00A764EB" w:rsidRPr="00214959">
        <w:rPr>
          <w:rStyle w:val="Refdenotaalpie"/>
          <w:szCs w:val="22"/>
          <w:lang w:val="es-ES_tradnl"/>
        </w:rPr>
        <w:footnoteReference w:id="77"/>
      </w:r>
      <w:r w:rsidR="00A764EB" w:rsidRPr="00F176D8">
        <w:rPr>
          <w:lang w:val="es-ES_tradnl"/>
        </w:rPr>
        <w:t xml:space="preserve"> se aprobó el Código de Responsabilidad Penal de Adolescentes, con la finalidad de modificar la normativa relacionada al tratamiento del adolescente en conflicto con la ley penal, creando la Comisión Multisectorial Permanente de Implementación del Código de Responsabilidad Penal de Adolescentes encargada de implementarla.</w:t>
      </w:r>
    </w:p>
    <w:p w:rsidR="00A764EB" w:rsidRPr="00215FAC" w:rsidRDefault="00D95A8F" w:rsidP="00D95A8F">
      <w:pPr>
        <w:pStyle w:val="SingleTxtG"/>
        <w:rPr>
          <w:lang w:val="es-ES_tradnl"/>
        </w:rPr>
      </w:pPr>
      <w:r>
        <w:rPr>
          <w:lang w:val="es-ES_tradnl"/>
        </w:rPr>
        <w:t>93.</w:t>
      </w:r>
      <w:r>
        <w:rPr>
          <w:lang w:val="es-ES_tradnl"/>
        </w:rPr>
        <w:tab/>
      </w:r>
      <w:r w:rsidR="00A764EB" w:rsidRPr="00F176D8">
        <w:rPr>
          <w:lang w:val="es-ES_tradnl"/>
        </w:rPr>
        <w:t xml:space="preserve">La citada norma incorpora, entre otros, el principio de interés superior del niño, el principio pro adolescente, el principio educativo, el principio de justicia especializada, principio de </w:t>
      </w:r>
      <w:proofErr w:type="spellStart"/>
      <w:r w:rsidR="00A764EB" w:rsidRPr="00F176D8">
        <w:rPr>
          <w:lang w:val="es-ES_tradnl"/>
        </w:rPr>
        <w:t>desjudicialización</w:t>
      </w:r>
      <w:proofErr w:type="spellEnd"/>
      <w:r w:rsidR="00A764EB" w:rsidRPr="00F176D8">
        <w:rPr>
          <w:lang w:val="es-ES_tradnl"/>
        </w:rPr>
        <w:t xml:space="preserve"> o mínima intervención.</w:t>
      </w:r>
    </w:p>
    <w:p w:rsidR="00A764EB" w:rsidRPr="00215FAC" w:rsidRDefault="00D95A8F" w:rsidP="00D95A8F">
      <w:pPr>
        <w:pStyle w:val="SingleTxtG"/>
        <w:rPr>
          <w:lang w:val="es-ES_tradnl"/>
        </w:rPr>
      </w:pPr>
      <w:r>
        <w:rPr>
          <w:lang w:val="es-ES_tradnl"/>
        </w:rPr>
        <w:t>94.</w:t>
      </w:r>
      <w:r>
        <w:rPr>
          <w:lang w:val="es-ES_tradnl"/>
        </w:rPr>
        <w:tab/>
      </w:r>
      <w:r w:rsidR="00A764EB" w:rsidRPr="00F176D8">
        <w:rPr>
          <w:lang w:val="es-ES_tradnl"/>
        </w:rPr>
        <w:t>A su vez, establece que el adolescente entre catorce y menos de dieciocho años de edad responde por la comisión de una infracción en virtud de una responsabilidad penal especial, considerándose para ello su edad y características personales</w:t>
      </w:r>
      <w:r w:rsidR="00A764EB" w:rsidRPr="00214959">
        <w:rPr>
          <w:rStyle w:val="Refdenotaalpie"/>
          <w:szCs w:val="22"/>
          <w:lang w:val="es-ES_tradnl"/>
        </w:rPr>
        <w:footnoteReference w:id="78"/>
      </w:r>
      <w:r w:rsidR="00070CA0">
        <w:rPr>
          <w:lang w:val="es-ES_tradnl"/>
        </w:rPr>
        <w:t>.</w:t>
      </w:r>
    </w:p>
    <w:p w:rsidR="00A764EB" w:rsidRPr="00215FAC" w:rsidRDefault="00D95A8F" w:rsidP="00D95A8F">
      <w:pPr>
        <w:pStyle w:val="SingleTxtG"/>
        <w:rPr>
          <w:lang w:val="es-ES_tradnl"/>
        </w:rPr>
      </w:pPr>
      <w:r>
        <w:rPr>
          <w:lang w:val="es-ES_tradnl"/>
        </w:rPr>
        <w:t>95.</w:t>
      </w:r>
      <w:r>
        <w:rPr>
          <w:lang w:val="es-ES_tradnl"/>
        </w:rPr>
        <w:tab/>
      </w:r>
      <w:r w:rsidR="00A764EB" w:rsidRPr="00F176D8">
        <w:rPr>
          <w:lang w:val="es-ES_tradnl"/>
        </w:rPr>
        <w:t>En ese sentido, al adolescente se le debe brindar la máxima satisfacción integral y simultánea de derechos durante el proceso de responsabilidad penal, el desarrollo y ejercicio de sus derechos deben ser considerados como principios rectores y debe ser perjudicado por una interpretación negativa del interés superior del adolescente</w:t>
      </w:r>
      <w:r w:rsidR="00A764EB" w:rsidRPr="00214959">
        <w:rPr>
          <w:rStyle w:val="Refdenotaalpie"/>
          <w:szCs w:val="22"/>
          <w:lang w:val="es-ES_tradnl"/>
        </w:rPr>
        <w:footnoteReference w:id="79"/>
      </w:r>
      <w:r w:rsidR="00070CA0">
        <w:rPr>
          <w:lang w:val="es-ES_tradnl"/>
        </w:rPr>
        <w:t>.</w:t>
      </w:r>
    </w:p>
    <w:p w:rsidR="00A764EB" w:rsidRPr="00215FAC" w:rsidRDefault="00D95A8F" w:rsidP="00D95A8F">
      <w:pPr>
        <w:pStyle w:val="SingleTxtG"/>
        <w:rPr>
          <w:lang w:val="es-ES_tradnl"/>
        </w:rPr>
      </w:pPr>
      <w:r>
        <w:rPr>
          <w:lang w:val="es-ES_tradnl"/>
        </w:rPr>
        <w:t>96.</w:t>
      </w:r>
      <w:r>
        <w:rPr>
          <w:lang w:val="es-ES_tradnl"/>
        </w:rPr>
        <w:tab/>
      </w:r>
      <w:r w:rsidR="00A764EB" w:rsidRPr="00F176D8">
        <w:rPr>
          <w:lang w:val="es-ES_tradnl"/>
        </w:rPr>
        <w:t xml:space="preserve">Asimismo, se dispone que en la interpretación y aplicación del citado Código se deben tener en cuenta todos los derechos y garantías reconocidos por la CPP, en las Leyes especiales sobre la materia, en la Convención sobre los Derechos del Niño, y en los demás </w:t>
      </w:r>
      <w:r w:rsidR="00A764EB" w:rsidRPr="00F176D8">
        <w:rPr>
          <w:lang w:val="es-ES_tradnl"/>
        </w:rPr>
        <w:lastRenderedPageBreak/>
        <w:t>instrumentos internacionales vigentes y ratificados por el Perú, así como en los estándares internacionales en materia de justicia penal juvenil</w:t>
      </w:r>
      <w:r w:rsidR="00A764EB" w:rsidRPr="00214959">
        <w:rPr>
          <w:rStyle w:val="Refdenotaalpie"/>
          <w:szCs w:val="22"/>
          <w:lang w:val="es-ES_tradnl"/>
        </w:rPr>
        <w:footnoteReference w:id="80"/>
      </w:r>
      <w:r w:rsidR="00070CA0">
        <w:rPr>
          <w:lang w:val="es-ES_tradnl"/>
        </w:rPr>
        <w:t>.</w:t>
      </w:r>
    </w:p>
    <w:p w:rsidR="00A764EB" w:rsidRPr="00215FAC" w:rsidRDefault="00D95A8F" w:rsidP="00D95A8F">
      <w:pPr>
        <w:pStyle w:val="SingleTxtG"/>
        <w:rPr>
          <w:lang w:val="es-ES_tradnl"/>
        </w:rPr>
      </w:pPr>
      <w:r>
        <w:rPr>
          <w:lang w:val="es-ES_tradnl"/>
        </w:rPr>
        <w:t>97.</w:t>
      </w:r>
      <w:r>
        <w:rPr>
          <w:lang w:val="es-ES_tradnl"/>
        </w:rPr>
        <w:tab/>
      </w:r>
      <w:r w:rsidR="00A764EB" w:rsidRPr="00F176D8">
        <w:rPr>
          <w:lang w:val="es-ES_tradnl"/>
        </w:rPr>
        <w:t xml:space="preserve">Estando a lo anterior, se determinó que la privación de la libertad del adolescente, aun cuando sea preventiva, tiene </w:t>
      </w:r>
      <w:r w:rsidR="00A764EB" w:rsidRPr="00F176D8">
        <w:rPr>
          <w:b/>
          <w:lang w:val="es-ES_tradnl"/>
        </w:rPr>
        <w:t>carácter excepcional</w:t>
      </w:r>
      <w:r w:rsidR="00A764EB" w:rsidRPr="00F176D8">
        <w:rPr>
          <w:lang w:val="es-ES_tradnl"/>
        </w:rPr>
        <w:t xml:space="preserve"> y debe estar debidamente fundamentada, siendo una </w:t>
      </w:r>
      <w:r w:rsidR="00A764EB" w:rsidRPr="00F176D8">
        <w:rPr>
          <w:b/>
          <w:lang w:val="es-ES_tradnl"/>
        </w:rPr>
        <w:t>medida de último recurso</w:t>
      </w:r>
      <w:r w:rsidR="00A764EB" w:rsidRPr="00F176D8">
        <w:rPr>
          <w:lang w:val="es-ES_tradnl"/>
        </w:rPr>
        <w:t xml:space="preserve">. Por ello, la fundamentación de la medida debe señalar el motivo por el cual no es posible aplicar una medida alternativa y la duración de la privación de la libertad debe ser la </w:t>
      </w:r>
      <w:r w:rsidR="00A764EB" w:rsidRPr="00F176D8">
        <w:rPr>
          <w:b/>
          <w:lang w:val="es-ES_tradnl"/>
        </w:rPr>
        <w:t>más breve posible</w:t>
      </w:r>
      <w:r w:rsidR="00A764EB" w:rsidRPr="00214959">
        <w:rPr>
          <w:rStyle w:val="Refdenotaalpie"/>
          <w:szCs w:val="22"/>
          <w:lang w:val="es-ES_tradnl"/>
        </w:rPr>
        <w:footnoteReference w:id="81"/>
      </w:r>
      <w:r w:rsidR="00A764EB" w:rsidRPr="00F176D8">
        <w:rPr>
          <w:lang w:val="es-ES_tradnl"/>
        </w:rPr>
        <w:t xml:space="preserve"> (</w:t>
      </w:r>
      <w:r w:rsidR="00070CA0">
        <w:rPr>
          <w:lang w:val="es-ES_tradnl"/>
        </w:rPr>
        <w:t>e</w:t>
      </w:r>
      <w:r w:rsidR="00A764EB" w:rsidRPr="00F176D8">
        <w:rPr>
          <w:lang w:val="es-ES_tradnl"/>
        </w:rPr>
        <w:t>l resaltado es nuestro).</w:t>
      </w:r>
    </w:p>
    <w:p w:rsidR="00A764EB" w:rsidRPr="00215FAC" w:rsidRDefault="00D95A8F" w:rsidP="00D95A8F">
      <w:pPr>
        <w:pStyle w:val="SingleTxtG"/>
        <w:rPr>
          <w:lang w:val="es-ES_tradnl"/>
        </w:rPr>
      </w:pPr>
      <w:r>
        <w:rPr>
          <w:lang w:val="es-ES_tradnl"/>
        </w:rPr>
        <w:t>98.</w:t>
      </w:r>
      <w:r>
        <w:rPr>
          <w:lang w:val="es-ES_tradnl"/>
        </w:rPr>
        <w:tab/>
      </w:r>
      <w:r w:rsidR="00A764EB" w:rsidRPr="00F176D8">
        <w:rPr>
          <w:lang w:val="es-ES_tradnl"/>
        </w:rPr>
        <w:t>En efecto, la duración de la medida socioeducativa de internación se determinará teniendo en consideración lo mencionado a continuación:</w:t>
      </w:r>
    </w:p>
    <w:p w:rsidR="00A764EB" w:rsidRPr="00215FAC" w:rsidRDefault="00D95A8F" w:rsidP="00742A2C">
      <w:pPr>
        <w:pStyle w:val="SingleTxtG"/>
        <w:ind w:left="1701"/>
        <w:rPr>
          <w:lang w:val="es-ES_tradnl"/>
        </w:rPr>
      </w:pPr>
      <w:r>
        <w:rPr>
          <w:lang w:val="es-ES_tradnl"/>
        </w:rPr>
        <w:tab/>
        <w:t>98.1</w:t>
      </w:r>
      <w:r>
        <w:rPr>
          <w:lang w:val="es-ES_tradnl"/>
        </w:rPr>
        <w:tab/>
      </w:r>
      <w:r w:rsidR="00A764EB" w:rsidRPr="00F176D8">
        <w:rPr>
          <w:lang w:val="es-ES_tradnl"/>
        </w:rPr>
        <w:t xml:space="preserve">De </w:t>
      </w:r>
      <w:r w:rsidR="00EC38A9">
        <w:rPr>
          <w:lang w:val="es-ES_tradnl"/>
        </w:rPr>
        <w:t>uno</w:t>
      </w:r>
      <w:r w:rsidR="00A764EB" w:rsidRPr="00F176D8">
        <w:rPr>
          <w:lang w:val="es-ES_tradnl"/>
        </w:rPr>
        <w:t xml:space="preserve"> hasta </w:t>
      </w:r>
      <w:r w:rsidR="00EC38A9">
        <w:rPr>
          <w:lang w:val="es-ES_tradnl"/>
        </w:rPr>
        <w:t>seis</w:t>
      </w:r>
      <w:r w:rsidR="00A764EB" w:rsidRPr="00F176D8">
        <w:rPr>
          <w:lang w:val="es-ES_tradnl"/>
        </w:rPr>
        <w:t xml:space="preserve"> años como máximo, dependiendo de los siguientes presupuestos:</w:t>
      </w:r>
    </w:p>
    <w:p w:rsidR="00A764EB" w:rsidRPr="00215FAC" w:rsidRDefault="00D95A8F" w:rsidP="00742A2C">
      <w:pPr>
        <w:pStyle w:val="SingleTxtG"/>
        <w:ind w:left="2268"/>
        <w:rPr>
          <w:lang w:val="es-ES_tradnl"/>
        </w:rPr>
      </w:pPr>
      <w:r>
        <w:rPr>
          <w:lang w:val="es-ES_tradnl"/>
        </w:rPr>
        <w:t>i)</w:t>
      </w:r>
      <w:r>
        <w:rPr>
          <w:lang w:val="es-ES_tradnl"/>
        </w:rPr>
        <w:tab/>
      </w:r>
      <w:r w:rsidR="00A764EB" w:rsidRPr="00F176D8">
        <w:rPr>
          <w:lang w:val="es-ES_tradnl"/>
        </w:rPr>
        <w:t xml:space="preserve">Cuando se trate de hechos tipificados como delitos dolosos y sean sancionados en el Código Penal o Leyes especiales, con pena privativa de libertad no menor de </w:t>
      </w:r>
      <w:r w:rsidR="00EC38A9">
        <w:rPr>
          <w:lang w:val="es-ES_tradnl"/>
        </w:rPr>
        <w:t>seis</w:t>
      </w:r>
      <w:r w:rsidR="00A764EB" w:rsidRPr="00F176D8">
        <w:rPr>
          <w:lang w:val="es-ES_tradnl"/>
        </w:rPr>
        <w:t xml:space="preserve"> años, siempre que se haya puesto deliberadamente en grave riesgo la vida o la integridad física o psicológica de las personas;</w:t>
      </w:r>
    </w:p>
    <w:p w:rsidR="00A764EB" w:rsidRPr="00215FAC" w:rsidRDefault="00D95A8F" w:rsidP="00742A2C">
      <w:pPr>
        <w:pStyle w:val="SingleTxtG"/>
        <w:ind w:left="2268"/>
        <w:rPr>
          <w:lang w:val="es-ES_tradnl"/>
        </w:rPr>
      </w:pPr>
      <w:r>
        <w:rPr>
          <w:lang w:val="es-ES_tradnl"/>
        </w:rPr>
        <w:t>ii)</w:t>
      </w:r>
      <w:r>
        <w:rPr>
          <w:lang w:val="es-ES_tradnl"/>
        </w:rPr>
        <w:tab/>
      </w:r>
      <w:r w:rsidR="00A764EB" w:rsidRPr="00F176D8">
        <w:rPr>
          <w:lang w:val="es-ES_tradnl"/>
        </w:rPr>
        <w:t>Cuando el adolescente infractor haya incumplido injustificada y reiteradamente las medidas socioeducativas distintas a la de internación; o,</w:t>
      </w:r>
    </w:p>
    <w:p w:rsidR="00A764EB" w:rsidRPr="00215FAC" w:rsidRDefault="00D95A8F" w:rsidP="00742A2C">
      <w:pPr>
        <w:pStyle w:val="SingleTxtG"/>
        <w:ind w:left="2268"/>
        <w:rPr>
          <w:lang w:val="es-ES_tradnl"/>
        </w:rPr>
      </w:pPr>
      <w:r>
        <w:rPr>
          <w:lang w:val="es-ES_tradnl"/>
        </w:rPr>
        <w:t>iii)</w:t>
      </w:r>
      <w:r>
        <w:rPr>
          <w:lang w:val="es-ES_tradnl"/>
        </w:rPr>
        <w:tab/>
      </w:r>
      <w:r w:rsidR="00A764EB" w:rsidRPr="00F176D8">
        <w:rPr>
          <w:lang w:val="es-ES_tradnl"/>
        </w:rPr>
        <w:t xml:space="preserve">La reiteración en la perpetración de otros hechos delictivos, cuya pena sea mayor a </w:t>
      </w:r>
      <w:r w:rsidR="00EC38A9">
        <w:rPr>
          <w:lang w:val="es-ES_tradnl"/>
        </w:rPr>
        <w:t>seis</w:t>
      </w:r>
      <w:r w:rsidR="00A764EB" w:rsidRPr="00F176D8">
        <w:rPr>
          <w:lang w:val="es-ES_tradnl"/>
        </w:rPr>
        <w:t xml:space="preserve"> años de pena privativa de libertad en el Código Penal o leyes especiales, en un lapso que no exceda de dos años.</w:t>
      </w:r>
    </w:p>
    <w:p w:rsidR="00A764EB" w:rsidRPr="00215FAC" w:rsidRDefault="00D95A8F" w:rsidP="00742A2C">
      <w:pPr>
        <w:pStyle w:val="SingleTxtG"/>
        <w:ind w:left="1701"/>
        <w:rPr>
          <w:lang w:val="es-ES_tradnl"/>
        </w:rPr>
      </w:pPr>
      <w:r>
        <w:rPr>
          <w:lang w:val="es-ES_tradnl"/>
        </w:rPr>
        <w:tab/>
        <w:t>98.2</w:t>
      </w:r>
      <w:r>
        <w:rPr>
          <w:lang w:val="es-ES_tradnl"/>
        </w:rPr>
        <w:tab/>
      </w:r>
      <w:r w:rsidR="00A764EB" w:rsidRPr="00F176D8">
        <w:rPr>
          <w:lang w:val="es-ES_tradnl"/>
        </w:rPr>
        <w:t>No menor de 4 ni mayor de 6 años, cuando el adolescente tenga entre 16 y menos de 18 años de edad como máximo y se trate de delitos determinados</w:t>
      </w:r>
      <w:r w:rsidR="00A764EB" w:rsidRPr="00214959">
        <w:rPr>
          <w:rStyle w:val="Refdenotaalpie"/>
          <w:szCs w:val="22"/>
          <w:lang w:val="es-ES_tradnl"/>
        </w:rPr>
        <w:footnoteReference w:id="82"/>
      </w:r>
      <w:r w:rsidR="00A764EB" w:rsidRPr="00F176D8">
        <w:rPr>
          <w:lang w:val="es-ES_tradnl"/>
        </w:rPr>
        <w:t xml:space="preserve"> en la referida norma, así como cuando el adolescente sea integrante de una </w:t>
      </w:r>
      <w:r w:rsidR="00A764EB" w:rsidRPr="00F176D8">
        <w:rPr>
          <w:lang w:val="es-ES_tradnl"/>
        </w:rPr>
        <w:lastRenderedPageBreak/>
        <w:t>organización criminal, actúe por encargo de ella o se encuentre vinculado a la misma.</w:t>
      </w:r>
    </w:p>
    <w:p w:rsidR="00A764EB" w:rsidRPr="00215FAC" w:rsidRDefault="00D95A8F" w:rsidP="00742A2C">
      <w:pPr>
        <w:pStyle w:val="SingleTxtG"/>
        <w:ind w:left="1701"/>
        <w:rPr>
          <w:lang w:val="es-ES_tradnl"/>
        </w:rPr>
      </w:pPr>
      <w:r>
        <w:rPr>
          <w:lang w:val="es-ES_tradnl"/>
        </w:rPr>
        <w:tab/>
        <w:t>98.3</w:t>
      </w:r>
      <w:r>
        <w:rPr>
          <w:lang w:val="es-ES_tradnl"/>
        </w:rPr>
        <w:tab/>
      </w:r>
      <w:r w:rsidR="00A764EB" w:rsidRPr="00F176D8">
        <w:rPr>
          <w:lang w:val="es-ES_tradnl"/>
        </w:rPr>
        <w:t xml:space="preserve">No menos de 3 ni mayor 5 años, cuando se trate de los delitos referidos en el párrafo </w:t>
      </w:r>
      <w:r w:rsidR="00A764EB" w:rsidRPr="00F176D8">
        <w:rPr>
          <w:i/>
          <w:lang w:val="es-ES_tradnl"/>
        </w:rPr>
        <w:t>supra</w:t>
      </w:r>
      <w:r w:rsidR="00A764EB" w:rsidRPr="00F176D8">
        <w:rPr>
          <w:lang w:val="es-ES_tradnl"/>
        </w:rPr>
        <w:t xml:space="preserve"> y el adolescente tenga entre 14 y menos de 16 años.</w:t>
      </w:r>
    </w:p>
    <w:p w:rsidR="00A764EB" w:rsidRPr="00215FAC" w:rsidRDefault="00D95A8F" w:rsidP="00742A2C">
      <w:pPr>
        <w:pStyle w:val="SingleTxtG"/>
        <w:ind w:left="1701"/>
        <w:rPr>
          <w:lang w:val="es-ES_tradnl"/>
        </w:rPr>
      </w:pPr>
      <w:r>
        <w:rPr>
          <w:lang w:val="es-ES_tradnl"/>
        </w:rPr>
        <w:tab/>
        <w:t>98.4</w:t>
      </w:r>
      <w:r>
        <w:rPr>
          <w:lang w:val="es-ES_tradnl"/>
        </w:rPr>
        <w:tab/>
      </w:r>
      <w:r w:rsidR="00A764EB" w:rsidRPr="00F176D8">
        <w:rPr>
          <w:lang w:val="es-ES_tradnl"/>
        </w:rPr>
        <w:t xml:space="preserve">De 6 a 8 años (adolescente entre 14 y menos de 16 años) y de 8 a 10 años (adolescente entre 16 y menos de 18 años), cuando se trate del delito de </w:t>
      </w:r>
      <w:proofErr w:type="spellStart"/>
      <w:r w:rsidR="00A764EB" w:rsidRPr="00F176D8">
        <w:rPr>
          <w:lang w:val="es-ES_tradnl"/>
        </w:rPr>
        <w:t>sicariato</w:t>
      </w:r>
      <w:proofErr w:type="spellEnd"/>
      <w:r w:rsidR="00A764EB" w:rsidRPr="00F176D8">
        <w:rPr>
          <w:lang w:val="es-ES_tradnl"/>
        </w:rPr>
        <w:t xml:space="preserve"> o violación sexual de menor de edad seguida de muerte o lesión grave, así como de los delitos de terrorismo.</w:t>
      </w:r>
    </w:p>
    <w:p w:rsidR="00A764EB" w:rsidRPr="00215FAC" w:rsidRDefault="00D95A8F" w:rsidP="00742A2C">
      <w:pPr>
        <w:pStyle w:val="SingleTxtG"/>
        <w:ind w:left="1701"/>
        <w:rPr>
          <w:lang w:val="es-ES_tradnl"/>
        </w:rPr>
      </w:pPr>
      <w:r>
        <w:rPr>
          <w:lang w:val="es-ES_tradnl"/>
        </w:rPr>
        <w:tab/>
        <w:t>98.5</w:t>
      </w:r>
      <w:r>
        <w:rPr>
          <w:lang w:val="es-ES_tradnl"/>
        </w:rPr>
        <w:tab/>
      </w:r>
      <w:r w:rsidR="00A764EB" w:rsidRPr="00F176D8">
        <w:rPr>
          <w:lang w:val="es-ES_tradnl"/>
        </w:rPr>
        <w:t>No menor de 1 ni mayor de 4 años, para los adolescentes entre 14 y 18 años de edad, cuando se trate de delitos distintos a los señalados en la nota al pie 9</w:t>
      </w:r>
      <w:r w:rsidR="00A764EB" w:rsidRPr="00214959">
        <w:rPr>
          <w:rStyle w:val="Refdenotaalpie"/>
          <w:szCs w:val="22"/>
          <w:lang w:val="es-ES_tradnl"/>
        </w:rPr>
        <w:footnoteReference w:id="83"/>
      </w:r>
      <w:r w:rsidR="005734FA">
        <w:rPr>
          <w:lang w:val="es-ES_tradnl"/>
        </w:rPr>
        <w:t>.</w:t>
      </w:r>
    </w:p>
    <w:p w:rsidR="00A764EB" w:rsidRPr="00215FAC" w:rsidRDefault="00D95A8F" w:rsidP="00D95A8F">
      <w:pPr>
        <w:pStyle w:val="SingleTxtG"/>
        <w:rPr>
          <w:lang w:val="es-ES_tradnl"/>
        </w:rPr>
      </w:pPr>
      <w:r>
        <w:rPr>
          <w:lang w:val="es-ES_tradnl"/>
        </w:rPr>
        <w:t>99.</w:t>
      </w:r>
      <w:r>
        <w:rPr>
          <w:lang w:val="es-ES_tradnl"/>
        </w:rPr>
        <w:tab/>
      </w:r>
      <w:r w:rsidR="00A764EB" w:rsidRPr="00F176D8">
        <w:rPr>
          <w:lang w:val="es-ES_tradnl"/>
        </w:rPr>
        <w:t>Cabe señalar que es posible la variación de la internación cuando se haya cumplido la tercera parte del plazo impuesto de dicha medida y se cuente con el informe favorable del Equipo Técnico Interdisciplinario del Centro Juvenil.</w:t>
      </w:r>
    </w:p>
    <w:p w:rsidR="00A764EB" w:rsidRPr="00215FAC" w:rsidRDefault="00D95A8F" w:rsidP="00D95A8F">
      <w:pPr>
        <w:pStyle w:val="SingleTxtG"/>
        <w:rPr>
          <w:lang w:val="es-ES_tradnl"/>
        </w:rPr>
      </w:pPr>
      <w:r>
        <w:rPr>
          <w:lang w:val="es-ES_tradnl"/>
        </w:rPr>
        <w:t>100.</w:t>
      </w:r>
      <w:r>
        <w:rPr>
          <w:lang w:val="es-ES_tradnl"/>
        </w:rPr>
        <w:tab/>
      </w:r>
      <w:r w:rsidR="00A764EB" w:rsidRPr="00F176D8">
        <w:rPr>
          <w:lang w:val="es-ES_tradnl"/>
        </w:rPr>
        <w:t>Al respecto, el resultado puede ser i) reducción de la duración de la pena, ii) darla por cumplida, iii) variarla por otra de menor intensidad, o iv) mantenerla sin modificación. En caso se deniegue o se declare la improcedencia de la variación, el juez realizará la revisión en periodos semestrales contados a partir del último pronunciamiento</w:t>
      </w:r>
      <w:r w:rsidR="00A764EB" w:rsidRPr="00214959">
        <w:rPr>
          <w:rStyle w:val="Refdenotaalpie"/>
          <w:szCs w:val="22"/>
          <w:lang w:val="es-ES_tradnl"/>
        </w:rPr>
        <w:footnoteReference w:id="84"/>
      </w:r>
      <w:r w:rsidR="005734FA">
        <w:rPr>
          <w:lang w:val="es-ES_tradnl"/>
        </w:rPr>
        <w:t>.</w:t>
      </w:r>
    </w:p>
    <w:p w:rsidR="00A764EB" w:rsidRPr="00215FAC" w:rsidRDefault="00D95A8F" w:rsidP="00D95A8F">
      <w:pPr>
        <w:pStyle w:val="SingleTxtG"/>
        <w:rPr>
          <w:lang w:val="es-ES_tradnl"/>
        </w:rPr>
      </w:pPr>
      <w:r>
        <w:rPr>
          <w:lang w:val="es-ES_tradnl"/>
        </w:rPr>
        <w:t>101.</w:t>
      </w:r>
      <w:r>
        <w:rPr>
          <w:lang w:val="es-ES_tradnl"/>
        </w:rPr>
        <w:tab/>
      </w:r>
      <w:r w:rsidR="00A764EB" w:rsidRPr="00F176D8">
        <w:rPr>
          <w:lang w:val="es-ES_tradnl"/>
        </w:rPr>
        <w:t xml:space="preserve">Es preciso mencionar que los Capítulos III, IV, V, VI, VII y VII-A del Título II del Libro IV del Nuevo Código de los Niños y Adolescentes (Ley </w:t>
      </w:r>
      <w:r w:rsidR="00403B5F">
        <w:rPr>
          <w:lang w:val="es-ES_tradnl"/>
        </w:rPr>
        <w:t>núm.</w:t>
      </w:r>
      <w:r w:rsidR="00A764EB" w:rsidRPr="00F176D8">
        <w:rPr>
          <w:lang w:val="es-ES_tradnl"/>
        </w:rPr>
        <w:t xml:space="preserve"> 27337), los cuales tienen disposiciones incorporadas mediante los Decretos Legislativos </w:t>
      </w:r>
      <w:r w:rsidR="00403B5F">
        <w:rPr>
          <w:lang w:val="es-ES_tradnl"/>
        </w:rPr>
        <w:t>núm.</w:t>
      </w:r>
      <w:r w:rsidR="00A764EB" w:rsidRPr="00F176D8">
        <w:rPr>
          <w:lang w:val="es-ES_tradnl"/>
        </w:rPr>
        <w:t xml:space="preserve"> 990 y 1204, quedarán derogados con la próxima entrada en vigencia del Decreto Legislativo </w:t>
      </w:r>
      <w:r w:rsidR="00403B5F">
        <w:rPr>
          <w:lang w:val="es-ES_tradnl"/>
        </w:rPr>
        <w:t>núm.</w:t>
      </w:r>
      <w:r w:rsidR="005734FA">
        <w:rPr>
          <w:lang w:val="es-ES_tradnl"/>
        </w:rPr>
        <w:t> </w:t>
      </w:r>
      <w:r w:rsidR="00A764EB" w:rsidRPr="00F176D8">
        <w:rPr>
          <w:lang w:val="es-ES_tradnl"/>
        </w:rPr>
        <w:t xml:space="preserve">1348, la misma que se dará al día siguiente de la publicación de su reglamento. </w:t>
      </w:r>
    </w:p>
    <w:p w:rsidR="00A764EB" w:rsidRPr="00215FAC" w:rsidRDefault="00330A0E" w:rsidP="00330A0E">
      <w:pPr>
        <w:pStyle w:val="SingleTxtG"/>
        <w:rPr>
          <w:lang w:val="es-ES_tradnl"/>
        </w:rPr>
      </w:pPr>
      <w:r>
        <w:rPr>
          <w:lang w:val="es-ES_tradnl"/>
        </w:rPr>
        <w:t>102.</w:t>
      </w:r>
      <w:r>
        <w:rPr>
          <w:lang w:val="es-ES_tradnl"/>
        </w:rPr>
        <w:tab/>
      </w:r>
      <w:r w:rsidR="00A764EB" w:rsidRPr="00F176D8">
        <w:rPr>
          <w:lang w:val="es-ES_tradnl"/>
        </w:rPr>
        <w:t xml:space="preserve">Por otro lado, se aprobó la Ley </w:t>
      </w:r>
      <w:r w:rsidR="00403B5F">
        <w:rPr>
          <w:lang w:val="es-ES_tradnl"/>
        </w:rPr>
        <w:t>núm.</w:t>
      </w:r>
      <w:r w:rsidR="00A764EB" w:rsidRPr="00F176D8">
        <w:rPr>
          <w:lang w:val="es-ES_tradnl"/>
        </w:rPr>
        <w:t xml:space="preserve"> 30466 que tiene por objeto establecer parámetros y garantías procesales para la consideración primordial del interés superior del niño en los procesos y procedimientos en los que estén inmersos los derechos de los niños y adolescentes; en el marco de la Convención sobre los Derechos del Niño de las Naciones Unidas y su </w:t>
      </w:r>
      <w:r w:rsidR="005734FA">
        <w:rPr>
          <w:lang w:val="es-ES_tradnl"/>
        </w:rPr>
        <w:t>o</w:t>
      </w:r>
      <w:r w:rsidR="00A764EB" w:rsidRPr="00F176D8">
        <w:rPr>
          <w:lang w:val="es-ES_tradnl"/>
        </w:rPr>
        <w:t xml:space="preserve">bservación </w:t>
      </w:r>
      <w:r w:rsidR="005734FA">
        <w:rPr>
          <w:lang w:val="es-ES_tradnl"/>
        </w:rPr>
        <w:t>g</w:t>
      </w:r>
      <w:r w:rsidR="00A764EB" w:rsidRPr="00F176D8">
        <w:rPr>
          <w:lang w:val="es-ES_tradnl"/>
        </w:rPr>
        <w:t xml:space="preserve">eneral </w:t>
      </w:r>
      <w:r w:rsidR="005734FA">
        <w:rPr>
          <w:lang w:val="es-ES_tradnl"/>
        </w:rPr>
        <w:t xml:space="preserve">núm. </w:t>
      </w:r>
      <w:r w:rsidR="00A764EB" w:rsidRPr="00F176D8">
        <w:rPr>
          <w:lang w:val="es-ES_tradnl"/>
        </w:rPr>
        <w:t>14 y el en artículo IX del Título Preliminar del CNA</w:t>
      </w:r>
      <w:r w:rsidR="00A764EB" w:rsidRPr="00214959">
        <w:rPr>
          <w:rStyle w:val="Refdenotaalpie"/>
          <w:szCs w:val="22"/>
          <w:lang w:val="es-ES_tradnl"/>
        </w:rPr>
        <w:footnoteReference w:id="85"/>
      </w:r>
      <w:r w:rsidR="005734FA">
        <w:rPr>
          <w:lang w:val="es-ES_tradnl"/>
        </w:rPr>
        <w:t>.</w:t>
      </w:r>
    </w:p>
    <w:p w:rsidR="00A764EB" w:rsidRPr="00215FAC" w:rsidRDefault="00330A0E" w:rsidP="00330A0E">
      <w:pPr>
        <w:pStyle w:val="SingleTxtG"/>
      </w:pPr>
      <w:r>
        <w:rPr>
          <w:lang w:val="es-ES_tradnl"/>
        </w:rPr>
        <w:t>103.</w:t>
      </w:r>
      <w:r>
        <w:rPr>
          <w:lang w:val="es-ES_tradnl"/>
        </w:rPr>
        <w:tab/>
      </w:r>
      <w:r w:rsidR="00A764EB" w:rsidRPr="00F176D8">
        <w:rPr>
          <w:lang w:val="es-ES_tradnl"/>
        </w:rPr>
        <w:t>Cabe</w:t>
      </w:r>
      <w:r w:rsidR="00A764EB" w:rsidRPr="00F176D8">
        <w:t xml:space="preserve"> destacar también las acciones emprendidas por el MIMP, siendo una de ellas las que se enmarcan en el Plan Nacional de Acción por la Infancia y la Adolescencia (PNAIA) 2012-2021</w:t>
      </w:r>
      <w:r w:rsidR="00A764EB" w:rsidRPr="00214959">
        <w:rPr>
          <w:rStyle w:val="Refdenotaalpie"/>
          <w:szCs w:val="22"/>
        </w:rPr>
        <w:footnoteReference w:id="86"/>
      </w:r>
      <w:r w:rsidR="00A764EB" w:rsidRPr="00F176D8">
        <w:t xml:space="preserve"> donde se incluyó como resultado esperado </w:t>
      </w:r>
      <w:r w:rsidR="005734FA">
        <w:t>núm.</w:t>
      </w:r>
      <w:r w:rsidR="00A764EB" w:rsidRPr="00F176D8">
        <w:t xml:space="preserve"> 11 del tercer objetivo estratégico: </w:t>
      </w:r>
      <w:r w:rsidR="00A764EB" w:rsidRPr="00F176D8">
        <w:rPr>
          <w:i/>
        </w:rPr>
        <w:t>“las y los adolescentes involucrados en conflictos con la ley penal disminuyen</w:t>
      </w:r>
      <w:r w:rsidR="00A764EB" w:rsidRPr="00742A2C">
        <w:rPr>
          <w:i/>
        </w:rPr>
        <w:t>”</w:t>
      </w:r>
      <w:r w:rsidR="00A764EB" w:rsidRPr="00F176D8">
        <w:t>, estableciendo diversas estrategias de intervención.</w:t>
      </w:r>
    </w:p>
    <w:p w:rsidR="00A764EB" w:rsidRPr="00215FAC" w:rsidRDefault="00330A0E" w:rsidP="00330A0E">
      <w:pPr>
        <w:pStyle w:val="SingleTxtG"/>
      </w:pPr>
      <w:r>
        <w:rPr>
          <w:lang w:val="es-ES_tradnl"/>
        </w:rPr>
        <w:t>104.</w:t>
      </w:r>
      <w:r>
        <w:rPr>
          <w:lang w:val="es-ES_tradnl"/>
        </w:rPr>
        <w:tab/>
      </w:r>
      <w:r w:rsidR="00A764EB" w:rsidRPr="00F176D8">
        <w:rPr>
          <w:lang w:val="es-ES_tradnl"/>
        </w:rPr>
        <w:t>El</w:t>
      </w:r>
      <w:r w:rsidR="00A764EB" w:rsidRPr="00F176D8">
        <w:t xml:space="preserve"> SPT recomienda también en el </w:t>
      </w:r>
      <w:r w:rsidR="00A764EB" w:rsidRPr="00F176D8">
        <w:rPr>
          <w:b/>
        </w:rPr>
        <w:t>párrafo 89</w:t>
      </w:r>
      <w:r w:rsidR="00A764EB" w:rsidRPr="00F176D8">
        <w:t xml:space="preserve"> de su informe, entre otras acciones, priorizar el desarrollo de políticas públicas para la prevención del delito juvenil. </w:t>
      </w:r>
    </w:p>
    <w:p w:rsidR="00A764EB" w:rsidRPr="00215FAC" w:rsidRDefault="00330A0E" w:rsidP="00330A0E">
      <w:pPr>
        <w:pStyle w:val="SingleTxtG"/>
      </w:pPr>
      <w:r>
        <w:t>105.</w:t>
      </w:r>
      <w:r>
        <w:tab/>
      </w:r>
      <w:r w:rsidR="00A764EB" w:rsidRPr="00F176D8">
        <w:t>Al respecto, a la fecha se viene implementando la “Política Nacional de Prevención y Tratamiento del Adolescente en Conflicto con la Ley Penal – PUEDO</w:t>
      </w:r>
      <w:r w:rsidR="00A764EB" w:rsidRPr="00214959">
        <w:rPr>
          <w:rStyle w:val="Refdenotaalpie"/>
          <w:szCs w:val="22"/>
        </w:rPr>
        <w:footnoteReference w:id="87"/>
      </w:r>
      <w:r w:rsidR="00A764EB" w:rsidRPr="00F176D8">
        <w:t xml:space="preserve">”, que tiene por objetivo central la disminución del involucramiento de las y los adolescentes en conflicto con la Ley Penal, a través de: </w:t>
      </w:r>
      <w:r w:rsidR="00A764EB" w:rsidRPr="00F176D8">
        <w:rPr>
          <w:b/>
          <w:i/>
        </w:rPr>
        <w:t>i)</w:t>
      </w:r>
      <w:r w:rsidR="00A764EB" w:rsidRPr="00F176D8">
        <w:t xml:space="preserve"> la reducción de las conductas antisociales, </w:t>
      </w:r>
      <w:r w:rsidR="00A764EB" w:rsidRPr="00F176D8">
        <w:rPr>
          <w:b/>
          <w:i/>
        </w:rPr>
        <w:t>ii)</w:t>
      </w:r>
      <w:r w:rsidR="00A764EB" w:rsidRPr="00F176D8">
        <w:t xml:space="preserve"> una administración de justicia eficaz y garantista y </w:t>
      </w:r>
      <w:r w:rsidR="00A764EB" w:rsidRPr="00F176D8">
        <w:rPr>
          <w:b/>
          <w:i/>
        </w:rPr>
        <w:t>iii)</w:t>
      </w:r>
      <w:r w:rsidR="00A764EB" w:rsidRPr="00F176D8">
        <w:t xml:space="preserve"> la resocialización del adolescente y reparación a la víctima, a través de la implementación de veinte (20) iniciativas </w:t>
      </w:r>
      <w:r w:rsidR="00A764EB" w:rsidRPr="00F176D8">
        <w:lastRenderedPageBreak/>
        <w:t>multisectoriales que abordan los ámbitos de familia, escuela, trabajo, pares, comunidad, ambiente, administración de justicia y sistema de reinserción social</w:t>
      </w:r>
      <w:r w:rsidR="00A764EB" w:rsidRPr="00214959">
        <w:rPr>
          <w:rStyle w:val="Refdenotaalpie"/>
          <w:szCs w:val="22"/>
        </w:rPr>
        <w:footnoteReference w:id="88"/>
      </w:r>
      <w:r w:rsidR="00A957D1">
        <w:t>.</w:t>
      </w:r>
    </w:p>
    <w:p w:rsidR="00A764EB" w:rsidRPr="00215FAC" w:rsidRDefault="00330A0E" w:rsidP="00330A0E">
      <w:pPr>
        <w:pStyle w:val="SingleTxtG"/>
      </w:pPr>
      <w:r>
        <w:t>106.</w:t>
      </w:r>
      <w:r>
        <w:tab/>
      </w:r>
      <w:r w:rsidR="00A764EB" w:rsidRPr="00F176D8">
        <w:t xml:space="preserve">Por otro lado, el SPT recomienda en el </w:t>
      </w:r>
      <w:r w:rsidR="00A764EB" w:rsidRPr="00F176D8">
        <w:rPr>
          <w:b/>
        </w:rPr>
        <w:t xml:space="preserve">párrafo 91 </w:t>
      </w:r>
      <w:r w:rsidR="00A764EB" w:rsidRPr="00F176D8">
        <w:t>de su informe que se intensifiquen los esfuerzos para extender a todo el país los Servicios de Orientación al Adolescente (en adelante, “SOA”), con la finalidad que la medida de privación de libertad se utilice como último recurso. Además de dotar a los SOA de recursos financieros y humanos necesarios para brindar una adecuada atención a los adolescentes en conflicto con la ley en su proceso de reinserción a la sociedad.</w:t>
      </w:r>
    </w:p>
    <w:p w:rsidR="00A764EB" w:rsidRPr="00215FAC" w:rsidRDefault="00330A0E" w:rsidP="00330A0E">
      <w:pPr>
        <w:pStyle w:val="SingleTxtG"/>
      </w:pPr>
      <w:r>
        <w:t>107.</w:t>
      </w:r>
      <w:r>
        <w:tab/>
      </w:r>
      <w:r w:rsidR="00A764EB" w:rsidRPr="00F176D8">
        <w:t xml:space="preserve">Cabe señalar, que mediante Resolución Administrativa </w:t>
      </w:r>
      <w:r w:rsidR="00403B5F">
        <w:t>núm.</w:t>
      </w:r>
      <w:r w:rsidR="00A764EB" w:rsidRPr="00F176D8">
        <w:t xml:space="preserve"> 190-2013-CE-PJ (28</w:t>
      </w:r>
      <w:r w:rsidR="005734FA">
        <w:t xml:space="preserve"> de agosto de </w:t>
      </w:r>
      <w:r w:rsidR="00A764EB" w:rsidRPr="00F176D8">
        <w:t>2013) el Consejo Ejecutivo del PJ, entre otras medidas, dispuso la réplica del modelo de Centros Juveniles de Medio Abierto – SOA en los Distritos Judiciales del país, estableciendo que los Presidentes de las Cortes Superiores de Justicia deberán coadyuvar a la instalación de este tipo de Centro Juvenil en su jurisdicción, debiendo para tal efecto conseguir el espacio físico para su funcionamiento, a través de la suscripción de convenios interinstitucionales con los Gobiernos Regionales y Locales; y con las instituciones públicas y privadas, en coordinación con la Gerencia de Centros Juveniles del PJ.</w:t>
      </w:r>
    </w:p>
    <w:p w:rsidR="00A764EB" w:rsidRPr="00215FAC" w:rsidRDefault="00330A0E" w:rsidP="00330A0E">
      <w:pPr>
        <w:pStyle w:val="SingleTxtG"/>
      </w:pPr>
      <w:r>
        <w:t>108.</w:t>
      </w:r>
      <w:r>
        <w:tab/>
      </w:r>
      <w:r w:rsidR="00A764EB" w:rsidRPr="00F176D8">
        <w:t xml:space="preserve">A la fecha, se cuenta con 23 SOAS ubicados en el Rímac, Huaura, Tumbes, Iquitos, Cañete, Ica, Cerro Colorado (Arequipa), Lima Norte, Lima Esta, Chiclayo, Trujillo, Callao, Huancayo, Santa, Sullana, Huancavelica, Huánuco, </w:t>
      </w:r>
      <w:proofErr w:type="spellStart"/>
      <w:r w:rsidR="00A764EB" w:rsidRPr="00F176D8">
        <w:t>Paucarpata</w:t>
      </w:r>
      <w:proofErr w:type="spellEnd"/>
      <w:r w:rsidR="00A764EB" w:rsidRPr="00F176D8">
        <w:t xml:space="preserve"> (Arequipa), Ayacucho, Ventanilla, Cusco, Puno y Madre de Dios</w:t>
      </w:r>
      <w:r w:rsidR="00A764EB" w:rsidRPr="00214959">
        <w:rPr>
          <w:rStyle w:val="Refdenotaalpie"/>
          <w:szCs w:val="22"/>
        </w:rPr>
        <w:footnoteReference w:id="89"/>
      </w:r>
      <w:r w:rsidR="005734FA">
        <w:t>.</w:t>
      </w:r>
    </w:p>
    <w:p w:rsidR="00A764EB" w:rsidRPr="00215FAC" w:rsidRDefault="00330A0E" w:rsidP="00330A0E">
      <w:pPr>
        <w:pStyle w:val="SingleTxtG"/>
      </w:pPr>
      <w:r>
        <w:rPr>
          <w:lang w:val="es-ES_tradnl"/>
        </w:rPr>
        <w:t>109.</w:t>
      </w:r>
      <w:r>
        <w:rPr>
          <w:lang w:val="es-ES_tradnl"/>
        </w:rPr>
        <w:tab/>
      </w:r>
      <w:r w:rsidR="00A764EB" w:rsidRPr="00F176D8">
        <w:rPr>
          <w:lang w:val="es-ES_tradnl"/>
        </w:rPr>
        <w:t>Cabe precisar que, el Sistema Nacional de Reinserción Social del Adolescente en Conflicto con la Ley Penal ha sido transferido al MINJUS. El plazo máximo ejecutar esta acción es 365 días hábiles desde la instalación de la Comisión Técnica a cargo del proceso</w:t>
      </w:r>
      <w:r w:rsidR="00A764EB" w:rsidRPr="00214959">
        <w:rPr>
          <w:rStyle w:val="Refdenotaalpie"/>
          <w:szCs w:val="22"/>
          <w:lang w:val="es-ES_tradnl"/>
        </w:rPr>
        <w:footnoteReference w:id="90"/>
      </w:r>
      <w:r w:rsidR="007A4752">
        <w:rPr>
          <w:lang w:val="es-ES_tradnl"/>
        </w:rPr>
        <w:t>.</w:t>
      </w:r>
      <w:r w:rsidR="00A764EB" w:rsidRPr="00F176D8">
        <w:rPr>
          <w:lang w:val="es-ES_tradnl"/>
        </w:rPr>
        <w:t xml:space="preserve"> </w:t>
      </w:r>
    </w:p>
    <w:p w:rsidR="00A764EB" w:rsidRPr="00215FAC" w:rsidRDefault="00330A0E" w:rsidP="00330A0E">
      <w:pPr>
        <w:pStyle w:val="SingleTxtG"/>
      </w:pPr>
      <w:r>
        <w:t>110.</w:t>
      </w:r>
      <w:r>
        <w:tab/>
      </w:r>
      <w:r w:rsidR="00A764EB" w:rsidRPr="00F176D8">
        <w:t xml:space="preserve">Además, el SPT recomienda en sus </w:t>
      </w:r>
      <w:r w:rsidR="00A764EB" w:rsidRPr="00F176D8">
        <w:rPr>
          <w:b/>
        </w:rPr>
        <w:t>párrafos 93 – 94 e inciso a) del párrafo 102</w:t>
      </w:r>
      <w:r w:rsidR="00A764EB" w:rsidRPr="00F176D8">
        <w:t xml:space="preserve"> de su informe se establezcan mecanismos efectivos de denuncia respecto al trato recibido por los menores en los centros juveniles de detención y se tomen medidas para prevenir los malos tratos a los menores por parte de la policía, así como la debida asistencia jurídica en todas las etapas del procedimiento judicial. </w:t>
      </w:r>
    </w:p>
    <w:p w:rsidR="00A764EB" w:rsidRPr="00215FAC" w:rsidRDefault="00330A0E" w:rsidP="00330A0E">
      <w:pPr>
        <w:pStyle w:val="SingleTxtG"/>
      </w:pPr>
      <w:r>
        <w:t>111.</w:t>
      </w:r>
      <w:r>
        <w:tab/>
      </w:r>
      <w:r w:rsidR="00A764EB" w:rsidRPr="00F176D8">
        <w:t>Al respecto, cabe señalar que los Centros Juveniles a nivel nacional permiten que los adolescentes puedan denunciar de manera anónima, sin que exista el temor a recibir represalias</w:t>
      </w:r>
      <w:r w:rsidR="00A764EB" w:rsidRPr="00214959">
        <w:rPr>
          <w:rStyle w:val="Refdenotaalpie"/>
          <w:szCs w:val="22"/>
        </w:rPr>
        <w:footnoteReference w:id="91"/>
      </w:r>
      <w:r w:rsidR="005734FA">
        <w:t>.</w:t>
      </w:r>
      <w:r w:rsidR="00A764EB" w:rsidRPr="00F176D8">
        <w:t xml:space="preserve"> </w:t>
      </w:r>
    </w:p>
    <w:p w:rsidR="00A764EB" w:rsidRPr="00215FAC" w:rsidRDefault="00330A0E" w:rsidP="00330A0E">
      <w:pPr>
        <w:pStyle w:val="SingleTxtG"/>
      </w:pPr>
      <w:r>
        <w:t>112.</w:t>
      </w:r>
      <w:r>
        <w:tab/>
      </w:r>
      <w:r w:rsidR="00A764EB" w:rsidRPr="00F176D8">
        <w:t xml:space="preserve">Así, también existe un Monitoreo Técnico Normativo que implica la verificación del cumplimiento normativo en cada uno de los Centros Juveniles y </w:t>
      </w:r>
      <w:proofErr w:type="spellStart"/>
      <w:r w:rsidR="00A764EB" w:rsidRPr="00F176D8">
        <w:t>SOAs</w:t>
      </w:r>
      <w:proofErr w:type="spellEnd"/>
      <w:r w:rsidR="00A764EB" w:rsidRPr="00F176D8">
        <w:t xml:space="preserve"> a nivel nacional. En esta actividad además se realizan acciones de seguimiento, supervisión en el cumplimiento de actividades, tareas y metas físicas y financieras planteadas en el Plan Operativo del Centro</w:t>
      </w:r>
      <w:r w:rsidR="00A764EB" w:rsidRPr="00214959">
        <w:rPr>
          <w:rStyle w:val="Refdenotaalpie"/>
          <w:szCs w:val="22"/>
        </w:rPr>
        <w:footnoteReference w:id="92"/>
      </w:r>
      <w:r w:rsidR="005734FA">
        <w:t>.</w:t>
      </w:r>
      <w:r w:rsidR="00A764EB" w:rsidRPr="00F176D8">
        <w:t xml:space="preserve"> </w:t>
      </w:r>
    </w:p>
    <w:p w:rsidR="00A764EB" w:rsidRPr="00215FAC" w:rsidRDefault="00330A0E" w:rsidP="00330A0E">
      <w:pPr>
        <w:pStyle w:val="SingleTxtG"/>
      </w:pPr>
      <w:r>
        <w:t>113.</w:t>
      </w:r>
      <w:r>
        <w:tab/>
      </w:r>
      <w:r w:rsidR="00A764EB" w:rsidRPr="00F176D8">
        <w:t>En las acciones de monitoreo, el personal de la Gerencia de Centros Juveniles entrevista en forma aleatoria a los adolescentes, se les consulta respecto a la calidad del servicio, al trato recibido por parte de los operadores del sistema del Centro Juvenil revisado</w:t>
      </w:r>
      <w:r w:rsidR="00A764EB" w:rsidRPr="00214959">
        <w:rPr>
          <w:rStyle w:val="Refdenotaalpie"/>
          <w:szCs w:val="22"/>
        </w:rPr>
        <w:footnoteReference w:id="93"/>
      </w:r>
      <w:r w:rsidR="005734FA">
        <w:rPr>
          <w:rStyle w:val="Refdenotaalpie"/>
          <w:sz w:val="22"/>
          <w:szCs w:val="22"/>
        </w:rPr>
        <w:t>.</w:t>
      </w:r>
      <w:r w:rsidR="00A764EB" w:rsidRPr="00F176D8">
        <w:t xml:space="preserve"> </w:t>
      </w:r>
    </w:p>
    <w:p w:rsidR="00A764EB" w:rsidRPr="00215FAC" w:rsidRDefault="00330A0E" w:rsidP="00330A0E">
      <w:pPr>
        <w:pStyle w:val="SingleTxtG"/>
      </w:pPr>
      <w:r>
        <w:t>114.</w:t>
      </w:r>
      <w:r>
        <w:tab/>
      </w:r>
      <w:r w:rsidR="00A764EB" w:rsidRPr="00F176D8">
        <w:t>Se reciben visitas de los jueces y fiscales quienes supervisan las instalaciones y se entrevistan con los adolescentes. De igual manera, se recibe la visita de la DP, a fin de atender quejas, consultas y pedidos de los adolescentes</w:t>
      </w:r>
      <w:r w:rsidR="00A764EB" w:rsidRPr="00214959">
        <w:rPr>
          <w:rStyle w:val="Refdenotaalpie"/>
          <w:szCs w:val="22"/>
        </w:rPr>
        <w:footnoteReference w:id="94"/>
      </w:r>
      <w:r w:rsidR="005734FA">
        <w:t>.</w:t>
      </w:r>
    </w:p>
    <w:p w:rsidR="00A764EB" w:rsidRPr="00F176D8" w:rsidRDefault="00330A0E" w:rsidP="00330A0E">
      <w:pPr>
        <w:pStyle w:val="SingleTxtG"/>
      </w:pPr>
      <w:r>
        <w:lastRenderedPageBreak/>
        <w:t>115.</w:t>
      </w:r>
      <w:r>
        <w:tab/>
      </w:r>
      <w:r w:rsidR="00A764EB" w:rsidRPr="00F176D8">
        <w:t xml:space="preserve">Asimismo, se cuenta con la Guía Operativa de Mecanismos de “Acceso a la Justicia para adolescentes infractores de los Centros Juveniles”, aprobado mediante la Resolución Administrativa </w:t>
      </w:r>
      <w:r w:rsidR="00403B5F">
        <w:t>núm.</w:t>
      </w:r>
      <w:r w:rsidR="00A764EB" w:rsidRPr="00F176D8">
        <w:t xml:space="preserve"> 390-2011-GG-PJ, que sirve de orientación para la recepción, procesamiento y atención oportuna de los pedidos y sugerencias presentados por los adolescentes infractores de la ley pe</w:t>
      </w:r>
      <w:r>
        <w:t>nal.</w:t>
      </w:r>
    </w:p>
    <w:p w:rsidR="00A764EB" w:rsidRPr="00F176D8" w:rsidRDefault="00330A0E" w:rsidP="00330A0E">
      <w:pPr>
        <w:pStyle w:val="SingleTxtG"/>
      </w:pPr>
      <w:r>
        <w:t>116.</w:t>
      </w:r>
      <w:r>
        <w:tab/>
      </w:r>
      <w:r w:rsidR="00A764EB" w:rsidRPr="00F176D8">
        <w:t>Es preciso aclarar que en ningún Centro Juvenil existen celdas de castigo siendo que de acuerdo al sistema contemplado se cuenta con el Programa de Intervención Intensiva (P.I.I.) para aquellos adolescentes con problemas conductuales severos y resistentes a aceptar propuestas de cambio en base a un proceso formativo</w:t>
      </w:r>
      <w:r w:rsidR="00A764EB" w:rsidRPr="00214959">
        <w:rPr>
          <w:rStyle w:val="Refdenotaalpie"/>
          <w:szCs w:val="22"/>
        </w:rPr>
        <w:footnoteReference w:id="95"/>
      </w:r>
      <w:r w:rsidR="005734FA">
        <w:t>.</w:t>
      </w:r>
    </w:p>
    <w:p w:rsidR="00A764EB" w:rsidRPr="00F176D8" w:rsidRDefault="00330A0E" w:rsidP="00330A0E">
      <w:pPr>
        <w:pStyle w:val="SingleTxtG"/>
      </w:pPr>
      <w:r>
        <w:t>117.</w:t>
      </w:r>
      <w:r>
        <w:tab/>
      </w:r>
      <w:r w:rsidR="00A764EB" w:rsidRPr="00F176D8">
        <w:t>De acuerdo a la información brindada por el PJ, el Centro Juvenil de Diagnóstico y Rehabilitación de Lima cuenta con infraestructura adecuada y el Programa de Intervención Intensiva cumple con las condiciones sanitarias</w:t>
      </w:r>
      <w:r w:rsidR="00A764EB" w:rsidRPr="00214959">
        <w:rPr>
          <w:rStyle w:val="Refdenotaalpie"/>
          <w:szCs w:val="22"/>
        </w:rPr>
        <w:footnoteReference w:id="96"/>
      </w:r>
      <w:r w:rsidR="005734FA">
        <w:t>.</w:t>
      </w:r>
    </w:p>
    <w:p w:rsidR="00A764EB" w:rsidRPr="00F176D8" w:rsidRDefault="00330A0E" w:rsidP="00330A0E">
      <w:pPr>
        <w:pStyle w:val="SingleTxtG"/>
      </w:pPr>
      <w:r>
        <w:t>118.</w:t>
      </w:r>
      <w:r>
        <w:tab/>
      </w:r>
      <w:r w:rsidR="00A764EB" w:rsidRPr="00F176D8">
        <w:t>En relación, al Centro Juvenil de Trujillo, no cuenta con Programa de Intervención Intensiva, ya que su infraestructura tiene capacidad de albergue para 50 personas, encontrándose actualmente con sobrepoblación y hacinamiento, optándose por el traslado de adolescentes a otros centros juveniles</w:t>
      </w:r>
      <w:r w:rsidR="00A764EB" w:rsidRPr="00214959">
        <w:rPr>
          <w:rStyle w:val="Refdenotaalpie"/>
          <w:szCs w:val="22"/>
        </w:rPr>
        <w:footnoteReference w:id="97"/>
      </w:r>
      <w:r w:rsidR="005734FA">
        <w:t>.</w:t>
      </w:r>
    </w:p>
    <w:p w:rsidR="00A764EB" w:rsidRPr="00F176D8" w:rsidRDefault="00330A0E" w:rsidP="00330A0E">
      <w:pPr>
        <w:pStyle w:val="SingleTxtG"/>
      </w:pPr>
      <w:r>
        <w:t>119.</w:t>
      </w:r>
      <w:r>
        <w:tab/>
      </w:r>
      <w:r w:rsidR="00A764EB" w:rsidRPr="00F176D8">
        <w:t>Por su parte, el Manual de Derechos Humanos aplicados a la Función Policial señala que cuando u</w:t>
      </w:r>
      <w:r w:rsidR="00A764EB" w:rsidRPr="00F176D8">
        <w:rPr>
          <w:bCs/>
        </w:rPr>
        <w:t>n menor es detenido se deberá notificar inmediatamente a sus padres o tutor; las circunstancias y el lugar de detención serán comunicados al término de la distancia al Fiscal y Juez competentes</w:t>
      </w:r>
      <w:r w:rsidR="00A764EB" w:rsidRPr="00214959">
        <w:rPr>
          <w:rStyle w:val="Refdenotaalpie"/>
          <w:bCs/>
          <w:szCs w:val="22"/>
        </w:rPr>
        <w:footnoteReference w:id="98"/>
      </w:r>
      <w:r w:rsidR="005734FA">
        <w:rPr>
          <w:bCs/>
        </w:rPr>
        <w:t>.</w:t>
      </w:r>
      <w:r w:rsidR="00A764EB" w:rsidRPr="00F176D8">
        <w:rPr>
          <w:bCs/>
        </w:rPr>
        <w:t xml:space="preserve"> </w:t>
      </w:r>
    </w:p>
    <w:p w:rsidR="00A764EB" w:rsidRPr="00330A0E" w:rsidRDefault="00330A0E" w:rsidP="00330A0E">
      <w:pPr>
        <w:pStyle w:val="SingleTxtG"/>
      </w:pPr>
      <w:r>
        <w:t>120.</w:t>
      </w:r>
      <w:r>
        <w:tab/>
      </w:r>
      <w:r w:rsidR="00A764EB" w:rsidRPr="00F176D8">
        <w:t xml:space="preserve">Además, el citado Manual </w:t>
      </w:r>
      <w:r w:rsidR="00A764EB" w:rsidRPr="00F176D8">
        <w:rPr>
          <w:bCs/>
        </w:rPr>
        <w:t>dispone que todo menor privado de su libertad deberá ser tratado con humanidad y con el respeto que merece la dignidad inherente a su condición de persona humana, de manera que se tenga en cuenta las necesidades propias de las personas de su edad. Para ello deberá estar, obligatoriamente, separado de los adultos y tendrá derecho a mantener contacto con su familia</w:t>
      </w:r>
      <w:r w:rsidR="00A764EB" w:rsidRPr="00214959">
        <w:rPr>
          <w:rStyle w:val="Refdenotaalpie"/>
          <w:bCs/>
          <w:szCs w:val="22"/>
        </w:rPr>
        <w:footnoteReference w:id="99"/>
      </w:r>
      <w:r w:rsidR="00A764EB" w:rsidRPr="00F176D8">
        <w:rPr>
          <w:bCs/>
          <w:i/>
        </w:rPr>
        <w:t>.</w:t>
      </w:r>
    </w:p>
    <w:p w:rsidR="00A764EB" w:rsidRPr="00330A0E" w:rsidRDefault="00FF5926" w:rsidP="00FF5926">
      <w:pPr>
        <w:pStyle w:val="H23G"/>
        <w:rPr>
          <w:lang w:val="es-ES_tradnl"/>
        </w:rPr>
      </w:pPr>
      <w:bookmarkStart w:id="20" w:name="_Toc485946889"/>
      <w:r>
        <w:rPr>
          <w:lang w:val="es-ES_tradnl"/>
        </w:rPr>
        <w:tab/>
        <w:t>3.3.2</w:t>
      </w:r>
      <w:r>
        <w:rPr>
          <w:lang w:val="es-ES_tradnl"/>
        </w:rPr>
        <w:tab/>
      </w:r>
      <w:r w:rsidR="00A764EB" w:rsidRPr="00F176D8">
        <w:rPr>
          <w:lang w:val="es-ES_tradnl"/>
        </w:rPr>
        <w:t>Tortura y malos tratos</w:t>
      </w:r>
      <w:bookmarkEnd w:id="20"/>
    </w:p>
    <w:p w:rsidR="00A764EB" w:rsidRPr="00330A0E" w:rsidRDefault="00330A0E" w:rsidP="00330A0E">
      <w:pPr>
        <w:pStyle w:val="SingleTxtG"/>
        <w:rPr>
          <w:lang w:val="es-ES_tradnl"/>
        </w:rPr>
      </w:pPr>
      <w:r>
        <w:rPr>
          <w:lang w:val="es-ES_tradnl"/>
        </w:rPr>
        <w:t>121.</w:t>
      </w:r>
      <w:r>
        <w:rPr>
          <w:lang w:val="es-ES_tradnl"/>
        </w:rPr>
        <w:tab/>
      </w:r>
      <w:r w:rsidR="00A764EB" w:rsidRPr="00F176D8">
        <w:rPr>
          <w:lang w:val="es-ES_tradnl"/>
        </w:rPr>
        <w:t xml:space="preserve">El SPT recomienda en su </w:t>
      </w:r>
      <w:r w:rsidR="00A764EB" w:rsidRPr="00F176D8">
        <w:rPr>
          <w:b/>
          <w:lang w:val="es-ES_tradnl"/>
        </w:rPr>
        <w:t>párrafo 102</w:t>
      </w:r>
      <w:r w:rsidR="00A764EB" w:rsidRPr="00F176D8">
        <w:rPr>
          <w:lang w:val="es-ES_tradnl"/>
        </w:rPr>
        <w:t xml:space="preserve"> de su informe, entre otras medidas, se adopten criterios claros en la normativa interna de los Centros sobre el tipo de sanciones disciplinarias que deben aplicarse a los adolescentes que hayan cometido una falta. </w:t>
      </w:r>
    </w:p>
    <w:p w:rsidR="00A764EB" w:rsidRPr="00330A0E" w:rsidRDefault="00330A0E" w:rsidP="00330A0E">
      <w:pPr>
        <w:pStyle w:val="SingleTxtG"/>
        <w:rPr>
          <w:lang w:val="es-ES_tradnl"/>
        </w:rPr>
      </w:pPr>
      <w:r>
        <w:rPr>
          <w:lang w:val="es-ES_tradnl"/>
        </w:rPr>
        <w:t>122.</w:t>
      </w:r>
      <w:r>
        <w:rPr>
          <w:lang w:val="es-ES_tradnl"/>
        </w:rPr>
        <w:tab/>
      </w:r>
      <w:r w:rsidR="00A764EB" w:rsidRPr="00F176D8">
        <w:rPr>
          <w:lang w:val="es-ES_tradnl"/>
        </w:rPr>
        <w:t xml:space="preserve">Al respecto, el PJ aprobó, mediante Resolución Administrativa </w:t>
      </w:r>
      <w:r w:rsidR="00403B5F">
        <w:rPr>
          <w:lang w:val="es-ES_tradnl"/>
        </w:rPr>
        <w:t>núm.</w:t>
      </w:r>
      <w:r w:rsidR="00A764EB" w:rsidRPr="00F176D8">
        <w:rPr>
          <w:lang w:val="es-ES_tradnl"/>
        </w:rPr>
        <w:t xml:space="preserve"> 072-2015-CE-PJ (13</w:t>
      </w:r>
      <w:r w:rsidR="00115349">
        <w:rPr>
          <w:lang w:val="es-ES_tradnl"/>
        </w:rPr>
        <w:t xml:space="preserve"> de marzo de </w:t>
      </w:r>
      <w:r w:rsidR="00A764EB" w:rsidRPr="00F176D8">
        <w:rPr>
          <w:lang w:val="es-ES_tradnl"/>
        </w:rPr>
        <w:t>2015), el Manual de Normas de Procedimientos para la Ejecución de las Medidas Socioeducativas para la Reinserción Social del Adolescente en Conflicto con la Ley Penal en los Centros Juveniles de Medio Abierto</w:t>
      </w:r>
      <w:r w:rsidR="00A764EB" w:rsidRPr="00214959">
        <w:rPr>
          <w:rStyle w:val="Refdenotaalpie"/>
          <w:szCs w:val="22"/>
          <w:lang w:val="es-ES_tradnl"/>
        </w:rPr>
        <w:footnoteReference w:id="100"/>
      </w:r>
      <w:r w:rsidR="00115349">
        <w:rPr>
          <w:lang w:val="es-ES_tradnl"/>
        </w:rPr>
        <w:t>.</w:t>
      </w:r>
      <w:r w:rsidR="00A764EB" w:rsidRPr="00F176D8">
        <w:rPr>
          <w:lang w:val="es-ES_tradnl"/>
        </w:rPr>
        <w:t xml:space="preserve"> </w:t>
      </w:r>
    </w:p>
    <w:p w:rsidR="00A764EB" w:rsidRPr="00330A0E" w:rsidRDefault="00330A0E" w:rsidP="00330A0E">
      <w:pPr>
        <w:pStyle w:val="SingleTxtG"/>
        <w:rPr>
          <w:lang w:val="es-ES_tradnl"/>
        </w:rPr>
      </w:pPr>
      <w:r>
        <w:rPr>
          <w:lang w:val="es-ES_tradnl"/>
        </w:rPr>
        <w:lastRenderedPageBreak/>
        <w:t>123.</w:t>
      </w:r>
      <w:r>
        <w:rPr>
          <w:lang w:val="es-ES_tradnl"/>
        </w:rPr>
        <w:tab/>
      </w:r>
      <w:r w:rsidR="00A764EB" w:rsidRPr="00F176D8">
        <w:rPr>
          <w:lang w:val="es-ES_tradnl"/>
        </w:rPr>
        <w:t xml:space="preserve">La precitada norma tiene el objetivo de definir los criterios para implementar el modelo diferencial de tratamiento al adolescente en conflicto con la ley penal en medio abierto, y así consolidar un sistema de justicia penal juvenil moderno, acorde a la realidad, a las buenas prácticas, a los estándares internacionales y garante de los derechos fundamentales de los adolescentes que cumplen medidas socioeducativas en los Centros Juveniles de medio abierto. </w:t>
      </w:r>
    </w:p>
    <w:p w:rsidR="00A764EB" w:rsidRPr="00F176D8" w:rsidRDefault="00A0115D" w:rsidP="00A0115D">
      <w:pPr>
        <w:pStyle w:val="SingleTxtG"/>
        <w:rPr>
          <w:lang w:val="es-ES_tradnl"/>
        </w:rPr>
      </w:pPr>
      <w:r>
        <w:rPr>
          <w:lang w:val="es-ES_tradnl"/>
        </w:rPr>
        <w:t>124.</w:t>
      </w:r>
      <w:r>
        <w:rPr>
          <w:lang w:val="es-ES_tradnl"/>
        </w:rPr>
        <w:tab/>
      </w:r>
      <w:r w:rsidR="00A764EB" w:rsidRPr="00F176D8">
        <w:rPr>
          <w:lang w:val="es-ES_tradnl"/>
        </w:rPr>
        <w:t xml:space="preserve">Así, también se cuenta con la Resolución Administrativa </w:t>
      </w:r>
      <w:r w:rsidR="00403B5F">
        <w:rPr>
          <w:lang w:val="es-ES_tradnl"/>
        </w:rPr>
        <w:t>núm.</w:t>
      </w:r>
      <w:r w:rsidR="00A764EB" w:rsidRPr="00F176D8">
        <w:rPr>
          <w:lang w:val="es-ES_tradnl"/>
        </w:rPr>
        <w:t xml:space="preserve"> 040-2013-GG-PJ, que aprueba el “Reglamento de Derechos, Deberes y Sanciones de los Adolescentes en conflicto con la Ley Penal de los Centros Juveniles de Medio Cerrado del Poder Judicial</w:t>
      </w:r>
      <w:r w:rsidR="00A764EB" w:rsidRPr="00214959">
        <w:rPr>
          <w:rStyle w:val="Refdenotaalpie"/>
          <w:szCs w:val="22"/>
          <w:lang w:val="es-ES_tradnl"/>
        </w:rPr>
        <w:footnoteReference w:id="101"/>
      </w:r>
      <w:r w:rsidR="00A764EB" w:rsidRPr="00F176D8">
        <w:rPr>
          <w:lang w:val="es-ES_tradnl"/>
        </w:rPr>
        <w:t xml:space="preserve">”. </w:t>
      </w:r>
    </w:p>
    <w:p w:rsidR="00A764EB" w:rsidRPr="00F176D8" w:rsidRDefault="00A0115D" w:rsidP="00A0115D">
      <w:pPr>
        <w:pStyle w:val="SingleTxtG"/>
        <w:rPr>
          <w:lang w:val="es-ES_tradnl"/>
        </w:rPr>
      </w:pPr>
      <w:r>
        <w:rPr>
          <w:lang w:val="es-ES_tradnl"/>
        </w:rPr>
        <w:t>125.</w:t>
      </w:r>
      <w:r>
        <w:rPr>
          <w:lang w:val="es-ES_tradnl"/>
        </w:rPr>
        <w:tab/>
      </w:r>
      <w:r w:rsidR="00A764EB" w:rsidRPr="00F176D8">
        <w:rPr>
          <w:lang w:val="es-ES_tradnl"/>
        </w:rPr>
        <w:t>Dicha norma tiene la finalidad de establecer las disposiciones que se tomarán en cuenta para el manejo del comportamiento de los adolescentes que se encuentren cumpliendo con la medida socioeducativa de internación en los Centros Juveniles a nivel nacional, orientándolos de manera permanente a la adquisición de conductas responsables que les permita una interacción armoniosa con otros individuos, para así ayudar a lograr u</w:t>
      </w:r>
      <w:r>
        <w:rPr>
          <w:lang w:val="es-ES_tradnl"/>
        </w:rPr>
        <w:t>na adecuada reinserción social.</w:t>
      </w:r>
    </w:p>
    <w:p w:rsidR="00A764EB" w:rsidRPr="00F176D8" w:rsidRDefault="00A0115D" w:rsidP="00A0115D">
      <w:pPr>
        <w:pStyle w:val="SingleTxtG"/>
        <w:rPr>
          <w:lang w:val="es-ES_tradnl"/>
        </w:rPr>
      </w:pPr>
      <w:r>
        <w:rPr>
          <w:lang w:val="es-ES_tradnl"/>
        </w:rPr>
        <w:t>126.</w:t>
      </w:r>
      <w:r>
        <w:rPr>
          <w:lang w:val="es-ES_tradnl"/>
        </w:rPr>
        <w:tab/>
      </w:r>
      <w:r w:rsidR="00A764EB" w:rsidRPr="00F176D8">
        <w:rPr>
          <w:lang w:val="es-ES_tradnl"/>
        </w:rPr>
        <w:t>Además, se desarrollaron las siguientes capacitaciones en los Centros Juveniles a nivel nacional</w:t>
      </w:r>
      <w:r w:rsidR="00A764EB" w:rsidRPr="00214959">
        <w:rPr>
          <w:rStyle w:val="Refdenotaalpie"/>
          <w:szCs w:val="22"/>
          <w:lang w:val="es-ES_tradnl"/>
        </w:rPr>
        <w:footnoteReference w:id="102"/>
      </w:r>
      <w:r>
        <w:rPr>
          <w:lang w:val="es-ES_tradnl"/>
        </w:rPr>
        <w:t>:</w:t>
      </w:r>
    </w:p>
    <w:p w:rsidR="00A764EB" w:rsidRPr="00A0115D" w:rsidRDefault="00A0115D" w:rsidP="00742A2C">
      <w:pPr>
        <w:pStyle w:val="SingleTxtG"/>
        <w:ind w:left="1701"/>
        <w:rPr>
          <w:lang w:val="es-ES_tradnl"/>
        </w:rPr>
      </w:pPr>
      <w:r>
        <w:rPr>
          <w:lang w:val="es-ES_tradnl"/>
        </w:rPr>
        <w:t>126.1</w:t>
      </w:r>
      <w:r>
        <w:rPr>
          <w:lang w:val="es-ES_tradnl"/>
        </w:rPr>
        <w:tab/>
      </w:r>
      <w:r w:rsidR="00A764EB" w:rsidRPr="00F176D8">
        <w:rPr>
          <w:lang w:val="es-ES_tradnl"/>
        </w:rPr>
        <w:t>“Manejo de conductas agresivas y antisociales desde un modelo de intervención cognitivo – conductual”, dirigido a todos los psicólogos de los Centros Juveniles a nivel nacional.</w:t>
      </w:r>
    </w:p>
    <w:p w:rsidR="00A764EB" w:rsidRPr="00A0115D" w:rsidRDefault="00A0115D" w:rsidP="00742A2C">
      <w:pPr>
        <w:pStyle w:val="SingleTxtG"/>
        <w:ind w:left="1701"/>
        <w:rPr>
          <w:lang w:val="es-ES_tradnl"/>
        </w:rPr>
      </w:pPr>
      <w:r>
        <w:rPr>
          <w:lang w:val="es-ES_tradnl"/>
        </w:rPr>
        <w:t>126.2</w:t>
      </w:r>
      <w:r>
        <w:rPr>
          <w:lang w:val="es-ES_tradnl"/>
        </w:rPr>
        <w:tab/>
      </w:r>
      <w:r w:rsidR="00A764EB" w:rsidRPr="00F176D8">
        <w:rPr>
          <w:lang w:val="es-ES_tradnl"/>
        </w:rPr>
        <w:t>“Programas de intervención en adolescentes con problemas de comportamiento desde un enfoque de modificación de conducta”, el cual estuvo dirigido a todos los Educadores Sociales de los Centros Juveniles a nivel nacional.</w:t>
      </w:r>
    </w:p>
    <w:p w:rsidR="00A764EB" w:rsidRPr="00A0115D" w:rsidRDefault="00A0115D" w:rsidP="00742A2C">
      <w:pPr>
        <w:pStyle w:val="SingleTxtG"/>
        <w:ind w:left="1701"/>
        <w:rPr>
          <w:lang w:val="es-ES_tradnl"/>
        </w:rPr>
      </w:pPr>
      <w:r>
        <w:rPr>
          <w:lang w:val="es-ES_tradnl"/>
        </w:rPr>
        <w:t>126.3</w:t>
      </w:r>
      <w:r>
        <w:rPr>
          <w:lang w:val="es-ES_tradnl"/>
        </w:rPr>
        <w:tab/>
      </w:r>
      <w:r w:rsidR="00A764EB" w:rsidRPr="00F176D8">
        <w:rPr>
          <w:lang w:val="es-ES_tradnl"/>
        </w:rPr>
        <w:t>“Terapia Familiar Sistemática con adolescentes”, dirigido a todas las Trabajadoras Sociales de los Centros Juveniles a nivel nacional.</w:t>
      </w:r>
    </w:p>
    <w:p w:rsidR="00A764EB" w:rsidRPr="00A0115D" w:rsidRDefault="0015425F" w:rsidP="00742A2C">
      <w:pPr>
        <w:pStyle w:val="SingleTxtG"/>
        <w:ind w:left="1701"/>
        <w:rPr>
          <w:lang w:val="es-ES_tradnl"/>
        </w:rPr>
      </w:pPr>
      <w:r>
        <w:rPr>
          <w:lang w:val="es-ES_tradnl"/>
        </w:rPr>
        <w:t>126.4</w:t>
      </w:r>
      <w:r>
        <w:rPr>
          <w:lang w:val="es-ES_tradnl"/>
        </w:rPr>
        <w:tab/>
      </w:r>
      <w:r w:rsidR="00A764EB" w:rsidRPr="00F176D8">
        <w:rPr>
          <w:lang w:val="es-ES_tradnl"/>
        </w:rPr>
        <w:t xml:space="preserve">Curso virtual “Conceptos claves para la intervención de drogodependencias con personas en conflicto con la Ley Penal”, desarrollado por DEVIDA dirigido a todos los psicólogos de los Centros Juveniles a nivel nacional. </w:t>
      </w:r>
    </w:p>
    <w:p w:rsidR="00A764EB" w:rsidRPr="0015425F" w:rsidRDefault="0015425F" w:rsidP="0015425F">
      <w:pPr>
        <w:pStyle w:val="SingleTxtG"/>
        <w:rPr>
          <w:lang w:val="es-ES_tradnl"/>
        </w:rPr>
      </w:pPr>
      <w:r>
        <w:rPr>
          <w:lang w:val="es-ES_tradnl"/>
        </w:rPr>
        <w:t>127.</w:t>
      </w:r>
      <w:r>
        <w:rPr>
          <w:lang w:val="es-ES_tradnl"/>
        </w:rPr>
        <w:tab/>
      </w:r>
      <w:r w:rsidR="00A764EB" w:rsidRPr="00F176D8">
        <w:rPr>
          <w:lang w:val="es-ES_tradnl"/>
        </w:rPr>
        <w:t>Por otro lado, cabe señalar que en el  Plan Nacional de Acceso a la Justicia de las Personas en Condición de Vulnerabilidad 2016 – 2021</w:t>
      </w:r>
      <w:r w:rsidR="00A764EB" w:rsidRPr="00214959">
        <w:rPr>
          <w:rStyle w:val="Refdenotaalpie"/>
          <w:szCs w:val="22"/>
          <w:lang w:val="es-ES_tradnl"/>
        </w:rPr>
        <w:footnoteReference w:id="103"/>
      </w:r>
      <w:r w:rsidR="00A764EB" w:rsidRPr="00F176D8">
        <w:rPr>
          <w:lang w:val="es-ES_tradnl"/>
        </w:rPr>
        <w:t xml:space="preserve"> del PJ se encuentra establecido como Eje Estratégico </w:t>
      </w:r>
      <w:r w:rsidR="00403B5F">
        <w:rPr>
          <w:lang w:val="es-ES_tradnl"/>
        </w:rPr>
        <w:t>núm.</w:t>
      </w:r>
      <w:r w:rsidR="00A764EB" w:rsidRPr="00F176D8">
        <w:rPr>
          <w:lang w:val="es-ES_tradnl"/>
        </w:rPr>
        <w:t xml:space="preserve"> 2: </w:t>
      </w:r>
      <w:r w:rsidR="00A764EB" w:rsidRPr="00742A2C">
        <w:rPr>
          <w:i/>
          <w:lang w:val="es-ES_tradnl"/>
        </w:rPr>
        <w:t>“</w:t>
      </w:r>
      <w:r w:rsidR="00A764EB" w:rsidRPr="00F176D8">
        <w:rPr>
          <w:i/>
          <w:lang w:val="es-ES_tradnl"/>
        </w:rPr>
        <w:t>Adolescentes en conflicto con la Ley Penal</w:t>
      </w:r>
      <w:r w:rsidR="00A764EB" w:rsidRPr="00742A2C">
        <w:rPr>
          <w:i/>
          <w:lang w:val="es-ES_tradnl"/>
        </w:rPr>
        <w:t>”</w:t>
      </w:r>
      <w:r w:rsidR="00A764EB" w:rsidRPr="00F176D8">
        <w:rPr>
          <w:lang w:val="es-ES_tradnl"/>
        </w:rPr>
        <w:t xml:space="preserve">, siendo sus objetivos: </w:t>
      </w:r>
      <w:r w:rsidR="00A764EB" w:rsidRPr="00F176D8">
        <w:rPr>
          <w:b/>
          <w:i/>
          <w:lang w:val="es-ES_tradnl"/>
        </w:rPr>
        <w:t>i)</w:t>
      </w:r>
      <w:r w:rsidR="00A764EB" w:rsidRPr="00F176D8">
        <w:rPr>
          <w:lang w:val="es-ES_tradnl"/>
        </w:rPr>
        <w:t xml:space="preserve"> promover la aplicación de las medidas alternativas a la privación de libertad, al adolescente en conflicto con la ley penal; </w:t>
      </w:r>
      <w:r w:rsidR="00A764EB" w:rsidRPr="00F176D8">
        <w:rPr>
          <w:b/>
          <w:i/>
          <w:lang w:val="es-ES_tradnl"/>
        </w:rPr>
        <w:t>ii)</w:t>
      </w:r>
      <w:r w:rsidR="00A764EB" w:rsidRPr="00F176D8">
        <w:rPr>
          <w:lang w:val="es-ES_tradnl"/>
        </w:rPr>
        <w:t xml:space="preserve"> promover la protección de los derechos de los adolescentes en conflicto con la Ley Penal en los procesos judiciales; y, </w:t>
      </w:r>
      <w:r w:rsidR="00A764EB" w:rsidRPr="00F176D8">
        <w:rPr>
          <w:b/>
          <w:i/>
          <w:lang w:val="es-ES_tradnl"/>
        </w:rPr>
        <w:t>iii)</w:t>
      </w:r>
      <w:r w:rsidR="00A764EB" w:rsidRPr="00F176D8">
        <w:rPr>
          <w:lang w:val="es-ES_tradnl"/>
        </w:rPr>
        <w:t xml:space="preserve"> promover la rehabilitación y reinserción social del adolescente en conflicto con la Ley Penal.</w:t>
      </w:r>
    </w:p>
    <w:p w:rsidR="00A764EB" w:rsidRPr="00F176D8" w:rsidRDefault="00FF5926" w:rsidP="00FF5926">
      <w:pPr>
        <w:pStyle w:val="H23G"/>
        <w:rPr>
          <w:lang w:val="es-ES_tradnl"/>
        </w:rPr>
      </w:pPr>
      <w:bookmarkStart w:id="21" w:name="_Toc485946890"/>
      <w:r>
        <w:rPr>
          <w:lang w:val="es-ES_tradnl"/>
        </w:rPr>
        <w:tab/>
        <w:t>3.3.3</w:t>
      </w:r>
      <w:r>
        <w:rPr>
          <w:lang w:val="es-ES_tradnl"/>
        </w:rPr>
        <w:tab/>
      </w:r>
      <w:r w:rsidR="00A764EB" w:rsidRPr="00F176D8">
        <w:rPr>
          <w:lang w:val="es-ES_tradnl"/>
        </w:rPr>
        <w:t>Instituciones Psiquiátricas</w:t>
      </w:r>
      <w:bookmarkEnd w:id="21"/>
    </w:p>
    <w:p w:rsidR="00A764EB" w:rsidRPr="0015425F" w:rsidRDefault="0015425F" w:rsidP="0015425F">
      <w:pPr>
        <w:pStyle w:val="SingleTxtG"/>
        <w:rPr>
          <w:lang w:val="es-ES_tradnl"/>
        </w:rPr>
      </w:pPr>
      <w:r>
        <w:rPr>
          <w:lang w:val="es-ES_tradnl"/>
        </w:rPr>
        <w:t>128.</w:t>
      </w:r>
      <w:r>
        <w:rPr>
          <w:lang w:val="es-ES_tradnl"/>
        </w:rPr>
        <w:tab/>
      </w:r>
      <w:r w:rsidR="00A764EB" w:rsidRPr="00F176D8">
        <w:rPr>
          <w:lang w:val="es-ES_tradnl"/>
        </w:rPr>
        <w:t xml:space="preserve">El SPT recomienda en el </w:t>
      </w:r>
      <w:r w:rsidR="00A764EB" w:rsidRPr="00F176D8">
        <w:rPr>
          <w:b/>
        </w:rPr>
        <w:t>párrafo</w:t>
      </w:r>
      <w:r w:rsidR="00A764EB" w:rsidRPr="00F176D8">
        <w:rPr>
          <w:b/>
          <w:lang w:val="es-ES_tradnl"/>
        </w:rPr>
        <w:t xml:space="preserve"> 104</w:t>
      </w:r>
      <w:r w:rsidR="00A764EB" w:rsidRPr="00F176D8">
        <w:rPr>
          <w:lang w:val="es-ES_tradnl"/>
        </w:rPr>
        <w:t xml:space="preserve"> de su informe se adopten</w:t>
      </w:r>
      <w:r w:rsidR="00A764EB" w:rsidRPr="00F176D8">
        <w:rPr>
          <w:i/>
          <w:lang w:val="es-ES_tradnl"/>
        </w:rPr>
        <w:t xml:space="preserve"> </w:t>
      </w:r>
      <w:r w:rsidR="00A764EB" w:rsidRPr="00F176D8">
        <w:rPr>
          <w:lang w:val="es-ES_tradnl"/>
        </w:rPr>
        <w:t>medidas para asegurar que los jueces revisen periódicamente la situación de las personas sometidas a una medida de internación, con miras a garantizar el derecho a la libertad de los pacientes que se encuentran en situación de ser dados de alta.</w:t>
      </w:r>
    </w:p>
    <w:p w:rsidR="00A764EB" w:rsidRPr="00F176D8" w:rsidRDefault="0015425F" w:rsidP="0015425F">
      <w:pPr>
        <w:pStyle w:val="SingleTxtG"/>
        <w:rPr>
          <w:lang w:val="es-ES_tradnl"/>
        </w:rPr>
      </w:pPr>
      <w:r>
        <w:rPr>
          <w:lang w:val="es-ES_tradnl"/>
        </w:rPr>
        <w:lastRenderedPageBreak/>
        <w:t>129.</w:t>
      </w:r>
      <w:r>
        <w:rPr>
          <w:lang w:val="es-ES_tradnl"/>
        </w:rPr>
        <w:tab/>
      </w:r>
      <w:r w:rsidR="00A764EB" w:rsidRPr="00F176D8">
        <w:rPr>
          <w:lang w:val="es-ES_tradnl"/>
        </w:rPr>
        <w:t>En ese sentido, el artículo 3° del Reglamento del CEP</w:t>
      </w:r>
      <w:r w:rsidR="00A764EB" w:rsidRPr="00214959">
        <w:rPr>
          <w:rStyle w:val="Refdenotaalpie"/>
          <w:szCs w:val="22"/>
          <w:lang w:val="es-ES_tradnl"/>
        </w:rPr>
        <w:footnoteReference w:id="104"/>
      </w:r>
      <w:r w:rsidR="00A764EB" w:rsidRPr="00F176D8">
        <w:rPr>
          <w:lang w:val="es-ES_tradnl"/>
        </w:rPr>
        <w:t xml:space="preserve"> dispone que “La ejecución de la pena se cumplirá respetando los derechos fundamentales de la persona consagrados en la CPP y en el resto del ordenamiento jurídico peruano. Esta protección se extiende a todos los internos, tanto procesados, como sentenciados, respetando las disposiciones que establezcan los Tratados Int</w:t>
      </w:r>
      <w:r>
        <w:rPr>
          <w:lang w:val="es-ES_tradnl"/>
        </w:rPr>
        <w:t>ernacionales sobre la materia”.</w:t>
      </w:r>
    </w:p>
    <w:p w:rsidR="00A764EB" w:rsidRPr="00F176D8" w:rsidRDefault="0015425F" w:rsidP="0015425F">
      <w:pPr>
        <w:pStyle w:val="SingleTxtG"/>
        <w:rPr>
          <w:lang w:val="es-ES_tradnl"/>
        </w:rPr>
      </w:pPr>
      <w:r>
        <w:rPr>
          <w:lang w:val="es-ES_tradnl"/>
        </w:rPr>
        <w:t>130.</w:t>
      </w:r>
      <w:r>
        <w:rPr>
          <w:lang w:val="es-ES_tradnl"/>
        </w:rPr>
        <w:tab/>
      </w:r>
      <w:r w:rsidR="00A764EB" w:rsidRPr="00F176D8">
        <w:rPr>
          <w:lang w:val="es-ES_tradnl"/>
        </w:rPr>
        <w:t xml:space="preserve">En esa línea, el artículo 4° del mismo texto normativo se señala que el interno goza de sus derechos con las limitaciones que le impone la Ley, la sentencia y el régimen de vida del Establecimiento Penal, de acuerdo con lo establecido en los artículos 21° y 22° </w:t>
      </w:r>
      <w:r>
        <w:rPr>
          <w:lang w:val="es-ES_tradnl"/>
        </w:rPr>
        <w:t xml:space="preserve">del Código de Ejecución Penal. </w:t>
      </w:r>
    </w:p>
    <w:p w:rsidR="00A764EB" w:rsidRPr="00F176D8" w:rsidRDefault="0015425F" w:rsidP="0015425F">
      <w:pPr>
        <w:pStyle w:val="SingleTxtG"/>
      </w:pPr>
      <w:r>
        <w:t>131.</w:t>
      </w:r>
      <w:r>
        <w:tab/>
      </w:r>
      <w:r w:rsidR="00A764EB" w:rsidRPr="00F176D8">
        <w:t xml:space="preserve">El </w:t>
      </w:r>
      <w:r w:rsidR="00A764EB" w:rsidRPr="00F176D8">
        <w:rPr>
          <w:b/>
        </w:rPr>
        <w:t xml:space="preserve">párrafo 106 </w:t>
      </w:r>
      <w:r w:rsidR="00A764EB" w:rsidRPr="00F176D8">
        <w:t>del informe contiene la recomendación del SPT referida a la necesidad de adoptar una legislación que proteja los derechos de autodeterminación del paciente y defina criterios claros respecto a casos excepcionales en que el internamiento y tratamiento puedan realizarse si</w:t>
      </w:r>
      <w:r>
        <w:t xml:space="preserve">n consentimiento del paciente. </w:t>
      </w:r>
    </w:p>
    <w:p w:rsidR="00A764EB" w:rsidRPr="00F176D8" w:rsidRDefault="0015425F" w:rsidP="0015425F">
      <w:pPr>
        <w:pStyle w:val="SingleTxtG"/>
      </w:pPr>
      <w:r>
        <w:t>132.</w:t>
      </w:r>
      <w:r>
        <w:tab/>
      </w:r>
      <w:r w:rsidR="00A764EB" w:rsidRPr="00F176D8">
        <w:t xml:space="preserve">Al respecto, el Decreto Legislativo </w:t>
      </w:r>
      <w:r w:rsidR="00403B5F">
        <w:t>núm.</w:t>
      </w:r>
      <w:r w:rsidR="00A764EB" w:rsidRPr="00F176D8">
        <w:t xml:space="preserve"> 1325 dispuso que para el mejoramiento de la atención de la salud mental, las instituciones públicas del Sistema Nacional de Salud que brindan estos servicios coordinarán con el INPE e impulsarán programas de tratamiento integral que permitan la atención, medicación y/o traslado definitivo de las personas con problemas en salud mental a un centro especializado</w:t>
      </w:r>
      <w:r w:rsidR="00A764EB" w:rsidRPr="00214959">
        <w:rPr>
          <w:rStyle w:val="Refdenotaalpie"/>
          <w:szCs w:val="22"/>
        </w:rPr>
        <w:footnoteReference w:id="105"/>
      </w:r>
      <w:r w:rsidR="00B271C1">
        <w:t>.</w:t>
      </w:r>
    </w:p>
    <w:p w:rsidR="00A764EB" w:rsidRPr="00F176D8" w:rsidRDefault="0015425F" w:rsidP="0015425F">
      <w:pPr>
        <w:pStyle w:val="SingleTxtG"/>
      </w:pPr>
      <w:r>
        <w:t>133.</w:t>
      </w:r>
      <w:r>
        <w:tab/>
      </w:r>
      <w:r w:rsidR="00A764EB" w:rsidRPr="00F176D8">
        <w:t xml:space="preserve">Mediante el Decreto Supremo </w:t>
      </w:r>
      <w:r w:rsidR="00403B5F">
        <w:t>núm.</w:t>
      </w:r>
      <w:r w:rsidR="00A764EB" w:rsidRPr="00F176D8">
        <w:t xml:space="preserve"> 033-2015-SA</w:t>
      </w:r>
      <w:r w:rsidR="00A764EB" w:rsidRPr="00214959">
        <w:rPr>
          <w:rStyle w:val="Refdenotaalpie"/>
          <w:szCs w:val="22"/>
        </w:rPr>
        <w:footnoteReference w:id="106"/>
      </w:r>
      <w:r w:rsidR="00A764EB" w:rsidRPr="00F176D8">
        <w:t xml:space="preserve"> se aprobó el Reglamento de la Ley </w:t>
      </w:r>
      <w:r w:rsidR="00E568E5">
        <w:t>núm.</w:t>
      </w:r>
      <w:r w:rsidR="00A764EB" w:rsidRPr="00F176D8">
        <w:t xml:space="preserve"> 29889, Ley que modifica el artículo 11° de la Ley </w:t>
      </w:r>
      <w:r w:rsidR="00403B5F">
        <w:t>núm.</w:t>
      </w:r>
      <w:r w:rsidR="00A764EB" w:rsidRPr="00F176D8">
        <w:t xml:space="preserve"> 26842 (Ley General de Salud), donde se dispone la obligación de garantizar que las personas con problemas de salud mental tengan acceso universal y equitativo a las intervenciones de promoción y protección de la salud, prevención, tratamiento, recuperación y rehabilitación psicosocial, con visión integral y enfoque comunitario, de derechos humanos, género e interculturalidad, en los </w:t>
      </w:r>
      <w:r>
        <w:t>diferentes niveles de atención.</w:t>
      </w:r>
    </w:p>
    <w:p w:rsidR="00A764EB" w:rsidRPr="00F176D8" w:rsidRDefault="0015425F" w:rsidP="0015425F">
      <w:pPr>
        <w:pStyle w:val="SingleTxtG"/>
      </w:pPr>
      <w:r>
        <w:t>134.</w:t>
      </w:r>
      <w:r>
        <w:tab/>
      </w:r>
      <w:r w:rsidR="00A764EB" w:rsidRPr="00F176D8">
        <w:t xml:space="preserve">Asimismo, establece como derecho de las personas usuarias de los servicios de salud, acceder a: </w:t>
      </w:r>
      <w:r w:rsidR="00A764EB" w:rsidRPr="00F176D8">
        <w:rPr>
          <w:b/>
          <w:i/>
        </w:rPr>
        <w:t>i)</w:t>
      </w:r>
      <w:r w:rsidR="00A764EB" w:rsidRPr="00F176D8">
        <w:t xml:space="preserve"> a servicios de internamiento u hospitalización como recurso terapéutico de carácter excepcional; </w:t>
      </w:r>
      <w:r w:rsidR="00A764EB" w:rsidRPr="00F176D8">
        <w:rPr>
          <w:b/>
          <w:i/>
        </w:rPr>
        <w:t>ii)</w:t>
      </w:r>
      <w:r w:rsidR="00A764EB" w:rsidRPr="00F176D8">
        <w:t xml:space="preserve"> a servicios de internamiento u hospitalización en ambientes lo menos restrictivos posibles que corresponda a su necesidad de salud a fin de garantizar su dignidad y su integridad física; </w:t>
      </w:r>
      <w:r w:rsidR="00A764EB" w:rsidRPr="00F176D8">
        <w:rPr>
          <w:b/>
          <w:i/>
        </w:rPr>
        <w:t>iii)</w:t>
      </w:r>
      <w:r w:rsidR="00A764EB" w:rsidRPr="00F176D8">
        <w:t xml:space="preserve"> a otorgar su consentimiento informado, libre y voluntario, sin que medie ningún mecanismo que vicie su voluntad, para el procedimiento o tratamiento indicado</w:t>
      </w:r>
      <w:r w:rsidR="00A764EB" w:rsidRPr="00214959">
        <w:rPr>
          <w:rStyle w:val="Refdenotaalpie"/>
          <w:szCs w:val="22"/>
        </w:rPr>
        <w:footnoteReference w:id="107"/>
      </w:r>
      <w:r w:rsidR="00E568E5">
        <w:t>.</w:t>
      </w:r>
    </w:p>
    <w:p w:rsidR="00A764EB" w:rsidRPr="0015425F" w:rsidRDefault="00FF5926" w:rsidP="00FF5926">
      <w:pPr>
        <w:pStyle w:val="HChG"/>
        <w:rPr>
          <w:lang w:val="es-ES_tradnl"/>
        </w:rPr>
      </w:pPr>
      <w:bookmarkStart w:id="22" w:name="_Toc485946891"/>
      <w:r>
        <w:rPr>
          <w:lang w:val="es-ES_tradnl"/>
        </w:rPr>
        <w:tab/>
        <w:t>IV.</w:t>
      </w:r>
      <w:r>
        <w:rPr>
          <w:lang w:val="es-ES_tradnl"/>
        </w:rPr>
        <w:tab/>
      </w:r>
      <w:r w:rsidR="00A764EB" w:rsidRPr="00F176D8">
        <w:rPr>
          <w:lang w:val="es-ES_tradnl"/>
        </w:rPr>
        <w:t>Aspectos relativos al marco jurídico e institucional para la</w:t>
      </w:r>
      <w:r w:rsidR="00E568E5">
        <w:rPr>
          <w:lang w:val="es-ES_tradnl"/>
        </w:rPr>
        <w:t> </w:t>
      </w:r>
      <w:r w:rsidR="00A764EB" w:rsidRPr="00F176D8">
        <w:rPr>
          <w:lang w:val="es-ES_tradnl"/>
        </w:rPr>
        <w:t>prevención de la tortura y malos tratos</w:t>
      </w:r>
      <w:bookmarkEnd w:id="22"/>
      <w:r w:rsidR="00A764EB" w:rsidRPr="00F176D8">
        <w:rPr>
          <w:lang w:val="es-ES_tradnl"/>
        </w:rPr>
        <w:t xml:space="preserve"> </w:t>
      </w:r>
    </w:p>
    <w:p w:rsidR="00A764EB" w:rsidRPr="00F176D8" w:rsidRDefault="00FF5926" w:rsidP="00FF5926">
      <w:pPr>
        <w:pStyle w:val="H1G"/>
        <w:rPr>
          <w:lang w:val="es-ES_tradnl"/>
        </w:rPr>
      </w:pPr>
      <w:bookmarkStart w:id="23" w:name="_Toc485946892"/>
      <w:r>
        <w:rPr>
          <w:lang w:val="es-ES_tradnl"/>
        </w:rPr>
        <w:tab/>
        <w:t>4.1</w:t>
      </w:r>
      <w:r>
        <w:rPr>
          <w:lang w:val="es-ES_tradnl"/>
        </w:rPr>
        <w:tab/>
      </w:r>
      <w:r w:rsidR="00A764EB" w:rsidRPr="00F176D8">
        <w:rPr>
          <w:lang w:val="es-ES_tradnl"/>
        </w:rPr>
        <w:t>La definición de la tortura en el derecho interno</w:t>
      </w:r>
      <w:bookmarkEnd w:id="23"/>
      <w:r w:rsidR="00A764EB" w:rsidRPr="00F176D8">
        <w:rPr>
          <w:lang w:val="es-ES_tradnl"/>
        </w:rPr>
        <w:t xml:space="preserve"> </w:t>
      </w:r>
    </w:p>
    <w:p w:rsidR="00A764EB" w:rsidRPr="0015425F" w:rsidRDefault="0015425F" w:rsidP="0015425F">
      <w:pPr>
        <w:pStyle w:val="SingleTxtG"/>
        <w:rPr>
          <w:lang w:val="es-ES_tradnl"/>
        </w:rPr>
      </w:pPr>
      <w:r>
        <w:t>135.</w:t>
      </w:r>
      <w:r>
        <w:tab/>
      </w:r>
      <w:r w:rsidR="00A764EB" w:rsidRPr="00F176D8">
        <w:t>El</w:t>
      </w:r>
      <w:r w:rsidR="00A764EB" w:rsidRPr="00F176D8">
        <w:rPr>
          <w:lang w:val="es-ES_tradnl"/>
        </w:rPr>
        <w:t xml:space="preserve"> </w:t>
      </w:r>
      <w:r w:rsidR="00A764EB" w:rsidRPr="00F176D8">
        <w:t>SPT</w:t>
      </w:r>
      <w:r w:rsidR="00A764EB" w:rsidRPr="00F176D8">
        <w:rPr>
          <w:lang w:val="es-ES_tradnl"/>
        </w:rPr>
        <w:t xml:space="preserve"> recomienda en el </w:t>
      </w:r>
      <w:r w:rsidR="00A764EB" w:rsidRPr="00F176D8">
        <w:rPr>
          <w:b/>
          <w:lang w:val="es-ES_tradnl"/>
        </w:rPr>
        <w:t>párrafo 108</w:t>
      </w:r>
      <w:r w:rsidR="00A764EB" w:rsidRPr="00F176D8">
        <w:rPr>
          <w:lang w:val="es-ES_tradnl"/>
        </w:rPr>
        <w:t xml:space="preserve"> de su informe, la modificación del Código Penal para incluir una definición de la tortura que abarque todos los elementos que figuran en el artículo 1° de la CCT.</w:t>
      </w:r>
    </w:p>
    <w:p w:rsidR="00A764EB" w:rsidRPr="00F176D8" w:rsidRDefault="0015425F" w:rsidP="0015425F">
      <w:pPr>
        <w:pStyle w:val="SingleTxtG"/>
        <w:rPr>
          <w:lang w:val="es-ES_tradnl"/>
        </w:rPr>
      </w:pPr>
      <w:r>
        <w:rPr>
          <w:lang w:val="es-ES_tradnl"/>
        </w:rPr>
        <w:t>136.</w:t>
      </w:r>
      <w:r>
        <w:rPr>
          <w:lang w:val="es-ES_tradnl"/>
        </w:rPr>
        <w:tab/>
      </w:r>
      <w:r w:rsidR="00A764EB" w:rsidRPr="00F176D8">
        <w:rPr>
          <w:lang w:val="es-ES_tradnl"/>
        </w:rPr>
        <w:t xml:space="preserve">Al respecto, cabe mencionar que el tipo penal de tortura desarrollado en el artículo 321° del Código Penal (en adelante, “CP”) fue modificado mediante el Decreto Legislativo </w:t>
      </w:r>
      <w:r w:rsidR="00403B5F">
        <w:rPr>
          <w:lang w:val="es-ES_tradnl"/>
        </w:rPr>
        <w:t>núm.</w:t>
      </w:r>
      <w:r w:rsidR="00A764EB" w:rsidRPr="00F176D8">
        <w:rPr>
          <w:lang w:val="es-ES_tradnl"/>
        </w:rPr>
        <w:t xml:space="preserve"> 1351</w:t>
      </w:r>
      <w:r w:rsidR="00A764EB" w:rsidRPr="00214959">
        <w:rPr>
          <w:rStyle w:val="Refdenotaalpie"/>
          <w:szCs w:val="22"/>
          <w:lang w:val="es-ES_tradnl"/>
        </w:rPr>
        <w:footnoteReference w:id="108"/>
      </w:r>
      <w:r w:rsidR="00A764EB" w:rsidRPr="00F176D8">
        <w:rPr>
          <w:lang w:val="es-ES_tradnl"/>
        </w:rPr>
        <w:t xml:space="preserve">, disponiéndose que “el funcionario o servidor público, o cualquier persona con el consentimiento o aquiescencia de aquel, que inflige dolores o sufrimientos graves, </w:t>
      </w:r>
      <w:r w:rsidR="00A764EB" w:rsidRPr="00F176D8">
        <w:rPr>
          <w:lang w:val="es-ES_tradnl"/>
        </w:rPr>
        <w:lastRenderedPageBreak/>
        <w:t xml:space="preserve">sean físicos o mentales, a otra persona o la somete a cualquier método tendente a menoscabar su personalidad o disminuir su capacidad mental o física, será reprimido con pena privativa de libertad no menor de </w:t>
      </w:r>
      <w:r>
        <w:rPr>
          <w:lang w:val="es-ES_tradnl"/>
        </w:rPr>
        <w:t>ocho ni mayor de catorce años.”</w:t>
      </w:r>
    </w:p>
    <w:p w:rsidR="00A764EB" w:rsidRPr="00F176D8" w:rsidRDefault="0015425F" w:rsidP="0015425F">
      <w:pPr>
        <w:pStyle w:val="SingleTxtG"/>
        <w:rPr>
          <w:lang w:val="es-ES_tradnl"/>
        </w:rPr>
      </w:pPr>
      <w:r>
        <w:rPr>
          <w:lang w:val="es-ES_tradnl"/>
        </w:rPr>
        <w:t>137.</w:t>
      </w:r>
      <w:r>
        <w:rPr>
          <w:lang w:val="es-ES_tradnl"/>
        </w:rPr>
        <w:tab/>
      </w:r>
      <w:r w:rsidR="00A764EB" w:rsidRPr="00F176D8">
        <w:rPr>
          <w:lang w:val="es-ES_tradnl"/>
        </w:rPr>
        <w:t>En los supuestos que la víctima “i) resulte con lesión grave; ii) tenga menos de dieciocho años o sea mayor de sesenta años de edad; iii) padezca de cualquier tipo de discapacidad; iv) se encuentre en estado de gestación; y, v) se encuentre detenida o recluida, y el agente abuse de su condición de autoridad para cometer el delito, la pena privativa de libertad no será menor de quince ni m</w:t>
      </w:r>
      <w:r>
        <w:rPr>
          <w:lang w:val="es-ES_tradnl"/>
        </w:rPr>
        <w:t>ayor de veinte años”</w:t>
      </w:r>
      <w:r w:rsidR="00E568E5">
        <w:rPr>
          <w:lang w:val="es-ES_tradnl"/>
        </w:rPr>
        <w:t>.</w:t>
      </w:r>
      <w:r>
        <w:rPr>
          <w:lang w:val="es-ES_tradnl"/>
        </w:rPr>
        <w:t xml:space="preserve"> </w:t>
      </w:r>
    </w:p>
    <w:p w:rsidR="00A764EB" w:rsidRPr="00F176D8" w:rsidRDefault="0015425F" w:rsidP="0015425F">
      <w:pPr>
        <w:pStyle w:val="SingleTxtG"/>
        <w:rPr>
          <w:lang w:val="es-ES_tradnl"/>
        </w:rPr>
      </w:pPr>
      <w:r>
        <w:rPr>
          <w:lang w:val="es-ES_tradnl"/>
        </w:rPr>
        <w:t>138.</w:t>
      </w:r>
      <w:r>
        <w:rPr>
          <w:lang w:val="es-ES_tradnl"/>
        </w:rPr>
        <w:tab/>
      </w:r>
      <w:r w:rsidR="00A764EB" w:rsidRPr="00F176D8">
        <w:rPr>
          <w:lang w:val="es-ES_tradnl"/>
        </w:rPr>
        <w:t>En caso se produjera la muerte de la víctima y el agente haya podido prever ese resultado, la pena privativa de libertad es no menor de veint</w:t>
      </w:r>
      <w:r>
        <w:rPr>
          <w:lang w:val="es-ES_tradnl"/>
        </w:rPr>
        <w:t>e ni mayor de veinticinco años.</w:t>
      </w:r>
    </w:p>
    <w:p w:rsidR="00A764EB" w:rsidRPr="00F176D8" w:rsidRDefault="0015425F" w:rsidP="0015425F">
      <w:pPr>
        <w:pStyle w:val="SingleTxtG"/>
        <w:rPr>
          <w:lang w:val="es-ES_tradnl"/>
        </w:rPr>
      </w:pPr>
      <w:r>
        <w:rPr>
          <w:lang w:val="es-ES_tradnl"/>
        </w:rPr>
        <w:t>139.</w:t>
      </w:r>
      <w:r>
        <w:rPr>
          <w:lang w:val="es-ES_tradnl"/>
        </w:rPr>
        <w:tab/>
      </w:r>
      <w:r w:rsidR="00A764EB" w:rsidRPr="00F176D8">
        <w:rPr>
          <w:lang w:val="es-ES_tradnl"/>
        </w:rPr>
        <w:t>Con dicha modificación, se desvincula la condición de consumación de la tortura a una consecuencia material que no forma parte del acto valorado. Así, se considera pertinente que el sometimiento de la persona se materialice en la exposición a un método determinado, y este, a su vez, se encuentre orientado al menoscabo físico o mental, es decir, con la incorporación del término “tendente” el daño material a la capacidad mental o física solo se advierte potencial, logrando regresar el verdade</w:t>
      </w:r>
      <w:r>
        <w:rPr>
          <w:lang w:val="es-ES_tradnl"/>
        </w:rPr>
        <w:t xml:space="preserve">ro desvalor al acto aflictivo. </w:t>
      </w:r>
    </w:p>
    <w:p w:rsidR="00A764EB" w:rsidRPr="00F176D8" w:rsidRDefault="0015425F" w:rsidP="0015425F">
      <w:pPr>
        <w:pStyle w:val="SingleTxtG"/>
        <w:rPr>
          <w:lang w:val="es-ES_tradnl"/>
        </w:rPr>
      </w:pPr>
      <w:r>
        <w:rPr>
          <w:lang w:val="es-ES_tradnl"/>
        </w:rPr>
        <w:t>140.</w:t>
      </w:r>
      <w:r>
        <w:rPr>
          <w:lang w:val="es-ES_tradnl"/>
        </w:rPr>
        <w:tab/>
      </w:r>
      <w:r w:rsidR="00A764EB" w:rsidRPr="00F176D8">
        <w:rPr>
          <w:lang w:val="es-ES_tradnl"/>
        </w:rPr>
        <w:t xml:space="preserve">De otro lado, con anterioridad, se realizaron dos modificaciones a dicho Código, mediante la Ley </w:t>
      </w:r>
      <w:r w:rsidR="00403B5F">
        <w:rPr>
          <w:lang w:val="es-ES_tradnl"/>
        </w:rPr>
        <w:t>núm.</w:t>
      </w:r>
      <w:r w:rsidR="00A764EB" w:rsidRPr="00F176D8">
        <w:rPr>
          <w:lang w:val="es-ES_tradnl"/>
        </w:rPr>
        <w:t xml:space="preserve"> 30054</w:t>
      </w:r>
      <w:r w:rsidR="00A764EB" w:rsidRPr="00214959">
        <w:rPr>
          <w:rStyle w:val="Refdenotaalpie"/>
          <w:szCs w:val="22"/>
          <w:lang w:val="es-ES_tradnl"/>
        </w:rPr>
        <w:footnoteReference w:id="109"/>
      </w:r>
      <w:r w:rsidR="00A764EB" w:rsidRPr="00F176D8">
        <w:rPr>
          <w:lang w:val="es-ES_tradnl"/>
        </w:rPr>
        <w:t xml:space="preserve"> y Ley </w:t>
      </w:r>
      <w:r w:rsidR="00403B5F">
        <w:rPr>
          <w:lang w:val="es-ES_tradnl"/>
        </w:rPr>
        <w:t>núm.</w:t>
      </w:r>
      <w:r w:rsidR="00A764EB" w:rsidRPr="00F176D8">
        <w:rPr>
          <w:lang w:val="es-ES_tradnl"/>
        </w:rPr>
        <w:t xml:space="preserve"> 30077</w:t>
      </w:r>
      <w:r w:rsidR="00A764EB" w:rsidRPr="00214959">
        <w:rPr>
          <w:rStyle w:val="Refdenotaalpie"/>
          <w:szCs w:val="22"/>
          <w:lang w:val="es-ES_tradnl"/>
        </w:rPr>
        <w:footnoteReference w:id="110"/>
      </w:r>
      <w:r w:rsidR="00A764EB" w:rsidRPr="00F176D8">
        <w:rPr>
          <w:lang w:val="es-ES_tradnl"/>
        </w:rPr>
        <w:t xml:space="preserve"> cuyos alcances tienen efectos en la determinación de la pena en el tipo penal de</w:t>
      </w:r>
      <w:r>
        <w:rPr>
          <w:lang w:val="es-ES_tradnl"/>
        </w:rPr>
        <w:t xml:space="preserve"> tortura, entre otros delitos. </w:t>
      </w:r>
    </w:p>
    <w:p w:rsidR="00A764EB" w:rsidRPr="00F176D8" w:rsidRDefault="0015425F" w:rsidP="0015425F">
      <w:pPr>
        <w:pStyle w:val="SingleTxtG"/>
        <w:rPr>
          <w:lang w:val="es-ES_tradnl"/>
        </w:rPr>
      </w:pPr>
      <w:r>
        <w:rPr>
          <w:lang w:val="es-ES_tradnl"/>
        </w:rPr>
        <w:t>141.</w:t>
      </w:r>
      <w:r>
        <w:rPr>
          <w:lang w:val="es-ES_tradnl"/>
        </w:rPr>
        <w:tab/>
      </w:r>
      <w:r w:rsidR="00A764EB" w:rsidRPr="00F176D8">
        <w:rPr>
          <w:lang w:val="es-ES_tradnl"/>
        </w:rPr>
        <w:t xml:space="preserve">Con relación a la Ley </w:t>
      </w:r>
      <w:r w:rsidR="00403B5F">
        <w:rPr>
          <w:lang w:val="es-ES_tradnl"/>
        </w:rPr>
        <w:t>núm.</w:t>
      </w:r>
      <w:r w:rsidR="00A764EB" w:rsidRPr="00F176D8">
        <w:rPr>
          <w:lang w:val="es-ES_tradnl"/>
        </w:rPr>
        <w:t xml:space="preserve"> 30054</w:t>
      </w:r>
      <w:r w:rsidR="00A764EB" w:rsidRPr="00214959">
        <w:rPr>
          <w:rStyle w:val="Refdenotaalpie"/>
          <w:szCs w:val="22"/>
          <w:lang w:val="es-ES_tradnl"/>
        </w:rPr>
        <w:footnoteReference w:id="111"/>
      </w:r>
      <w:r w:rsidR="00A764EB" w:rsidRPr="00F176D8">
        <w:rPr>
          <w:lang w:val="es-ES_tradnl"/>
        </w:rPr>
        <w:t xml:space="preserve"> se ha establecido que el juez aumentará la pena hasta la mitad por encima del máximo legal, no pudiendo esta exceder de 35 años de pena privativa de libertad, cuando el sujeto activo se aprovecha de su condición de miembro de las Fuerzas Armadas, PNP, autoridad, funcionario o servidor público para cometer un hecho punible o utiliza para ello armas proporcionadas por el Estado o cuyo uso le sea autorizado p</w:t>
      </w:r>
      <w:r>
        <w:rPr>
          <w:lang w:val="es-ES_tradnl"/>
        </w:rPr>
        <w:t>or su condición de funcionario.</w:t>
      </w:r>
    </w:p>
    <w:p w:rsidR="00A764EB" w:rsidRPr="00F176D8" w:rsidRDefault="0015425F" w:rsidP="0015425F">
      <w:pPr>
        <w:pStyle w:val="SingleTxtG"/>
        <w:rPr>
          <w:lang w:val="es-ES_tradnl"/>
        </w:rPr>
      </w:pPr>
      <w:r>
        <w:rPr>
          <w:lang w:val="es-ES_tradnl"/>
        </w:rPr>
        <w:t>142.</w:t>
      </w:r>
      <w:r>
        <w:rPr>
          <w:lang w:val="es-ES_tradnl"/>
        </w:rPr>
        <w:tab/>
      </w:r>
      <w:r w:rsidR="00A764EB" w:rsidRPr="00F176D8">
        <w:rPr>
          <w:lang w:val="es-ES_tradnl"/>
        </w:rPr>
        <w:t xml:space="preserve">En la Ley </w:t>
      </w:r>
      <w:r w:rsidR="00403B5F">
        <w:rPr>
          <w:lang w:val="es-ES_tradnl"/>
        </w:rPr>
        <w:t>núm.</w:t>
      </w:r>
      <w:r w:rsidR="00A764EB" w:rsidRPr="00F176D8">
        <w:rPr>
          <w:lang w:val="es-ES_tradnl"/>
        </w:rPr>
        <w:t xml:space="preserve"> 30077</w:t>
      </w:r>
      <w:r w:rsidR="00A764EB" w:rsidRPr="00214959">
        <w:rPr>
          <w:rStyle w:val="Refdenotaalpie"/>
          <w:szCs w:val="22"/>
          <w:lang w:val="es-ES_tradnl"/>
        </w:rPr>
        <w:footnoteReference w:id="112"/>
      </w:r>
      <w:r w:rsidR="00A764EB" w:rsidRPr="00F176D8">
        <w:rPr>
          <w:lang w:val="es-ES_tradnl"/>
        </w:rPr>
        <w:t xml:space="preserve"> se establecen las reglas y los procedimientos sobre técnicas especiales de investigación, juzgamiento y sanción de delitos cometidos por organizaciones criminales, siendo compre</w:t>
      </w:r>
      <w:r>
        <w:rPr>
          <w:lang w:val="es-ES_tradnl"/>
        </w:rPr>
        <w:t xml:space="preserve">ndida la tortura uno de ellos. </w:t>
      </w:r>
    </w:p>
    <w:p w:rsidR="00A764EB" w:rsidRPr="00F176D8" w:rsidRDefault="0015425F" w:rsidP="0015425F">
      <w:pPr>
        <w:pStyle w:val="SingleTxtG"/>
        <w:rPr>
          <w:lang w:val="es-ES_tradnl"/>
        </w:rPr>
      </w:pPr>
      <w:r>
        <w:rPr>
          <w:lang w:val="es-ES_tradnl"/>
        </w:rPr>
        <w:t>143.</w:t>
      </w:r>
      <w:r>
        <w:rPr>
          <w:lang w:val="es-ES_tradnl"/>
        </w:rPr>
        <w:tab/>
      </w:r>
      <w:r w:rsidR="00A764EB" w:rsidRPr="00F176D8">
        <w:rPr>
          <w:lang w:val="es-ES_tradnl"/>
        </w:rPr>
        <w:t>Precisamente, en dicha norma se establecieron como criterios para la determinación del aumento de la pena, en la modalidad de agravante especial</w:t>
      </w:r>
      <w:r w:rsidR="00A764EB" w:rsidRPr="00214959">
        <w:rPr>
          <w:rStyle w:val="Refdenotaalpie"/>
          <w:szCs w:val="22"/>
          <w:lang w:val="es-ES_tradnl"/>
        </w:rPr>
        <w:footnoteReference w:id="113"/>
      </w:r>
      <w:r w:rsidR="00A764EB" w:rsidRPr="00F176D8">
        <w:rPr>
          <w:lang w:val="es-ES_tradnl"/>
        </w:rPr>
        <w:t>, entre otros, cuando el “agente es funcionario o servidor público y ha abusado de su cargo o se ha valido del mismo para cometer, fa</w:t>
      </w:r>
      <w:r>
        <w:rPr>
          <w:lang w:val="es-ES_tradnl"/>
        </w:rPr>
        <w:t xml:space="preserve">cilitar o encubrir el delito”. </w:t>
      </w:r>
    </w:p>
    <w:p w:rsidR="00A764EB" w:rsidRPr="00F176D8" w:rsidRDefault="0015425F" w:rsidP="0015425F">
      <w:pPr>
        <w:pStyle w:val="SingleTxtG"/>
        <w:rPr>
          <w:lang w:val="es-ES_tradnl"/>
        </w:rPr>
      </w:pPr>
      <w:r>
        <w:rPr>
          <w:lang w:val="es-ES_tradnl"/>
        </w:rPr>
        <w:t>144.</w:t>
      </w:r>
      <w:r>
        <w:rPr>
          <w:lang w:val="es-ES_tradnl"/>
        </w:rPr>
        <w:tab/>
      </w:r>
      <w:r w:rsidR="00A764EB" w:rsidRPr="00F176D8">
        <w:rPr>
          <w:lang w:val="es-ES_tradnl"/>
        </w:rPr>
        <w:t xml:space="preserve">Tratándose de ello, cuando, además, se comete el delito atentando contra “la integridad física o psicológica de menores de edad u otros inimputables” los responsables no podrán acceder a los beneficios penitenciarios de redención de pena por el trabajo y la educación, </w:t>
      </w:r>
      <w:proofErr w:type="spellStart"/>
      <w:r w:rsidR="00A764EB" w:rsidRPr="00F176D8">
        <w:rPr>
          <w:lang w:val="es-ES_tradnl"/>
        </w:rPr>
        <w:t>semilibertad</w:t>
      </w:r>
      <w:proofErr w:type="spellEnd"/>
      <w:r w:rsidR="00A764EB" w:rsidRPr="00F176D8">
        <w:rPr>
          <w:lang w:val="es-ES_tradnl"/>
        </w:rPr>
        <w:t xml:space="preserve"> y liberación condicional</w:t>
      </w:r>
      <w:r w:rsidR="00A764EB" w:rsidRPr="00214959">
        <w:rPr>
          <w:rStyle w:val="Refdenotaalpie"/>
          <w:szCs w:val="22"/>
          <w:lang w:val="es-ES_tradnl"/>
        </w:rPr>
        <w:footnoteReference w:id="114"/>
      </w:r>
      <w:r w:rsidR="00A647C0">
        <w:rPr>
          <w:lang w:val="es-ES_tradnl"/>
        </w:rPr>
        <w:t>.</w:t>
      </w:r>
    </w:p>
    <w:p w:rsidR="00A764EB" w:rsidRPr="00F176D8" w:rsidRDefault="00FF5926" w:rsidP="00FF5926">
      <w:pPr>
        <w:pStyle w:val="H1G"/>
        <w:rPr>
          <w:lang w:val="es-ES_tradnl"/>
        </w:rPr>
      </w:pPr>
      <w:bookmarkStart w:id="24" w:name="_Toc485946893"/>
      <w:r>
        <w:rPr>
          <w:lang w:val="es-ES_tradnl"/>
        </w:rPr>
        <w:tab/>
        <w:t>4.2</w:t>
      </w:r>
      <w:r>
        <w:rPr>
          <w:lang w:val="es-ES_tradnl"/>
        </w:rPr>
        <w:tab/>
      </w:r>
      <w:r w:rsidR="00A764EB" w:rsidRPr="00F176D8">
        <w:rPr>
          <w:lang w:val="es-ES_tradnl"/>
        </w:rPr>
        <w:t>La Defensa Pública</w:t>
      </w:r>
      <w:bookmarkEnd w:id="24"/>
    </w:p>
    <w:p w:rsidR="00A764EB" w:rsidRPr="0015425F" w:rsidRDefault="003B06B9" w:rsidP="003B06B9">
      <w:pPr>
        <w:pStyle w:val="SingleTxtG"/>
        <w:rPr>
          <w:lang w:val="es-ES_tradnl"/>
        </w:rPr>
      </w:pPr>
      <w:r>
        <w:t>145.</w:t>
      </w:r>
      <w:r>
        <w:tab/>
      </w:r>
      <w:r w:rsidR="00A764EB" w:rsidRPr="00F176D8">
        <w:t>En</w:t>
      </w:r>
      <w:r w:rsidR="00A764EB" w:rsidRPr="00F176D8">
        <w:rPr>
          <w:lang w:val="es-ES_tradnl"/>
        </w:rPr>
        <w:t xml:space="preserve"> el </w:t>
      </w:r>
      <w:r w:rsidR="00A764EB" w:rsidRPr="00F176D8">
        <w:rPr>
          <w:b/>
          <w:lang w:val="es-ES_tradnl"/>
        </w:rPr>
        <w:t>párrafo 112</w:t>
      </w:r>
      <w:r w:rsidR="00A764EB" w:rsidRPr="00F176D8">
        <w:rPr>
          <w:lang w:val="es-ES_tradnl"/>
        </w:rPr>
        <w:t xml:space="preserve"> del informe del SPT se recomienda la adopción de medidas dirigidas a fortalecer de manera significativa la Defensoría Pública, en particular en lo relativo a la dotación de recursos financieros y materiales adecuados para que pueda ofrecer una defensa jurídica adecuada a todas las PPL, incluida en materia de denuncia de tortura y malos tratos de que éstas hayan podido ser víctimas.</w:t>
      </w:r>
    </w:p>
    <w:p w:rsidR="00A764EB" w:rsidRPr="0015425F" w:rsidRDefault="003B06B9" w:rsidP="003B06B9">
      <w:pPr>
        <w:pStyle w:val="SingleTxtG"/>
      </w:pPr>
      <w:r>
        <w:lastRenderedPageBreak/>
        <w:t>146.</w:t>
      </w:r>
      <w:r>
        <w:tab/>
      </w:r>
      <w:r w:rsidR="00A764EB" w:rsidRPr="00F176D8">
        <w:t>Es función del MINJUS garantizar la defensa gratuita, reconocido en el numeral 16 del artículo 139º de la CPP y en el artículo IX del Nuevo Código Procesal Penal</w:t>
      </w:r>
      <w:r w:rsidR="00A764EB" w:rsidRPr="00214959">
        <w:rPr>
          <w:rStyle w:val="Refdenotaalpie"/>
          <w:szCs w:val="22"/>
        </w:rPr>
        <w:footnoteReference w:id="115"/>
      </w:r>
      <w:r w:rsidR="00A764EB" w:rsidRPr="00F176D8">
        <w:t>, a través de la Dirección General de Defensa Pública y Acceso a la Justicia</w:t>
      </w:r>
      <w:r w:rsidR="00A764EB" w:rsidRPr="00214959">
        <w:rPr>
          <w:rStyle w:val="Refdenotaalpie"/>
          <w:szCs w:val="22"/>
          <w:lang w:val="es-ES_tradnl"/>
        </w:rPr>
        <w:footnoteReference w:id="116"/>
      </w:r>
      <w:r w:rsidR="00A764EB" w:rsidRPr="00F176D8">
        <w:t xml:space="preserve"> (en adelante, “DGDPAJ”), brindando asistencia legal gratuita en materia penal, de familia, civil, laboral, a las víctimas de la vulneración de sus derechos en cualquiera de sus formas, a los menores infractores de la ley penal, y en los establecimientos penitenciarios cuando las personas no cuenten con recursos económicos, y en los demás casos en que la ley lo establezca expresamente</w:t>
      </w:r>
      <w:r w:rsidR="00A764EB" w:rsidRPr="00214959">
        <w:rPr>
          <w:rStyle w:val="Refdenotaalpie"/>
          <w:szCs w:val="22"/>
        </w:rPr>
        <w:footnoteReference w:id="117"/>
      </w:r>
      <w:r w:rsidR="00A647C0">
        <w:t>.</w:t>
      </w:r>
    </w:p>
    <w:p w:rsidR="00A764EB" w:rsidRPr="0015425F" w:rsidRDefault="003B06B9" w:rsidP="003B06B9">
      <w:pPr>
        <w:pStyle w:val="SingleTxtG"/>
        <w:rPr>
          <w:b/>
        </w:rPr>
      </w:pPr>
      <w:r>
        <w:t>147.</w:t>
      </w:r>
      <w:r>
        <w:tab/>
      </w:r>
      <w:r w:rsidR="00A764EB" w:rsidRPr="00F176D8">
        <w:t>Precisamente, la Dirección de Defensa Penal</w:t>
      </w:r>
      <w:r w:rsidR="00A764EB" w:rsidRPr="00214959">
        <w:rPr>
          <w:rStyle w:val="Refdenotaalpie"/>
          <w:szCs w:val="22"/>
          <w:lang w:val="es-ES_tradnl"/>
        </w:rPr>
        <w:footnoteReference w:id="118"/>
      </w:r>
      <w:r w:rsidR="00A764EB" w:rsidRPr="00F176D8">
        <w:t xml:space="preserve"> y la </w:t>
      </w:r>
      <w:r w:rsidR="00A764EB" w:rsidRPr="00F176D8">
        <w:rPr>
          <w:lang w:val="es-ES_tradnl"/>
        </w:rPr>
        <w:t>Dirección de Asistencia Legal y Defensa de Víctimas</w:t>
      </w:r>
      <w:r w:rsidR="00A764EB" w:rsidRPr="00214959">
        <w:rPr>
          <w:rStyle w:val="Refdenotaalpie"/>
          <w:szCs w:val="22"/>
          <w:lang w:val="es-ES_tradnl"/>
        </w:rPr>
        <w:footnoteReference w:id="119"/>
      </w:r>
      <w:r w:rsidR="00A764EB" w:rsidRPr="00F176D8">
        <w:rPr>
          <w:lang w:val="es-ES_tradnl"/>
        </w:rPr>
        <w:t xml:space="preserve"> </w:t>
      </w:r>
      <w:r w:rsidR="00A764EB" w:rsidRPr="00F176D8">
        <w:t>han brindado patrocinio a imputados y agraviados en procesos penales por tortura (115 nuevos patrocinios en el per</w:t>
      </w:r>
      <w:r w:rsidR="00A647C0">
        <w:t>í</w:t>
      </w:r>
      <w:r w:rsidR="00A764EB" w:rsidRPr="00F176D8">
        <w:t>odo enero 2014</w:t>
      </w:r>
      <w:r w:rsidR="00A647C0">
        <w:t>–</w:t>
      </w:r>
      <w:r w:rsidR="00A764EB" w:rsidRPr="00F176D8">
        <w:t>octubre 2016, 103</w:t>
      </w:r>
      <w:r w:rsidR="00A647C0">
        <w:t> </w:t>
      </w:r>
      <w:r w:rsidR="00A764EB" w:rsidRPr="00F176D8">
        <w:t xml:space="preserve">asumidos por la Dirección de Defensa Penal y 12 por la Dirección de Asistencia Legal y Defensa de Víctimas). </w:t>
      </w:r>
    </w:p>
    <w:p w:rsidR="00A764EB" w:rsidRPr="0015425F" w:rsidRDefault="003B06B9" w:rsidP="003B06B9">
      <w:pPr>
        <w:pStyle w:val="SingleTxtG"/>
      </w:pPr>
      <w:r>
        <w:t>148.</w:t>
      </w:r>
      <w:r>
        <w:tab/>
      </w:r>
      <w:r w:rsidR="00A764EB" w:rsidRPr="00F176D8">
        <w:t>A la fecha, se cuenta con 33 Direcciones Distritales y 1</w:t>
      </w:r>
      <w:r w:rsidR="00A647C0">
        <w:t>.</w:t>
      </w:r>
      <w:r w:rsidR="00A764EB" w:rsidRPr="00F176D8">
        <w:t xml:space="preserve">658 profesionales a nivel nacional conformado por: 972 Defensores Público Penal, 223 Defensores Públicos de Asistencia Legal, 272 Defensores Públicos de Víctimas, 12 Médicos Forenses, 8 Peritos </w:t>
      </w:r>
      <w:proofErr w:type="spellStart"/>
      <w:r w:rsidR="00A764EB" w:rsidRPr="00F176D8">
        <w:t>Criminalísticos</w:t>
      </w:r>
      <w:proofErr w:type="spellEnd"/>
      <w:r w:rsidR="00A764EB" w:rsidRPr="00F176D8">
        <w:t>, 16 Psicólogos Forenses, 68 Responsables en Trabajo Social y 87</w:t>
      </w:r>
      <w:r w:rsidR="00A647C0">
        <w:t> </w:t>
      </w:r>
      <w:r w:rsidR="00A764EB" w:rsidRPr="00F176D8">
        <w:t>Conciliadores Extrajudiciales</w:t>
      </w:r>
      <w:r w:rsidR="00A764EB" w:rsidRPr="00214959">
        <w:rPr>
          <w:rStyle w:val="Refdenotaalpie"/>
          <w:szCs w:val="22"/>
        </w:rPr>
        <w:footnoteReference w:id="120"/>
      </w:r>
      <w:r w:rsidR="00A647C0">
        <w:t>.</w:t>
      </w:r>
    </w:p>
    <w:p w:rsidR="00A764EB" w:rsidRPr="0015425F" w:rsidRDefault="003B06B9" w:rsidP="003B06B9">
      <w:pPr>
        <w:pStyle w:val="SingleTxtG"/>
      </w:pPr>
      <w:r>
        <w:t>149.</w:t>
      </w:r>
      <w:r>
        <w:tab/>
      </w:r>
      <w:r w:rsidR="00A764EB" w:rsidRPr="00F176D8">
        <w:t>Asimismo, en el periodo de enero a diciembre 2015, se efectuaron 115 eventos en temas relacionados con beneficios penitenciarios, resultando beneficiados un total de 11</w:t>
      </w:r>
      <w:r w:rsidR="00A647C0">
        <w:t>.</w:t>
      </w:r>
      <w:r w:rsidR="00A764EB" w:rsidRPr="00F176D8">
        <w:t>382 internos entre varones y mujeres. En el 2016, de enero a agosto, se efectuaron 96 eventos, beneficiando a 12</w:t>
      </w:r>
      <w:r w:rsidR="00A647C0">
        <w:t>.</w:t>
      </w:r>
      <w:r w:rsidR="00A764EB" w:rsidRPr="00F176D8">
        <w:t>174 internos varones y mujeres</w:t>
      </w:r>
      <w:r w:rsidR="00A764EB" w:rsidRPr="00214959">
        <w:rPr>
          <w:rStyle w:val="Refdenotaalpie"/>
          <w:szCs w:val="22"/>
        </w:rPr>
        <w:footnoteReference w:id="121"/>
      </w:r>
      <w:bookmarkStart w:id="25" w:name="_Toc485946894"/>
      <w:r w:rsidR="00A647C0">
        <w:t>.</w:t>
      </w:r>
    </w:p>
    <w:p w:rsidR="00A764EB" w:rsidRPr="0015425F" w:rsidRDefault="00FF5926" w:rsidP="00FF5926">
      <w:pPr>
        <w:pStyle w:val="H1G"/>
        <w:rPr>
          <w:lang w:val="es-ES_tradnl"/>
        </w:rPr>
      </w:pPr>
      <w:r>
        <w:rPr>
          <w:lang w:val="es-ES_tradnl"/>
        </w:rPr>
        <w:tab/>
        <w:t>4.3</w:t>
      </w:r>
      <w:r>
        <w:rPr>
          <w:lang w:val="es-ES_tradnl"/>
        </w:rPr>
        <w:tab/>
      </w:r>
      <w:r w:rsidR="00A764EB" w:rsidRPr="00F176D8">
        <w:rPr>
          <w:lang w:val="es-ES_tradnl"/>
        </w:rPr>
        <w:t>El problema de la impunidad</w:t>
      </w:r>
      <w:bookmarkEnd w:id="25"/>
    </w:p>
    <w:p w:rsidR="00A764EB" w:rsidRPr="0015425F" w:rsidRDefault="003B06B9" w:rsidP="003B06B9">
      <w:pPr>
        <w:pStyle w:val="SingleTxtG"/>
        <w:rPr>
          <w:lang w:val="es-ES_tradnl"/>
        </w:rPr>
      </w:pPr>
      <w:r>
        <w:rPr>
          <w:lang w:val="es-ES_tradnl"/>
        </w:rPr>
        <w:t>150.</w:t>
      </w:r>
      <w:r>
        <w:rPr>
          <w:lang w:val="es-ES_tradnl"/>
        </w:rPr>
        <w:tab/>
      </w:r>
      <w:r w:rsidR="00A764EB" w:rsidRPr="00F176D8">
        <w:rPr>
          <w:lang w:val="es-ES_tradnl"/>
        </w:rPr>
        <w:t xml:space="preserve">En el </w:t>
      </w:r>
      <w:r w:rsidR="00A764EB" w:rsidRPr="00F176D8">
        <w:rPr>
          <w:b/>
          <w:lang w:val="es-ES_tradnl"/>
        </w:rPr>
        <w:t xml:space="preserve">párrafo 117 </w:t>
      </w:r>
      <w:r w:rsidR="00A764EB" w:rsidRPr="00F176D8">
        <w:rPr>
          <w:lang w:val="es-ES_tradnl"/>
        </w:rPr>
        <w:t xml:space="preserve">del informe del SPT se recomienda, entre otras medidas, a la </w:t>
      </w:r>
      <w:r w:rsidR="00A764EB" w:rsidRPr="00F176D8">
        <w:t>responsabilidad</w:t>
      </w:r>
      <w:r w:rsidR="00A764EB" w:rsidRPr="00F176D8">
        <w:rPr>
          <w:lang w:val="es-ES_tradnl"/>
        </w:rPr>
        <w:t xml:space="preserve"> del Estado de velar porque los jueces, los fiscales y los profesionales de la salud y de otras esferas relacionadas con la documentación e investigación de tortura y malos tratos, reciban una formación adecuada sobre el Protocolo de Estambul. </w:t>
      </w:r>
    </w:p>
    <w:p w:rsidR="00A764EB" w:rsidRPr="0015425F" w:rsidRDefault="003B06B9" w:rsidP="003B06B9">
      <w:pPr>
        <w:pStyle w:val="SingleTxtG"/>
        <w:rPr>
          <w:lang w:val="es-ES_tradnl"/>
        </w:rPr>
      </w:pPr>
      <w:r>
        <w:rPr>
          <w:lang w:val="es-ES_tradnl"/>
        </w:rPr>
        <w:t>151.</w:t>
      </w:r>
      <w:r>
        <w:rPr>
          <w:lang w:val="es-ES_tradnl"/>
        </w:rPr>
        <w:tab/>
      </w:r>
      <w:r w:rsidR="00A764EB" w:rsidRPr="00F176D8">
        <w:rPr>
          <w:lang w:val="es-ES_tradnl"/>
        </w:rPr>
        <w:t>Al respecto, cabe señalar las medidas informadas en el párrafo 15.</w:t>
      </w:r>
    </w:p>
    <w:p w:rsidR="00A764EB" w:rsidRPr="0015425F" w:rsidRDefault="00FF5926" w:rsidP="00FF5926">
      <w:pPr>
        <w:pStyle w:val="H1G"/>
        <w:rPr>
          <w:lang w:val="es-ES_tradnl"/>
        </w:rPr>
      </w:pPr>
      <w:bookmarkStart w:id="26" w:name="_Toc485946895"/>
      <w:r>
        <w:rPr>
          <w:lang w:val="es-ES_tradnl"/>
        </w:rPr>
        <w:tab/>
        <w:t>4.4</w:t>
      </w:r>
      <w:r>
        <w:rPr>
          <w:lang w:val="es-ES_tradnl"/>
        </w:rPr>
        <w:tab/>
      </w:r>
      <w:r w:rsidR="00A764EB" w:rsidRPr="00F176D8">
        <w:rPr>
          <w:lang w:val="es-ES_tradnl"/>
        </w:rPr>
        <w:t>El problema de la corrupción</w:t>
      </w:r>
      <w:bookmarkEnd w:id="26"/>
      <w:r w:rsidR="00A764EB" w:rsidRPr="00F176D8">
        <w:rPr>
          <w:lang w:val="es-ES_tradnl"/>
        </w:rPr>
        <w:t xml:space="preserve"> </w:t>
      </w:r>
    </w:p>
    <w:p w:rsidR="00A764EB" w:rsidRPr="003B06B9" w:rsidRDefault="003B06B9" w:rsidP="003B06B9">
      <w:pPr>
        <w:pStyle w:val="SingleTxtG"/>
      </w:pPr>
      <w:r>
        <w:t>152.</w:t>
      </w:r>
      <w:r>
        <w:tab/>
      </w:r>
      <w:r w:rsidR="00A764EB" w:rsidRPr="003B06B9">
        <w:t xml:space="preserve">En el párrafo 127 del informe del SPT se recomienda que el Gobierno adopte y aplique una política firme y transparente de “tolerancia cero” contra la corrupción, abordando las condiciones estructurales que la producen. </w:t>
      </w:r>
    </w:p>
    <w:p w:rsidR="00A764EB" w:rsidRPr="003B06B9" w:rsidRDefault="003B06B9" w:rsidP="003B06B9">
      <w:pPr>
        <w:pStyle w:val="SingleTxtG"/>
      </w:pPr>
      <w:r>
        <w:t>153.</w:t>
      </w:r>
      <w:r>
        <w:tab/>
      </w:r>
      <w:r w:rsidR="00A764EB" w:rsidRPr="003B06B9">
        <w:t xml:space="preserve">En el Decreto Legislativo </w:t>
      </w:r>
      <w:r w:rsidR="00403B5F">
        <w:t>núm.</w:t>
      </w:r>
      <w:r w:rsidR="00A764EB" w:rsidRPr="003B06B9">
        <w:t xml:space="preserve"> 1325</w:t>
      </w:r>
      <w:r w:rsidR="00A764EB" w:rsidRPr="00214959">
        <w:rPr>
          <w:rStyle w:val="Refdenotaalpie"/>
        </w:rPr>
        <w:footnoteReference w:id="122"/>
      </w:r>
      <w:r w:rsidR="00A764EB" w:rsidRPr="003B06B9">
        <w:t xml:space="preserve"> que declara en emergencia y dicta medidas para la restructuración del Sistema Nacional Penitenciario y el INPE se han dispuesto diversas medidas de lucha contra la corrupción, estando entre ellas: </w:t>
      </w:r>
    </w:p>
    <w:p w:rsidR="00A764EB" w:rsidRPr="0015425F" w:rsidRDefault="00FF5926" w:rsidP="00742A2C">
      <w:pPr>
        <w:pStyle w:val="SingleTxtG"/>
        <w:ind w:left="1701"/>
        <w:rPr>
          <w:lang w:val="es-ES_tradnl"/>
        </w:rPr>
      </w:pPr>
      <w:r>
        <w:rPr>
          <w:lang w:val="es-ES_tradnl"/>
        </w:rPr>
        <w:tab/>
      </w:r>
      <w:r w:rsidR="003B06B9">
        <w:rPr>
          <w:lang w:val="es-ES_tradnl"/>
        </w:rPr>
        <w:t>153.1</w:t>
      </w:r>
      <w:r w:rsidR="003B06B9">
        <w:rPr>
          <w:lang w:val="es-ES_tradnl"/>
        </w:rPr>
        <w:tab/>
      </w:r>
      <w:r w:rsidR="00A764EB" w:rsidRPr="00F176D8">
        <w:rPr>
          <w:lang w:val="es-ES_tradnl"/>
        </w:rPr>
        <w:t xml:space="preserve">El INPE en un plazo no mayor de noventa (90) días implementará canales de denuncia ciudadana, de internos e internas, servidores, empresas </w:t>
      </w:r>
      <w:r w:rsidR="00A764EB" w:rsidRPr="00F176D8">
        <w:rPr>
          <w:lang w:val="es-ES_tradnl"/>
        </w:rPr>
        <w:lastRenderedPageBreak/>
        <w:t>proveedoras y otros; para recibir quejas y denuncias de actos de corrupción a través de mecanismos presenciales, virtuales y por teléfono, bajo responsabilidad funcional.</w:t>
      </w:r>
    </w:p>
    <w:p w:rsidR="00A764EB" w:rsidRPr="0015425F" w:rsidRDefault="003B06B9" w:rsidP="00742A2C">
      <w:pPr>
        <w:pStyle w:val="SingleTxtG"/>
        <w:ind w:left="1701"/>
        <w:rPr>
          <w:lang w:val="es-ES_tradnl"/>
        </w:rPr>
      </w:pPr>
      <w:r>
        <w:rPr>
          <w:lang w:val="es-ES_tradnl"/>
        </w:rPr>
        <w:tab/>
        <w:t>153.2</w:t>
      </w:r>
      <w:r>
        <w:rPr>
          <w:lang w:val="es-ES_tradnl"/>
        </w:rPr>
        <w:tab/>
      </w:r>
      <w:r w:rsidR="00A764EB" w:rsidRPr="00F176D8">
        <w:rPr>
          <w:lang w:val="es-ES_tradnl"/>
        </w:rPr>
        <w:t>Implementar sistemas de video vigilancia en los establecimientos penitenciarios y otras dependencias a nivel nacional, siendo prioritaria su ubicación en las áreas de prevención, tratamiento, rotondas, área de salud, puestos de vigilancia de los pabellones, entre otros, de acuerdo a la directiva que se emita, siempre que no vulnere la privacidad de las personas.</w:t>
      </w:r>
    </w:p>
    <w:p w:rsidR="00A764EB" w:rsidRPr="0015425F" w:rsidRDefault="003B06B9" w:rsidP="00742A2C">
      <w:pPr>
        <w:pStyle w:val="SingleTxtG"/>
        <w:ind w:left="1701"/>
        <w:rPr>
          <w:lang w:val="es-ES_tradnl"/>
        </w:rPr>
      </w:pPr>
      <w:r>
        <w:rPr>
          <w:lang w:val="es-ES_tradnl"/>
        </w:rPr>
        <w:tab/>
        <w:t>153.3</w:t>
      </w:r>
      <w:r>
        <w:rPr>
          <w:lang w:val="es-ES_tradnl"/>
        </w:rPr>
        <w:tab/>
      </w:r>
      <w:r w:rsidR="00A764EB" w:rsidRPr="00F176D8">
        <w:rPr>
          <w:lang w:val="es-ES_tradnl"/>
        </w:rPr>
        <w:t>Coordinar y ejecutar de manera permanente con las demás entidades integrantes del Sistema Nacional Penitenciario, a nivel nacional, operativos conjuntos de supervisión y control en las áreas de su competencia, en sus órganos desconcentrados, establecimientos penitenciarios y establecimientos de medio libre.</w:t>
      </w:r>
    </w:p>
    <w:p w:rsidR="00A764EB" w:rsidRPr="0015425F" w:rsidRDefault="003B06B9" w:rsidP="00742A2C">
      <w:pPr>
        <w:pStyle w:val="SingleTxtG"/>
        <w:ind w:left="1701"/>
        <w:rPr>
          <w:lang w:val="es-ES_tradnl"/>
        </w:rPr>
      </w:pPr>
      <w:r>
        <w:rPr>
          <w:lang w:val="es-ES_tradnl"/>
        </w:rPr>
        <w:tab/>
        <w:t>153.4</w:t>
      </w:r>
      <w:r>
        <w:rPr>
          <w:lang w:val="es-ES_tradnl"/>
        </w:rPr>
        <w:tab/>
      </w:r>
      <w:r w:rsidR="00A764EB" w:rsidRPr="00F176D8">
        <w:rPr>
          <w:lang w:val="es-ES_tradnl"/>
        </w:rPr>
        <w:t>En complemento a lo anterior, cabe señalar que en el Plan Anticorrupción del MINJUS 2013</w:t>
      </w:r>
      <w:r w:rsidR="00B34DBF">
        <w:rPr>
          <w:lang w:val="es-ES_tradnl"/>
        </w:rPr>
        <w:t>-</w:t>
      </w:r>
      <w:r w:rsidR="00A764EB" w:rsidRPr="00F176D8">
        <w:rPr>
          <w:lang w:val="es-ES_tradnl"/>
        </w:rPr>
        <w:t>2016</w:t>
      </w:r>
      <w:r w:rsidR="00A764EB" w:rsidRPr="00214959">
        <w:rPr>
          <w:rStyle w:val="Refdenotaalpie"/>
          <w:szCs w:val="22"/>
          <w:lang w:val="es-ES_tradnl"/>
        </w:rPr>
        <w:footnoteReference w:id="123"/>
      </w:r>
      <w:r w:rsidR="00A764EB" w:rsidRPr="00F176D8">
        <w:rPr>
          <w:lang w:val="es-ES_tradnl"/>
        </w:rPr>
        <w:t xml:space="preserve"> se cuenta con una </w:t>
      </w:r>
      <w:r w:rsidR="00A764EB" w:rsidRPr="00742A2C">
        <w:rPr>
          <w:i/>
          <w:lang w:val="es-ES_tradnl"/>
        </w:rPr>
        <w:t>“</w:t>
      </w:r>
      <w:r w:rsidR="00A764EB" w:rsidRPr="00F176D8">
        <w:rPr>
          <w:i/>
          <w:lang w:val="es-ES_tradnl"/>
        </w:rPr>
        <w:t>Matriz de seguimiento y monitoreo del Plan Anticorrupción del INPE, 2013</w:t>
      </w:r>
      <w:r w:rsidR="00A647C0">
        <w:rPr>
          <w:i/>
          <w:lang w:val="es-ES_tradnl"/>
        </w:rPr>
        <w:t>-</w:t>
      </w:r>
      <w:r w:rsidR="00A764EB" w:rsidRPr="00F176D8">
        <w:rPr>
          <w:i/>
          <w:lang w:val="es-ES_tradnl"/>
        </w:rPr>
        <w:t>2016</w:t>
      </w:r>
      <w:r w:rsidR="00A764EB" w:rsidRPr="00742A2C">
        <w:rPr>
          <w:i/>
          <w:lang w:val="es-ES_tradnl"/>
        </w:rPr>
        <w:t>”</w:t>
      </w:r>
      <w:r w:rsidR="00A764EB" w:rsidRPr="00F176D8">
        <w:rPr>
          <w:lang w:val="es-ES_tradnl"/>
        </w:rPr>
        <w:t xml:space="preserve">, que contiene cuatro (4) objetivos específicos referentes a: </w:t>
      </w:r>
      <w:r w:rsidR="00A764EB" w:rsidRPr="00F176D8">
        <w:rPr>
          <w:b/>
          <w:i/>
          <w:lang w:val="es-ES_tradnl"/>
        </w:rPr>
        <w:t>i)</w:t>
      </w:r>
      <w:r w:rsidR="00A764EB" w:rsidRPr="00F176D8">
        <w:rPr>
          <w:lang w:val="es-ES_tradnl"/>
        </w:rPr>
        <w:t xml:space="preserve"> articulación y coordinación interinstitucional para la lucha contra la corrupción; </w:t>
      </w:r>
      <w:r w:rsidR="00A764EB" w:rsidRPr="00F176D8">
        <w:rPr>
          <w:b/>
          <w:i/>
          <w:lang w:val="es-ES_tradnl"/>
        </w:rPr>
        <w:t>ii)</w:t>
      </w:r>
      <w:r w:rsidR="00A764EB" w:rsidRPr="00F176D8">
        <w:rPr>
          <w:lang w:val="es-ES_tradnl"/>
        </w:rPr>
        <w:t xml:space="preserve"> prevención eficaz de la corrupción; </w:t>
      </w:r>
      <w:r w:rsidR="00A764EB" w:rsidRPr="00F176D8">
        <w:rPr>
          <w:b/>
          <w:i/>
          <w:lang w:val="es-ES_tradnl"/>
        </w:rPr>
        <w:t>iii)</w:t>
      </w:r>
      <w:r w:rsidR="00A764EB" w:rsidRPr="00F176D8">
        <w:rPr>
          <w:lang w:val="es-ES_tradnl"/>
        </w:rPr>
        <w:t xml:space="preserve"> investigación y sanción oportuna y eficaz de la corrupción en el ámbito administrativo y judicial; y, </w:t>
      </w:r>
      <w:r w:rsidR="00A764EB" w:rsidRPr="00F176D8">
        <w:rPr>
          <w:b/>
          <w:i/>
          <w:lang w:val="es-ES_tradnl"/>
        </w:rPr>
        <w:t>iv)</w:t>
      </w:r>
      <w:r w:rsidR="00A764EB" w:rsidRPr="00F176D8">
        <w:rPr>
          <w:lang w:val="es-ES_tradnl"/>
        </w:rPr>
        <w:t xml:space="preserve"> promoción y articulación de la participación activa de la ciudadanía, sociedad civil y sector empresarial en la lucha contra la corrupción.</w:t>
      </w:r>
    </w:p>
    <w:p w:rsidR="00A764EB" w:rsidRPr="0015425F" w:rsidRDefault="00FF5926" w:rsidP="00FF5926">
      <w:pPr>
        <w:pStyle w:val="HChG"/>
        <w:rPr>
          <w:lang w:val="es-ES_tradnl"/>
        </w:rPr>
      </w:pPr>
      <w:bookmarkStart w:id="27" w:name="_Toc485946896"/>
      <w:r>
        <w:rPr>
          <w:lang w:val="es-ES_tradnl"/>
        </w:rPr>
        <w:tab/>
        <w:t>V.</w:t>
      </w:r>
      <w:r>
        <w:rPr>
          <w:lang w:val="es-ES_tradnl"/>
        </w:rPr>
        <w:tab/>
      </w:r>
      <w:r w:rsidR="00A764EB" w:rsidRPr="00F176D8">
        <w:rPr>
          <w:lang w:val="es-ES_tradnl"/>
        </w:rPr>
        <w:t>Conclusiones</w:t>
      </w:r>
      <w:bookmarkEnd w:id="27"/>
    </w:p>
    <w:p w:rsidR="00A764EB" w:rsidRPr="0015425F" w:rsidRDefault="007758CF" w:rsidP="007758CF">
      <w:pPr>
        <w:pStyle w:val="SingleTxtG"/>
        <w:rPr>
          <w:lang w:val="es-ES_tradnl"/>
        </w:rPr>
      </w:pPr>
      <w:r>
        <w:rPr>
          <w:lang w:val="es-ES_tradnl"/>
        </w:rPr>
        <w:t>154.</w:t>
      </w:r>
      <w:r>
        <w:rPr>
          <w:lang w:val="es-ES_tradnl"/>
        </w:rPr>
        <w:tab/>
      </w:r>
      <w:r w:rsidR="00A764EB" w:rsidRPr="00F176D8">
        <w:rPr>
          <w:lang w:val="es-ES_tradnl"/>
        </w:rPr>
        <w:t>El Estado peruano siendo consciente de la obligación de garantizar los derechos de todas las personas frente a los actos de tortura, tratos crueles, inhumanos y degradantes se compromete a seguir dando continuidad y sostenimiento a las medidas que han sido mencionadas.</w:t>
      </w:r>
    </w:p>
    <w:p w:rsidR="00A764EB" w:rsidRDefault="007758CF" w:rsidP="007758CF">
      <w:pPr>
        <w:pStyle w:val="SingleTxtG"/>
        <w:rPr>
          <w:lang w:val="es-ES_tradnl"/>
        </w:rPr>
      </w:pPr>
      <w:r>
        <w:t>155.</w:t>
      </w:r>
      <w:r>
        <w:tab/>
      </w:r>
      <w:r w:rsidR="00A764EB" w:rsidRPr="00F176D8">
        <w:t xml:space="preserve">Asimismo, el Perú se compromete a asegurar una amplia difusión del informe del SPT [CAT/OP-PER/R.1] a fin de fomentar la implementación </w:t>
      </w:r>
      <w:r w:rsidR="00A764EB" w:rsidRPr="00F176D8">
        <w:rPr>
          <w:lang w:val="es-ES_tradnl"/>
        </w:rPr>
        <w:t>y cumplimiento de las recomendaciones contenidas en este.</w:t>
      </w:r>
    </w:p>
    <w:p w:rsidR="007758CF" w:rsidRDefault="007758CF">
      <w:pPr>
        <w:spacing w:line="240" w:lineRule="auto"/>
        <w:rPr>
          <w:lang w:val="es-ES_tradnl"/>
        </w:rPr>
      </w:pPr>
      <w:r>
        <w:rPr>
          <w:lang w:val="es-ES_tradnl"/>
        </w:rPr>
        <w:br w:type="page"/>
      </w:r>
    </w:p>
    <w:p w:rsidR="007758CF" w:rsidRPr="00356ACC" w:rsidRDefault="009E4A9F" w:rsidP="009E4A9F">
      <w:pPr>
        <w:pStyle w:val="HChG"/>
      </w:pPr>
      <w:r>
        <w:lastRenderedPageBreak/>
        <w:t>Anexo</w:t>
      </w:r>
    </w:p>
    <w:p w:rsidR="007758CF" w:rsidRPr="00356ACC" w:rsidRDefault="009E4A9F" w:rsidP="009E4A9F">
      <w:pPr>
        <w:pStyle w:val="HChG"/>
      </w:pPr>
      <w:r>
        <w:rPr>
          <w:lang w:eastAsia="es-PE"/>
        </w:rPr>
        <w:tab/>
      </w:r>
      <w:r>
        <w:rPr>
          <w:lang w:eastAsia="es-PE"/>
        </w:rPr>
        <w:tab/>
        <w:t xml:space="preserve">INPE: </w:t>
      </w:r>
      <w:r w:rsidRPr="00356ACC">
        <w:rPr>
          <w:lang w:eastAsia="es-PE"/>
        </w:rPr>
        <w:t>consolidado de la capacidad de albergue por establecimientos penitenciarios</w:t>
      </w:r>
      <w:r>
        <w:rPr>
          <w:lang w:eastAsia="es-PE"/>
        </w:rPr>
        <w:t xml:space="preserve"> (mayo de 2017)</w:t>
      </w:r>
    </w:p>
    <w:tbl>
      <w:tblPr>
        <w:tblW w:w="9637" w:type="dxa"/>
        <w:tblLayout w:type="fixed"/>
        <w:tblCellMar>
          <w:left w:w="0" w:type="dxa"/>
          <w:right w:w="0" w:type="dxa"/>
        </w:tblCellMar>
        <w:tblLook w:val="04A0" w:firstRow="1" w:lastRow="0" w:firstColumn="1" w:lastColumn="0" w:noHBand="0" w:noVBand="1"/>
      </w:tblPr>
      <w:tblGrid>
        <w:gridCol w:w="2324"/>
        <w:gridCol w:w="1023"/>
        <w:gridCol w:w="880"/>
        <w:gridCol w:w="1024"/>
        <w:gridCol w:w="1024"/>
        <w:gridCol w:w="1395"/>
        <w:gridCol w:w="890"/>
        <w:gridCol w:w="1077"/>
      </w:tblGrid>
      <w:tr w:rsidR="009572BD" w:rsidRPr="00C14FEC" w:rsidTr="009572BD">
        <w:trPr>
          <w:tblHeader/>
        </w:trPr>
        <w:tc>
          <w:tcPr>
            <w:tcW w:w="2324" w:type="dxa"/>
            <w:vMerge w:val="restart"/>
            <w:tcBorders>
              <w:top w:val="single" w:sz="4" w:space="0" w:color="auto"/>
            </w:tcBorders>
            <w:shd w:val="clear" w:color="auto" w:fill="auto"/>
            <w:vAlign w:val="bottom"/>
          </w:tcPr>
          <w:p w:rsidR="009572BD" w:rsidRPr="00C14FEC" w:rsidRDefault="009572BD" w:rsidP="00C14FEC">
            <w:pPr>
              <w:spacing w:before="80" w:after="80" w:line="200" w:lineRule="exact"/>
              <w:rPr>
                <w:i/>
                <w:sz w:val="16"/>
                <w:lang w:eastAsia="es-PE"/>
              </w:rPr>
            </w:pPr>
            <w:r w:rsidRPr="00C14FEC">
              <w:rPr>
                <w:i/>
                <w:sz w:val="16"/>
                <w:lang w:eastAsia="es-PE"/>
              </w:rPr>
              <w:t>Oficinas regionales</w:t>
            </w:r>
          </w:p>
        </w:tc>
        <w:tc>
          <w:tcPr>
            <w:tcW w:w="1023" w:type="dxa"/>
            <w:vMerge w:val="restart"/>
            <w:tcBorders>
              <w:top w:val="single" w:sz="4" w:space="0" w:color="auto"/>
            </w:tcBorders>
            <w:shd w:val="clear" w:color="auto" w:fill="auto"/>
            <w:vAlign w:val="bottom"/>
          </w:tcPr>
          <w:p w:rsidR="009572BD" w:rsidRPr="00C14FEC" w:rsidRDefault="009572BD" w:rsidP="009572BD">
            <w:pPr>
              <w:spacing w:before="80" w:after="80" w:line="200" w:lineRule="exact"/>
              <w:rPr>
                <w:i/>
                <w:sz w:val="16"/>
                <w:lang w:eastAsia="es-PE"/>
              </w:rPr>
            </w:pPr>
            <w:r w:rsidRPr="00C14FEC">
              <w:rPr>
                <w:i/>
                <w:sz w:val="16"/>
                <w:lang w:eastAsia="es-PE"/>
              </w:rPr>
              <w:t>DPTO</w:t>
            </w:r>
          </w:p>
        </w:tc>
        <w:tc>
          <w:tcPr>
            <w:tcW w:w="4323" w:type="dxa"/>
            <w:gridSpan w:val="4"/>
            <w:tcBorders>
              <w:top w:val="single" w:sz="4" w:space="0" w:color="auto"/>
              <w:bottom w:val="single" w:sz="4" w:space="0" w:color="auto"/>
              <w:right w:val="single" w:sz="24" w:space="0" w:color="FFFFFF" w:themeColor="background1"/>
            </w:tcBorders>
            <w:shd w:val="clear" w:color="auto" w:fill="auto"/>
            <w:vAlign w:val="bottom"/>
          </w:tcPr>
          <w:p w:rsidR="009572BD" w:rsidRPr="00C14FEC" w:rsidRDefault="009572BD" w:rsidP="009572BD">
            <w:pPr>
              <w:spacing w:before="80" w:after="80" w:line="200" w:lineRule="exact"/>
              <w:jc w:val="center"/>
              <w:rPr>
                <w:i/>
                <w:sz w:val="16"/>
                <w:lang w:eastAsia="es-PE"/>
              </w:rPr>
            </w:pPr>
            <w:r w:rsidRPr="009E4A9F">
              <w:rPr>
                <w:i/>
                <w:sz w:val="16"/>
                <w:lang w:eastAsia="es-PE"/>
              </w:rPr>
              <w:t>Capacidad de albergue a la fecha</w:t>
            </w:r>
          </w:p>
        </w:tc>
        <w:tc>
          <w:tcPr>
            <w:tcW w:w="1967" w:type="dxa"/>
            <w:gridSpan w:val="2"/>
            <w:tcBorders>
              <w:top w:val="single" w:sz="4" w:space="0" w:color="auto"/>
              <w:left w:val="single" w:sz="24" w:space="0" w:color="FFFFFF" w:themeColor="background1"/>
              <w:bottom w:val="single" w:sz="4" w:space="0" w:color="auto"/>
            </w:tcBorders>
            <w:shd w:val="clear" w:color="auto" w:fill="auto"/>
            <w:vAlign w:val="bottom"/>
          </w:tcPr>
          <w:p w:rsidR="009572BD" w:rsidRPr="00C14FEC" w:rsidRDefault="009572BD" w:rsidP="009572BD">
            <w:pPr>
              <w:spacing w:before="80" w:after="80" w:line="200" w:lineRule="exact"/>
              <w:jc w:val="center"/>
              <w:rPr>
                <w:i/>
                <w:sz w:val="16"/>
                <w:lang w:eastAsia="es-PE"/>
              </w:rPr>
            </w:pPr>
            <w:r w:rsidRPr="009E4A9F">
              <w:rPr>
                <w:i/>
                <w:sz w:val="16"/>
                <w:lang w:eastAsia="es-PE"/>
              </w:rPr>
              <w:t>Proyección de ampliación de unidades de albergue al 2021</w:t>
            </w:r>
          </w:p>
        </w:tc>
      </w:tr>
      <w:tr w:rsidR="009572BD" w:rsidRPr="00C14FEC" w:rsidTr="009572BD">
        <w:trPr>
          <w:tblHeader/>
        </w:trPr>
        <w:tc>
          <w:tcPr>
            <w:tcW w:w="2324" w:type="dxa"/>
            <w:vMerge/>
            <w:shd w:val="clear" w:color="auto" w:fill="auto"/>
            <w:vAlign w:val="bottom"/>
          </w:tcPr>
          <w:p w:rsidR="009572BD" w:rsidRPr="00C14FEC" w:rsidRDefault="009572BD" w:rsidP="00C14FEC">
            <w:pPr>
              <w:spacing w:before="80" w:after="80" w:line="200" w:lineRule="exact"/>
              <w:rPr>
                <w:i/>
                <w:sz w:val="16"/>
                <w:lang w:eastAsia="es-PE"/>
              </w:rPr>
            </w:pPr>
          </w:p>
        </w:tc>
        <w:tc>
          <w:tcPr>
            <w:tcW w:w="1023" w:type="dxa"/>
            <w:vMerge/>
            <w:shd w:val="clear" w:color="auto" w:fill="auto"/>
            <w:vAlign w:val="bottom"/>
          </w:tcPr>
          <w:p w:rsidR="009572BD" w:rsidRPr="00C14FEC" w:rsidRDefault="009572BD" w:rsidP="00C14FEC">
            <w:pPr>
              <w:spacing w:before="80" w:after="80" w:line="200" w:lineRule="exact"/>
              <w:jc w:val="right"/>
              <w:rPr>
                <w:i/>
                <w:sz w:val="16"/>
                <w:lang w:eastAsia="es-PE"/>
              </w:rPr>
            </w:pPr>
          </w:p>
        </w:tc>
        <w:tc>
          <w:tcPr>
            <w:tcW w:w="880" w:type="dxa"/>
            <w:vMerge w:val="restart"/>
            <w:tcBorders>
              <w:top w:val="single" w:sz="4" w:space="0" w:color="auto"/>
            </w:tcBorders>
            <w:shd w:val="clear" w:color="auto" w:fill="auto"/>
            <w:vAlign w:val="bottom"/>
          </w:tcPr>
          <w:p w:rsidR="009572BD" w:rsidRPr="00C14FEC" w:rsidRDefault="009572BD" w:rsidP="00C14FEC">
            <w:pPr>
              <w:spacing w:before="80" w:after="80" w:line="200" w:lineRule="exact"/>
              <w:jc w:val="right"/>
              <w:rPr>
                <w:i/>
                <w:sz w:val="16"/>
                <w:lang w:eastAsia="es-PE"/>
              </w:rPr>
            </w:pPr>
            <w:r w:rsidRPr="00C14FEC">
              <w:rPr>
                <w:i/>
                <w:sz w:val="16"/>
                <w:lang w:eastAsia="es-PE"/>
              </w:rPr>
              <w:t xml:space="preserve">A </w:t>
            </w:r>
            <w:r w:rsidR="00C97111" w:rsidRPr="00C14FEC">
              <w:rPr>
                <w:i/>
                <w:sz w:val="16"/>
                <w:lang w:eastAsia="es-PE"/>
              </w:rPr>
              <w:t xml:space="preserve">junio </w:t>
            </w:r>
            <w:r w:rsidRPr="00C14FEC">
              <w:rPr>
                <w:i/>
                <w:sz w:val="16"/>
                <w:lang w:eastAsia="es-PE"/>
              </w:rPr>
              <w:t>2011</w:t>
            </w:r>
          </w:p>
        </w:tc>
        <w:tc>
          <w:tcPr>
            <w:tcW w:w="1024" w:type="dxa"/>
            <w:vMerge w:val="restart"/>
            <w:tcBorders>
              <w:top w:val="single" w:sz="4" w:space="0" w:color="auto"/>
            </w:tcBorders>
            <w:shd w:val="clear" w:color="auto" w:fill="auto"/>
            <w:vAlign w:val="bottom"/>
          </w:tcPr>
          <w:p w:rsidR="009572BD" w:rsidRPr="00C14FEC" w:rsidRDefault="009572BD" w:rsidP="00C14FEC">
            <w:pPr>
              <w:spacing w:before="80" w:after="80" w:line="200" w:lineRule="exact"/>
              <w:jc w:val="right"/>
              <w:rPr>
                <w:i/>
                <w:sz w:val="16"/>
                <w:lang w:eastAsia="es-PE"/>
              </w:rPr>
            </w:pPr>
            <w:r w:rsidRPr="00C14FEC">
              <w:rPr>
                <w:i/>
                <w:sz w:val="16"/>
                <w:lang w:eastAsia="es-PE"/>
              </w:rPr>
              <w:t>Ejecución 2016 (Incluye cierre de penales)</w:t>
            </w:r>
          </w:p>
        </w:tc>
        <w:tc>
          <w:tcPr>
            <w:tcW w:w="1024" w:type="dxa"/>
            <w:vMerge w:val="restart"/>
            <w:tcBorders>
              <w:top w:val="single" w:sz="4" w:space="0" w:color="auto"/>
            </w:tcBorders>
            <w:shd w:val="clear" w:color="auto" w:fill="auto"/>
            <w:vAlign w:val="bottom"/>
          </w:tcPr>
          <w:p w:rsidR="009572BD" w:rsidRPr="00C14FEC" w:rsidRDefault="009572BD" w:rsidP="004B2994">
            <w:pPr>
              <w:spacing w:before="80" w:after="80" w:line="200" w:lineRule="exact"/>
              <w:jc w:val="right"/>
              <w:rPr>
                <w:i/>
                <w:sz w:val="16"/>
                <w:lang w:eastAsia="es-PE"/>
              </w:rPr>
            </w:pPr>
            <w:r w:rsidRPr="00C14FEC">
              <w:rPr>
                <w:i/>
                <w:sz w:val="16"/>
                <w:lang w:eastAsia="es-PE"/>
              </w:rPr>
              <w:t>Capacidad de albergue al 30</w:t>
            </w:r>
            <w:r w:rsidR="004B2994">
              <w:rPr>
                <w:i/>
                <w:sz w:val="16"/>
                <w:lang w:eastAsia="es-PE"/>
              </w:rPr>
              <w:t xml:space="preserve"> de junio de </w:t>
            </w:r>
            <w:r w:rsidRPr="00C14FEC">
              <w:rPr>
                <w:i/>
                <w:sz w:val="16"/>
                <w:lang w:eastAsia="es-PE"/>
              </w:rPr>
              <w:t>2016</w:t>
            </w:r>
          </w:p>
        </w:tc>
        <w:tc>
          <w:tcPr>
            <w:tcW w:w="1395" w:type="dxa"/>
            <w:vMerge w:val="restart"/>
            <w:tcBorders>
              <w:top w:val="single" w:sz="4" w:space="0" w:color="auto"/>
              <w:right w:val="single" w:sz="24" w:space="0" w:color="FFFFFF" w:themeColor="background1"/>
            </w:tcBorders>
            <w:shd w:val="clear" w:color="auto" w:fill="auto"/>
            <w:vAlign w:val="bottom"/>
          </w:tcPr>
          <w:p w:rsidR="009572BD" w:rsidRPr="00C14FEC" w:rsidRDefault="009572BD" w:rsidP="004B2994">
            <w:pPr>
              <w:spacing w:before="80" w:after="80" w:line="200" w:lineRule="exact"/>
              <w:jc w:val="right"/>
              <w:rPr>
                <w:i/>
                <w:sz w:val="16"/>
                <w:lang w:eastAsia="es-PE"/>
              </w:rPr>
            </w:pPr>
            <w:r w:rsidRPr="00C14FEC">
              <w:rPr>
                <w:i/>
                <w:sz w:val="16"/>
                <w:lang w:eastAsia="es-PE"/>
              </w:rPr>
              <w:t xml:space="preserve">Capacidad de Albergue </w:t>
            </w:r>
            <w:r w:rsidR="004B2994">
              <w:rPr>
                <w:i/>
                <w:sz w:val="16"/>
                <w:lang w:eastAsia="es-PE"/>
              </w:rPr>
              <w:t>t</w:t>
            </w:r>
            <w:r w:rsidRPr="00C14FEC">
              <w:rPr>
                <w:i/>
                <w:sz w:val="16"/>
                <w:lang w:eastAsia="es-PE"/>
              </w:rPr>
              <w:t>otal 30</w:t>
            </w:r>
            <w:r w:rsidR="004B2994">
              <w:rPr>
                <w:i/>
                <w:sz w:val="16"/>
                <w:lang w:eastAsia="es-PE"/>
              </w:rPr>
              <w:t xml:space="preserve"> de junio de 2016</w:t>
            </w:r>
          </w:p>
        </w:tc>
        <w:tc>
          <w:tcPr>
            <w:tcW w:w="1967" w:type="dxa"/>
            <w:gridSpan w:val="2"/>
            <w:tcBorders>
              <w:top w:val="single" w:sz="4" w:space="0" w:color="auto"/>
              <w:left w:val="single" w:sz="24" w:space="0" w:color="FFFFFF" w:themeColor="background1"/>
              <w:bottom w:val="single" w:sz="4" w:space="0" w:color="auto"/>
            </w:tcBorders>
            <w:shd w:val="clear" w:color="auto" w:fill="auto"/>
            <w:vAlign w:val="bottom"/>
          </w:tcPr>
          <w:p w:rsidR="009572BD" w:rsidRPr="00C14FEC" w:rsidRDefault="009572BD" w:rsidP="009572BD">
            <w:pPr>
              <w:spacing w:before="80" w:after="80" w:line="200" w:lineRule="exact"/>
              <w:jc w:val="center"/>
              <w:rPr>
                <w:i/>
                <w:sz w:val="16"/>
                <w:lang w:eastAsia="es-PE"/>
              </w:rPr>
            </w:pPr>
            <w:r w:rsidRPr="00C14FEC">
              <w:rPr>
                <w:i/>
                <w:sz w:val="16"/>
                <w:lang w:eastAsia="es-PE"/>
              </w:rPr>
              <w:t xml:space="preserve">Unidades de </w:t>
            </w:r>
            <w:r w:rsidR="00C97111" w:rsidRPr="00C14FEC">
              <w:rPr>
                <w:i/>
                <w:sz w:val="16"/>
                <w:lang w:eastAsia="es-PE"/>
              </w:rPr>
              <w:t xml:space="preserve">albergue </w:t>
            </w:r>
            <w:r w:rsidRPr="00C14FEC">
              <w:rPr>
                <w:i/>
                <w:sz w:val="16"/>
                <w:lang w:eastAsia="es-PE"/>
              </w:rPr>
              <w:t>2017</w:t>
            </w:r>
          </w:p>
        </w:tc>
      </w:tr>
      <w:tr w:rsidR="009572BD" w:rsidRPr="00C14FEC" w:rsidTr="00742A2C">
        <w:trPr>
          <w:trHeight w:val="695"/>
          <w:tblHeader/>
        </w:trPr>
        <w:tc>
          <w:tcPr>
            <w:tcW w:w="2324" w:type="dxa"/>
            <w:vMerge/>
            <w:tcBorders>
              <w:bottom w:val="single" w:sz="12" w:space="0" w:color="auto"/>
            </w:tcBorders>
            <w:shd w:val="clear" w:color="auto" w:fill="auto"/>
            <w:vAlign w:val="bottom"/>
            <w:hideMark/>
          </w:tcPr>
          <w:p w:rsidR="009572BD" w:rsidRPr="00C14FEC" w:rsidRDefault="009572BD" w:rsidP="00C14FEC">
            <w:pPr>
              <w:spacing w:before="80" w:after="80" w:line="200" w:lineRule="exact"/>
              <w:rPr>
                <w:i/>
                <w:sz w:val="16"/>
                <w:lang w:eastAsia="es-PE"/>
              </w:rPr>
            </w:pPr>
          </w:p>
        </w:tc>
        <w:tc>
          <w:tcPr>
            <w:tcW w:w="1023" w:type="dxa"/>
            <w:vMerge/>
            <w:tcBorders>
              <w:bottom w:val="single" w:sz="12" w:space="0" w:color="auto"/>
            </w:tcBorders>
            <w:shd w:val="clear" w:color="auto" w:fill="auto"/>
            <w:vAlign w:val="bottom"/>
            <w:hideMark/>
          </w:tcPr>
          <w:p w:rsidR="009572BD" w:rsidRPr="00C14FEC" w:rsidRDefault="009572BD" w:rsidP="00C14FEC">
            <w:pPr>
              <w:spacing w:before="80" w:after="80" w:line="200" w:lineRule="exact"/>
              <w:jc w:val="right"/>
              <w:rPr>
                <w:i/>
                <w:sz w:val="16"/>
                <w:lang w:eastAsia="es-PE"/>
              </w:rPr>
            </w:pPr>
          </w:p>
        </w:tc>
        <w:tc>
          <w:tcPr>
            <w:tcW w:w="880" w:type="dxa"/>
            <w:vMerge/>
            <w:tcBorders>
              <w:bottom w:val="single" w:sz="12" w:space="0" w:color="auto"/>
            </w:tcBorders>
            <w:shd w:val="clear" w:color="auto" w:fill="auto"/>
            <w:vAlign w:val="bottom"/>
            <w:hideMark/>
          </w:tcPr>
          <w:p w:rsidR="009572BD" w:rsidRPr="00C14FEC" w:rsidRDefault="009572BD" w:rsidP="00C14FEC">
            <w:pPr>
              <w:spacing w:before="80" w:after="80" w:line="200" w:lineRule="exact"/>
              <w:jc w:val="right"/>
              <w:rPr>
                <w:i/>
                <w:sz w:val="16"/>
                <w:lang w:eastAsia="es-PE"/>
              </w:rPr>
            </w:pPr>
          </w:p>
        </w:tc>
        <w:tc>
          <w:tcPr>
            <w:tcW w:w="1024" w:type="dxa"/>
            <w:vMerge/>
            <w:tcBorders>
              <w:bottom w:val="single" w:sz="12" w:space="0" w:color="auto"/>
            </w:tcBorders>
            <w:shd w:val="clear" w:color="auto" w:fill="auto"/>
            <w:vAlign w:val="bottom"/>
            <w:hideMark/>
          </w:tcPr>
          <w:p w:rsidR="009572BD" w:rsidRPr="00C14FEC" w:rsidRDefault="009572BD" w:rsidP="00C14FEC">
            <w:pPr>
              <w:spacing w:before="80" w:after="80" w:line="200" w:lineRule="exact"/>
              <w:jc w:val="right"/>
              <w:rPr>
                <w:i/>
                <w:sz w:val="16"/>
                <w:lang w:eastAsia="es-PE"/>
              </w:rPr>
            </w:pPr>
          </w:p>
        </w:tc>
        <w:tc>
          <w:tcPr>
            <w:tcW w:w="1024" w:type="dxa"/>
            <w:vMerge/>
            <w:tcBorders>
              <w:bottom w:val="single" w:sz="12" w:space="0" w:color="auto"/>
            </w:tcBorders>
            <w:shd w:val="clear" w:color="auto" w:fill="auto"/>
            <w:vAlign w:val="bottom"/>
            <w:hideMark/>
          </w:tcPr>
          <w:p w:rsidR="009572BD" w:rsidRPr="00C14FEC" w:rsidRDefault="009572BD" w:rsidP="00C14FEC">
            <w:pPr>
              <w:spacing w:before="80" w:after="80" w:line="200" w:lineRule="exact"/>
              <w:jc w:val="right"/>
              <w:rPr>
                <w:i/>
                <w:sz w:val="16"/>
                <w:lang w:eastAsia="es-PE"/>
              </w:rPr>
            </w:pPr>
          </w:p>
        </w:tc>
        <w:tc>
          <w:tcPr>
            <w:tcW w:w="1395" w:type="dxa"/>
            <w:vMerge/>
            <w:tcBorders>
              <w:bottom w:val="single" w:sz="12" w:space="0" w:color="auto"/>
              <w:right w:val="single" w:sz="24" w:space="0" w:color="FFFFFF" w:themeColor="background1"/>
            </w:tcBorders>
            <w:shd w:val="clear" w:color="auto" w:fill="auto"/>
            <w:vAlign w:val="bottom"/>
            <w:hideMark/>
          </w:tcPr>
          <w:p w:rsidR="009572BD" w:rsidRPr="00C14FEC" w:rsidRDefault="009572BD" w:rsidP="00C14FEC">
            <w:pPr>
              <w:spacing w:before="80" w:after="80" w:line="200" w:lineRule="exact"/>
              <w:jc w:val="right"/>
              <w:rPr>
                <w:i/>
                <w:sz w:val="16"/>
                <w:lang w:eastAsia="es-PE"/>
              </w:rPr>
            </w:pPr>
          </w:p>
        </w:tc>
        <w:tc>
          <w:tcPr>
            <w:tcW w:w="890" w:type="dxa"/>
            <w:tcBorders>
              <w:top w:val="single" w:sz="4" w:space="0" w:color="auto"/>
              <w:left w:val="single" w:sz="24" w:space="0" w:color="FFFFFF" w:themeColor="background1"/>
              <w:bottom w:val="single" w:sz="12" w:space="0" w:color="auto"/>
              <w:right w:val="single" w:sz="4" w:space="0" w:color="auto"/>
            </w:tcBorders>
            <w:shd w:val="clear" w:color="auto" w:fill="auto"/>
            <w:vAlign w:val="bottom"/>
            <w:hideMark/>
          </w:tcPr>
          <w:p w:rsidR="009572BD" w:rsidRDefault="009572BD" w:rsidP="00C14FEC">
            <w:pPr>
              <w:spacing w:before="80" w:after="80" w:line="200" w:lineRule="exact"/>
              <w:jc w:val="right"/>
              <w:rPr>
                <w:i/>
                <w:sz w:val="16"/>
                <w:lang w:eastAsia="es-PE"/>
              </w:rPr>
            </w:pPr>
          </w:p>
          <w:p w:rsidR="009572BD" w:rsidRPr="00C14FEC" w:rsidRDefault="009572BD" w:rsidP="00C14FEC">
            <w:pPr>
              <w:spacing w:before="80" w:after="80" w:line="200" w:lineRule="exact"/>
              <w:jc w:val="right"/>
              <w:rPr>
                <w:i/>
                <w:sz w:val="16"/>
                <w:lang w:eastAsia="es-PE"/>
              </w:rPr>
            </w:pPr>
            <w:r w:rsidRPr="00C14FEC">
              <w:rPr>
                <w:i/>
                <w:sz w:val="16"/>
                <w:lang w:eastAsia="es-PE"/>
              </w:rPr>
              <w:t xml:space="preserve"> O.R.</w:t>
            </w:r>
          </w:p>
        </w:tc>
        <w:tc>
          <w:tcPr>
            <w:tcW w:w="1077" w:type="dxa"/>
            <w:tcBorders>
              <w:top w:val="single" w:sz="4" w:space="0" w:color="auto"/>
              <w:left w:val="single" w:sz="4" w:space="0" w:color="auto"/>
              <w:bottom w:val="single" w:sz="12" w:space="0" w:color="auto"/>
            </w:tcBorders>
            <w:shd w:val="clear" w:color="auto" w:fill="auto"/>
            <w:vAlign w:val="bottom"/>
          </w:tcPr>
          <w:p w:rsidR="009572BD" w:rsidRPr="00C14FEC" w:rsidRDefault="009572BD" w:rsidP="00C14FEC">
            <w:pPr>
              <w:spacing w:before="80" w:after="80" w:line="200" w:lineRule="exact"/>
              <w:jc w:val="right"/>
              <w:rPr>
                <w:i/>
                <w:sz w:val="16"/>
                <w:lang w:eastAsia="es-PE"/>
              </w:rPr>
            </w:pPr>
            <w:r w:rsidRPr="00C14FEC">
              <w:rPr>
                <w:i/>
                <w:sz w:val="16"/>
                <w:lang w:eastAsia="es-PE"/>
              </w:rPr>
              <w:t xml:space="preserve"> </w:t>
            </w:r>
          </w:p>
          <w:p w:rsidR="009572BD" w:rsidRPr="00C14FEC" w:rsidRDefault="009572BD" w:rsidP="00C14FEC">
            <w:pPr>
              <w:spacing w:before="80" w:after="80" w:line="200" w:lineRule="exact"/>
              <w:jc w:val="right"/>
              <w:rPr>
                <w:i/>
                <w:sz w:val="16"/>
                <w:lang w:eastAsia="es-PE"/>
              </w:rPr>
            </w:pPr>
            <w:r w:rsidRPr="00C14FEC">
              <w:rPr>
                <w:i/>
                <w:sz w:val="16"/>
                <w:lang w:eastAsia="es-PE"/>
              </w:rPr>
              <w:t>OIP UOE+MANT</w:t>
            </w:r>
          </w:p>
        </w:tc>
      </w:tr>
      <w:tr w:rsidR="009E4A9F" w:rsidRPr="00C14FEC" w:rsidTr="00742A2C">
        <w:tc>
          <w:tcPr>
            <w:tcW w:w="7670" w:type="dxa"/>
            <w:gridSpan w:val="6"/>
            <w:tcBorders>
              <w:top w:val="single" w:sz="12" w:space="0" w:color="auto"/>
            </w:tcBorders>
            <w:shd w:val="clear" w:color="auto" w:fill="auto"/>
            <w:noWrap/>
            <w:hideMark/>
          </w:tcPr>
          <w:p w:rsidR="007758CF" w:rsidRPr="00C14FEC" w:rsidRDefault="009572BD" w:rsidP="00C14FEC">
            <w:pPr>
              <w:spacing w:before="40" w:after="40" w:line="220" w:lineRule="exact"/>
              <w:rPr>
                <w:b/>
                <w:sz w:val="18"/>
                <w:lang w:eastAsia="es-PE"/>
              </w:rPr>
            </w:pPr>
            <w:r w:rsidRPr="00C14FEC">
              <w:rPr>
                <w:b/>
                <w:sz w:val="18"/>
                <w:lang w:eastAsia="es-PE"/>
              </w:rPr>
              <w:t>Oficina Regional Norte - Chiclayo</w:t>
            </w:r>
          </w:p>
        </w:tc>
        <w:tc>
          <w:tcPr>
            <w:tcW w:w="890" w:type="dxa"/>
            <w:tcBorders>
              <w:top w:val="single" w:sz="12"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 </w:t>
            </w:r>
          </w:p>
        </w:tc>
        <w:tc>
          <w:tcPr>
            <w:tcW w:w="1077" w:type="dxa"/>
            <w:tcBorders>
              <w:top w:val="single" w:sz="12"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 </w:t>
            </w:r>
          </w:p>
        </w:tc>
      </w:tr>
      <w:tr w:rsidR="009572BD" w:rsidRPr="00C14FEC" w:rsidTr="00742A2C">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Tumbes (Nuevo)</w:t>
            </w:r>
          </w:p>
        </w:tc>
        <w:tc>
          <w:tcPr>
            <w:tcW w:w="1023" w:type="dxa"/>
            <w:shd w:val="clear" w:color="auto" w:fill="auto"/>
            <w:vAlign w:val="bottom"/>
            <w:hideMark/>
          </w:tcPr>
          <w:p w:rsidR="007758CF" w:rsidRPr="00C14FEC" w:rsidRDefault="007758CF" w:rsidP="00C97111">
            <w:pPr>
              <w:spacing w:before="40" w:after="40" w:line="220" w:lineRule="exact"/>
              <w:rPr>
                <w:sz w:val="18"/>
                <w:lang w:eastAsia="es-PE"/>
              </w:rPr>
            </w:pPr>
            <w:r w:rsidRPr="00C14FEC">
              <w:rPr>
                <w:sz w:val="18"/>
                <w:lang w:eastAsia="es-PE"/>
              </w:rPr>
              <w:t>Tumbes</w:t>
            </w:r>
          </w:p>
        </w:tc>
        <w:tc>
          <w:tcPr>
            <w:tcW w:w="880" w:type="dxa"/>
            <w:shd w:val="clear" w:color="auto" w:fill="auto"/>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384</w:t>
            </w:r>
          </w:p>
        </w:tc>
        <w:tc>
          <w:tcPr>
            <w:tcW w:w="1024" w:type="dxa"/>
            <w:shd w:val="clear" w:color="auto" w:fill="auto"/>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384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384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192</w:t>
            </w: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Piura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Piura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370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370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370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Huancabamba</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Sullana (Mujeres)</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Chiclayo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Lambayeque</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143</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143</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143</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Trujillo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La Libertad</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134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384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518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518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Mujeres de Trujillo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160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160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160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Pacasmayo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Cajamarca   </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Cajamarca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432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456</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888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888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Chota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65</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65</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65</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Jaen</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San Ignacio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150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150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top w:val="single" w:sz="4" w:space="0" w:color="auto"/>
              <w:bottom w:val="single" w:sz="4" w:space="0" w:color="auto"/>
            </w:tcBorders>
            <w:shd w:val="clear" w:color="auto" w:fill="auto"/>
            <w:noWrap/>
            <w:hideMark/>
          </w:tcPr>
          <w:p w:rsidR="007758CF" w:rsidRPr="00C14FEC" w:rsidRDefault="007758CF" w:rsidP="00742A2C">
            <w:pPr>
              <w:spacing w:before="80" w:after="80" w:line="220" w:lineRule="exact"/>
              <w:rPr>
                <w:sz w:val="18"/>
                <w:lang w:eastAsia="es-PE"/>
              </w:rPr>
            </w:pPr>
            <w:r w:rsidRPr="00C14FEC">
              <w:rPr>
                <w:sz w:val="18"/>
                <w:lang w:eastAsia="es-PE"/>
              </w:rPr>
              <w:t> </w:t>
            </w:r>
          </w:p>
        </w:tc>
        <w:tc>
          <w:tcPr>
            <w:tcW w:w="1023"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sz w:val="18"/>
                <w:lang w:eastAsia="es-PE"/>
              </w:rPr>
            </w:pPr>
            <w:r w:rsidRPr="00C14FEC">
              <w:rPr>
                <w:sz w:val="18"/>
                <w:lang w:eastAsia="es-PE"/>
              </w:rPr>
              <w:t> </w:t>
            </w:r>
          </w:p>
        </w:tc>
        <w:tc>
          <w:tcPr>
            <w:tcW w:w="88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4</w:t>
            </w:r>
            <w:r w:rsidR="00C26C04" w:rsidRPr="00C26C04">
              <w:rPr>
                <w:b/>
                <w:sz w:val="18"/>
                <w:lang w:eastAsia="es-PE"/>
              </w:rPr>
              <w:t xml:space="preserve"> </w:t>
            </w:r>
            <w:r w:rsidRPr="00C14FEC">
              <w:rPr>
                <w:b/>
                <w:sz w:val="18"/>
                <w:lang w:eastAsia="es-PE"/>
              </w:rPr>
              <w:t>936</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984</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5</w:t>
            </w:r>
            <w:r w:rsidR="00C26C04" w:rsidRPr="00C26C04">
              <w:rPr>
                <w:b/>
                <w:sz w:val="18"/>
                <w:lang w:eastAsia="es-PE"/>
              </w:rPr>
              <w:t xml:space="preserve"> </w:t>
            </w:r>
            <w:r w:rsidRPr="00C14FEC">
              <w:rPr>
                <w:b/>
                <w:sz w:val="18"/>
                <w:lang w:eastAsia="es-PE"/>
              </w:rPr>
              <w:t>850</w:t>
            </w:r>
          </w:p>
        </w:tc>
        <w:tc>
          <w:tcPr>
            <w:tcW w:w="1395"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5</w:t>
            </w:r>
            <w:r w:rsidR="00C26C04" w:rsidRPr="00C26C04">
              <w:rPr>
                <w:b/>
                <w:sz w:val="18"/>
                <w:lang w:eastAsia="es-PE"/>
              </w:rPr>
              <w:t xml:space="preserve"> </w:t>
            </w:r>
            <w:r w:rsidRPr="00C14FEC">
              <w:rPr>
                <w:b/>
                <w:sz w:val="18"/>
                <w:lang w:eastAsia="es-PE"/>
              </w:rPr>
              <w:t>850</w:t>
            </w:r>
          </w:p>
        </w:tc>
        <w:tc>
          <w:tcPr>
            <w:tcW w:w="89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c>
          <w:tcPr>
            <w:tcW w:w="1077"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192</w:t>
            </w:r>
          </w:p>
        </w:tc>
      </w:tr>
      <w:tr w:rsidR="009E4A9F" w:rsidRPr="00C14FEC" w:rsidTr="00742A2C">
        <w:tc>
          <w:tcPr>
            <w:tcW w:w="7670" w:type="dxa"/>
            <w:gridSpan w:val="6"/>
            <w:tcBorders>
              <w:top w:val="single" w:sz="4" w:space="0" w:color="auto"/>
            </w:tcBorders>
            <w:shd w:val="clear" w:color="auto" w:fill="auto"/>
            <w:noWrap/>
            <w:hideMark/>
          </w:tcPr>
          <w:p w:rsidR="007758CF" w:rsidRPr="00C14FEC" w:rsidRDefault="009572BD" w:rsidP="00C14FEC">
            <w:pPr>
              <w:spacing w:before="40" w:after="40" w:line="220" w:lineRule="exact"/>
              <w:rPr>
                <w:b/>
                <w:sz w:val="18"/>
                <w:lang w:eastAsia="es-PE"/>
              </w:rPr>
            </w:pPr>
            <w:r w:rsidRPr="00C14FEC">
              <w:rPr>
                <w:b/>
                <w:sz w:val="18"/>
                <w:lang w:eastAsia="es-PE"/>
              </w:rPr>
              <w:t>Oficina Regional Lima - Lima</w:t>
            </w:r>
          </w:p>
        </w:tc>
        <w:tc>
          <w:tcPr>
            <w:tcW w:w="890"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Huaraz</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Ancash</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350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350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350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248</w:t>
            </w: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Chimbote</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920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920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Mujeres de Chorrillos</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Lima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450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450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450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Lurigancho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w:t>
            </w:r>
            <w:r w:rsidR="00C26C04" w:rsidRPr="00C26C04">
              <w:rPr>
                <w:sz w:val="18"/>
                <w:lang w:eastAsia="es-PE"/>
              </w:rPr>
              <w:t xml:space="preserve"> </w:t>
            </w:r>
            <w:r w:rsidRPr="00C14FEC">
              <w:rPr>
                <w:sz w:val="18"/>
                <w:lang w:eastAsia="es-PE"/>
              </w:rPr>
              <w:t>204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w:t>
            </w:r>
            <w:r w:rsidR="00C26C04" w:rsidRPr="00C26C04">
              <w:rPr>
                <w:sz w:val="18"/>
                <w:lang w:eastAsia="es-PE"/>
              </w:rPr>
              <w:t xml:space="preserve"> </w:t>
            </w:r>
            <w:r w:rsidRPr="00C14FEC">
              <w:rPr>
                <w:sz w:val="18"/>
                <w:lang w:eastAsia="es-PE"/>
              </w:rPr>
              <w:t>204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w:t>
            </w:r>
            <w:r w:rsidR="00C26C04" w:rsidRPr="00C26C04">
              <w:rPr>
                <w:sz w:val="18"/>
                <w:lang w:eastAsia="es-PE"/>
              </w:rPr>
              <w:t xml:space="preserve"> </w:t>
            </w:r>
            <w:r w:rsidRPr="00C14FEC">
              <w:rPr>
                <w:sz w:val="18"/>
                <w:lang w:eastAsia="es-PE"/>
              </w:rPr>
              <w:t>204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proofErr w:type="spellStart"/>
            <w:r w:rsidRPr="00C14FEC">
              <w:rPr>
                <w:sz w:val="18"/>
                <w:lang w:eastAsia="es-PE"/>
              </w:rPr>
              <w:t>E.P</w:t>
            </w:r>
            <w:proofErr w:type="spellEnd"/>
            <w:r w:rsidRPr="00C14FEC">
              <w:rPr>
                <w:sz w:val="18"/>
                <w:lang w:eastAsia="es-PE"/>
              </w:rPr>
              <w:t xml:space="preserve">  Miguel Castro </w:t>
            </w:r>
            <w:proofErr w:type="spellStart"/>
            <w:r w:rsidRPr="00C14FEC">
              <w:rPr>
                <w:sz w:val="18"/>
                <w:lang w:eastAsia="es-PE"/>
              </w:rPr>
              <w:t>Castro</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142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142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142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Lima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400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Anexo de Mujeres de Chorrillos</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288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288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288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Huaral</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823</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823</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823</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270</w:t>
            </w: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Cañete</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768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768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768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256</w:t>
            </w: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Huacho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Callao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572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572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572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Ancón</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972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620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620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proofErr w:type="spellStart"/>
            <w:r w:rsidRPr="00C14FEC">
              <w:rPr>
                <w:sz w:val="18"/>
                <w:lang w:eastAsia="es-PE"/>
              </w:rPr>
              <w:t>E.P</w:t>
            </w:r>
            <w:proofErr w:type="spellEnd"/>
            <w:r w:rsidRPr="00C14FEC">
              <w:rPr>
                <w:sz w:val="18"/>
                <w:lang w:eastAsia="es-PE"/>
              </w:rPr>
              <w:t xml:space="preserve"> de </w:t>
            </w:r>
            <w:proofErr w:type="spellStart"/>
            <w:r w:rsidRPr="00C14FEC">
              <w:rPr>
                <w:sz w:val="18"/>
                <w:lang w:eastAsia="es-PE"/>
              </w:rPr>
              <w:t>Ancon</w:t>
            </w:r>
            <w:proofErr w:type="spellEnd"/>
            <w:r w:rsidRPr="00C14FEC">
              <w:rPr>
                <w:sz w:val="18"/>
                <w:lang w:eastAsia="es-PE"/>
              </w:rPr>
              <w:t xml:space="preserve"> II</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w:t>
            </w:r>
            <w:r w:rsidR="00C26C04" w:rsidRPr="00C26C04">
              <w:rPr>
                <w:sz w:val="18"/>
                <w:lang w:eastAsia="es-PE"/>
              </w:rPr>
              <w:t xml:space="preserve"> </w:t>
            </w:r>
            <w:r w:rsidRPr="00C14FEC">
              <w:rPr>
                <w:sz w:val="18"/>
                <w:lang w:eastAsia="es-PE"/>
              </w:rPr>
              <w:t>200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w:t>
            </w:r>
            <w:r w:rsidR="00C26C04" w:rsidRPr="00C26C04">
              <w:rPr>
                <w:sz w:val="18"/>
                <w:lang w:eastAsia="es-PE"/>
              </w:rPr>
              <w:t xml:space="preserve"> </w:t>
            </w:r>
            <w:r w:rsidRPr="00C14FEC">
              <w:rPr>
                <w:sz w:val="18"/>
                <w:lang w:eastAsia="es-PE"/>
              </w:rPr>
              <w:t>200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w:t>
            </w:r>
            <w:r w:rsidR="00C26C04" w:rsidRPr="00C26C04">
              <w:rPr>
                <w:sz w:val="18"/>
                <w:lang w:eastAsia="es-PE"/>
              </w:rPr>
              <w:t xml:space="preserve"> </w:t>
            </w:r>
            <w:r w:rsidRPr="00C14FEC">
              <w:rPr>
                <w:sz w:val="18"/>
                <w:lang w:eastAsia="es-PE"/>
              </w:rPr>
              <w:t>200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16</w:t>
            </w: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Ica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Ica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464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464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464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354</w:t>
            </w: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Barbadillo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Lima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Chincha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152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152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152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Yauyos</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Virgen de la Merced</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Virgen de Fátima - Tarapacá</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536</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548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548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bottom w:val="single" w:sz="4" w:space="0" w:color="auto"/>
            </w:tcBorders>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lastRenderedPageBreak/>
              <w:t>CEREC - Base Naval</w:t>
            </w:r>
          </w:p>
        </w:tc>
        <w:tc>
          <w:tcPr>
            <w:tcW w:w="1023" w:type="dxa"/>
            <w:tcBorders>
              <w:bottom w:val="single" w:sz="4" w:space="0" w:color="auto"/>
            </w:tcBorders>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395"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89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top w:val="single" w:sz="4" w:space="0" w:color="auto"/>
              <w:bottom w:val="single" w:sz="4" w:space="0" w:color="auto"/>
            </w:tcBorders>
            <w:shd w:val="clear" w:color="auto" w:fill="auto"/>
            <w:noWrap/>
            <w:hideMark/>
          </w:tcPr>
          <w:p w:rsidR="007758CF" w:rsidRPr="00C14FEC" w:rsidRDefault="007758CF" w:rsidP="00742A2C">
            <w:pPr>
              <w:spacing w:before="80" w:after="80" w:line="220" w:lineRule="exact"/>
              <w:rPr>
                <w:sz w:val="18"/>
                <w:lang w:eastAsia="es-PE"/>
              </w:rPr>
            </w:pPr>
            <w:r w:rsidRPr="00C14FEC">
              <w:rPr>
                <w:sz w:val="18"/>
                <w:lang w:eastAsia="es-PE"/>
              </w:rPr>
              <w:t> </w:t>
            </w:r>
          </w:p>
        </w:tc>
        <w:tc>
          <w:tcPr>
            <w:tcW w:w="1023"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rPr>
                <w:sz w:val="18"/>
                <w:lang w:eastAsia="es-PE"/>
              </w:rPr>
            </w:pPr>
            <w:r w:rsidRPr="00C14FEC">
              <w:rPr>
                <w:sz w:val="18"/>
                <w:lang w:eastAsia="es-PE"/>
              </w:rPr>
              <w:t> </w:t>
            </w:r>
          </w:p>
        </w:tc>
        <w:tc>
          <w:tcPr>
            <w:tcW w:w="88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14</w:t>
            </w:r>
            <w:r w:rsidR="00C26C04" w:rsidRPr="00C26C04">
              <w:rPr>
                <w:b/>
                <w:sz w:val="18"/>
                <w:lang w:eastAsia="es-PE"/>
              </w:rPr>
              <w:t xml:space="preserve"> </w:t>
            </w:r>
            <w:r w:rsidRPr="00C14FEC">
              <w:rPr>
                <w:b/>
                <w:sz w:val="18"/>
                <w:lang w:eastAsia="es-PE"/>
              </w:rPr>
              <w:t>314</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2</w:t>
            </w:r>
            <w:r w:rsidR="00C26C04" w:rsidRPr="00C26C04">
              <w:rPr>
                <w:b/>
                <w:sz w:val="18"/>
                <w:lang w:eastAsia="es-PE"/>
              </w:rPr>
              <w:t xml:space="preserve"> </w:t>
            </w:r>
            <w:r w:rsidRPr="00C14FEC">
              <w:rPr>
                <w:b/>
                <w:sz w:val="18"/>
                <w:lang w:eastAsia="es-PE"/>
              </w:rPr>
              <w:t>274</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16</w:t>
            </w:r>
            <w:r w:rsidR="00C26C04" w:rsidRPr="00C26C04">
              <w:rPr>
                <w:b/>
                <w:sz w:val="18"/>
                <w:lang w:eastAsia="es-PE"/>
              </w:rPr>
              <w:t xml:space="preserve"> </w:t>
            </w:r>
            <w:r w:rsidRPr="00C14FEC">
              <w:rPr>
                <w:b/>
                <w:sz w:val="18"/>
                <w:lang w:eastAsia="es-PE"/>
              </w:rPr>
              <w:t>188</w:t>
            </w:r>
          </w:p>
        </w:tc>
        <w:tc>
          <w:tcPr>
            <w:tcW w:w="1395"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16</w:t>
            </w:r>
            <w:r w:rsidR="00C26C04" w:rsidRPr="00C26C04">
              <w:rPr>
                <w:b/>
                <w:sz w:val="18"/>
                <w:lang w:eastAsia="es-PE"/>
              </w:rPr>
              <w:t xml:space="preserve"> </w:t>
            </w:r>
            <w:r w:rsidRPr="00C14FEC">
              <w:rPr>
                <w:b/>
                <w:sz w:val="18"/>
                <w:lang w:eastAsia="es-PE"/>
              </w:rPr>
              <w:t>188</w:t>
            </w:r>
          </w:p>
        </w:tc>
        <w:tc>
          <w:tcPr>
            <w:tcW w:w="89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16</w:t>
            </w:r>
          </w:p>
        </w:tc>
        <w:tc>
          <w:tcPr>
            <w:tcW w:w="1077"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128</w:t>
            </w:r>
          </w:p>
        </w:tc>
      </w:tr>
      <w:tr w:rsidR="009E4A9F" w:rsidRPr="00C14FEC" w:rsidTr="00742A2C">
        <w:tc>
          <w:tcPr>
            <w:tcW w:w="7670" w:type="dxa"/>
            <w:gridSpan w:val="6"/>
            <w:tcBorders>
              <w:top w:val="single" w:sz="4" w:space="0" w:color="auto"/>
            </w:tcBorders>
            <w:shd w:val="clear" w:color="auto" w:fill="auto"/>
            <w:noWrap/>
            <w:hideMark/>
          </w:tcPr>
          <w:p w:rsidR="007758CF" w:rsidRPr="00C14FEC" w:rsidRDefault="009572BD" w:rsidP="00C14FEC">
            <w:pPr>
              <w:spacing w:before="40" w:after="40" w:line="220" w:lineRule="exact"/>
              <w:rPr>
                <w:b/>
                <w:sz w:val="18"/>
                <w:lang w:eastAsia="es-PE"/>
              </w:rPr>
            </w:pPr>
            <w:r w:rsidRPr="00C14FEC">
              <w:rPr>
                <w:b/>
                <w:sz w:val="18"/>
                <w:lang w:eastAsia="es-PE"/>
              </w:rPr>
              <w:t>Oficina Regional Oriente - Pucallpa</w:t>
            </w:r>
          </w:p>
        </w:tc>
        <w:tc>
          <w:tcPr>
            <w:tcW w:w="890"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Huánuco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Huánuco</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074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074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074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la Unión</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Cerro de Pasco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C. de Pasco</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96</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96</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96</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proofErr w:type="spellStart"/>
            <w:r w:rsidRPr="00C14FEC">
              <w:rPr>
                <w:sz w:val="18"/>
                <w:lang w:eastAsia="es-PE"/>
              </w:rPr>
              <w:t>E.P</w:t>
            </w:r>
            <w:proofErr w:type="spellEnd"/>
            <w:r w:rsidRPr="00C14FEC">
              <w:rPr>
                <w:sz w:val="18"/>
                <w:lang w:eastAsia="es-PE"/>
              </w:rPr>
              <w:t xml:space="preserve">. </w:t>
            </w:r>
            <w:proofErr w:type="spellStart"/>
            <w:r w:rsidRPr="00C14FEC">
              <w:rPr>
                <w:sz w:val="18"/>
                <w:lang w:eastAsia="es-PE"/>
              </w:rPr>
              <w:t>Cochamarca</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C. de Pasco</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224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224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224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Pucallpa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Ucayali</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484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576</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576</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bottom w:val="single" w:sz="4" w:space="0" w:color="auto"/>
            </w:tcBorders>
            <w:shd w:val="clear" w:color="auto" w:fill="auto"/>
            <w:noWrap/>
            <w:hideMark/>
          </w:tcPr>
          <w:p w:rsidR="007758CF" w:rsidRPr="00C14FEC" w:rsidRDefault="007758CF" w:rsidP="00C14FEC">
            <w:pPr>
              <w:spacing w:before="40" w:after="40" w:line="220" w:lineRule="exact"/>
              <w:rPr>
                <w:sz w:val="18"/>
                <w:lang w:eastAsia="es-PE"/>
              </w:rPr>
            </w:pPr>
            <w:proofErr w:type="spellStart"/>
            <w:r w:rsidRPr="00C14FEC">
              <w:rPr>
                <w:sz w:val="18"/>
                <w:lang w:eastAsia="es-PE"/>
              </w:rPr>
              <w:t>E.P</w:t>
            </w:r>
            <w:proofErr w:type="spellEnd"/>
            <w:r w:rsidRPr="00C14FEC">
              <w:rPr>
                <w:sz w:val="18"/>
                <w:lang w:eastAsia="es-PE"/>
              </w:rPr>
              <w:t xml:space="preserve">. </w:t>
            </w:r>
            <w:proofErr w:type="spellStart"/>
            <w:r w:rsidRPr="00C14FEC">
              <w:rPr>
                <w:sz w:val="18"/>
                <w:lang w:eastAsia="es-PE"/>
              </w:rPr>
              <w:t>Venadopampa</w:t>
            </w:r>
            <w:proofErr w:type="spellEnd"/>
          </w:p>
        </w:tc>
        <w:tc>
          <w:tcPr>
            <w:tcW w:w="1023" w:type="dxa"/>
            <w:tcBorders>
              <w:bottom w:val="single" w:sz="4" w:space="0" w:color="auto"/>
            </w:tcBorders>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395"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89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top w:val="single" w:sz="4" w:space="0" w:color="auto"/>
              <w:bottom w:val="single" w:sz="4" w:space="0" w:color="auto"/>
            </w:tcBorders>
            <w:shd w:val="clear" w:color="auto" w:fill="auto"/>
            <w:noWrap/>
            <w:hideMark/>
          </w:tcPr>
          <w:p w:rsidR="007758CF" w:rsidRPr="00C14FEC" w:rsidRDefault="007758CF" w:rsidP="00742A2C">
            <w:pPr>
              <w:spacing w:before="80" w:after="80" w:line="220" w:lineRule="exact"/>
              <w:rPr>
                <w:sz w:val="18"/>
                <w:lang w:eastAsia="es-PE"/>
              </w:rPr>
            </w:pPr>
            <w:r w:rsidRPr="00C14FEC">
              <w:rPr>
                <w:sz w:val="18"/>
                <w:lang w:eastAsia="es-PE"/>
              </w:rPr>
              <w:t> </w:t>
            </w:r>
          </w:p>
        </w:tc>
        <w:tc>
          <w:tcPr>
            <w:tcW w:w="1023"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rPr>
                <w:sz w:val="18"/>
                <w:lang w:eastAsia="es-PE"/>
              </w:rPr>
            </w:pPr>
            <w:r w:rsidRPr="00C14FEC">
              <w:rPr>
                <w:sz w:val="18"/>
                <w:lang w:eastAsia="es-PE"/>
              </w:rPr>
              <w:t> </w:t>
            </w:r>
          </w:p>
        </w:tc>
        <w:tc>
          <w:tcPr>
            <w:tcW w:w="88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734</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316</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2</w:t>
            </w:r>
            <w:r w:rsidR="00C26C04" w:rsidRPr="00C26C04">
              <w:rPr>
                <w:b/>
                <w:sz w:val="18"/>
                <w:lang w:eastAsia="es-PE"/>
              </w:rPr>
              <w:t xml:space="preserve"> </w:t>
            </w:r>
            <w:r w:rsidRPr="00C14FEC">
              <w:rPr>
                <w:b/>
                <w:sz w:val="18"/>
                <w:lang w:eastAsia="es-PE"/>
              </w:rPr>
              <w:t>970</w:t>
            </w:r>
          </w:p>
        </w:tc>
        <w:tc>
          <w:tcPr>
            <w:tcW w:w="1395"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2</w:t>
            </w:r>
            <w:r w:rsidR="00C26C04" w:rsidRPr="00C26C04">
              <w:rPr>
                <w:b/>
                <w:sz w:val="18"/>
                <w:lang w:eastAsia="es-PE"/>
              </w:rPr>
              <w:t xml:space="preserve"> </w:t>
            </w:r>
            <w:r w:rsidRPr="00C14FEC">
              <w:rPr>
                <w:b/>
                <w:sz w:val="18"/>
                <w:lang w:eastAsia="es-PE"/>
              </w:rPr>
              <w:t>970</w:t>
            </w:r>
          </w:p>
        </w:tc>
        <w:tc>
          <w:tcPr>
            <w:tcW w:w="89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c>
          <w:tcPr>
            <w:tcW w:w="1077"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r>
      <w:tr w:rsidR="009E4A9F" w:rsidRPr="00C14FEC" w:rsidTr="00742A2C">
        <w:tc>
          <w:tcPr>
            <w:tcW w:w="5251" w:type="dxa"/>
            <w:gridSpan w:val="4"/>
            <w:tcBorders>
              <w:top w:val="single" w:sz="4" w:space="0" w:color="auto"/>
            </w:tcBorders>
            <w:shd w:val="clear" w:color="auto" w:fill="auto"/>
            <w:noWrap/>
            <w:hideMark/>
          </w:tcPr>
          <w:p w:rsidR="007758CF" w:rsidRPr="00C14FEC" w:rsidRDefault="009572BD" w:rsidP="00C14FEC">
            <w:pPr>
              <w:spacing w:before="40" w:after="40" w:line="220" w:lineRule="exact"/>
              <w:rPr>
                <w:b/>
                <w:sz w:val="18"/>
                <w:lang w:eastAsia="es-PE"/>
              </w:rPr>
            </w:pPr>
            <w:r w:rsidRPr="00C14FEC">
              <w:rPr>
                <w:b/>
                <w:sz w:val="18"/>
                <w:lang w:eastAsia="es-PE"/>
              </w:rPr>
              <w:t xml:space="preserve">Oficina Regional </w:t>
            </w:r>
            <w:proofErr w:type="spellStart"/>
            <w:r w:rsidRPr="00C14FEC">
              <w:rPr>
                <w:b/>
                <w:sz w:val="18"/>
                <w:lang w:eastAsia="es-PE"/>
              </w:rPr>
              <w:t>Nor</w:t>
            </w:r>
            <w:proofErr w:type="spellEnd"/>
            <w:r w:rsidRPr="00C14FEC">
              <w:rPr>
                <w:b/>
                <w:sz w:val="18"/>
                <w:lang w:eastAsia="es-PE"/>
              </w:rPr>
              <w:t xml:space="preserve"> Oriente - San Martin</w:t>
            </w:r>
          </w:p>
        </w:tc>
        <w:tc>
          <w:tcPr>
            <w:tcW w:w="1024"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b/>
                <w:sz w:val="18"/>
                <w:lang w:eastAsia="es-PE"/>
              </w:rPr>
            </w:pPr>
          </w:p>
        </w:tc>
        <w:tc>
          <w:tcPr>
            <w:tcW w:w="1395"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b/>
                <w:sz w:val="18"/>
                <w:lang w:eastAsia="es-PE"/>
              </w:rPr>
            </w:pPr>
          </w:p>
        </w:tc>
        <w:tc>
          <w:tcPr>
            <w:tcW w:w="890"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b/>
                <w:sz w:val="18"/>
                <w:lang w:eastAsia="es-PE"/>
              </w:rPr>
            </w:pPr>
          </w:p>
        </w:tc>
        <w:tc>
          <w:tcPr>
            <w:tcW w:w="1077"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Bagua Grande</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Amazonas</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119</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119</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119</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Chachapoyas</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332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332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332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400</w:t>
            </w: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Juanjuí</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San Martin</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490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570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570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400</w:t>
            </w: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Tarapoto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152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222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222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Tarapoto (Nuevo)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636</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666</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666</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300</w:t>
            </w: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Moyobamba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364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384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384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291</w:t>
            </w: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Yurimaguas</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Loreto</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236</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278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278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128</w:t>
            </w: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Iquitos</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496</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288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784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784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400</w:t>
            </w: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bottom w:val="single" w:sz="4" w:space="0" w:color="auto"/>
            </w:tcBorders>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Mujeres  de Iquitos</w:t>
            </w:r>
          </w:p>
        </w:tc>
        <w:tc>
          <w:tcPr>
            <w:tcW w:w="1023" w:type="dxa"/>
            <w:tcBorders>
              <w:bottom w:val="single" w:sz="4" w:space="0" w:color="auto"/>
            </w:tcBorders>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w:t>
            </w: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14</w:t>
            </w: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78</w:t>
            </w:r>
          </w:p>
        </w:tc>
        <w:tc>
          <w:tcPr>
            <w:tcW w:w="1395"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78</w:t>
            </w:r>
          </w:p>
        </w:tc>
        <w:tc>
          <w:tcPr>
            <w:tcW w:w="89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top w:val="single" w:sz="4" w:space="0" w:color="auto"/>
              <w:bottom w:val="single" w:sz="4" w:space="0" w:color="auto"/>
            </w:tcBorders>
            <w:shd w:val="clear" w:color="auto" w:fill="auto"/>
            <w:noWrap/>
            <w:hideMark/>
          </w:tcPr>
          <w:p w:rsidR="007758CF" w:rsidRPr="00742A2C" w:rsidRDefault="007758CF" w:rsidP="00742A2C">
            <w:pPr>
              <w:spacing w:before="80" w:after="80" w:line="220" w:lineRule="exact"/>
              <w:jc w:val="right"/>
              <w:rPr>
                <w:b/>
                <w:sz w:val="18"/>
                <w:lang w:eastAsia="es-PE"/>
              </w:rPr>
            </w:pPr>
            <w:r w:rsidRPr="00742A2C">
              <w:rPr>
                <w:b/>
                <w:sz w:val="18"/>
                <w:lang w:eastAsia="es-PE"/>
              </w:rPr>
              <w:t> </w:t>
            </w:r>
          </w:p>
        </w:tc>
        <w:tc>
          <w:tcPr>
            <w:tcW w:w="1023" w:type="dxa"/>
            <w:tcBorders>
              <w:top w:val="single" w:sz="4" w:space="0" w:color="auto"/>
              <w:bottom w:val="single" w:sz="4" w:space="0" w:color="auto"/>
            </w:tcBorders>
            <w:shd w:val="clear" w:color="auto" w:fill="auto"/>
            <w:noWrap/>
            <w:vAlign w:val="bottom"/>
            <w:hideMark/>
          </w:tcPr>
          <w:p w:rsidR="007758CF" w:rsidRPr="00742A2C" w:rsidRDefault="007758CF" w:rsidP="00742A2C">
            <w:pPr>
              <w:spacing w:before="80" w:after="80" w:line="220" w:lineRule="exact"/>
              <w:jc w:val="right"/>
              <w:rPr>
                <w:b/>
                <w:sz w:val="18"/>
                <w:lang w:eastAsia="es-PE"/>
              </w:rPr>
            </w:pPr>
            <w:r w:rsidRPr="00742A2C">
              <w:rPr>
                <w:b/>
                <w:sz w:val="18"/>
                <w:lang w:eastAsia="es-PE"/>
              </w:rPr>
              <w:t> </w:t>
            </w:r>
          </w:p>
        </w:tc>
        <w:tc>
          <w:tcPr>
            <w:tcW w:w="88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335</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2</w:t>
            </w:r>
            <w:r w:rsidR="00C26C04" w:rsidRPr="00C26C04">
              <w:rPr>
                <w:b/>
                <w:sz w:val="18"/>
                <w:lang w:eastAsia="es-PE"/>
              </w:rPr>
              <w:t xml:space="preserve"> </w:t>
            </w:r>
            <w:r w:rsidRPr="00C14FEC">
              <w:rPr>
                <w:b/>
                <w:sz w:val="18"/>
                <w:lang w:eastAsia="es-PE"/>
              </w:rPr>
              <w:t>098</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3</w:t>
            </w:r>
            <w:r w:rsidR="00C26C04" w:rsidRPr="00C26C04">
              <w:rPr>
                <w:b/>
                <w:sz w:val="18"/>
                <w:lang w:eastAsia="es-PE"/>
              </w:rPr>
              <w:t xml:space="preserve"> </w:t>
            </w:r>
            <w:r w:rsidRPr="00C14FEC">
              <w:rPr>
                <w:b/>
                <w:sz w:val="18"/>
                <w:lang w:eastAsia="es-PE"/>
              </w:rPr>
              <w:t>433</w:t>
            </w:r>
          </w:p>
        </w:tc>
        <w:tc>
          <w:tcPr>
            <w:tcW w:w="1395"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3</w:t>
            </w:r>
            <w:r w:rsidR="00C26C04" w:rsidRPr="00C26C04">
              <w:rPr>
                <w:b/>
                <w:sz w:val="18"/>
                <w:lang w:eastAsia="es-PE"/>
              </w:rPr>
              <w:t xml:space="preserve"> </w:t>
            </w:r>
            <w:r w:rsidRPr="00C14FEC">
              <w:rPr>
                <w:b/>
                <w:sz w:val="18"/>
                <w:lang w:eastAsia="es-PE"/>
              </w:rPr>
              <w:t>433</w:t>
            </w:r>
          </w:p>
        </w:tc>
        <w:tc>
          <w:tcPr>
            <w:tcW w:w="89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919</w:t>
            </w:r>
          </w:p>
        </w:tc>
        <w:tc>
          <w:tcPr>
            <w:tcW w:w="1077"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r>
      <w:tr w:rsidR="009E4A9F" w:rsidRPr="00C14FEC" w:rsidTr="00742A2C">
        <w:tc>
          <w:tcPr>
            <w:tcW w:w="7670" w:type="dxa"/>
            <w:gridSpan w:val="6"/>
            <w:tcBorders>
              <w:top w:val="single" w:sz="4" w:space="0" w:color="auto"/>
            </w:tcBorders>
            <w:shd w:val="clear" w:color="auto" w:fill="auto"/>
            <w:noWrap/>
            <w:hideMark/>
          </w:tcPr>
          <w:p w:rsidR="007758CF" w:rsidRPr="00C14FEC" w:rsidRDefault="009572BD" w:rsidP="00C14FEC">
            <w:pPr>
              <w:spacing w:before="40" w:after="40" w:line="220" w:lineRule="exact"/>
              <w:rPr>
                <w:b/>
                <w:sz w:val="18"/>
                <w:lang w:eastAsia="es-PE"/>
              </w:rPr>
            </w:pPr>
            <w:r w:rsidRPr="00C14FEC">
              <w:rPr>
                <w:b/>
                <w:sz w:val="18"/>
                <w:lang w:eastAsia="es-PE"/>
              </w:rPr>
              <w:t>Oficina Regional Centro - Huancayo</w:t>
            </w:r>
          </w:p>
        </w:tc>
        <w:tc>
          <w:tcPr>
            <w:tcW w:w="890"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Huancayo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680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680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680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Mujeres de Concepción</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55</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105</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105</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Chanchamayo</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120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120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120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Satipo</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216</w:t>
            </w: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Tarma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la Oroya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Huancavelica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Huancavelica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Huanta</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Ayacucho</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Ayacucho</w:t>
            </w:r>
          </w:p>
        </w:tc>
        <w:tc>
          <w:tcPr>
            <w:tcW w:w="1023"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644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bottom w:val="single" w:sz="4" w:space="0" w:color="auto"/>
            </w:tcBorders>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Jauja</w:t>
            </w:r>
          </w:p>
        </w:tc>
        <w:tc>
          <w:tcPr>
            <w:tcW w:w="1023" w:type="dxa"/>
            <w:tcBorders>
              <w:bottom w:val="single" w:sz="4" w:space="0" w:color="auto"/>
            </w:tcBorders>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Huancayo</w:t>
            </w:r>
          </w:p>
        </w:tc>
        <w:tc>
          <w:tcPr>
            <w:tcW w:w="88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70</w:t>
            </w: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15</w:t>
            </w: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85</w:t>
            </w:r>
          </w:p>
        </w:tc>
        <w:tc>
          <w:tcPr>
            <w:tcW w:w="1395"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85</w:t>
            </w:r>
          </w:p>
        </w:tc>
        <w:tc>
          <w:tcPr>
            <w:tcW w:w="89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top w:val="single" w:sz="4" w:space="0" w:color="auto"/>
              <w:bottom w:val="single" w:sz="4" w:space="0" w:color="auto"/>
            </w:tcBorders>
            <w:shd w:val="clear" w:color="auto" w:fill="auto"/>
            <w:noWrap/>
            <w:hideMark/>
          </w:tcPr>
          <w:p w:rsidR="007758CF" w:rsidRPr="00742A2C" w:rsidRDefault="007758CF" w:rsidP="00742A2C">
            <w:pPr>
              <w:spacing w:before="80" w:after="80" w:line="220" w:lineRule="exact"/>
              <w:jc w:val="right"/>
              <w:rPr>
                <w:b/>
                <w:sz w:val="18"/>
                <w:lang w:eastAsia="es-PE"/>
              </w:rPr>
            </w:pPr>
            <w:r w:rsidRPr="00742A2C">
              <w:rPr>
                <w:b/>
                <w:sz w:val="18"/>
                <w:lang w:eastAsia="es-PE"/>
              </w:rPr>
              <w:t> </w:t>
            </w:r>
          </w:p>
        </w:tc>
        <w:tc>
          <w:tcPr>
            <w:tcW w:w="1023" w:type="dxa"/>
            <w:tcBorders>
              <w:top w:val="single" w:sz="4" w:space="0" w:color="auto"/>
              <w:bottom w:val="single" w:sz="4" w:space="0" w:color="auto"/>
            </w:tcBorders>
            <w:shd w:val="clear" w:color="auto" w:fill="auto"/>
            <w:noWrap/>
            <w:vAlign w:val="bottom"/>
            <w:hideMark/>
          </w:tcPr>
          <w:p w:rsidR="007758CF" w:rsidRPr="00742A2C" w:rsidRDefault="007758CF" w:rsidP="00742A2C">
            <w:pPr>
              <w:spacing w:before="80" w:after="80" w:line="220" w:lineRule="exact"/>
              <w:jc w:val="right"/>
              <w:rPr>
                <w:b/>
                <w:sz w:val="18"/>
                <w:lang w:eastAsia="es-PE"/>
              </w:rPr>
            </w:pPr>
            <w:r w:rsidRPr="00742A2C">
              <w:rPr>
                <w:b/>
                <w:sz w:val="18"/>
                <w:lang w:eastAsia="es-PE"/>
              </w:rPr>
              <w:t> </w:t>
            </w:r>
          </w:p>
        </w:tc>
        <w:tc>
          <w:tcPr>
            <w:tcW w:w="88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833</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65</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898</w:t>
            </w:r>
          </w:p>
        </w:tc>
        <w:tc>
          <w:tcPr>
            <w:tcW w:w="1395"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898</w:t>
            </w:r>
          </w:p>
        </w:tc>
        <w:tc>
          <w:tcPr>
            <w:tcW w:w="89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c>
          <w:tcPr>
            <w:tcW w:w="1077"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216</w:t>
            </w:r>
          </w:p>
        </w:tc>
      </w:tr>
      <w:tr w:rsidR="009E4A9F" w:rsidRPr="00C14FEC" w:rsidTr="00742A2C">
        <w:tc>
          <w:tcPr>
            <w:tcW w:w="7670" w:type="dxa"/>
            <w:gridSpan w:val="6"/>
            <w:tcBorders>
              <w:top w:val="single" w:sz="4" w:space="0" w:color="auto"/>
            </w:tcBorders>
            <w:shd w:val="clear" w:color="auto" w:fill="auto"/>
            <w:noWrap/>
            <w:hideMark/>
          </w:tcPr>
          <w:p w:rsidR="007758CF" w:rsidRPr="00C14FEC" w:rsidRDefault="009572BD" w:rsidP="00C14FEC">
            <w:pPr>
              <w:spacing w:before="40" w:after="40" w:line="220" w:lineRule="exact"/>
              <w:rPr>
                <w:b/>
                <w:sz w:val="18"/>
                <w:lang w:eastAsia="es-PE"/>
              </w:rPr>
            </w:pPr>
            <w:r w:rsidRPr="00C14FEC">
              <w:rPr>
                <w:b/>
                <w:sz w:val="18"/>
                <w:lang w:eastAsia="es-PE"/>
              </w:rPr>
              <w:t>Oficina Regional Sur Oriente - Cusco</w:t>
            </w:r>
          </w:p>
        </w:tc>
        <w:tc>
          <w:tcPr>
            <w:tcW w:w="890"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Abancay</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proofErr w:type="spellStart"/>
            <w:r w:rsidRPr="00C14FEC">
              <w:rPr>
                <w:sz w:val="18"/>
                <w:lang w:eastAsia="es-PE"/>
              </w:rPr>
              <w:t>Apurimac</w:t>
            </w:r>
            <w:proofErr w:type="spellEnd"/>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Andahuaylas (Nuevo)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248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248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248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Cusco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Cusco</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800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800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800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816</w:t>
            </w: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Mujeres de Cusco</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136</w:t>
            </w: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Sicuani</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96</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96</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Quillabamba</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80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bottom w:val="single" w:sz="4" w:space="0" w:color="auto"/>
            </w:tcBorders>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lastRenderedPageBreak/>
              <w:t>E.P. de Puerto Maldonado</w:t>
            </w:r>
          </w:p>
        </w:tc>
        <w:tc>
          <w:tcPr>
            <w:tcW w:w="1023" w:type="dxa"/>
            <w:tcBorders>
              <w:bottom w:val="single" w:sz="4" w:space="0" w:color="auto"/>
            </w:tcBorders>
            <w:shd w:val="clear" w:color="auto" w:fill="auto"/>
            <w:noWrap/>
            <w:vAlign w:val="bottom"/>
            <w:hideMark/>
          </w:tcPr>
          <w:p w:rsidR="007758CF" w:rsidRPr="00C14FEC" w:rsidRDefault="007758CF" w:rsidP="00C97111">
            <w:pPr>
              <w:spacing w:before="40" w:after="40" w:line="220" w:lineRule="exact"/>
              <w:rPr>
                <w:sz w:val="18"/>
                <w:lang w:eastAsia="es-PE"/>
              </w:rPr>
            </w:pPr>
            <w:proofErr w:type="spellStart"/>
            <w:r w:rsidRPr="00C14FEC">
              <w:rPr>
                <w:sz w:val="18"/>
                <w:lang w:eastAsia="es-PE"/>
              </w:rPr>
              <w:t>Mad</w:t>
            </w:r>
            <w:proofErr w:type="spellEnd"/>
            <w:r w:rsidRPr="00C14FEC">
              <w:rPr>
                <w:sz w:val="18"/>
                <w:lang w:eastAsia="es-PE"/>
              </w:rPr>
              <w:t>. de Dios</w:t>
            </w:r>
          </w:p>
        </w:tc>
        <w:tc>
          <w:tcPr>
            <w:tcW w:w="88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422</w:t>
            </w: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168</w:t>
            </w: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590</w:t>
            </w:r>
          </w:p>
        </w:tc>
        <w:tc>
          <w:tcPr>
            <w:tcW w:w="1395"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590</w:t>
            </w:r>
          </w:p>
        </w:tc>
        <w:tc>
          <w:tcPr>
            <w:tcW w:w="89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top w:val="single" w:sz="4" w:space="0" w:color="auto"/>
              <w:bottom w:val="single" w:sz="4" w:space="0" w:color="auto"/>
            </w:tcBorders>
            <w:shd w:val="clear" w:color="auto" w:fill="auto"/>
            <w:noWrap/>
            <w:hideMark/>
          </w:tcPr>
          <w:p w:rsidR="007758CF" w:rsidRPr="00742A2C" w:rsidRDefault="007758CF" w:rsidP="00742A2C">
            <w:pPr>
              <w:spacing w:before="80" w:after="80" w:line="220" w:lineRule="exact"/>
              <w:jc w:val="right"/>
              <w:rPr>
                <w:b/>
                <w:sz w:val="18"/>
                <w:lang w:eastAsia="es-PE"/>
              </w:rPr>
            </w:pPr>
            <w:r w:rsidRPr="00742A2C">
              <w:rPr>
                <w:b/>
                <w:sz w:val="18"/>
                <w:lang w:eastAsia="es-PE"/>
              </w:rPr>
              <w:t> </w:t>
            </w:r>
          </w:p>
        </w:tc>
        <w:tc>
          <w:tcPr>
            <w:tcW w:w="1023" w:type="dxa"/>
            <w:tcBorders>
              <w:top w:val="single" w:sz="4" w:space="0" w:color="auto"/>
              <w:bottom w:val="single" w:sz="4" w:space="0" w:color="auto"/>
            </w:tcBorders>
            <w:shd w:val="clear" w:color="auto" w:fill="auto"/>
            <w:noWrap/>
            <w:vAlign w:val="bottom"/>
            <w:hideMark/>
          </w:tcPr>
          <w:p w:rsidR="007758CF" w:rsidRPr="00742A2C" w:rsidRDefault="007758CF" w:rsidP="00742A2C">
            <w:pPr>
              <w:spacing w:before="80" w:after="80" w:line="220" w:lineRule="exact"/>
              <w:jc w:val="right"/>
              <w:rPr>
                <w:b/>
                <w:sz w:val="18"/>
                <w:lang w:eastAsia="es-PE"/>
              </w:rPr>
            </w:pPr>
            <w:r w:rsidRPr="00742A2C">
              <w:rPr>
                <w:b/>
                <w:sz w:val="18"/>
                <w:lang w:eastAsia="es-PE"/>
              </w:rPr>
              <w:t> </w:t>
            </w:r>
          </w:p>
        </w:tc>
        <w:tc>
          <w:tcPr>
            <w:tcW w:w="88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790</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176</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966</w:t>
            </w:r>
          </w:p>
        </w:tc>
        <w:tc>
          <w:tcPr>
            <w:tcW w:w="1395"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966</w:t>
            </w:r>
          </w:p>
        </w:tc>
        <w:tc>
          <w:tcPr>
            <w:tcW w:w="89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c>
          <w:tcPr>
            <w:tcW w:w="1077"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952</w:t>
            </w:r>
          </w:p>
        </w:tc>
      </w:tr>
      <w:tr w:rsidR="009E4A9F" w:rsidRPr="00C14FEC" w:rsidTr="00742A2C">
        <w:tc>
          <w:tcPr>
            <w:tcW w:w="7670" w:type="dxa"/>
            <w:gridSpan w:val="6"/>
            <w:tcBorders>
              <w:top w:val="single" w:sz="4" w:space="0" w:color="auto"/>
            </w:tcBorders>
            <w:shd w:val="clear" w:color="auto" w:fill="auto"/>
            <w:noWrap/>
            <w:hideMark/>
          </w:tcPr>
          <w:p w:rsidR="007758CF" w:rsidRPr="00C14FEC" w:rsidRDefault="009572BD" w:rsidP="00C14FEC">
            <w:pPr>
              <w:spacing w:before="40" w:after="40" w:line="220" w:lineRule="exact"/>
              <w:rPr>
                <w:b/>
                <w:sz w:val="18"/>
                <w:lang w:eastAsia="es-PE"/>
              </w:rPr>
            </w:pPr>
            <w:r w:rsidRPr="00C14FEC">
              <w:rPr>
                <w:b/>
                <w:sz w:val="18"/>
                <w:lang w:eastAsia="es-PE"/>
              </w:rPr>
              <w:t>Oficina Regional Sur - Arequipa</w:t>
            </w:r>
          </w:p>
        </w:tc>
        <w:tc>
          <w:tcPr>
            <w:tcW w:w="890"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Arequipa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Arequipa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667</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667</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667</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Mujeres de Arequipa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67</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67</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67</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 xml:space="preserve">E.P. de </w:t>
            </w:r>
            <w:proofErr w:type="spellStart"/>
            <w:r w:rsidRPr="00C14FEC">
              <w:rPr>
                <w:sz w:val="18"/>
                <w:lang w:eastAsia="es-PE"/>
              </w:rPr>
              <w:t>Camaná</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78</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Moquegua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Moquegua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45</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133</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178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178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Tacna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Tacna</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180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222</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222</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bottom w:val="single" w:sz="4" w:space="0" w:color="auto"/>
            </w:tcBorders>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Mujeres de Tacna</w:t>
            </w:r>
          </w:p>
        </w:tc>
        <w:tc>
          <w:tcPr>
            <w:tcW w:w="1023" w:type="dxa"/>
            <w:tcBorders>
              <w:bottom w:val="single" w:sz="4" w:space="0" w:color="auto"/>
            </w:tcBorders>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40</w:t>
            </w: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40</w:t>
            </w:r>
          </w:p>
        </w:tc>
        <w:tc>
          <w:tcPr>
            <w:tcW w:w="1395"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40</w:t>
            </w:r>
          </w:p>
        </w:tc>
        <w:tc>
          <w:tcPr>
            <w:tcW w:w="89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top w:val="single" w:sz="4" w:space="0" w:color="auto"/>
              <w:bottom w:val="single" w:sz="4" w:space="0" w:color="auto"/>
            </w:tcBorders>
            <w:shd w:val="clear" w:color="auto" w:fill="auto"/>
            <w:noWrap/>
            <w:hideMark/>
          </w:tcPr>
          <w:p w:rsidR="007758CF" w:rsidRPr="00742A2C" w:rsidRDefault="007758CF" w:rsidP="00742A2C">
            <w:pPr>
              <w:spacing w:before="80" w:after="80" w:line="220" w:lineRule="exact"/>
              <w:jc w:val="right"/>
              <w:rPr>
                <w:b/>
                <w:sz w:val="18"/>
                <w:lang w:eastAsia="es-PE"/>
              </w:rPr>
            </w:pPr>
            <w:r w:rsidRPr="00742A2C">
              <w:rPr>
                <w:b/>
                <w:sz w:val="18"/>
                <w:lang w:eastAsia="es-PE"/>
              </w:rPr>
              <w:t> </w:t>
            </w:r>
          </w:p>
        </w:tc>
        <w:tc>
          <w:tcPr>
            <w:tcW w:w="1023" w:type="dxa"/>
            <w:tcBorders>
              <w:top w:val="single" w:sz="4" w:space="0" w:color="auto"/>
              <w:bottom w:val="single" w:sz="4" w:space="0" w:color="auto"/>
            </w:tcBorders>
            <w:shd w:val="clear" w:color="auto" w:fill="auto"/>
            <w:noWrap/>
            <w:vAlign w:val="bottom"/>
            <w:hideMark/>
          </w:tcPr>
          <w:p w:rsidR="007758CF" w:rsidRPr="00742A2C" w:rsidRDefault="007758CF" w:rsidP="00742A2C">
            <w:pPr>
              <w:spacing w:before="80" w:after="80" w:line="220" w:lineRule="exact"/>
              <w:jc w:val="right"/>
              <w:rPr>
                <w:b/>
                <w:sz w:val="18"/>
                <w:lang w:eastAsia="es-PE"/>
              </w:rPr>
            </w:pPr>
            <w:r w:rsidRPr="00742A2C">
              <w:rPr>
                <w:b/>
                <w:sz w:val="18"/>
                <w:lang w:eastAsia="es-PE"/>
              </w:rPr>
              <w:t> </w:t>
            </w:r>
          </w:p>
        </w:tc>
        <w:tc>
          <w:tcPr>
            <w:tcW w:w="88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077</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175</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252</w:t>
            </w:r>
          </w:p>
        </w:tc>
        <w:tc>
          <w:tcPr>
            <w:tcW w:w="1395"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252</w:t>
            </w:r>
          </w:p>
        </w:tc>
        <w:tc>
          <w:tcPr>
            <w:tcW w:w="89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c>
          <w:tcPr>
            <w:tcW w:w="1077"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r>
      <w:tr w:rsidR="009E4A9F" w:rsidRPr="00C14FEC" w:rsidTr="00742A2C">
        <w:tc>
          <w:tcPr>
            <w:tcW w:w="7670" w:type="dxa"/>
            <w:gridSpan w:val="6"/>
            <w:tcBorders>
              <w:top w:val="single" w:sz="4" w:space="0" w:color="auto"/>
            </w:tcBorders>
            <w:shd w:val="clear" w:color="auto" w:fill="auto"/>
            <w:noWrap/>
            <w:hideMark/>
          </w:tcPr>
          <w:p w:rsidR="007758CF" w:rsidRPr="00C14FEC" w:rsidRDefault="009572BD" w:rsidP="00C14FEC">
            <w:pPr>
              <w:spacing w:before="40" w:after="40" w:line="220" w:lineRule="exact"/>
              <w:rPr>
                <w:b/>
                <w:sz w:val="18"/>
                <w:lang w:eastAsia="es-PE"/>
              </w:rPr>
            </w:pPr>
            <w:r w:rsidRPr="00C14FEC">
              <w:rPr>
                <w:b/>
                <w:sz w:val="18"/>
                <w:lang w:eastAsia="es-PE"/>
              </w:rPr>
              <w:t>Oficina Regional Altiplano - Puno</w:t>
            </w:r>
          </w:p>
        </w:tc>
        <w:tc>
          <w:tcPr>
            <w:tcW w:w="890"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top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Lampa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Puno</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44</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44</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44</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r w:rsidRPr="00C14FEC">
              <w:rPr>
                <w:sz w:val="18"/>
                <w:lang w:eastAsia="es-PE"/>
              </w:rPr>
              <w:t>E.P de Juliaca</w:t>
            </w:r>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420</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420</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420</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9572BD">
        <w:tc>
          <w:tcPr>
            <w:tcW w:w="2324" w:type="dxa"/>
            <w:shd w:val="clear" w:color="auto" w:fill="auto"/>
            <w:noWrap/>
            <w:hideMark/>
          </w:tcPr>
          <w:p w:rsidR="007758CF" w:rsidRPr="00C14FEC" w:rsidRDefault="007758CF" w:rsidP="00C14FEC">
            <w:pPr>
              <w:spacing w:before="40" w:after="40" w:line="220" w:lineRule="exact"/>
              <w:rPr>
                <w:sz w:val="18"/>
                <w:lang w:eastAsia="es-PE"/>
              </w:rPr>
            </w:pPr>
            <w:proofErr w:type="spellStart"/>
            <w:r w:rsidRPr="00C14FEC">
              <w:rPr>
                <w:sz w:val="18"/>
                <w:lang w:eastAsia="es-PE"/>
              </w:rPr>
              <w:t>E.P</w:t>
            </w:r>
            <w:proofErr w:type="spellEnd"/>
            <w:r w:rsidRPr="00C14FEC">
              <w:rPr>
                <w:sz w:val="18"/>
                <w:lang w:eastAsia="es-PE"/>
              </w:rPr>
              <w:t xml:space="preserve"> de Puno </w:t>
            </w:r>
            <w:proofErr w:type="spellStart"/>
            <w:r w:rsidRPr="00C14FEC">
              <w:rPr>
                <w:sz w:val="18"/>
                <w:lang w:eastAsia="es-PE"/>
              </w:rPr>
              <w:t>Yanamayo</w:t>
            </w:r>
            <w:proofErr w:type="spellEnd"/>
          </w:p>
        </w:tc>
        <w:tc>
          <w:tcPr>
            <w:tcW w:w="1023" w:type="dxa"/>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 </w:t>
            </w:r>
          </w:p>
        </w:tc>
        <w:tc>
          <w:tcPr>
            <w:tcW w:w="88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352</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426</w:t>
            </w:r>
          </w:p>
        </w:tc>
        <w:tc>
          <w:tcPr>
            <w:tcW w:w="1024"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778</w:t>
            </w:r>
          </w:p>
        </w:tc>
        <w:tc>
          <w:tcPr>
            <w:tcW w:w="1395" w:type="dxa"/>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778</w:t>
            </w:r>
          </w:p>
        </w:tc>
        <w:tc>
          <w:tcPr>
            <w:tcW w:w="890"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bottom w:val="single" w:sz="4" w:space="0" w:color="auto"/>
            </w:tcBorders>
            <w:shd w:val="clear" w:color="auto" w:fill="auto"/>
            <w:noWrap/>
            <w:hideMark/>
          </w:tcPr>
          <w:p w:rsidR="007758CF" w:rsidRPr="00C14FEC" w:rsidRDefault="007758CF" w:rsidP="00C14FEC">
            <w:pPr>
              <w:spacing w:before="40" w:after="40" w:line="220" w:lineRule="exact"/>
              <w:rPr>
                <w:sz w:val="18"/>
                <w:lang w:eastAsia="es-PE"/>
              </w:rPr>
            </w:pPr>
            <w:proofErr w:type="spellStart"/>
            <w:r w:rsidRPr="00C14FEC">
              <w:rPr>
                <w:sz w:val="18"/>
                <w:lang w:eastAsia="es-PE"/>
              </w:rPr>
              <w:t>E.P</w:t>
            </w:r>
            <w:proofErr w:type="spellEnd"/>
            <w:r w:rsidRPr="00C14FEC">
              <w:rPr>
                <w:sz w:val="18"/>
                <w:lang w:eastAsia="es-PE"/>
              </w:rPr>
              <w:t xml:space="preserve"> de </w:t>
            </w:r>
            <w:proofErr w:type="spellStart"/>
            <w:r w:rsidRPr="00C14FEC">
              <w:rPr>
                <w:sz w:val="18"/>
                <w:lang w:eastAsia="es-PE"/>
              </w:rPr>
              <w:t>Challapalca</w:t>
            </w:r>
            <w:proofErr w:type="spellEnd"/>
          </w:p>
        </w:tc>
        <w:tc>
          <w:tcPr>
            <w:tcW w:w="1023" w:type="dxa"/>
            <w:tcBorders>
              <w:bottom w:val="single" w:sz="4" w:space="0" w:color="auto"/>
            </w:tcBorders>
            <w:shd w:val="clear" w:color="auto" w:fill="auto"/>
            <w:noWrap/>
            <w:vAlign w:val="bottom"/>
            <w:hideMark/>
          </w:tcPr>
          <w:p w:rsidR="007758CF" w:rsidRPr="00C14FEC" w:rsidRDefault="007758CF" w:rsidP="00C97111">
            <w:pPr>
              <w:spacing w:before="40" w:after="40" w:line="220" w:lineRule="exact"/>
              <w:rPr>
                <w:sz w:val="18"/>
                <w:lang w:eastAsia="es-PE"/>
              </w:rPr>
            </w:pPr>
            <w:r w:rsidRPr="00C14FEC">
              <w:rPr>
                <w:sz w:val="18"/>
                <w:lang w:eastAsia="es-PE"/>
              </w:rPr>
              <w:t>Tacna</w:t>
            </w:r>
          </w:p>
        </w:tc>
        <w:tc>
          <w:tcPr>
            <w:tcW w:w="88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214</w:t>
            </w: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24"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214</w:t>
            </w:r>
          </w:p>
        </w:tc>
        <w:tc>
          <w:tcPr>
            <w:tcW w:w="1395"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r w:rsidRPr="00C14FEC">
              <w:rPr>
                <w:sz w:val="18"/>
                <w:lang w:eastAsia="es-PE"/>
              </w:rPr>
              <w:t>214</w:t>
            </w:r>
          </w:p>
        </w:tc>
        <w:tc>
          <w:tcPr>
            <w:tcW w:w="890"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c>
          <w:tcPr>
            <w:tcW w:w="1077" w:type="dxa"/>
            <w:tcBorders>
              <w:bottom w:val="single" w:sz="4" w:space="0" w:color="auto"/>
            </w:tcBorders>
            <w:shd w:val="clear" w:color="auto" w:fill="auto"/>
            <w:noWrap/>
            <w:vAlign w:val="bottom"/>
            <w:hideMark/>
          </w:tcPr>
          <w:p w:rsidR="007758CF" w:rsidRPr="00C14FEC" w:rsidRDefault="007758CF" w:rsidP="00C14FEC">
            <w:pPr>
              <w:spacing w:before="40" w:after="40" w:line="220" w:lineRule="exact"/>
              <w:jc w:val="right"/>
              <w:rPr>
                <w:sz w:val="18"/>
                <w:lang w:eastAsia="es-PE"/>
              </w:rPr>
            </w:pPr>
          </w:p>
        </w:tc>
      </w:tr>
      <w:tr w:rsidR="009572BD" w:rsidRPr="00C14FEC" w:rsidTr="00742A2C">
        <w:tc>
          <w:tcPr>
            <w:tcW w:w="2324" w:type="dxa"/>
            <w:tcBorders>
              <w:top w:val="single" w:sz="4" w:space="0" w:color="auto"/>
              <w:bottom w:val="single" w:sz="4" w:space="0" w:color="auto"/>
            </w:tcBorders>
            <w:shd w:val="clear" w:color="auto" w:fill="auto"/>
            <w:noWrap/>
            <w:hideMark/>
          </w:tcPr>
          <w:p w:rsidR="007758CF" w:rsidRPr="00C14FEC" w:rsidRDefault="007758CF" w:rsidP="00742A2C">
            <w:pPr>
              <w:spacing w:before="80" w:after="80" w:line="220" w:lineRule="exact"/>
              <w:rPr>
                <w:sz w:val="18"/>
                <w:lang w:eastAsia="es-PE"/>
              </w:rPr>
            </w:pPr>
            <w:r w:rsidRPr="00C14FEC">
              <w:rPr>
                <w:sz w:val="18"/>
                <w:lang w:eastAsia="es-PE"/>
              </w:rPr>
              <w:t> </w:t>
            </w:r>
          </w:p>
        </w:tc>
        <w:tc>
          <w:tcPr>
            <w:tcW w:w="1023"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rPr>
                <w:sz w:val="18"/>
                <w:lang w:eastAsia="es-PE"/>
              </w:rPr>
            </w:pPr>
            <w:r w:rsidRPr="00C14FEC">
              <w:rPr>
                <w:sz w:val="18"/>
                <w:lang w:eastAsia="es-PE"/>
              </w:rPr>
              <w:t> </w:t>
            </w:r>
          </w:p>
        </w:tc>
        <w:tc>
          <w:tcPr>
            <w:tcW w:w="88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030</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426</w:t>
            </w:r>
          </w:p>
        </w:tc>
        <w:tc>
          <w:tcPr>
            <w:tcW w:w="1024"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1</w:t>
            </w:r>
            <w:r w:rsidR="00C26C04" w:rsidRPr="00C26C04">
              <w:rPr>
                <w:b/>
                <w:sz w:val="18"/>
                <w:lang w:eastAsia="es-PE"/>
              </w:rPr>
              <w:t xml:space="preserve"> </w:t>
            </w:r>
            <w:r w:rsidRPr="00C14FEC">
              <w:rPr>
                <w:b/>
                <w:sz w:val="18"/>
                <w:lang w:eastAsia="es-PE"/>
              </w:rPr>
              <w:t>456</w:t>
            </w:r>
          </w:p>
        </w:tc>
        <w:tc>
          <w:tcPr>
            <w:tcW w:w="1395"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sz w:val="18"/>
                <w:lang w:eastAsia="es-PE"/>
              </w:rPr>
            </w:pPr>
            <w:r w:rsidRPr="00C14FEC">
              <w:rPr>
                <w:sz w:val="18"/>
                <w:lang w:eastAsia="es-PE"/>
              </w:rPr>
              <w:t>1</w:t>
            </w:r>
            <w:r w:rsidR="00C26C04" w:rsidRPr="00C26C04">
              <w:rPr>
                <w:sz w:val="18"/>
                <w:lang w:eastAsia="es-PE"/>
              </w:rPr>
              <w:t xml:space="preserve"> </w:t>
            </w:r>
            <w:r w:rsidRPr="00C14FEC">
              <w:rPr>
                <w:sz w:val="18"/>
                <w:lang w:eastAsia="es-PE"/>
              </w:rPr>
              <w:t>456</w:t>
            </w:r>
          </w:p>
        </w:tc>
        <w:tc>
          <w:tcPr>
            <w:tcW w:w="890"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c>
          <w:tcPr>
            <w:tcW w:w="1077" w:type="dxa"/>
            <w:tcBorders>
              <w:top w:val="single" w:sz="4" w:space="0" w:color="auto"/>
              <w:bottom w:val="single" w:sz="4" w:space="0" w:color="auto"/>
            </w:tcBorders>
            <w:shd w:val="clear" w:color="auto" w:fill="auto"/>
            <w:noWrap/>
            <w:vAlign w:val="bottom"/>
            <w:hideMark/>
          </w:tcPr>
          <w:p w:rsidR="007758CF" w:rsidRPr="00C14FEC" w:rsidRDefault="007758CF" w:rsidP="00742A2C">
            <w:pPr>
              <w:spacing w:before="80" w:after="80" w:line="220" w:lineRule="exact"/>
              <w:jc w:val="right"/>
              <w:rPr>
                <w:b/>
                <w:sz w:val="18"/>
                <w:lang w:eastAsia="es-PE"/>
              </w:rPr>
            </w:pPr>
            <w:r w:rsidRPr="00C14FEC">
              <w:rPr>
                <w:b/>
                <w:sz w:val="18"/>
                <w:lang w:eastAsia="es-PE"/>
              </w:rPr>
              <w:t>0</w:t>
            </w:r>
          </w:p>
        </w:tc>
      </w:tr>
      <w:tr w:rsidR="00C97111" w:rsidRPr="00C97111" w:rsidTr="00C97111">
        <w:tc>
          <w:tcPr>
            <w:tcW w:w="2324" w:type="dxa"/>
            <w:tcBorders>
              <w:top w:val="single" w:sz="4" w:space="0" w:color="auto"/>
              <w:bottom w:val="single" w:sz="12" w:space="0" w:color="auto"/>
            </w:tcBorders>
            <w:shd w:val="clear" w:color="auto" w:fill="auto"/>
            <w:noWrap/>
            <w:hideMark/>
          </w:tcPr>
          <w:p w:rsidR="007758CF" w:rsidRPr="00C97111" w:rsidRDefault="00C97111" w:rsidP="00C97111">
            <w:pPr>
              <w:spacing w:before="80" w:after="80" w:line="220" w:lineRule="exact"/>
              <w:ind w:left="283"/>
              <w:rPr>
                <w:b/>
                <w:sz w:val="18"/>
                <w:lang w:eastAsia="es-PE"/>
              </w:rPr>
            </w:pPr>
            <w:r w:rsidRPr="00C97111">
              <w:rPr>
                <w:b/>
                <w:sz w:val="18"/>
                <w:lang w:eastAsia="es-PE"/>
              </w:rPr>
              <w:t xml:space="preserve">Sub Total </w:t>
            </w:r>
            <w:r w:rsidR="007758CF" w:rsidRPr="00C97111">
              <w:rPr>
                <w:b/>
                <w:sz w:val="18"/>
                <w:lang w:eastAsia="es-PE"/>
              </w:rPr>
              <w:t>(A)</w:t>
            </w:r>
          </w:p>
        </w:tc>
        <w:tc>
          <w:tcPr>
            <w:tcW w:w="1023" w:type="dxa"/>
            <w:tcBorders>
              <w:top w:val="single" w:sz="4" w:space="0" w:color="auto"/>
              <w:bottom w:val="single" w:sz="12" w:space="0" w:color="auto"/>
            </w:tcBorders>
            <w:shd w:val="clear" w:color="auto" w:fill="auto"/>
            <w:noWrap/>
            <w:vAlign w:val="bottom"/>
            <w:hideMark/>
          </w:tcPr>
          <w:p w:rsidR="007758CF" w:rsidRPr="00C97111" w:rsidRDefault="007758CF" w:rsidP="00C97111">
            <w:pPr>
              <w:spacing w:before="80" w:after="80" w:line="220" w:lineRule="exact"/>
              <w:jc w:val="right"/>
              <w:rPr>
                <w:b/>
                <w:sz w:val="18"/>
                <w:lang w:eastAsia="es-PE"/>
              </w:rPr>
            </w:pPr>
            <w:r w:rsidRPr="00C97111">
              <w:rPr>
                <w:b/>
                <w:sz w:val="18"/>
                <w:lang w:eastAsia="es-PE"/>
              </w:rPr>
              <w:t> </w:t>
            </w:r>
          </w:p>
        </w:tc>
        <w:tc>
          <w:tcPr>
            <w:tcW w:w="880" w:type="dxa"/>
            <w:tcBorders>
              <w:top w:val="single" w:sz="4" w:space="0" w:color="auto"/>
              <w:bottom w:val="single" w:sz="12" w:space="0" w:color="auto"/>
            </w:tcBorders>
            <w:shd w:val="clear" w:color="auto" w:fill="auto"/>
            <w:vAlign w:val="bottom"/>
            <w:hideMark/>
          </w:tcPr>
          <w:p w:rsidR="007758CF" w:rsidRPr="00C97111" w:rsidRDefault="007758CF" w:rsidP="00C97111">
            <w:pPr>
              <w:spacing w:before="80" w:after="80" w:line="220" w:lineRule="exact"/>
              <w:jc w:val="right"/>
              <w:rPr>
                <w:b/>
                <w:sz w:val="18"/>
                <w:lang w:eastAsia="es-PE"/>
              </w:rPr>
            </w:pPr>
            <w:r w:rsidRPr="00C97111">
              <w:rPr>
                <w:b/>
                <w:sz w:val="18"/>
                <w:lang w:eastAsia="es-PE"/>
              </w:rPr>
              <w:t>28</w:t>
            </w:r>
            <w:r w:rsidR="00C26C04" w:rsidRPr="00C26C04">
              <w:rPr>
                <w:b/>
                <w:sz w:val="18"/>
                <w:lang w:eastAsia="es-PE"/>
              </w:rPr>
              <w:t xml:space="preserve"> </w:t>
            </w:r>
            <w:r w:rsidRPr="00C97111">
              <w:rPr>
                <w:b/>
                <w:sz w:val="18"/>
                <w:lang w:eastAsia="es-PE"/>
              </w:rPr>
              <w:t>049</w:t>
            </w:r>
          </w:p>
        </w:tc>
        <w:tc>
          <w:tcPr>
            <w:tcW w:w="1024" w:type="dxa"/>
            <w:tcBorders>
              <w:top w:val="single" w:sz="4" w:space="0" w:color="auto"/>
              <w:bottom w:val="single" w:sz="12" w:space="0" w:color="auto"/>
            </w:tcBorders>
            <w:shd w:val="clear" w:color="auto" w:fill="auto"/>
            <w:vAlign w:val="bottom"/>
            <w:hideMark/>
          </w:tcPr>
          <w:p w:rsidR="007758CF" w:rsidRPr="00C97111" w:rsidRDefault="007758CF" w:rsidP="00C97111">
            <w:pPr>
              <w:spacing w:before="80" w:after="80" w:line="220" w:lineRule="exact"/>
              <w:jc w:val="right"/>
              <w:rPr>
                <w:b/>
                <w:sz w:val="18"/>
                <w:lang w:eastAsia="es-PE"/>
              </w:rPr>
            </w:pPr>
            <w:r w:rsidRPr="00C97111">
              <w:rPr>
                <w:b/>
                <w:sz w:val="18"/>
                <w:lang w:eastAsia="es-PE"/>
              </w:rPr>
              <w:t>7</w:t>
            </w:r>
            <w:r w:rsidR="00C26C04" w:rsidRPr="00C26C04">
              <w:rPr>
                <w:b/>
                <w:sz w:val="18"/>
                <w:lang w:eastAsia="es-PE"/>
              </w:rPr>
              <w:t xml:space="preserve"> </w:t>
            </w:r>
            <w:r w:rsidRPr="00C97111">
              <w:rPr>
                <w:b/>
                <w:sz w:val="18"/>
                <w:lang w:eastAsia="es-PE"/>
              </w:rPr>
              <w:t>514</w:t>
            </w:r>
          </w:p>
        </w:tc>
        <w:tc>
          <w:tcPr>
            <w:tcW w:w="1024" w:type="dxa"/>
            <w:tcBorders>
              <w:top w:val="single" w:sz="4" w:space="0" w:color="auto"/>
              <w:bottom w:val="single" w:sz="12" w:space="0" w:color="auto"/>
            </w:tcBorders>
            <w:shd w:val="clear" w:color="auto" w:fill="auto"/>
            <w:vAlign w:val="bottom"/>
            <w:hideMark/>
          </w:tcPr>
          <w:p w:rsidR="007758CF" w:rsidRPr="00C97111" w:rsidRDefault="007758CF" w:rsidP="00C97111">
            <w:pPr>
              <w:spacing w:before="80" w:after="80" w:line="220" w:lineRule="exact"/>
              <w:jc w:val="right"/>
              <w:rPr>
                <w:b/>
                <w:sz w:val="18"/>
                <w:lang w:eastAsia="es-PE"/>
              </w:rPr>
            </w:pPr>
            <w:r w:rsidRPr="00C97111">
              <w:rPr>
                <w:b/>
                <w:sz w:val="18"/>
                <w:lang w:eastAsia="es-PE"/>
              </w:rPr>
              <w:t>35</w:t>
            </w:r>
            <w:r w:rsidR="00C26C04" w:rsidRPr="00C26C04">
              <w:rPr>
                <w:b/>
                <w:sz w:val="18"/>
                <w:lang w:eastAsia="es-PE"/>
              </w:rPr>
              <w:t xml:space="preserve"> </w:t>
            </w:r>
            <w:r w:rsidRPr="00C97111">
              <w:rPr>
                <w:b/>
                <w:sz w:val="18"/>
                <w:lang w:eastAsia="es-PE"/>
              </w:rPr>
              <w:t>013</w:t>
            </w:r>
          </w:p>
        </w:tc>
        <w:tc>
          <w:tcPr>
            <w:tcW w:w="1395" w:type="dxa"/>
            <w:tcBorders>
              <w:top w:val="single" w:sz="4" w:space="0" w:color="auto"/>
              <w:bottom w:val="single" w:sz="12" w:space="0" w:color="auto"/>
            </w:tcBorders>
            <w:shd w:val="clear" w:color="auto" w:fill="auto"/>
            <w:vAlign w:val="bottom"/>
            <w:hideMark/>
          </w:tcPr>
          <w:p w:rsidR="007758CF" w:rsidRPr="00C97111" w:rsidRDefault="007758CF" w:rsidP="00C97111">
            <w:pPr>
              <w:spacing w:before="80" w:after="80" w:line="220" w:lineRule="exact"/>
              <w:jc w:val="right"/>
              <w:rPr>
                <w:b/>
                <w:sz w:val="18"/>
                <w:lang w:eastAsia="es-PE"/>
              </w:rPr>
            </w:pPr>
            <w:r w:rsidRPr="00C97111">
              <w:rPr>
                <w:b/>
                <w:sz w:val="18"/>
                <w:lang w:eastAsia="es-PE"/>
              </w:rPr>
              <w:t>35</w:t>
            </w:r>
            <w:r w:rsidR="00C26C04" w:rsidRPr="00C26C04">
              <w:rPr>
                <w:b/>
                <w:sz w:val="18"/>
                <w:lang w:eastAsia="es-PE"/>
              </w:rPr>
              <w:t xml:space="preserve"> </w:t>
            </w:r>
            <w:r w:rsidRPr="00C97111">
              <w:rPr>
                <w:b/>
                <w:sz w:val="18"/>
                <w:lang w:eastAsia="es-PE"/>
              </w:rPr>
              <w:t>013</w:t>
            </w:r>
          </w:p>
        </w:tc>
        <w:tc>
          <w:tcPr>
            <w:tcW w:w="890" w:type="dxa"/>
            <w:tcBorders>
              <w:top w:val="single" w:sz="4" w:space="0" w:color="auto"/>
              <w:bottom w:val="single" w:sz="12" w:space="0" w:color="auto"/>
            </w:tcBorders>
            <w:shd w:val="clear" w:color="auto" w:fill="auto"/>
            <w:vAlign w:val="bottom"/>
            <w:hideMark/>
          </w:tcPr>
          <w:p w:rsidR="007758CF" w:rsidRPr="00C97111" w:rsidRDefault="007758CF" w:rsidP="00C97111">
            <w:pPr>
              <w:spacing w:before="80" w:after="80" w:line="220" w:lineRule="exact"/>
              <w:jc w:val="right"/>
              <w:rPr>
                <w:b/>
                <w:sz w:val="18"/>
                <w:lang w:eastAsia="es-PE"/>
              </w:rPr>
            </w:pPr>
            <w:r w:rsidRPr="00C97111">
              <w:rPr>
                <w:b/>
                <w:sz w:val="18"/>
                <w:lang w:eastAsia="es-PE"/>
              </w:rPr>
              <w:t>1</w:t>
            </w:r>
            <w:r w:rsidR="00C26C04" w:rsidRPr="00C26C04">
              <w:rPr>
                <w:b/>
                <w:sz w:val="18"/>
                <w:lang w:eastAsia="es-PE"/>
              </w:rPr>
              <w:t xml:space="preserve"> </w:t>
            </w:r>
            <w:r w:rsidRPr="00C97111">
              <w:rPr>
                <w:b/>
                <w:sz w:val="18"/>
                <w:lang w:eastAsia="es-PE"/>
              </w:rPr>
              <w:t>935</w:t>
            </w:r>
          </w:p>
        </w:tc>
        <w:tc>
          <w:tcPr>
            <w:tcW w:w="1077" w:type="dxa"/>
            <w:tcBorders>
              <w:top w:val="single" w:sz="4" w:space="0" w:color="auto"/>
              <w:bottom w:val="single" w:sz="12" w:space="0" w:color="auto"/>
            </w:tcBorders>
            <w:shd w:val="clear" w:color="auto" w:fill="auto"/>
            <w:vAlign w:val="bottom"/>
            <w:hideMark/>
          </w:tcPr>
          <w:p w:rsidR="007758CF" w:rsidRPr="00C97111" w:rsidRDefault="007758CF" w:rsidP="00C97111">
            <w:pPr>
              <w:spacing w:before="80" w:after="80" w:line="220" w:lineRule="exact"/>
              <w:jc w:val="right"/>
              <w:rPr>
                <w:b/>
                <w:sz w:val="18"/>
                <w:lang w:eastAsia="es-PE"/>
              </w:rPr>
            </w:pPr>
            <w:r w:rsidRPr="00C97111">
              <w:rPr>
                <w:b/>
                <w:sz w:val="18"/>
                <w:lang w:eastAsia="es-PE"/>
              </w:rPr>
              <w:t>2</w:t>
            </w:r>
            <w:r w:rsidR="00C26C04" w:rsidRPr="00C26C04">
              <w:rPr>
                <w:b/>
                <w:sz w:val="18"/>
                <w:lang w:eastAsia="es-PE"/>
              </w:rPr>
              <w:t xml:space="preserve"> </w:t>
            </w:r>
            <w:r w:rsidRPr="00C97111">
              <w:rPr>
                <w:b/>
                <w:sz w:val="18"/>
                <w:lang w:eastAsia="es-PE"/>
              </w:rPr>
              <w:t>488</w:t>
            </w:r>
          </w:p>
        </w:tc>
      </w:tr>
    </w:tbl>
    <w:p w:rsidR="00C97111" w:rsidRDefault="00C97111" w:rsidP="00C97111">
      <w:pPr>
        <w:pStyle w:val="SingleTxtG"/>
        <w:spacing w:before="120" w:after="0" w:line="220" w:lineRule="exact"/>
        <w:ind w:left="0" w:right="0" w:firstLine="170"/>
        <w:jc w:val="left"/>
        <w:rPr>
          <w:sz w:val="18"/>
        </w:rPr>
      </w:pPr>
      <w:r w:rsidRPr="00C97111">
        <w:rPr>
          <w:i/>
          <w:sz w:val="18"/>
        </w:rPr>
        <w:t>Fuente</w:t>
      </w:r>
      <w:r w:rsidRPr="00742A2C">
        <w:rPr>
          <w:i/>
          <w:sz w:val="18"/>
        </w:rPr>
        <w:t>:</w:t>
      </w:r>
      <w:r w:rsidRPr="00C14FEC">
        <w:rPr>
          <w:sz w:val="18"/>
        </w:rPr>
        <w:t xml:space="preserve"> I</w:t>
      </w:r>
      <w:r w:rsidR="000D7C62">
        <w:rPr>
          <w:sz w:val="18"/>
        </w:rPr>
        <w:t>nstituto Nacional Penitenciario</w:t>
      </w:r>
      <w:r w:rsidRPr="00C14FEC">
        <w:rPr>
          <w:sz w:val="18"/>
        </w:rPr>
        <w:t xml:space="preserve">. Oficio </w:t>
      </w:r>
      <w:r w:rsidR="00403B5F">
        <w:rPr>
          <w:sz w:val="18"/>
        </w:rPr>
        <w:t>núm.</w:t>
      </w:r>
      <w:r w:rsidRPr="00C14FEC">
        <w:rPr>
          <w:sz w:val="18"/>
        </w:rPr>
        <w:t xml:space="preserve"> 377-2017-INPE/4. Fecha: 8</w:t>
      </w:r>
      <w:r w:rsidR="000E122C">
        <w:rPr>
          <w:sz w:val="18"/>
        </w:rPr>
        <w:t xml:space="preserve"> de enero de </w:t>
      </w:r>
      <w:r w:rsidRPr="00C14FEC">
        <w:rPr>
          <w:sz w:val="18"/>
        </w:rPr>
        <w:t>2016. Información ampliada por correo electrónico de fecha: 23</w:t>
      </w:r>
      <w:r w:rsidR="000D7C62">
        <w:rPr>
          <w:sz w:val="18"/>
        </w:rPr>
        <w:t xml:space="preserve"> de junio de </w:t>
      </w:r>
      <w:r w:rsidRPr="00C14FEC">
        <w:rPr>
          <w:sz w:val="18"/>
        </w:rPr>
        <w:t>2017</w:t>
      </w:r>
      <w:r w:rsidR="000D7C62">
        <w:rPr>
          <w:sz w:val="18"/>
        </w:rPr>
        <w:t>.</w:t>
      </w:r>
    </w:p>
    <w:p w:rsidR="00F97674" w:rsidRPr="00742A2C" w:rsidRDefault="000D7C62" w:rsidP="00742A2C">
      <w:pPr>
        <w:pStyle w:val="SingleTxtG"/>
        <w:suppressAutoHyphens/>
        <w:spacing w:before="240" w:after="0"/>
        <w:jc w:val="center"/>
        <w:rPr>
          <w:u w:val="single"/>
        </w:rPr>
      </w:pPr>
      <w:r>
        <w:rPr>
          <w:u w:val="single"/>
        </w:rPr>
        <w:tab/>
      </w:r>
      <w:r>
        <w:rPr>
          <w:u w:val="single"/>
        </w:rPr>
        <w:tab/>
      </w:r>
      <w:r>
        <w:rPr>
          <w:u w:val="single"/>
        </w:rPr>
        <w:tab/>
      </w:r>
    </w:p>
    <w:p w:rsidR="00F97674" w:rsidRPr="0015425F" w:rsidRDefault="00F97674" w:rsidP="00742A2C">
      <w:pPr>
        <w:pStyle w:val="SingleTxtG"/>
        <w:spacing w:before="240" w:after="0"/>
        <w:jc w:val="center"/>
        <w:rPr>
          <w:rStyle w:val="Hipervnculovisitado"/>
          <w:color w:val="auto"/>
          <w:sz w:val="22"/>
          <w:szCs w:val="22"/>
        </w:rPr>
      </w:pPr>
    </w:p>
    <w:sectPr w:rsidR="00F97674" w:rsidRPr="0015425F" w:rsidSect="00742A2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A6" w:rsidRPr="00B94EAA" w:rsidRDefault="007E0CA6" w:rsidP="00B94EAA">
      <w:pPr>
        <w:pStyle w:val="Piedepgina"/>
      </w:pPr>
    </w:p>
  </w:endnote>
  <w:endnote w:type="continuationSeparator" w:id="0">
    <w:p w:rsidR="007E0CA6" w:rsidRPr="00B94EAA" w:rsidRDefault="007E0CA6"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A6" w:rsidRPr="003E0C9F" w:rsidRDefault="007E0CA6" w:rsidP="003E0C9F">
    <w:pPr>
      <w:pStyle w:val="Piedepgina"/>
      <w:tabs>
        <w:tab w:val="right" w:pos="9638"/>
      </w:tabs>
    </w:pPr>
    <w:r w:rsidRPr="003E0C9F">
      <w:rPr>
        <w:b/>
        <w:sz w:val="18"/>
      </w:rPr>
      <w:fldChar w:fldCharType="begin"/>
    </w:r>
    <w:r w:rsidRPr="003E0C9F">
      <w:rPr>
        <w:b/>
        <w:sz w:val="18"/>
      </w:rPr>
      <w:instrText xml:space="preserve"> PAGE  \* MERGEFORMAT </w:instrText>
    </w:r>
    <w:r w:rsidRPr="003E0C9F">
      <w:rPr>
        <w:b/>
        <w:sz w:val="18"/>
      </w:rPr>
      <w:fldChar w:fldCharType="separate"/>
    </w:r>
    <w:r w:rsidR="001C772C">
      <w:rPr>
        <w:b/>
        <w:noProof/>
        <w:sz w:val="18"/>
      </w:rPr>
      <w:t>20</w:t>
    </w:r>
    <w:r w:rsidRPr="003E0C9F">
      <w:rPr>
        <w:b/>
        <w:sz w:val="18"/>
      </w:rPr>
      <w:fldChar w:fldCharType="end"/>
    </w:r>
    <w:r>
      <w:rPr>
        <w:b/>
        <w:sz w:val="18"/>
      </w:rPr>
      <w:tab/>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A6" w:rsidRPr="003E0C9F" w:rsidRDefault="007E0CA6" w:rsidP="003E0C9F">
    <w:pPr>
      <w:pStyle w:val="Piedepgina"/>
      <w:tabs>
        <w:tab w:val="right" w:pos="9638"/>
      </w:tabs>
      <w:rPr>
        <w:b/>
        <w:sz w:val="18"/>
      </w:rPr>
    </w:pPr>
    <w:r>
      <w:tab/>
    </w:r>
    <w:r w:rsidRPr="003E0C9F">
      <w:rPr>
        <w:b/>
        <w:sz w:val="18"/>
      </w:rPr>
      <w:fldChar w:fldCharType="begin"/>
    </w:r>
    <w:r w:rsidRPr="003E0C9F">
      <w:rPr>
        <w:b/>
        <w:sz w:val="18"/>
      </w:rPr>
      <w:instrText xml:space="preserve"> PAGE  \* MERGEFORMAT </w:instrText>
    </w:r>
    <w:r w:rsidRPr="003E0C9F">
      <w:rPr>
        <w:b/>
        <w:sz w:val="18"/>
      </w:rPr>
      <w:fldChar w:fldCharType="separate"/>
    </w:r>
    <w:r w:rsidR="001C772C">
      <w:rPr>
        <w:b/>
        <w:noProof/>
        <w:sz w:val="18"/>
      </w:rPr>
      <w:t>21</w:t>
    </w:r>
    <w:r w:rsidRPr="003E0C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D1" w:rsidRPr="009843D1" w:rsidRDefault="009843D1" w:rsidP="009843D1">
    <w:pPr>
      <w:pStyle w:val="Piedepgina"/>
      <w:spacing w:before="120" w:line="240" w:lineRule="auto"/>
      <w:rPr>
        <w:sz w:val="20"/>
      </w:rPr>
    </w:pPr>
    <w:proofErr w:type="spellStart"/>
    <w:r>
      <w:rPr>
        <w:sz w:val="20"/>
      </w:rPr>
      <w:t>GE.17</w:t>
    </w:r>
    <w:proofErr w:type="spellEnd"/>
    <w:r>
      <w:rPr>
        <w:sz w:val="20"/>
      </w:rPr>
      <w:t>-13571  (S)</w:t>
    </w:r>
    <w:r>
      <w:rPr>
        <w:sz w:val="20"/>
      </w:rPr>
      <w:br/>
    </w:r>
    <w:r w:rsidRPr="009843D1">
      <w:rPr>
        <w:rFonts w:ascii="C39T30Lfz" w:hAnsi="C39T30Lfz"/>
        <w:sz w:val="56"/>
      </w:rPr>
      <w:t></w:t>
    </w:r>
    <w:r w:rsidRPr="009843D1">
      <w:rPr>
        <w:rFonts w:ascii="C39T30Lfz" w:hAnsi="C39T30Lfz"/>
        <w:sz w:val="56"/>
      </w:rPr>
      <w:t></w:t>
    </w:r>
    <w:r w:rsidRPr="009843D1">
      <w:rPr>
        <w:rFonts w:ascii="C39T30Lfz" w:hAnsi="C39T30Lfz"/>
        <w:sz w:val="56"/>
      </w:rPr>
      <w:t></w:t>
    </w:r>
    <w:r w:rsidRPr="009843D1">
      <w:rPr>
        <w:rFonts w:ascii="C39T30Lfz" w:hAnsi="C39T30Lfz"/>
        <w:sz w:val="56"/>
      </w:rPr>
      <w:t></w:t>
    </w:r>
    <w:r w:rsidRPr="009843D1">
      <w:rPr>
        <w:rFonts w:ascii="C39T30Lfz" w:hAnsi="C39T30Lfz"/>
        <w:sz w:val="56"/>
      </w:rPr>
      <w:t></w:t>
    </w:r>
    <w:r w:rsidRPr="009843D1">
      <w:rPr>
        <w:rFonts w:ascii="C39T30Lfz" w:hAnsi="C39T30Lfz"/>
        <w:sz w:val="56"/>
      </w:rPr>
      <w:t></w:t>
    </w:r>
    <w:r w:rsidRPr="009843D1">
      <w:rPr>
        <w:rFonts w:ascii="C39T30Lfz" w:hAnsi="C39T30Lfz"/>
        <w:sz w:val="56"/>
      </w:rPr>
      <w:t></w:t>
    </w:r>
    <w:r w:rsidRPr="009843D1">
      <w:rPr>
        <w:rFonts w:ascii="C39T30Lfz" w:hAnsi="C39T30Lfz"/>
        <w:sz w:val="56"/>
      </w:rPr>
      <w:t></w:t>
    </w:r>
    <w:r w:rsidRPr="009843D1">
      <w:rPr>
        <w:rFonts w:ascii="C39T30Lfz" w:hAnsi="C39T30Lfz"/>
        <w:sz w:val="56"/>
      </w:rPr>
      <w:t></w:t>
    </w:r>
    <w:r w:rsidRPr="009843D1">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AT/OP/PER/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ER/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A6" w:rsidRPr="001075E9" w:rsidRDefault="007E0CA6" w:rsidP="001075E9">
      <w:pPr>
        <w:tabs>
          <w:tab w:val="right" w:pos="2155"/>
        </w:tabs>
        <w:spacing w:after="80" w:line="240" w:lineRule="auto"/>
        <w:ind w:left="680"/>
        <w:rPr>
          <w:u w:val="single"/>
        </w:rPr>
      </w:pPr>
      <w:r>
        <w:rPr>
          <w:u w:val="single"/>
        </w:rPr>
        <w:tab/>
      </w:r>
    </w:p>
  </w:footnote>
  <w:footnote w:type="continuationSeparator" w:id="0">
    <w:p w:rsidR="007E0CA6" w:rsidRDefault="007E0CA6" w:rsidP="001B04E7">
      <w:pPr>
        <w:tabs>
          <w:tab w:val="right" w:pos="2155"/>
        </w:tabs>
        <w:spacing w:after="80" w:line="240" w:lineRule="auto"/>
        <w:ind w:left="680"/>
        <w:rPr>
          <w:u w:val="single"/>
        </w:rPr>
      </w:pPr>
      <w:r>
        <w:rPr>
          <w:u w:val="single"/>
        </w:rPr>
        <w:tab/>
      </w:r>
    </w:p>
  </w:footnote>
  <w:footnote w:id="1">
    <w:p w:rsidR="007E0CA6" w:rsidRPr="00261B80" w:rsidRDefault="007E0CA6">
      <w:pPr>
        <w:pStyle w:val="Textonotapie"/>
        <w:rPr>
          <w:szCs w:val="18"/>
        </w:rPr>
      </w:pPr>
      <w:r w:rsidRPr="007758CF">
        <w:tab/>
      </w:r>
      <w:r w:rsidRPr="007E0CA6">
        <w:rPr>
          <w:rStyle w:val="Refdenotaalpie"/>
          <w:szCs w:val="18"/>
          <w:vertAlign w:val="baseline"/>
        </w:rPr>
        <w:t>*</w:t>
      </w:r>
      <w:r w:rsidRPr="00261B80">
        <w:rPr>
          <w:rStyle w:val="Refdenotaalpie"/>
          <w:szCs w:val="18"/>
          <w:vertAlign w:val="baseline"/>
        </w:rPr>
        <w:tab/>
      </w:r>
      <w:r w:rsidRPr="00261B80">
        <w:rPr>
          <w:szCs w:val="18"/>
        </w:rPr>
        <w:t>De conformidad con el artículo 16, párrafo 1, del Protocolo Facultativo, el presente informe se transmitió con carácter confidencial al Perú el 24 de marzo de 2014. El 12 de julio de 2017, el Perú pidió al Subcomité que publicara el informe, de conformidad con el artículo 16, párrafo 2, del Protocolo Facultativo.</w:t>
      </w:r>
    </w:p>
  </w:footnote>
  <w:footnote w:id="2">
    <w:p w:rsidR="007E0CA6" w:rsidRPr="00261B80" w:rsidRDefault="007E0CA6">
      <w:pPr>
        <w:pStyle w:val="Textonotapie"/>
        <w:rPr>
          <w:szCs w:val="18"/>
        </w:rPr>
      </w:pPr>
      <w:r w:rsidRPr="00261B80">
        <w:rPr>
          <w:szCs w:val="18"/>
        </w:rPr>
        <w:tab/>
      </w:r>
      <w:r w:rsidRPr="007E0CA6">
        <w:rPr>
          <w:rStyle w:val="Refdenotaalpie"/>
          <w:szCs w:val="18"/>
          <w:vertAlign w:val="baseline"/>
        </w:rPr>
        <w:t>**</w:t>
      </w:r>
      <w:r w:rsidRPr="007E0CA6">
        <w:rPr>
          <w:rStyle w:val="Refdenotaalpie"/>
          <w:szCs w:val="18"/>
          <w:vertAlign w:val="baseline"/>
        </w:rPr>
        <w:tab/>
      </w:r>
      <w:r w:rsidRPr="00261B80">
        <w:rPr>
          <w:szCs w:val="18"/>
        </w:rPr>
        <w:t>El 12 de julio de 2017, el Perú pidió al Subcomité que publicara sus respuestas, de conformidad con el artículo 16, párrafo 2, del Protocolo Facultativo.</w:t>
      </w:r>
    </w:p>
  </w:footnote>
  <w:footnote w:id="3">
    <w:p w:rsidR="007E0CA6" w:rsidRPr="00261B80" w:rsidRDefault="007E0CA6">
      <w:pPr>
        <w:pStyle w:val="Textonotapie"/>
        <w:rPr>
          <w:szCs w:val="18"/>
        </w:rPr>
      </w:pPr>
      <w:r w:rsidRPr="00261B80">
        <w:rPr>
          <w:szCs w:val="18"/>
        </w:rPr>
        <w:tab/>
      </w:r>
      <w:r w:rsidRPr="007E0CA6">
        <w:rPr>
          <w:rStyle w:val="Refdenotaalpie"/>
          <w:szCs w:val="18"/>
          <w:vertAlign w:val="baseline"/>
        </w:rPr>
        <w:t>***</w:t>
      </w:r>
      <w:r w:rsidRPr="00261B80">
        <w:rPr>
          <w:rStyle w:val="Refdenotaalpie"/>
          <w:szCs w:val="18"/>
          <w:vertAlign w:val="baseline"/>
        </w:rPr>
        <w:tab/>
      </w:r>
      <w:r w:rsidRPr="00261B80">
        <w:rPr>
          <w:szCs w:val="18"/>
        </w:rPr>
        <w:t>El presente documento se publica sin haber sido objeto de revisión editorial oficial.</w:t>
      </w:r>
    </w:p>
  </w:footnote>
  <w:footnote w:id="4">
    <w:p w:rsidR="007E0CA6" w:rsidRPr="007758CF" w:rsidRDefault="007E0CA6">
      <w:pPr>
        <w:pStyle w:val="Textonotapie"/>
      </w:pPr>
      <w:r w:rsidRPr="00261B80">
        <w:rPr>
          <w:szCs w:val="18"/>
        </w:rPr>
        <w:tab/>
      </w:r>
      <w:r w:rsidRPr="007E0CA6">
        <w:rPr>
          <w:rStyle w:val="Refdenotaalpie"/>
          <w:szCs w:val="18"/>
          <w:vertAlign w:val="baseline"/>
        </w:rPr>
        <w:t>****</w:t>
      </w:r>
      <w:r w:rsidRPr="00261B80">
        <w:rPr>
          <w:rStyle w:val="Refdenotaalpie"/>
          <w:szCs w:val="18"/>
          <w:vertAlign w:val="baseline"/>
        </w:rPr>
        <w:tab/>
      </w:r>
      <w:r w:rsidRPr="00261B80">
        <w:rPr>
          <w:szCs w:val="18"/>
        </w:rPr>
        <w:t>El anexo del presente documento se distribuye únicamente en el idioma en que se presentó.</w:t>
      </w:r>
      <w:r w:rsidRPr="007758CF">
        <w:t xml:space="preserve"> </w:t>
      </w:r>
    </w:p>
  </w:footnote>
  <w:footnote w:id="5">
    <w:p w:rsidR="007E0CA6" w:rsidRPr="004B2D0B" w:rsidRDefault="007E0CA6" w:rsidP="00F4219D">
      <w:pPr>
        <w:pStyle w:val="Textonotapie"/>
      </w:pPr>
      <w:r>
        <w:tab/>
      </w:r>
      <w:r w:rsidRPr="00214959">
        <w:rPr>
          <w:rStyle w:val="Refdenotaalpie"/>
          <w:szCs w:val="16"/>
        </w:rPr>
        <w:footnoteRef/>
      </w:r>
      <w:r>
        <w:tab/>
      </w:r>
      <w:r w:rsidRPr="004B2D0B">
        <w:t>C</w:t>
      </w:r>
      <w:r>
        <w:t>ongreso de la República</w:t>
      </w:r>
      <w:r w:rsidRPr="004B2D0B">
        <w:t xml:space="preserve">. Ley </w:t>
      </w:r>
      <w:r>
        <w:t>núm.</w:t>
      </w:r>
      <w:r w:rsidRPr="004B2D0B">
        <w:t xml:space="preserve"> 30394. Ley que amplía las funciones de la Defensoría del Pueblo como órgano encargado del Mecanismo Nacional de Prevención de la Tortura y otros Tratos o Penas Crueles, Inhumanos o Degradantes. Publicada en el </w:t>
      </w:r>
      <w:r w:rsidRPr="00055918">
        <w:rPr>
          <w:i/>
        </w:rPr>
        <w:t>Diario Oficial</w:t>
      </w:r>
      <w:r>
        <w:t xml:space="preserve"> </w:t>
      </w:r>
      <w:r w:rsidRPr="00EC38A9">
        <w:rPr>
          <w:i/>
        </w:rPr>
        <w:t>“El Peruano”</w:t>
      </w:r>
      <w:r>
        <w:t>: 22 de diciembre de 2015.</w:t>
      </w:r>
    </w:p>
  </w:footnote>
  <w:footnote w:id="6">
    <w:p w:rsidR="007E0CA6" w:rsidRPr="004B2D0B" w:rsidRDefault="007E0CA6" w:rsidP="00F4219D">
      <w:pPr>
        <w:pStyle w:val="Textonotapie"/>
        <w:rPr>
          <w:lang w:val="es-PE"/>
        </w:rPr>
      </w:pPr>
      <w:r>
        <w:tab/>
      </w:r>
      <w:r w:rsidRPr="00214959">
        <w:rPr>
          <w:rStyle w:val="Refdenotaalpie"/>
          <w:szCs w:val="16"/>
        </w:rPr>
        <w:footnoteRef/>
      </w:r>
      <w:r>
        <w:tab/>
      </w:r>
      <w:r w:rsidRPr="004B2D0B">
        <w:rPr>
          <w:lang w:val="es-PE"/>
        </w:rPr>
        <w:t>D</w:t>
      </w:r>
      <w:r>
        <w:rPr>
          <w:lang w:val="es-PE"/>
        </w:rPr>
        <w:t>efensoría del Pueblo</w:t>
      </w:r>
      <w:r w:rsidRPr="004B2D0B">
        <w:rPr>
          <w:lang w:val="es-PE"/>
        </w:rPr>
        <w:t>. Primer Informe Anual del Mecanismo Nacional de Prevención de la Tortura y Otros Tratos o Penas Crueles, Inhumanos o Degradantes. Pág. 11. Consulta: 23</w:t>
      </w:r>
      <w:r>
        <w:rPr>
          <w:lang w:val="es-PE"/>
        </w:rPr>
        <w:t xml:space="preserve"> de junio de </w:t>
      </w:r>
      <w:r w:rsidRPr="004B2D0B">
        <w:rPr>
          <w:lang w:val="es-PE"/>
        </w:rPr>
        <w:t>2017. Disponible en: http://www.defensoria.gob.pe/modules/Downloads/informes/</w:t>
      </w:r>
      <w:r>
        <w:rPr>
          <w:lang w:val="es-PE"/>
        </w:rPr>
        <w:br/>
      </w:r>
      <w:r w:rsidRPr="004B2D0B">
        <w:rPr>
          <w:lang w:val="es-PE"/>
        </w:rPr>
        <w:t>anua</w:t>
      </w:r>
      <w:r>
        <w:rPr>
          <w:lang w:val="es-PE"/>
        </w:rPr>
        <w:t xml:space="preserve">les/Informe_tortura_2016.1.pdf. </w:t>
      </w:r>
    </w:p>
  </w:footnote>
  <w:footnote w:id="7">
    <w:p w:rsidR="007E0CA6" w:rsidRPr="004B2D0B" w:rsidRDefault="007E0CA6" w:rsidP="00F4219D">
      <w:pPr>
        <w:pStyle w:val="Textonotapie"/>
      </w:pPr>
      <w:r>
        <w:tab/>
      </w:r>
      <w:r w:rsidRPr="00214959">
        <w:rPr>
          <w:rStyle w:val="Refdenotaalpie"/>
          <w:szCs w:val="16"/>
        </w:rPr>
        <w:footnoteRef/>
      </w:r>
      <w:r>
        <w:tab/>
      </w:r>
      <w:r w:rsidRPr="004B2D0B">
        <w:t>M</w:t>
      </w:r>
      <w:r>
        <w:t>inisterio de Justicia y Derechos Humanos</w:t>
      </w:r>
      <w:r w:rsidRPr="004B2D0B">
        <w:t>.</w:t>
      </w:r>
      <w:r>
        <w:t xml:space="preserve"> </w:t>
      </w:r>
      <w:r w:rsidRPr="004B2D0B">
        <w:t xml:space="preserve">Decreto Supremo </w:t>
      </w:r>
      <w:r>
        <w:t>núm. </w:t>
      </w:r>
      <w:r w:rsidRPr="004B2D0B">
        <w:t>005</w:t>
      </w:r>
      <w:r>
        <w:noBreakHyphen/>
      </w:r>
      <w:r w:rsidRPr="004B2D0B">
        <w:t>2016</w:t>
      </w:r>
      <w:r>
        <w:noBreakHyphen/>
      </w:r>
      <w:r w:rsidRPr="004B2D0B">
        <w:t xml:space="preserve">JUS. Decreto Supremo que aprueba la Política Nacional Penitenciaria y el Plan Nacional de la Política Penitenciaria. Publicado en el </w:t>
      </w:r>
      <w:r w:rsidRPr="00055918">
        <w:rPr>
          <w:i/>
        </w:rPr>
        <w:t>Diario Oficial</w:t>
      </w:r>
      <w:r w:rsidRPr="004B2D0B">
        <w:t xml:space="preserve"> </w:t>
      </w:r>
      <w:r w:rsidRPr="00EC38A9">
        <w:rPr>
          <w:i/>
        </w:rPr>
        <w:t>“El Peruano”</w:t>
      </w:r>
      <w:r w:rsidRPr="004B2D0B">
        <w:t xml:space="preserve">: </w:t>
      </w:r>
      <w:r>
        <w:t>15 de julio de 2016</w:t>
      </w:r>
      <w:r w:rsidRPr="004B2D0B">
        <w:t xml:space="preserve">. Consulta: </w:t>
      </w:r>
      <w:r>
        <w:t>1 de julio de 2017</w:t>
      </w:r>
      <w:r w:rsidRPr="004B2D0B">
        <w:t>. Disponible en http://www.minjus.gob.pe/wp-content/upload</w:t>
      </w:r>
      <w:r>
        <w:t>s/2016/07/DS-N-005-2016-JUS.pdf.</w:t>
      </w:r>
    </w:p>
  </w:footnote>
  <w:footnote w:id="8">
    <w:p w:rsidR="007E0CA6" w:rsidRPr="00C47121" w:rsidRDefault="007E0CA6" w:rsidP="00F4219D">
      <w:pPr>
        <w:pStyle w:val="Textonotapie"/>
      </w:pPr>
      <w:r>
        <w:tab/>
      </w:r>
      <w:r w:rsidRPr="00214959">
        <w:rPr>
          <w:rStyle w:val="Refdenotaalpie"/>
          <w:szCs w:val="16"/>
        </w:rPr>
        <w:footnoteRef/>
      </w:r>
      <w:r>
        <w:tab/>
      </w:r>
      <w:r w:rsidRPr="004B2D0B">
        <w:t>Precisamente</w:t>
      </w:r>
      <w:r w:rsidRPr="004B2D0B">
        <w:rPr>
          <w:lang w:val="es-PE"/>
        </w:rPr>
        <w:t xml:space="preserve">, de acuerdo al Reglamento de Organización y Funciones del Instituto Nacional Penitenciario, aprobado mediante Decreto Supremo </w:t>
      </w:r>
      <w:r>
        <w:rPr>
          <w:lang w:val="es-PE"/>
        </w:rPr>
        <w:t>núm.</w:t>
      </w:r>
      <w:r w:rsidRPr="004B2D0B">
        <w:rPr>
          <w:lang w:val="es-PE"/>
        </w:rPr>
        <w:t xml:space="preserve"> 009-2007-JUS (Publicado en el </w:t>
      </w:r>
      <w:r w:rsidRPr="00055918">
        <w:rPr>
          <w:i/>
          <w:lang w:val="es-PE"/>
        </w:rPr>
        <w:t>Diario Oficial</w:t>
      </w:r>
      <w:r w:rsidRPr="00742A2C">
        <w:rPr>
          <w:i/>
          <w:lang w:val="es-PE"/>
        </w:rPr>
        <w:t xml:space="preserve"> </w:t>
      </w:r>
      <w:r w:rsidRPr="00EC38A9">
        <w:rPr>
          <w:i/>
          <w:lang w:val="es-PE"/>
        </w:rPr>
        <w:t>“El Peruano”</w:t>
      </w:r>
      <w:r w:rsidRPr="004B2D0B">
        <w:rPr>
          <w:lang w:val="es-PE"/>
        </w:rPr>
        <w:t>: 10</w:t>
      </w:r>
      <w:r>
        <w:rPr>
          <w:lang w:val="es-PE"/>
        </w:rPr>
        <w:t xml:space="preserve"> de octubre de </w:t>
      </w:r>
      <w:r w:rsidRPr="004B2D0B">
        <w:rPr>
          <w:lang w:val="es-PE"/>
        </w:rPr>
        <w:t>1997), se señala en el artículo 64°: “Los Establecimientos Transitorios son las unidades orgánicas que se encargan de la recepción temporal de las personas privadas de libertad previo a su ingreso al establecimiento penitenciario, para fines de su identificación y clasificación o tránsito. Dependen del Director Regional de la Oficina Regional respectiva”</w:t>
      </w:r>
      <w:r>
        <w:rPr>
          <w:lang w:val="es-PE"/>
        </w:rPr>
        <w:t>.</w:t>
      </w:r>
    </w:p>
  </w:footnote>
  <w:footnote w:id="9">
    <w:p w:rsidR="007E0CA6" w:rsidRPr="00C47121" w:rsidRDefault="007E0CA6" w:rsidP="00F4219D">
      <w:pPr>
        <w:pStyle w:val="Textonotapie"/>
      </w:pPr>
      <w:r>
        <w:tab/>
      </w:r>
      <w:r w:rsidRPr="00214959">
        <w:rPr>
          <w:rStyle w:val="Refdenotaalpie"/>
          <w:szCs w:val="16"/>
        </w:rPr>
        <w:footnoteRef/>
      </w:r>
      <w:r>
        <w:tab/>
      </w:r>
      <w:r w:rsidRPr="004B2D0B">
        <w:t>P</w:t>
      </w:r>
      <w:r>
        <w:t>oder</w:t>
      </w:r>
      <w:r w:rsidRPr="004B2D0B">
        <w:rPr>
          <w:lang w:val="es-PE"/>
        </w:rPr>
        <w:t xml:space="preserve"> </w:t>
      </w:r>
      <w:r w:rsidRPr="004B2D0B">
        <w:t>J</w:t>
      </w:r>
      <w:r>
        <w:t>udicial</w:t>
      </w:r>
      <w:r w:rsidRPr="004B2D0B">
        <w:rPr>
          <w:lang w:val="es-PE"/>
        </w:rPr>
        <w:t>.</w:t>
      </w:r>
      <w:r>
        <w:t xml:space="preserve"> </w:t>
      </w:r>
      <w:r w:rsidRPr="004B2D0B">
        <w:rPr>
          <w:lang w:val="es-PE"/>
        </w:rPr>
        <w:t xml:space="preserve">Oficio </w:t>
      </w:r>
      <w:r>
        <w:rPr>
          <w:lang w:val="es-PE"/>
        </w:rPr>
        <w:t>núm.</w:t>
      </w:r>
      <w:r w:rsidRPr="004B2D0B">
        <w:rPr>
          <w:lang w:val="es-PE"/>
        </w:rPr>
        <w:t xml:space="preserve"> 2215-2016-SG-CS-PJ</w:t>
      </w:r>
      <w:r w:rsidRPr="004B2D0B">
        <w:t xml:space="preserve">. </w:t>
      </w:r>
      <w:r w:rsidRPr="004B2D0B">
        <w:rPr>
          <w:lang w:val="es-PE"/>
        </w:rPr>
        <w:t>Fecha: 28</w:t>
      </w:r>
      <w:r>
        <w:rPr>
          <w:lang w:val="es-PE"/>
        </w:rPr>
        <w:t xml:space="preserve"> de marzo de </w:t>
      </w:r>
      <w:r w:rsidRPr="004B2D0B">
        <w:rPr>
          <w:lang w:val="es-PE"/>
        </w:rPr>
        <w:t xml:space="preserve">2016. Informe </w:t>
      </w:r>
      <w:r>
        <w:rPr>
          <w:lang w:val="es-PE"/>
        </w:rPr>
        <w:br/>
        <w:t>núm.</w:t>
      </w:r>
      <w:r w:rsidRPr="004B2D0B">
        <w:rPr>
          <w:lang w:val="es-PE"/>
        </w:rPr>
        <w:t xml:space="preserve"> 32-2016-GA-P-PJ (Fecha: 18</w:t>
      </w:r>
      <w:r>
        <w:rPr>
          <w:lang w:val="es-PE"/>
        </w:rPr>
        <w:t xml:space="preserve"> de marzo de </w:t>
      </w:r>
      <w:r w:rsidRPr="004B2D0B">
        <w:rPr>
          <w:lang w:val="es-PE"/>
        </w:rPr>
        <w:t>2016). Pág. 2.</w:t>
      </w:r>
    </w:p>
  </w:footnote>
  <w:footnote w:id="10">
    <w:p w:rsidR="007E0CA6" w:rsidRPr="00C47121" w:rsidRDefault="007E0CA6" w:rsidP="00F4219D">
      <w:pPr>
        <w:pStyle w:val="Textonotapie"/>
      </w:pPr>
      <w:r>
        <w:tab/>
      </w:r>
      <w:r w:rsidRPr="00214959">
        <w:rPr>
          <w:rStyle w:val="Refdenotaalpie"/>
          <w:szCs w:val="16"/>
        </w:rPr>
        <w:footnoteRef/>
      </w:r>
      <w:r>
        <w:tab/>
      </w:r>
      <w:r w:rsidRPr="004B2D0B">
        <w:t>M</w:t>
      </w:r>
      <w:r>
        <w:t>inisterio Público</w:t>
      </w:r>
      <w:r w:rsidRPr="004B2D0B">
        <w:t>. Instituto</w:t>
      </w:r>
      <w:r w:rsidRPr="004B2D0B">
        <w:rPr>
          <w:lang w:val="es-PE"/>
        </w:rPr>
        <w:t xml:space="preserve"> de Medicina Legal y Ciencias Forenses. Oficio </w:t>
      </w:r>
      <w:r>
        <w:rPr>
          <w:lang w:val="es-PE"/>
        </w:rPr>
        <w:t>núm.</w:t>
      </w:r>
      <w:r w:rsidRPr="004B2D0B">
        <w:rPr>
          <w:lang w:val="es-PE"/>
        </w:rPr>
        <w:t xml:space="preserve"> 4257-2015-MP-FN-IML-JN (Fecha: 30</w:t>
      </w:r>
      <w:r>
        <w:rPr>
          <w:lang w:val="es-PE"/>
        </w:rPr>
        <w:t xml:space="preserve"> de noviembre de </w:t>
      </w:r>
      <w:r w:rsidRPr="004B2D0B">
        <w:rPr>
          <w:lang w:val="es-PE"/>
        </w:rPr>
        <w:t>2015).</w:t>
      </w:r>
      <w:r>
        <w:rPr>
          <w:lang w:val="es-PE"/>
        </w:rPr>
        <w:t xml:space="preserve"> </w:t>
      </w:r>
      <w:r w:rsidRPr="004B2D0B">
        <w:rPr>
          <w:lang w:val="es-PE"/>
        </w:rPr>
        <w:t>Pág. 2.</w:t>
      </w:r>
    </w:p>
  </w:footnote>
  <w:footnote w:id="11">
    <w:p w:rsidR="007E0CA6" w:rsidRPr="004B2D0B" w:rsidRDefault="007E0CA6" w:rsidP="00F4219D">
      <w:pPr>
        <w:pStyle w:val="Textonotapie"/>
      </w:pPr>
      <w:r>
        <w:tab/>
      </w:r>
      <w:r w:rsidRPr="00214959">
        <w:rPr>
          <w:rStyle w:val="Refdenotaalpie"/>
          <w:szCs w:val="16"/>
        </w:rPr>
        <w:footnoteRef/>
      </w:r>
      <w:r>
        <w:tab/>
      </w:r>
      <w:r w:rsidRPr="004B2D0B">
        <w:t>P</w:t>
      </w:r>
      <w:r>
        <w:t>oder Ejecutivo</w:t>
      </w:r>
      <w:r w:rsidRPr="004B2D0B">
        <w:t xml:space="preserve">. Decreto Legislativo </w:t>
      </w:r>
      <w:r>
        <w:t>núm.</w:t>
      </w:r>
      <w:r w:rsidRPr="004B2D0B">
        <w:t xml:space="preserve"> 1186. Publicado en el </w:t>
      </w:r>
      <w:r w:rsidRPr="00055918">
        <w:rPr>
          <w:i/>
        </w:rPr>
        <w:t>Diario Oficial</w:t>
      </w:r>
      <w:r>
        <w:t xml:space="preserve"> </w:t>
      </w:r>
      <w:r w:rsidRPr="00EC38A9">
        <w:rPr>
          <w:i/>
        </w:rPr>
        <w:t>“El Peruano”</w:t>
      </w:r>
      <w:r>
        <w:t>: 16 de agosto de 2015.</w:t>
      </w:r>
    </w:p>
  </w:footnote>
  <w:footnote w:id="12">
    <w:p w:rsidR="007E0CA6" w:rsidRPr="004B2D0B" w:rsidRDefault="007E0CA6" w:rsidP="00F4219D">
      <w:pPr>
        <w:pStyle w:val="Textonotapie"/>
      </w:pPr>
      <w:r>
        <w:tab/>
      </w:r>
      <w:r w:rsidRPr="00214959">
        <w:rPr>
          <w:rStyle w:val="Refdenotaalpie"/>
          <w:szCs w:val="16"/>
        </w:rPr>
        <w:footnoteRef/>
      </w:r>
      <w:r>
        <w:tab/>
      </w:r>
      <w:r w:rsidRPr="004B2D0B">
        <w:t>M</w:t>
      </w:r>
      <w:r>
        <w:t xml:space="preserve">inisterio del </w:t>
      </w:r>
      <w:r w:rsidRPr="004B2D0B">
        <w:t>I</w:t>
      </w:r>
      <w:r>
        <w:t>nterior</w:t>
      </w:r>
      <w:r w:rsidRPr="004B2D0B">
        <w:t xml:space="preserve">. D.S. </w:t>
      </w:r>
      <w:r>
        <w:t>núm.</w:t>
      </w:r>
      <w:r w:rsidRPr="004B2D0B">
        <w:t xml:space="preserve"> 012-2006-IN. Publicado en el </w:t>
      </w:r>
      <w:r w:rsidRPr="00055918">
        <w:rPr>
          <w:i/>
        </w:rPr>
        <w:t>Diario Oficial</w:t>
      </w:r>
      <w:r>
        <w:t xml:space="preserve"> </w:t>
      </w:r>
      <w:r w:rsidRPr="00EC38A9">
        <w:rPr>
          <w:i/>
        </w:rPr>
        <w:t>“El Peruano”</w:t>
      </w:r>
      <w:r>
        <w:t>: 27 de julio de 2016.</w:t>
      </w:r>
    </w:p>
  </w:footnote>
  <w:footnote w:id="13">
    <w:p w:rsidR="007E0CA6" w:rsidRPr="004B2D0B" w:rsidRDefault="007E0CA6" w:rsidP="00F4219D">
      <w:pPr>
        <w:pStyle w:val="Textonotapie"/>
      </w:pPr>
      <w:r>
        <w:tab/>
      </w:r>
      <w:r w:rsidRPr="00214959">
        <w:rPr>
          <w:rStyle w:val="Refdenotaalpie"/>
          <w:szCs w:val="16"/>
        </w:rPr>
        <w:footnoteRef/>
      </w:r>
      <w:r>
        <w:tab/>
      </w:r>
      <w:r w:rsidRPr="004B2D0B">
        <w:t>M</w:t>
      </w:r>
      <w:r>
        <w:t xml:space="preserve">inisterio del </w:t>
      </w:r>
      <w:r w:rsidRPr="004B2D0B">
        <w:t>I</w:t>
      </w:r>
      <w:r>
        <w:t>nterior</w:t>
      </w:r>
      <w:r w:rsidRPr="004B2D0B">
        <w:t xml:space="preserve">. Manual de Derechos Humanos aplicados a la Función Policial. Resolución Ministerial </w:t>
      </w:r>
      <w:r>
        <w:t>núm.</w:t>
      </w:r>
      <w:r w:rsidRPr="004B2D0B">
        <w:t xml:space="preserve"> 1452-2006-IN, de 31</w:t>
      </w:r>
      <w:r>
        <w:t xml:space="preserve"> de mayo de </w:t>
      </w:r>
      <w:r w:rsidRPr="004B2D0B">
        <w:t xml:space="preserve">2006. Publicado en el </w:t>
      </w:r>
      <w:r w:rsidRPr="00055918">
        <w:rPr>
          <w:i/>
        </w:rPr>
        <w:t>Diario Oficial</w:t>
      </w:r>
      <w:r w:rsidRPr="004B2D0B">
        <w:t xml:space="preserve"> </w:t>
      </w:r>
      <w:r w:rsidRPr="00EC38A9">
        <w:rPr>
          <w:i/>
        </w:rPr>
        <w:t>“El</w:t>
      </w:r>
      <w:r>
        <w:rPr>
          <w:i/>
        </w:rPr>
        <w:t> </w:t>
      </w:r>
      <w:r w:rsidRPr="00EC38A9">
        <w:rPr>
          <w:i/>
        </w:rPr>
        <w:t>Peruano”</w:t>
      </w:r>
      <w:r w:rsidRPr="004B2D0B">
        <w:t>: 12</w:t>
      </w:r>
      <w:r>
        <w:t xml:space="preserve"> de junio de </w:t>
      </w:r>
      <w:r w:rsidRPr="004B2D0B">
        <w:t>2006. Consulta: 14</w:t>
      </w:r>
      <w:r>
        <w:t xml:space="preserve"> de marzo de </w:t>
      </w:r>
      <w:r w:rsidRPr="004B2D0B">
        <w:t>2016. Disponible en: https://www.pnp.gob.pe</w:t>
      </w:r>
      <w:r>
        <w:t>/normas_legales/manual_ddhh.pdf.</w:t>
      </w:r>
    </w:p>
  </w:footnote>
  <w:footnote w:id="14">
    <w:p w:rsidR="007E0CA6" w:rsidRPr="004B2D0B" w:rsidRDefault="007E0CA6" w:rsidP="00F4219D">
      <w:pPr>
        <w:pStyle w:val="Textonotapie"/>
      </w:pPr>
      <w:r>
        <w:tab/>
      </w:r>
      <w:r w:rsidRPr="00214959">
        <w:rPr>
          <w:rStyle w:val="Refdenotaalpie"/>
          <w:szCs w:val="16"/>
        </w:rPr>
        <w:footnoteRef/>
      </w:r>
      <w:r>
        <w:tab/>
      </w:r>
      <w:r w:rsidRPr="004B2D0B">
        <w:t>M</w:t>
      </w:r>
      <w:r>
        <w:t xml:space="preserve">inisterio del </w:t>
      </w:r>
      <w:r w:rsidRPr="004B2D0B">
        <w:t>I</w:t>
      </w:r>
      <w:r>
        <w:t>nterior</w:t>
      </w:r>
      <w:r w:rsidRPr="004B2D0B">
        <w:t xml:space="preserve">. Oficio </w:t>
      </w:r>
      <w:r>
        <w:t>núm.</w:t>
      </w:r>
      <w:r w:rsidRPr="004B2D0B">
        <w:t>001784-2016-IN-DGS</w:t>
      </w:r>
      <w:r>
        <w:t>D. Fecha: 3 de noviembre de 2016. Página 9.</w:t>
      </w:r>
    </w:p>
  </w:footnote>
  <w:footnote w:id="15">
    <w:p w:rsidR="007E0CA6" w:rsidRPr="004B2D0B" w:rsidRDefault="007E0CA6" w:rsidP="00F4219D">
      <w:pPr>
        <w:pStyle w:val="Textonotapie"/>
      </w:pPr>
      <w:r>
        <w:tab/>
      </w:r>
      <w:r w:rsidRPr="00214959">
        <w:rPr>
          <w:rStyle w:val="Refdenotaalpie"/>
          <w:szCs w:val="16"/>
        </w:rPr>
        <w:footnoteRef/>
      </w:r>
      <w:r>
        <w:tab/>
      </w:r>
      <w:r w:rsidRPr="004B2D0B">
        <w:t>M</w:t>
      </w:r>
      <w:r>
        <w:t xml:space="preserve">inisterio del </w:t>
      </w:r>
      <w:r w:rsidRPr="004B2D0B">
        <w:t>I</w:t>
      </w:r>
      <w:r>
        <w:t>nterior</w:t>
      </w:r>
      <w:r w:rsidRPr="004B2D0B">
        <w:t xml:space="preserve">. Oficio </w:t>
      </w:r>
      <w:r>
        <w:t>núm.</w:t>
      </w:r>
      <w:r w:rsidRPr="004B2D0B">
        <w:t>001784-2016-IN-DGS</w:t>
      </w:r>
      <w:r>
        <w:t>D. Fecha: 3 de noviembre de 2016. Página 9.</w:t>
      </w:r>
    </w:p>
  </w:footnote>
  <w:footnote w:id="16">
    <w:p w:rsidR="007E0CA6" w:rsidRPr="004B2D0B" w:rsidRDefault="007E0CA6" w:rsidP="00F4219D">
      <w:pPr>
        <w:pStyle w:val="Textonotapie"/>
      </w:pPr>
      <w:r>
        <w:tab/>
      </w:r>
      <w:r w:rsidRPr="00214959">
        <w:rPr>
          <w:rStyle w:val="Refdenotaalpie"/>
          <w:rFonts w:eastAsiaTheme="majorEastAsia"/>
          <w:szCs w:val="16"/>
        </w:rPr>
        <w:footnoteRef/>
      </w:r>
      <w:r>
        <w:tab/>
      </w:r>
      <w:r w:rsidRPr="004B2D0B">
        <w:t>N</w:t>
      </w:r>
      <w:r>
        <w:t>uevo</w:t>
      </w:r>
      <w:r w:rsidRPr="004B2D0B">
        <w:t xml:space="preserve"> C</w:t>
      </w:r>
      <w:r>
        <w:t>ódigo</w:t>
      </w:r>
      <w:r w:rsidRPr="004B2D0B">
        <w:t xml:space="preserve"> P</w:t>
      </w:r>
      <w:r>
        <w:t>rocesal</w:t>
      </w:r>
      <w:r w:rsidRPr="004B2D0B">
        <w:t xml:space="preserve"> P</w:t>
      </w:r>
      <w:r>
        <w:t>enal</w:t>
      </w:r>
      <w:r w:rsidRPr="004B2D0B">
        <w:t xml:space="preserve">. Decreto Legislativo </w:t>
      </w:r>
      <w:r>
        <w:t>núm.</w:t>
      </w:r>
      <w:r w:rsidRPr="004B2D0B">
        <w:t xml:space="preserve"> 957. Publicado en el </w:t>
      </w:r>
      <w:r w:rsidRPr="00055918">
        <w:rPr>
          <w:i/>
        </w:rPr>
        <w:t>Diario Oficial</w:t>
      </w:r>
      <w:r w:rsidRPr="004B2D0B">
        <w:t xml:space="preserve"> </w:t>
      </w:r>
      <w:r w:rsidRPr="00EC38A9">
        <w:rPr>
          <w:i/>
        </w:rPr>
        <w:t>“El</w:t>
      </w:r>
      <w:r>
        <w:rPr>
          <w:i/>
        </w:rPr>
        <w:t> </w:t>
      </w:r>
      <w:r w:rsidRPr="00EC38A9">
        <w:rPr>
          <w:i/>
        </w:rPr>
        <w:t>Peruano”</w:t>
      </w:r>
      <w:r>
        <w:t>: 29 de julio de 2004. Artículo 263°.</w:t>
      </w:r>
    </w:p>
  </w:footnote>
  <w:footnote w:id="17">
    <w:p w:rsidR="007E0CA6" w:rsidRPr="004B2D0B" w:rsidRDefault="007E0CA6" w:rsidP="00F4219D">
      <w:pPr>
        <w:pStyle w:val="Textonotapie"/>
      </w:pPr>
      <w:r>
        <w:tab/>
      </w:r>
      <w:r w:rsidRPr="00214959">
        <w:rPr>
          <w:rStyle w:val="Refdenotaalpie"/>
          <w:rFonts w:eastAsiaTheme="majorEastAsia"/>
          <w:szCs w:val="16"/>
        </w:rPr>
        <w:footnoteRef/>
      </w:r>
      <w:r>
        <w:tab/>
      </w:r>
      <w:r w:rsidRPr="004B2D0B">
        <w:t>Numeral 4 del artículo 71° d</w:t>
      </w:r>
      <w:r>
        <w:t>el Nuevo Código Procesal Penal.</w:t>
      </w:r>
    </w:p>
  </w:footnote>
  <w:footnote w:id="18">
    <w:p w:rsidR="007E0CA6" w:rsidRPr="004B2D0B" w:rsidRDefault="007E0CA6" w:rsidP="00F4219D">
      <w:pPr>
        <w:pStyle w:val="Textonotapie"/>
      </w:pPr>
      <w:r>
        <w:tab/>
      </w:r>
      <w:r w:rsidRPr="00214959">
        <w:rPr>
          <w:rStyle w:val="Refdenotaalpie"/>
          <w:szCs w:val="16"/>
        </w:rPr>
        <w:footnoteRef/>
      </w:r>
      <w:r>
        <w:tab/>
      </w:r>
      <w:r w:rsidRPr="004B2D0B">
        <w:t>P</w:t>
      </w:r>
      <w:r>
        <w:t>oder Ejecutivo</w:t>
      </w:r>
      <w:r w:rsidRPr="004B2D0B">
        <w:t xml:space="preserve">. Decreto Legislativo </w:t>
      </w:r>
      <w:r>
        <w:t>núm.</w:t>
      </w:r>
      <w:r w:rsidRPr="004B2D0B">
        <w:t xml:space="preserve"> 1213. Publicado en el </w:t>
      </w:r>
      <w:r w:rsidRPr="00055918">
        <w:rPr>
          <w:i/>
        </w:rPr>
        <w:t>Diario Oficial</w:t>
      </w:r>
      <w:r w:rsidRPr="004B2D0B">
        <w:t xml:space="preserve"> </w:t>
      </w:r>
      <w:r w:rsidRPr="00EC38A9">
        <w:rPr>
          <w:i/>
        </w:rPr>
        <w:t>“El Peruano”</w:t>
      </w:r>
      <w:r w:rsidRPr="004B2D0B">
        <w:t>: 24</w:t>
      </w:r>
      <w:r>
        <w:t xml:space="preserve"> de septiembre de </w:t>
      </w:r>
      <w:r w:rsidRPr="004B2D0B">
        <w:t>2015. Art. 1°. De acuerdo al artículo 1°, de dicho Decreto, deberá aprobarse su reglament</w:t>
      </w:r>
      <w:r>
        <w:t>o dentro del plazo de 130 días.</w:t>
      </w:r>
    </w:p>
  </w:footnote>
  <w:footnote w:id="19">
    <w:p w:rsidR="007E0CA6" w:rsidRPr="004B2D0B" w:rsidRDefault="007E0CA6" w:rsidP="00F4219D">
      <w:pPr>
        <w:pStyle w:val="Textonotapie"/>
      </w:pPr>
      <w:r>
        <w:tab/>
      </w:r>
      <w:r w:rsidRPr="00214959">
        <w:rPr>
          <w:rStyle w:val="Refdenotaalpie"/>
          <w:szCs w:val="16"/>
        </w:rPr>
        <w:footnoteRef/>
      </w:r>
      <w:r>
        <w:tab/>
      </w:r>
      <w:r w:rsidRPr="004B2D0B">
        <w:t>Art. 3, inc.1 d</w:t>
      </w:r>
      <w:r>
        <w:t>el Decreto Legislativo núm. 1213.</w:t>
      </w:r>
    </w:p>
  </w:footnote>
  <w:footnote w:id="20">
    <w:p w:rsidR="007E0CA6" w:rsidRPr="004B2D0B" w:rsidRDefault="007E0CA6" w:rsidP="00F4219D">
      <w:pPr>
        <w:pStyle w:val="Textonotapie"/>
      </w:pPr>
      <w:r>
        <w:tab/>
      </w:r>
      <w:r w:rsidRPr="00214959">
        <w:rPr>
          <w:rStyle w:val="Refdenotaalpie"/>
          <w:rFonts w:eastAsiaTheme="majorEastAsia"/>
          <w:szCs w:val="16"/>
        </w:rPr>
        <w:footnoteRef/>
      </w:r>
      <w:r>
        <w:tab/>
      </w:r>
      <w:r w:rsidRPr="004B2D0B">
        <w:t>M</w:t>
      </w:r>
      <w:r>
        <w:t xml:space="preserve">inisterio del </w:t>
      </w:r>
      <w:r w:rsidRPr="004B2D0B">
        <w:t>I</w:t>
      </w:r>
      <w:r>
        <w:t>nterior</w:t>
      </w:r>
      <w:r w:rsidRPr="004B2D0B">
        <w:t xml:space="preserve">. Oficio </w:t>
      </w:r>
      <w:r>
        <w:t xml:space="preserve">núm. 001577-2015/IN/DGSD. Pág. 5. </w:t>
      </w:r>
    </w:p>
  </w:footnote>
  <w:footnote w:id="21">
    <w:p w:rsidR="007E0CA6" w:rsidRPr="004B2D0B" w:rsidRDefault="007E0CA6" w:rsidP="00F4219D">
      <w:pPr>
        <w:pStyle w:val="Textonotapie"/>
      </w:pPr>
      <w:r>
        <w:tab/>
      </w:r>
      <w:r w:rsidRPr="00214959">
        <w:rPr>
          <w:rStyle w:val="Refdenotaalpie"/>
          <w:szCs w:val="16"/>
        </w:rPr>
        <w:footnoteRef/>
      </w:r>
      <w:r>
        <w:tab/>
      </w:r>
      <w:r w:rsidRPr="004B2D0B">
        <w:t>P</w:t>
      </w:r>
      <w:r>
        <w:t xml:space="preserve">oder </w:t>
      </w:r>
      <w:r w:rsidRPr="004B2D0B">
        <w:t>E</w:t>
      </w:r>
      <w:r>
        <w:t>jecutivo</w:t>
      </w:r>
      <w:r w:rsidRPr="004B2D0B">
        <w:t xml:space="preserve">. Decreto Legislativo </w:t>
      </w:r>
      <w:r>
        <w:t>núm.</w:t>
      </w:r>
      <w:r w:rsidRPr="004B2D0B">
        <w:t xml:space="preserve"> 1268. Anexo II: Tabla de Infracciones y sanciones grav</w:t>
      </w:r>
      <w:r>
        <w:t>es. Contra la disciplina. G 33.</w:t>
      </w:r>
    </w:p>
  </w:footnote>
  <w:footnote w:id="22">
    <w:p w:rsidR="007E0CA6" w:rsidRPr="004B2D0B" w:rsidRDefault="007E0CA6" w:rsidP="00F4219D">
      <w:pPr>
        <w:pStyle w:val="Textonotapie"/>
      </w:pPr>
      <w:r>
        <w:tab/>
      </w:r>
      <w:r w:rsidRPr="00214959">
        <w:rPr>
          <w:rStyle w:val="Refdenotaalpie"/>
          <w:rFonts w:eastAsiaTheme="majorEastAsia"/>
          <w:szCs w:val="16"/>
        </w:rPr>
        <w:footnoteRef/>
      </w:r>
      <w:r>
        <w:tab/>
      </w:r>
      <w:r w:rsidRPr="004B2D0B">
        <w:t>M</w:t>
      </w:r>
      <w:r>
        <w:t xml:space="preserve">inisterio de la </w:t>
      </w:r>
      <w:r w:rsidRPr="004B2D0B">
        <w:t>M</w:t>
      </w:r>
      <w:r>
        <w:t>ujer</w:t>
      </w:r>
      <w:r w:rsidRPr="004B2D0B">
        <w:t xml:space="preserve"> </w:t>
      </w:r>
      <w:r>
        <w:t>y</w:t>
      </w:r>
      <w:r w:rsidRPr="004B2D0B">
        <w:t xml:space="preserve"> P</w:t>
      </w:r>
      <w:r>
        <w:t>oblaciones</w:t>
      </w:r>
      <w:r w:rsidRPr="004B2D0B">
        <w:t xml:space="preserve"> V</w:t>
      </w:r>
      <w:r>
        <w:t>ulnerables</w:t>
      </w:r>
      <w:r w:rsidRPr="004B2D0B">
        <w:t xml:space="preserve">. </w:t>
      </w:r>
      <w:r w:rsidRPr="00AB27CA">
        <w:rPr>
          <w:lang w:val="pt-PT"/>
        </w:rPr>
        <w:t xml:space="preserve">DGCVG. Oficio </w:t>
      </w:r>
      <w:r>
        <w:rPr>
          <w:lang w:val="pt-PT"/>
        </w:rPr>
        <w:t>núm.</w:t>
      </w:r>
      <w:r w:rsidRPr="00AB27CA">
        <w:rPr>
          <w:lang w:val="pt-PT"/>
        </w:rPr>
        <w:t xml:space="preserve"> 288-2016-MIMO/DGCVG. </w:t>
      </w:r>
      <w:r>
        <w:t>Fecha: 14 de septiembre de 2016. Pág. 5-6.</w:t>
      </w:r>
    </w:p>
  </w:footnote>
  <w:footnote w:id="23">
    <w:p w:rsidR="007E0CA6" w:rsidRPr="004B2D0B" w:rsidRDefault="007E0CA6" w:rsidP="00F4219D">
      <w:pPr>
        <w:pStyle w:val="Textonotapie"/>
        <w:rPr>
          <w:lang w:val="es-ES_tradnl"/>
        </w:rPr>
      </w:pPr>
      <w:r>
        <w:tab/>
      </w:r>
      <w:r w:rsidRPr="00214959">
        <w:rPr>
          <w:rStyle w:val="Refdenotaalpie"/>
          <w:szCs w:val="16"/>
        </w:rPr>
        <w:footnoteRef/>
      </w:r>
      <w:r>
        <w:tab/>
      </w:r>
      <w:r w:rsidRPr="004B2D0B">
        <w:t>M</w:t>
      </w:r>
      <w:r>
        <w:t>inisterio</w:t>
      </w:r>
      <w:r w:rsidRPr="004B2D0B">
        <w:t xml:space="preserve"> </w:t>
      </w:r>
      <w:r>
        <w:t>de</w:t>
      </w:r>
      <w:r w:rsidRPr="004B2D0B">
        <w:t xml:space="preserve"> </w:t>
      </w:r>
      <w:r>
        <w:t>la</w:t>
      </w:r>
      <w:r w:rsidRPr="004B2D0B">
        <w:t xml:space="preserve"> M</w:t>
      </w:r>
      <w:r>
        <w:t>ujer</w:t>
      </w:r>
      <w:r w:rsidRPr="004B2D0B">
        <w:t xml:space="preserve"> </w:t>
      </w:r>
      <w:r>
        <w:t>y</w:t>
      </w:r>
      <w:r w:rsidRPr="004B2D0B">
        <w:t xml:space="preserve"> P</w:t>
      </w:r>
      <w:r>
        <w:t>oblaciones</w:t>
      </w:r>
      <w:r w:rsidRPr="004B2D0B">
        <w:t xml:space="preserve"> V</w:t>
      </w:r>
      <w:r>
        <w:t>ulnerables</w:t>
      </w:r>
      <w:r w:rsidRPr="004B2D0B">
        <w:t xml:space="preserve">. </w:t>
      </w:r>
      <w:r w:rsidRPr="004B2D0B">
        <w:rPr>
          <w:lang w:val="es-ES_tradnl"/>
        </w:rPr>
        <w:t xml:space="preserve">R.M. </w:t>
      </w:r>
      <w:r>
        <w:rPr>
          <w:lang w:val="es-ES_tradnl"/>
        </w:rPr>
        <w:t>núm.</w:t>
      </w:r>
      <w:r w:rsidRPr="004B2D0B">
        <w:rPr>
          <w:lang w:val="es-ES_tradnl"/>
        </w:rPr>
        <w:t xml:space="preserve"> 294-2016-MIMP. Publicado en el </w:t>
      </w:r>
      <w:r w:rsidRPr="00055918">
        <w:rPr>
          <w:i/>
          <w:lang w:val="es-ES_tradnl"/>
        </w:rPr>
        <w:t>Diario Oficial</w:t>
      </w:r>
      <w:r w:rsidRPr="004B2D0B">
        <w:rPr>
          <w:lang w:val="es-ES_tradnl"/>
        </w:rPr>
        <w:t xml:space="preserve"> </w:t>
      </w:r>
      <w:r w:rsidRPr="00EC38A9">
        <w:rPr>
          <w:i/>
          <w:lang w:val="es-ES_tradnl"/>
        </w:rPr>
        <w:t>“El Peruano”</w:t>
      </w:r>
      <w:r>
        <w:rPr>
          <w:lang w:val="es-ES_tradnl"/>
        </w:rPr>
        <w:t>: 07 de septiembre de 2016. Art. 1°.</w:t>
      </w:r>
    </w:p>
  </w:footnote>
  <w:footnote w:id="24">
    <w:p w:rsidR="007E0CA6" w:rsidRPr="00C47121" w:rsidRDefault="007E0CA6" w:rsidP="00F4219D">
      <w:pPr>
        <w:pStyle w:val="Textonotapie"/>
        <w:rPr>
          <w:lang w:val="es-ES_tradnl"/>
        </w:rPr>
      </w:pPr>
      <w:r>
        <w:rPr>
          <w:sz w:val="16"/>
          <w:szCs w:val="16"/>
        </w:rPr>
        <w:tab/>
      </w:r>
      <w:r w:rsidRPr="00214959">
        <w:rPr>
          <w:rStyle w:val="Refdenotaalpie"/>
          <w:szCs w:val="16"/>
        </w:rPr>
        <w:footnoteRef/>
      </w:r>
      <w:r>
        <w:rPr>
          <w:sz w:val="16"/>
          <w:szCs w:val="16"/>
        </w:rPr>
        <w:tab/>
      </w:r>
      <w:r w:rsidRPr="004B2D0B">
        <w:t>M</w:t>
      </w:r>
      <w:r>
        <w:t>inisterio</w:t>
      </w:r>
      <w:r w:rsidRPr="004B2D0B">
        <w:t xml:space="preserve"> </w:t>
      </w:r>
      <w:r>
        <w:t>de</w:t>
      </w:r>
      <w:r w:rsidRPr="004B2D0B">
        <w:t xml:space="preserve"> </w:t>
      </w:r>
      <w:r>
        <w:t>la</w:t>
      </w:r>
      <w:r w:rsidRPr="004B2D0B">
        <w:t xml:space="preserve"> M</w:t>
      </w:r>
      <w:r>
        <w:t>ujer</w:t>
      </w:r>
      <w:r w:rsidRPr="004B2D0B">
        <w:t xml:space="preserve"> </w:t>
      </w:r>
      <w:r>
        <w:t>y</w:t>
      </w:r>
      <w:r w:rsidRPr="004B2D0B">
        <w:t xml:space="preserve"> P</w:t>
      </w:r>
      <w:r>
        <w:t>oblaciones</w:t>
      </w:r>
      <w:r w:rsidRPr="004B2D0B">
        <w:t xml:space="preserve"> V</w:t>
      </w:r>
      <w:r>
        <w:t>ulnerables</w:t>
      </w:r>
      <w:r w:rsidRPr="004B2D0B">
        <w:t>. R.M.</w:t>
      </w:r>
      <w:r w:rsidRPr="004B2D0B">
        <w:rPr>
          <w:lang w:val="es-ES_tradnl"/>
        </w:rPr>
        <w:t xml:space="preserve"> </w:t>
      </w:r>
      <w:r>
        <w:rPr>
          <w:lang w:val="es-ES_tradnl"/>
        </w:rPr>
        <w:t>núm.</w:t>
      </w:r>
      <w:r w:rsidRPr="004B2D0B">
        <w:rPr>
          <w:lang w:val="es-ES_tradnl"/>
        </w:rPr>
        <w:t xml:space="preserve"> 099-2016-MIMP. Publicado en el </w:t>
      </w:r>
      <w:r w:rsidRPr="00055918">
        <w:rPr>
          <w:i/>
          <w:lang w:val="es-ES_tradnl"/>
        </w:rPr>
        <w:t>Diario Oficial</w:t>
      </w:r>
      <w:r w:rsidRPr="004B2D0B">
        <w:rPr>
          <w:lang w:val="es-ES_tradnl"/>
        </w:rPr>
        <w:t xml:space="preserve"> </w:t>
      </w:r>
      <w:r w:rsidRPr="00EC38A9">
        <w:rPr>
          <w:i/>
          <w:lang w:val="es-ES_tradnl"/>
        </w:rPr>
        <w:t>“El Peruano”</w:t>
      </w:r>
      <w:r>
        <w:rPr>
          <w:lang w:val="es-ES_tradnl"/>
        </w:rPr>
        <w:t>: 22 de abril de 2016. Art. 1°.</w:t>
      </w:r>
    </w:p>
  </w:footnote>
  <w:footnote w:id="25">
    <w:p w:rsidR="007E0CA6" w:rsidRPr="004B2D0B" w:rsidRDefault="007E0CA6" w:rsidP="00742A2C">
      <w:pPr>
        <w:pStyle w:val="Textonotapie"/>
        <w:spacing w:after="60"/>
      </w:pPr>
      <w:r>
        <w:tab/>
      </w:r>
      <w:r w:rsidRPr="00214959">
        <w:rPr>
          <w:rStyle w:val="Refdenotaalpie"/>
          <w:szCs w:val="16"/>
        </w:rPr>
        <w:footnoteRef/>
      </w:r>
      <w:r>
        <w:tab/>
      </w:r>
      <w:r w:rsidRPr="004B2D0B">
        <w:t>P</w:t>
      </w:r>
      <w:r>
        <w:t>oder</w:t>
      </w:r>
      <w:r w:rsidRPr="004B2D0B">
        <w:t xml:space="preserve"> E</w:t>
      </w:r>
      <w:r>
        <w:t>jecutivo</w:t>
      </w:r>
      <w:r w:rsidRPr="004B2D0B">
        <w:t xml:space="preserve">. Decreto Legislativo </w:t>
      </w:r>
      <w:r>
        <w:t>núm.</w:t>
      </w:r>
      <w:r w:rsidRPr="004B2D0B">
        <w:t xml:space="preserve"> 1323. Publicado en el </w:t>
      </w:r>
      <w:r w:rsidRPr="00055918">
        <w:rPr>
          <w:i/>
        </w:rPr>
        <w:t>Diario Oficial</w:t>
      </w:r>
      <w:r w:rsidRPr="004B2D0B">
        <w:t xml:space="preserve"> </w:t>
      </w:r>
      <w:r w:rsidRPr="00EC38A9">
        <w:rPr>
          <w:i/>
        </w:rPr>
        <w:t>“El Peruano”</w:t>
      </w:r>
      <w:r w:rsidRPr="004B2D0B">
        <w:t xml:space="preserve">: </w:t>
      </w:r>
      <w:r>
        <w:t xml:space="preserve">6 de enero de </w:t>
      </w:r>
      <w:r w:rsidRPr="004B2D0B">
        <w:t>2017. Art. 1°.</w:t>
      </w:r>
    </w:p>
    <w:p w:rsidR="007E0CA6" w:rsidRPr="004B2D0B" w:rsidRDefault="007E0CA6" w:rsidP="00742A2C">
      <w:pPr>
        <w:pStyle w:val="Textonotapie"/>
        <w:spacing w:after="60"/>
      </w:pPr>
      <w:r>
        <w:tab/>
      </w:r>
      <w:r>
        <w:tab/>
      </w:r>
      <w:r w:rsidRPr="004B2D0B">
        <w:t>Con fecha 12</w:t>
      </w:r>
      <w:r>
        <w:t xml:space="preserve"> de mayo de </w:t>
      </w:r>
      <w:r w:rsidRPr="004B2D0B">
        <w:t xml:space="preserve">2017 el Congreso de la República remitió al Poder Ejecutivo la autógrafa del Decreto Legislativo </w:t>
      </w:r>
      <w:r>
        <w:t>núm.</w:t>
      </w:r>
      <w:r w:rsidRPr="004B2D0B">
        <w:t xml:space="preserve"> 1323, que deroga parcialmente su artículo 1° y restituye la vigencia del literal d) del numeral 2 del artículo 46° y artículo 323°. Disponible: http://</w:t>
      </w:r>
      <w:proofErr w:type="spellStart"/>
      <w:r w:rsidRPr="004B2D0B">
        <w:t>www2.congreso.gob.pe</w:t>
      </w:r>
      <w:proofErr w:type="spellEnd"/>
      <w:r w:rsidRPr="004B2D0B">
        <w:t>/</w:t>
      </w:r>
      <w:r>
        <w:br/>
      </w:r>
      <w:proofErr w:type="spellStart"/>
      <w:r w:rsidRPr="004B2D0B">
        <w:t>Sicr</w:t>
      </w:r>
      <w:proofErr w:type="spellEnd"/>
      <w:r w:rsidRPr="004B2D0B">
        <w:t>/</w:t>
      </w:r>
      <w:proofErr w:type="spellStart"/>
      <w:r w:rsidRPr="004B2D0B">
        <w:t>RelatAgenda</w:t>
      </w:r>
      <w:proofErr w:type="spellEnd"/>
      <w:r w:rsidRPr="004B2D0B">
        <w:t>/</w:t>
      </w:r>
      <w:proofErr w:type="spellStart"/>
      <w:r w:rsidRPr="004B2D0B">
        <w:t>proapro20112016.nsf</w:t>
      </w:r>
      <w:proofErr w:type="spellEnd"/>
      <w:r w:rsidRPr="004B2D0B">
        <w:t>/</w:t>
      </w:r>
      <w:proofErr w:type="spellStart"/>
      <w:r w:rsidRPr="004B2D0B">
        <w:t>ProyectosAprobadosPortal</w:t>
      </w:r>
      <w:proofErr w:type="spellEnd"/>
      <w:r w:rsidRPr="004B2D0B">
        <w:t>/</w:t>
      </w:r>
      <w:r>
        <w:br/>
      </w:r>
      <w:proofErr w:type="spellStart"/>
      <w:r w:rsidRPr="004B2D0B">
        <w:t>737054A2FA9D2CB80525811E008056E6</w:t>
      </w:r>
      <w:proofErr w:type="spellEnd"/>
      <w:r w:rsidRPr="004B2D0B">
        <w:t>/$FILE/</w:t>
      </w:r>
      <w:proofErr w:type="spellStart"/>
      <w:r w:rsidRPr="004B2D0B">
        <w:t>AU0131920170512.pdf</w:t>
      </w:r>
      <w:proofErr w:type="spellEnd"/>
      <w:r>
        <w:t>.</w:t>
      </w:r>
    </w:p>
    <w:p w:rsidR="007E0CA6" w:rsidRPr="004B2D0B" w:rsidRDefault="007E0CA6" w:rsidP="00F4219D">
      <w:pPr>
        <w:pStyle w:val="Textonotapie"/>
      </w:pPr>
      <w:r>
        <w:tab/>
      </w:r>
      <w:r>
        <w:tab/>
      </w:r>
      <w:r w:rsidRPr="004B2D0B">
        <w:t xml:space="preserve">Dicha autógrafa fue observada por el Poder Ejecutivo el </w:t>
      </w:r>
      <w:r>
        <w:t xml:space="preserve">2 de junio de </w:t>
      </w:r>
      <w:r w:rsidRPr="004B2D0B">
        <w:t>2017. Disponible: http://www.leyes.congreso.gob.pe/Documentos/2016_2021/Observacion_a_la_</w:t>
      </w:r>
      <w:r>
        <w:t>Autografa/</w:t>
      </w:r>
      <w:r>
        <w:br/>
        <w:t>OBAU0131920170602.pdf.</w:t>
      </w:r>
    </w:p>
  </w:footnote>
  <w:footnote w:id="26">
    <w:p w:rsidR="007E0CA6" w:rsidRPr="004B2D0B" w:rsidRDefault="007E0CA6" w:rsidP="00F4219D">
      <w:pPr>
        <w:pStyle w:val="Textonotapie"/>
      </w:pPr>
      <w:r>
        <w:tab/>
      </w:r>
      <w:r w:rsidRPr="00214959">
        <w:rPr>
          <w:rStyle w:val="Refdenotaalpie"/>
          <w:rFonts w:eastAsiaTheme="majorEastAsia"/>
          <w:szCs w:val="16"/>
        </w:rPr>
        <w:footnoteRef/>
      </w:r>
      <w:r>
        <w:tab/>
      </w:r>
      <w:r w:rsidRPr="004B2D0B">
        <w:t>M</w:t>
      </w:r>
      <w:r>
        <w:t>inisterio de Justicia y Derechos Humanos</w:t>
      </w:r>
      <w:r w:rsidRPr="004B2D0B">
        <w:t xml:space="preserve">. D.S. </w:t>
      </w:r>
      <w:r>
        <w:t>núm.</w:t>
      </w:r>
      <w:r w:rsidRPr="004B2D0B">
        <w:t xml:space="preserve"> 015-2013-JUS. Publicado en el </w:t>
      </w:r>
      <w:r w:rsidRPr="00055918">
        <w:rPr>
          <w:i/>
        </w:rPr>
        <w:t>Diario Oficial</w:t>
      </w:r>
      <w:r w:rsidRPr="004B2D0B">
        <w:t xml:space="preserve"> </w:t>
      </w:r>
      <w:r w:rsidRPr="00EC38A9">
        <w:rPr>
          <w:i/>
        </w:rPr>
        <w:t>“El Peruano”</w:t>
      </w:r>
      <w:r>
        <w:t>: 6 de diciembre de 2013. Art. 1°.</w:t>
      </w:r>
    </w:p>
  </w:footnote>
  <w:footnote w:id="27">
    <w:p w:rsidR="007E0CA6" w:rsidRPr="004B2D0B" w:rsidRDefault="007E0CA6" w:rsidP="00F4219D">
      <w:pPr>
        <w:pStyle w:val="Textonotapie"/>
      </w:pPr>
      <w:r>
        <w:tab/>
      </w:r>
      <w:r w:rsidRPr="00214959">
        <w:rPr>
          <w:rStyle w:val="Refdenotaalpie"/>
          <w:szCs w:val="16"/>
        </w:rPr>
        <w:footnoteRef/>
      </w:r>
      <w:r>
        <w:tab/>
      </w:r>
      <w:r w:rsidRPr="004B2D0B">
        <w:t>P</w:t>
      </w:r>
      <w:r>
        <w:t xml:space="preserve">oder </w:t>
      </w:r>
      <w:r w:rsidRPr="004B2D0B">
        <w:t>E</w:t>
      </w:r>
      <w:r>
        <w:t>jecutivo</w:t>
      </w:r>
      <w:r w:rsidRPr="004B2D0B">
        <w:t xml:space="preserve">. Decreto Legislativo </w:t>
      </w:r>
      <w:r>
        <w:t>núm.</w:t>
      </w:r>
      <w:r w:rsidRPr="004B2D0B">
        <w:t xml:space="preserve"> 1325. Publicado en el </w:t>
      </w:r>
      <w:r w:rsidRPr="00055918">
        <w:rPr>
          <w:i/>
        </w:rPr>
        <w:t>Diario Oficial</w:t>
      </w:r>
      <w:r w:rsidRPr="004B2D0B">
        <w:t xml:space="preserve"> </w:t>
      </w:r>
      <w:r w:rsidRPr="00EC38A9">
        <w:rPr>
          <w:i/>
        </w:rPr>
        <w:t>“El Peruano”</w:t>
      </w:r>
      <w:r>
        <w:t>: 6 de enero de 2017.</w:t>
      </w:r>
    </w:p>
  </w:footnote>
  <w:footnote w:id="28">
    <w:p w:rsidR="007E0CA6" w:rsidRPr="004B2D0B" w:rsidRDefault="007E0CA6" w:rsidP="00F4219D">
      <w:pPr>
        <w:pStyle w:val="Textonotapie"/>
      </w:pPr>
      <w:r>
        <w:tab/>
      </w:r>
      <w:r w:rsidRPr="00214959">
        <w:rPr>
          <w:rStyle w:val="Refdenotaalpie"/>
          <w:rFonts w:eastAsiaTheme="majorEastAsia"/>
          <w:szCs w:val="16"/>
        </w:rPr>
        <w:footnoteRef/>
      </w:r>
      <w:r>
        <w:tab/>
      </w:r>
      <w:r w:rsidRPr="004B2D0B">
        <w:t>M</w:t>
      </w:r>
      <w:r>
        <w:t xml:space="preserve">inisterio de </w:t>
      </w:r>
      <w:r w:rsidRPr="004B2D0B">
        <w:t>J</w:t>
      </w:r>
      <w:r>
        <w:t>usticia</w:t>
      </w:r>
      <w:r w:rsidRPr="004B2D0B">
        <w:t xml:space="preserve"> </w:t>
      </w:r>
      <w:r>
        <w:t>y</w:t>
      </w:r>
      <w:r w:rsidRPr="004B2D0B">
        <w:t xml:space="preserve"> D</w:t>
      </w:r>
      <w:r>
        <w:t>erechos</w:t>
      </w:r>
      <w:r w:rsidRPr="004B2D0B">
        <w:t xml:space="preserve"> H</w:t>
      </w:r>
      <w:r>
        <w:t>umanos</w:t>
      </w:r>
      <w:r w:rsidRPr="004B2D0B">
        <w:t xml:space="preserve">. R.M. </w:t>
      </w:r>
      <w:r>
        <w:t>núm.</w:t>
      </w:r>
      <w:r w:rsidRPr="004B2D0B">
        <w:t xml:space="preserve"> 0070-2016-JUS. Fecha: 28</w:t>
      </w:r>
      <w:r>
        <w:t xml:space="preserve"> de junio de </w:t>
      </w:r>
      <w:r w:rsidRPr="004B2D0B">
        <w:t>2017. Disponible: http: //www.minjus.gob.pe/wp-content/uploads/2016/03/RESOLUCI%C3</w:t>
      </w:r>
      <w:r>
        <w:t>%93N.pdf. Consulta: 20 de abril de 2016.</w:t>
      </w:r>
    </w:p>
  </w:footnote>
  <w:footnote w:id="29">
    <w:p w:rsidR="007E0CA6" w:rsidRPr="004B2D0B" w:rsidRDefault="007E0CA6" w:rsidP="00F4219D">
      <w:pPr>
        <w:pStyle w:val="Textonotapie"/>
      </w:pPr>
      <w:r>
        <w:tab/>
      </w:r>
      <w:r w:rsidRPr="00214959">
        <w:rPr>
          <w:rStyle w:val="Refdenotaalpie"/>
          <w:rFonts w:eastAsiaTheme="majorEastAsia"/>
          <w:szCs w:val="16"/>
        </w:rPr>
        <w:footnoteRef/>
      </w:r>
      <w:r>
        <w:tab/>
      </w:r>
      <w:r w:rsidRPr="004B2D0B">
        <w:t>P</w:t>
      </w:r>
      <w:r>
        <w:t>oder Ejecutivo</w:t>
      </w:r>
      <w:r w:rsidRPr="004B2D0B">
        <w:t xml:space="preserve">. Decreto Legislativo </w:t>
      </w:r>
      <w:r>
        <w:t>núm.</w:t>
      </w:r>
      <w:r w:rsidRPr="004B2D0B">
        <w:t xml:space="preserve"> 1229. Publicado en el </w:t>
      </w:r>
      <w:r w:rsidRPr="00055918">
        <w:rPr>
          <w:i/>
        </w:rPr>
        <w:t>Diario Oficial</w:t>
      </w:r>
      <w:r w:rsidRPr="004B2D0B">
        <w:t xml:space="preserve"> </w:t>
      </w:r>
      <w:r w:rsidRPr="00EC38A9">
        <w:rPr>
          <w:i/>
        </w:rPr>
        <w:t>“El Peruano”</w:t>
      </w:r>
      <w:r>
        <w:t>: 25 de septiembre de 2015. Art. 1°.</w:t>
      </w:r>
    </w:p>
  </w:footnote>
  <w:footnote w:id="30">
    <w:p w:rsidR="007E0CA6" w:rsidRPr="004B2D0B" w:rsidRDefault="007E0CA6" w:rsidP="00F4219D">
      <w:pPr>
        <w:pStyle w:val="Textonotapie"/>
      </w:pPr>
      <w:r>
        <w:tab/>
      </w:r>
      <w:r w:rsidRPr="00214959">
        <w:rPr>
          <w:rStyle w:val="Refdenotaalpie"/>
          <w:rFonts w:eastAsiaTheme="majorEastAsia"/>
          <w:szCs w:val="16"/>
        </w:rPr>
        <w:footnoteRef/>
      </w:r>
      <w:r>
        <w:tab/>
        <w:t xml:space="preserve"> </w:t>
      </w:r>
      <w:r w:rsidRPr="004B2D0B">
        <w:t>M</w:t>
      </w:r>
      <w:r>
        <w:t>inisterio de Justicia y Derechos Humanos</w:t>
      </w:r>
      <w:r w:rsidRPr="004B2D0B">
        <w:t xml:space="preserve">. D.S. </w:t>
      </w:r>
      <w:r>
        <w:t>núm.</w:t>
      </w:r>
      <w:r w:rsidRPr="004B2D0B">
        <w:t xml:space="preserve"> 007-2016-JUS. Publicado en el </w:t>
      </w:r>
      <w:r w:rsidRPr="00055918">
        <w:rPr>
          <w:i/>
        </w:rPr>
        <w:t>Diario Oficial</w:t>
      </w:r>
      <w:r w:rsidRPr="004B2D0B">
        <w:t xml:space="preserve"> </w:t>
      </w:r>
      <w:r w:rsidRPr="00EC38A9">
        <w:rPr>
          <w:i/>
        </w:rPr>
        <w:t>“El Peruano”</w:t>
      </w:r>
      <w:r w:rsidRPr="004B2D0B">
        <w:t>: 21</w:t>
      </w:r>
      <w:r>
        <w:t xml:space="preserve"> de julio de </w:t>
      </w:r>
      <w:r w:rsidRPr="004B2D0B">
        <w:t>20</w:t>
      </w:r>
      <w:r>
        <w:t>16.</w:t>
      </w:r>
    </w:p>
  </w:footnote>
  <w:footnote w:id="31">
    <w:p w:rsidR="007E0CA6" w:rsidRPr="00C47121" w:rsidRDefault="007E0CA6" w:rsidP="00F4219D">
      <w:pPr>
        <w:pStyle w:val="Textonotapie"/>
      </w:pPr>
      <w:r>
        <w:tab/>
      </w:r>
      <w:r w:rsidRPr="00214959">
        <w:rPr>
          <w:rStyle w:val="Refdenotaalpie"/>
          <w:szCs w:val="16"/>
        </w:rPr>
        <w:footnoteRef/>
      </w:r>
      <w:r>
        <w:tab/>
      </w:r>
      <w:r w:rsidRPr="004B2D0B">
        <w:t>I</w:t>
      </w:r>
      <w:r>
        <w:t>nstituto</w:t>
      </w:r>
      <w:r w:rsidRPr="004B2D0B">
        <w:rPr>
          <w:lang w:val="es-PE"/>
        </w:rPr>
        <w:t xml:space="preserve"> N</w:t>
      </w:r>
      <w:r>
        <w:rPr>
          <w:lang w:val="es-PE"/>
        </w:rPr>
        <w:t>acional</w:t>
      </w:r>
      <w:r w:rsidRPr="004B2D0B">
        <w:rPr>
          <w:lang w:val="es-PE"/>
        </w:rPr>
        <w:t xml:space="preserve"> P</w:t>
      </w:r>
      <w:r>
        <w:rPr>
          <w:lang w:val="es-PE"/>
        </w:rPr>
        <w:t>enitenciario</w:t>
      </w:r>
      <w:r w:rsidRPr="004B2D0B">
        <w:rPr>
          <w:lang w:val="es-PE"/>
        </w:rPr>
        <w:t xml:space="preserve">. Resolución Presidencial del INPE </w:t>
      </w:r>
      <w:r>
        <w:rPr>
          <w:lang w:val="es-PE"/>
        </w:rPr>
        <w:t>núm.</w:t>
      </w:r>
      <w:r w:rsidRPr="004B2D0B">
        <w:rPr>
          <w:lang w:val="es-PE"/>
        </w:rPr>
        <w:t xml:space="preserve"> 017-2016-INPE. Fecha: 18</w:t>
      </w:r>
      <w:r>
        <w:rPr>
          <w:lang w:val="es-PE"/>
        </w:rPr>
        <w:t xml:space="preserve"> de enero de </w:t>
      </w:r>
      <w:r w:rsidRPr="004B2D0B">
        <w:rPr>
          <w:lang w:val="es-PE"/>
        </w:rPr>
        <w:t>2016. Consulta: 23</w:t>
      </w:r>
      <w:r>
        <w:rPr>
          <w:lang w:val="es-PE"/>
        </w:rPr>
        <w:t xml:space="preserve"> de junio de </w:t>
      </w:r>
      <w:r w:rsidRPr="004B2D0B">
        <w:rPr>
          <w:lang w:val="es-PE"/>
        </w:rPr>
        <w:t xml:space="preserve">2016. Disponible en: </w:t>
      </w:r>
      <w:hyperlink r:id="rId1" w:history="1">
        <w:r w:rsidRPr="00742A2C">
          <w:rPr>
            <w:rStyle w:val="Hipervnculo"/>
            <w:color w:val="auto"/>
            <w:szCs w:val="18"/>
          </w:rPr>
          <w:t>http://app2.inpe.gob.pe/Resolucion/cache/Gestion/2016/Directiva/DI-007-2016-INPE-DTP.pdf</w:t>
        </w:r>
      </w:hyperlink>
      <w:r>
        <w:rPr>
          <w:rStyle w:val="Hipervnculo"/>
          <w:color w:val="auto"/>
          <w:szCs w:val="18"/>
        </w:rPr>
        <w:t>.</w:t>
      </w:r>
    </w:p>
  </w:footnote>
  <w:footnote w:id="32">
    <w:p w:rsidR="007E0CA6" w:rsidRPr="00C47121" w:rsidRDefault="007E0CA6" w:rsidP="00F4219D">
      <w:pPr>
        <w:pStyle w:val="Textonotapie"/>
      </w:pPr>
      <w:r>
        <w:tab/>
      </w:r>
      <w:r w:rsidRPr="00214959">
        <w:rPr>
          <w:rStyle w:val="Refdenotaalpie"/>
          <w:szCs w:val="16"/>
        </w:rPr>
        <w:footnoteRef/>
      </w:r>
      <w:r>
        <w:tab/>
      </w:r>
      <w:r w:rsidRPr="004B2D0B">
        <w:rPr>
          <w:lang w:val="es-PE"/>
        </w:rPr>
        <w:t>I</w:t>
      </w:r>
      <w:r>
        <w:rPr>
          <w:lang w:val="es-PE"/>
        </w:rPr>
        <w:t xml:space="preserve">nstituto </w:t>
      </w:r>
      <w:r w:rsidRPr="004B2D0B">
        <w:rPr>
          <w:lang w:val="es-PE"/>
        </w:rPr>
        <w:t>N</w:t>
      </w:r>
      <w:r>
        <w:rPr>
          <w:lang w:val="es-PE"/>
        </w:rPr>
        <w:t>acional</w:t>
      </w:r>
      <w:r w:rsidRPr="004B2D0B">
        <w:rPr>
          <w:lang w:val="es-PE"/>
        </w:rPr>
        <w:t xml:space="preserve"> P</w:t>
      </w:r>
      <w:r>
        <w:rPr>
          <w:lang w:val="es-PE"/>
        </w:rPr>
        <w:t>enitenciario</w:t>
      </w:r>
      <w:r w:rsidRPr="004B2D0B">
        <w:rPr>
          <w:lang w:val="es-PE"/>
        </w:rPr>
        <w:t xml:space="preserve">. Oficio </w:t>
      </w:r>
      <w:r>
        <w:rPr>
          <w:lang w:val="es-PE"/>
        </w:rPr>
        <w:t>núm.</w:t>
      </w:r>
      <w:r w:rsidRPr="004B2D0B">
        <w:rPr>
          <w:lang w:val="es-PE"/>
        </w:rPr>
        <w:t xml:space="preserve"> 025-2016-INPE/14. Fecha: 8</w:t>
      </w:r>
      <w:r>
        <w:rPr>
          <w:lang w:val="es-PE"/>
        </w:rPr>
        <w:t xml:space="preserve"> de enero de </w:t>
      </w:r>
      <w:r w:rsidRPr="004B2D0B">
        <w:rPr>
          <w:lang w:val="es-PE"/>
        </w:rPr>
        <w:t>2016. Pág. 1.</w:t>
      </w:r>
    </w:p>
  </w:footnote>
  <w:footnote w:id="33">
    <w:p w:rsidR="007E0CA6" w:rsidRPr="004B2D0B" w:rsidRDefault="007E0CA6" w:rsidP="00F4219D">
      <w:pPr>
        <w:pStyle w:val="Textonotapie"/>
        <w:rPr>
          <w:lang w:val="es-PE"/>
        </w:rPr>
      </w:pPr>
      <w:r>
        <w:rPr>
          <w:lang w:val="es-PE"/>
        </w:rPr>
        <w:tab/>
      </w:r>
      <w:r w:rsidRPr="00214959">
        <w:rPr>
          <w:rStyle w:val="Refdenotaalpie"/>
          <w:szCs w:val="16"/>
        </w:rPr>
        <w:footnoteRef/>
      </w:r>
      <w:bookmarkStart w:id="11" w:name="_Hlk486297816"/>
      <w:r>
        <w:rPr>
          <w:lang w:val="es-PE"/>
        </w:rPr>
        <w:tab/>
      </w:r>
      <w:r w:rsidRPr="004B2D0B">
        <w:rPr>
          <w:lang w:val="es-PE"/>
        </w:rPr>
        <w:t>I</w:t>
      </w:r>
      <w:r>
        <w:rPr>
          <w:lang w:val="es-PE"/>
        </w:rPr>
        <w:t>nstituto</w:t>
      </w:r>
      <w:r w:rsidRPr="004B2D0B">
        <w:rPr>
          <w:lang w:val="es-PE"/>
        </w:rPr>
        <w:t xml:space="preserve"> N</w:t>
      </w:r>
      <w:r>
        <w:rPr>
          <w:lang w:val="es-PE"/>
        </w:rPr>
        <w:t>acional</w:t>
      </w:r>
      <w:r w:rsidRPr="004B2D0B">
        <w:rPr>
          <w:lang w:val="es-PE"/>
        </w:rPr>
        <w:t xml:space="preserve"> P</w:t>
      </w:r>
      <w:r>
        <w:rPr>
          <w:lang w:val="es-PE"/>
        </w:rPr>
        <w:t>enitenciario</w:t>
      </w:r>
      <w:r w:rsidRPr="004B2D0B">
        <w:rPr>
          <w:lang w:val="es-PE"/>
        </w:rPr>
        <w:t xml:space="preserve">. Oficio </w:t>
      </w:r>
      <w:r>
        <w:rPr>
          <w:lang w:val="es-PE"/>
        </w:rPr>
        <w:t>núm.</w:t>
      </w:r>
      <w:r w:rsidRPr="004B2D0B">
        <w:rPr>
          <w:lang w:val="es-PE"/>
        </w:rPr>
        <w:t xml:space="preserve"> 377-2017-INPE/4. Fecha: 8</w:t>
      </w:r>
      <w:r>
        <w:rPr>
          <w:lang w:val="es-PE"/>
        </w:rPr>
        <w:t xml:space="preserve"> de enero de </w:t>
      </w:r>
      <w:r w:rsidRPr="004B2D0B">
        <w:rPr>
          <w:lang w:val="es-PE"/>
        </w:rPr>
        <w:t>2016. Información ampliada por correo electrónico de fecha: 23</w:t>
      </w:r>
      <w:r>
        <w:rPr>
          <w:lang w:val="es-PE"/>
        </w:rPr>
        <w:t xml:space="preserve"> de junio de </w:t>
      </w:r>
      <w:r w:rsidRPr="004B2D0B">
        <w:rPr>
          <w:lang w:val="es-PE"/>
        </w:rPr>
        <w:t>2017</w:t>
      </w:r>
      <w:bookmarkEnd w:id="11"/>
      <w:r>
        <w:rPr>
          <w:lang w:val="es-PE"/>
        </w:rPr>
        <w:t>, pág. 1 a 5.</w:t>
      </w:r>
    </w:p>
  </w:footnote>
  <w:footnote w:id="34">
    <w:p w:rsidR="007E0CA6" w:rsidRPr="00C47121" w:rsidRDefault="007E0CA6" w:rsidP="00F4219D">
      <w:pPr>
        <w:pStyle w:val="Textonotapie"/>
      </w:pPr>
      <w:r>
        <w:tab/>
      </w:r>
      <w:r w:rsidRPr="00214959">
        <w:rPr>
          <w:rStyle w:val="Refdenotaalpie"/>
          <w:szCs w:val="16"/>
        </w:rPr>
        <w:footnoteRef/>
      </w:r>
      <w:r>
        <w:tab/>
      </w:r>
      <w:proofErr w:type="spellStart"/>
      <w:r w:rsidRPr="00742A2C">
        <w:rPr>
          <w:i/>
        </w:rPr>
        <w:t>Idem</w:t>
      </w:r>
      <w:proofErr w:type="spellEnd"/>
      <w:r>
        <w:t>, pág. 6.</w:t>
      </w:r>
    </w:p>
  </w:footnote>
  <w:footnote w:id="35">
    <w:p w:rsidR="007E0CA6" w:rsidRPr="004B2D0B" w:rsidRDefault="007E0CA6" w:rsidP="00F4219D">
      <w:pPr>
        <w:pStyle w:val="Textonotapie"/>
      </w:pPr>
      <w:r>
        <w:tab/>
      </w:r>
      <w:r w:rsidRPr="00214959">
        <w:rPr>
          <w:rStyle w:val="Refdenotaalpie"/>
          <w:szCs w:val="16"/>
        </w:rPr>
        <w:footnoteRef/>
      </w:r>
      <w:r>
        <w:tab/>
      </w:r>
      <w:proofErr w:type="spellStart"/>
      <w:r w:rsidRPr="00742A2C">
        <w:rPr>
          <w:i/>
          <w:lang w:val="es-PE"/>
        </w:rPr>
        <w:t>I</w:t>
      </w:r>
      <w:r>
        <w:rPr>
          <w:i/>
          <w:lang w:val="es-PE"/>
        </w:rPr>
        <w:t>bidem</w:t>
      </w:r>
      <w:proofErr w:type="spellEnd"/>
      <w:r>
        <w:rPr>
          <w:i/>
          <w:lang w:val="es-PE"/>
        </w:rPr>
        <w:t>.</w:t>
      </w:r>
    </w:p>
  </w:footnote>
  <w:footnote w:id="36">
    <w:p w:rsidR="007E0CA6" w:rsidRPr="004B2D0B" w:rsidRDefault="007E0CA6" w:rsidP="00F4219D">
      <w:pPr>
        <w:pStyle w:val="Textonotapie"/>
        <w:rPr>
          <w:lang w:val="es-PE"/>
        </w:rPr>
      </w:pPr>
      <w:r>
        <w:tab/>
      </w:r>
      <w:r w:rsidRPr="00214959">
        <w:rPr>
          <w:rStyle w:val="Refdenotaalpie"/>
          <w:szCs w:val="16"/>
        </w:rPr>
        <w:footnoteRef/>
      </w:r>
      <w:r>
        <w:tab/>
      </w:r>
      <w:r w:rsidRPr="004B2D0B">
        <w:t>D</w:t>
      </w:r>
      <w:r>
        <w:t>efensoría del Pueblo</w:t>
      </w:r>
      <w:r w:rsidRPr="004B2D0B">
        <w:rPr>
          <w:lang w:val="es-PE"/>
        </w:rPr>
        <w:t>. Primer Informe Anual del Mecanismo Nacional de Prevención de la Tortura y Otros Tratos o Penas Crueles, In</w:t>
      </w:r>
      <w:r>
        <w:rPr>
          <w:lang w:val="es-PE"/>
        </w:rPr>
        <w:t>humanos o Degradantes. Pág. 18.</w:t>
      </w:r>
    </w:p>
  </w:footnote>
  <w:footnote w:id="37">
    <w:p w:rsidR="007E0CA6" w:rsidRPr="004B2D0B" w:rsidRDefault="007E0CA6" w:rsidP="00F4219D">
      <w:pPr>
        <w:pStyle w:val="Textonotapie"/>
      </w:pPr>
      <w:r>
        <w:tab/>
      </w:r>
      <w:r w:rsidRPr="00214959">
        <w:rPr>
          <w:rStyle w:val="Refdenotaalpie"/>
          <w:rFonts w:eastAsiaTheme="majorEastAsia"/>
          <w:szCs w:val="16"/>
        </w:rPr>
        <w:footnoteRef/>
      </w:r>
      <w:r>
        <w:tab/>
      </w:r>
      <w:r w:rsidRPr="004B2D0B">
        <w:t>P</w:t>
      </w:r>
      <w:r>
        <w:t>oder Ejecutivo</w:t>
      </w:r>
      <w:r w:rsidRPr="004B2D0B">
        <w:t xml:space="preserve">. Decreto Legislativo </w:t>
      </w:r>
      <w:r>
        <w:t>núm.</w:t>
      </w:r>
      <w:r w:rsidRPr="004B2D0B">
        <w:t xml:space="preserve"> 1322. Publicado en el </w:t>
      </w:r>
      <w:r w:rsidRPr="00055918">
        <w:rPr>
          <w:i/>
        </w:rPr>
        <w:t>Diario Oficial</w:t>
      </w:r>
      <w:r w:rsidRPr="004B2D0B">
        <w:t xml:space="preserve"> </w:t>
      </w:r>
      <w:r w:rsidRPr="00EC38A9">
        <w:rPr>
          <w:i/>
        </w:rPr>
        <w:t>El Peruano”</w:t>
      </w:r>
      <w:r w:rsidRPr="004B2D0B">
        <w:t>: 6</w:t>
      </w:r>
      <w:r>
        <w:t xml:space="preserve"> de enero de 2017. Art. 2° y 5° (inc. 1).</w:t>
      </w:r>
    </w:p>
  </w:footnote>
  <w:footnote w:id="38">
    <w:p w:rsidR="007E0CA6" w:rsidRPr="004B2D0B" w:rsidRDefault="007E0CA6" w:rsidP="00F4219D">
      <w:pPr>
        <w:pStyle w:val="Textonotapie"/>
      </w:pPr>
      <w:r>
        <w:tab/>
      </w:r>
      <w:r w:rsidRPr="00214959">
        <w:rPr>
          <w:rStyle w:val="Refdenotaalpie"/>
          <w:szCs w:val="16"/>
        </w:rPr>
        <w:footnoteRef/>
      </w:r>
      <w:r>
        <w:tab/>
      </w:r>
      <w:r w:rsidRPr="004B2D0B">
        <w:t>Cfr. Inc. 2 del artícul</w:t>
      </w:r>
      <w:r>
        <w:t>o 5° de D. Legislativo núm. 1322.</w:t>
      </w:r>
    </w:p>
  </w:footnote>
  <w:footnote w:id="39">
    <w:p w:rsidR="007E0CA6" w:rsidRPr="004B2D0B" w:rsidRDefault="007E0CA6" w:rsidP="00F4219D">
      <w:pPr>
        <w:pStyle w:val="Textonotapie"/>
      </w:pPr>
      <w:r>
        <w:tab/>
      </w:r>
      <w:r w:rsidRPr="00214959">
        <w:rPr>
          <w:rStyle w:val="Refdenotaalpie"/>
          <w:szCs w:val="16"/>
        </w:rPr>
        <w:footnoteRef/>
      </w:r>
      <w:r>
        <w:tab/>
        <w:t>Poder Ejecutivo</w:t>
      </w:r>
      <w:r w:rsidRPr="004B2D0B">
        <w:rPr>
          <w:lang w:val="es-PE"/>
        </w:rPr>
        <w:t xml:space="preserve">. Decreto Legislativo </w:t>
      </w:r>
      <w:r>
        <w:rPr>
          <w:lang w:val="es-PE"/>
        </w:rPr>
        <w:t>núm.</w:t>
      </w:r>
      <w:r w:rsidRPr="004B2D0B">
        <w:rPr>
          <w:lang w:val="es-PE"/>
        </w:rPr>
        <w:t xml:space="preserve"> 957. Código Procesal Penal. Publicado en el </w:t>
      </w:r>
      <w:r w:rsidRPr="00055918">
        <w:rPr>
          <w:i/>
          <w:lang w:val="es-PE"/>
        </w:rPr>
        <w:t>Diario Oficial</w:t>
      </w:r>
      <w:r w:rsidRPr="004B2D0B">
        <w:t xml:space="preserve"> </w:t>
      </w:r>
      <w:r w:rsidRPr="00EC38A9">
        <w:rPr>
          <w:i/>
        </w:rPr>
        <w:t>“El Peruano”</w:t>
      </w:r>
      <w:r w:rsidRPr="004B2D0B">
        <w:t>: 29</w:t>
      </w:r>
      <w:r>
        <w:t xml:space="preserve"> de julio de </w:t>
      </w:r>
      <w:r w:rsidRPr="004B2D0B">
        <w:t xml:space="preserve">2004. </w:t>
      </w:r>
    </w:p>
    <w:p w:rsidR="007E0CA6" w:rsidRPr="004B2D0B" w:rsidRDefault="007E0CA6" w:rsidP="00F4219D">
      <w:pPr>
        <w:pStyle w:val="Textonotapie"/>
        <w:rPr>
          <w:lang w:val="es-PE"/>
        </w:rPr>
      </w:pPr>
      <w:r>
        <w:t xml:space="preserve"> </w:t>
      </w:r>
      <w:r>
        <w:tab/>
      </w:r>
      <w:r>
        <w:tab/>
      </w:r>
      <w:r w:rsidRPr="004B2D0B">
        <w:t>A</w:t>
      </w:r>
      <w:proofErr w:type="spellStart"/>
      <w:r w:rsidRPr="004B2D0B">
        <w:rPr>
          <w:lang w:val="es-PE"/>
        </w:rPr>
        <w:t>rtículo</w:t>
      </w:r>
      <w:proofErr w:type="spellEnd"/>
      <w:r w:rsidRPr="004B2D0B">
        <w:rPr>
          <w:lang w:val="es-PE"/>
        </w:rPr>
        <w:t xml:space="preserve"> modificado por la Cuarta Disposición Complementaria Modificatoria d</w:t>
      </w:r>
      <w:r>
        <w:rPr>
          <w:lang w:val="es-PE"/>
        </w:rPr>
        <w:t>el Decreto Legislativo núm. 1229.</w:t>
      </w:r>
    </w:p>
  </w:footnote>
  <w:footnote w:id="40">
    <w:p w:rsidR="007E0CA6" w:rsidRPr="004B2D0B" w:rsidRDefault="007E0CA6" w:rsidP="00742A2C">
      <w:pPr>
        <w:pStyle w:val="Textonotapie"/>
        <w:spacing w:after="60"/>
      </w:pPr>
      <w:r>
        <w:tab/>
      </w:r>
      <w:r w:rsidRPr="00214959">
        <w:rPr>
          <w:rStyle w:val="Refdenotaalpie"/>
          <w:rFonts w:eastAsiaTheme="majorEastAsia"/>
          <w:szCs w:val="16"/>
        </w:rPr>
        <w:footnoteRef/>
      </w:r>
      <w:r>
        <w:tab/>
        <w:t>Poder Judicial</w:t>
      </w:r>
      <w:r w:rsidRPr="004B2D0B">
        <w:t>. Plan Nacional de Acceso a la Justicia de las Personas en Condición de Vulnerabilidad 2016</w:t>
      </w:r>
      <w:r>
        <w:t>-</w:t>
      </w:r>
      <w:r w:rsidRPr="004B2D0B">
        <w:t xml:space="preserve">2021. Resolución Administrativa </w:t>
      </w:r>
      <w:r>
        <w:t>núm.</w:t>
      </w:r>
      <w:r w:rsidRPr="004B2D0B">
        <w:t xml:space="preserve"> 090-2016-CE-PJ. Publicado en el </w:t>
      </w:r>
      <w:r w:rsidRPr="00055918">
        <w:rPr>
          <w:i/>
        </w:rPr>
        <w:t>Diario Oficial</w:t>
      </w:r>
      <w:r w:rsidRPr="004B2D0B">
        <w:t xml:space="preserve"> </w:t>
      </w:r>
      <w:r w:rsidRPr="00EC38A9">
        <w:rPr>
          <w:i/>
        </w:rPr>
        <w:t>“El</w:t>
      </w:r>
      <w:r>
        <w:rPr>
          <w:i/>
        </w:rPr>
        <w:t> </w:t>
      </w:r>
      <w:r w:rsidRPr="00EC38A9">
        <w:rPr>
          <w:i/>
        </w:rPr>
        <w:t>Peruano”</w:t>
      </w:r>
      <w:r w:rsidRPr="004B2D0B">
        <w:t>: 7</w:t>
      </w:r>
      <w:r>
        <w:t xml:space="preserve"> de abril de </w:t>
      </w:r>
      <w:r w:rsidRPr="004B2D0B">
        <w:t>2016. Pág</w:t>
      </w:r>
      <w:r>
        <w:t>s</w:t>
      </w:r>
      <w:r w:rsidRPr="004B2D0B">
        <w:t xml:space="preserve">. 104 </w:t>
      </w:r>
      <w:r>
        <w:t>y</w:t>
      </w:r>
      <w:r w:rsidRPr="004B2D0B">
        <w:t xml:space="preserve"> 105. </w:t>
      </w:r>
    </w:p>
    <w:p w:rsidR="007E0CA6" w:rsidRPr="004B2D0B" w:rsidRDefault="007E0CA6" w:rsidP="00F4219D">
      <w:pPr>
        <w:pStyle w:val="Textonotapie"/>
      </w:pPr>
      <w:r>
        <w:t xml:space="preserve"> </w:t>
      </w:r>
      <w:r>
        <w:tab/>
      </w:r>
      <w:r>
        <w:tab/>
      </w:r>
      <w:r w:rsidRPr="004B2D0B">
        <w:t>Consulta: 23</w:t>
      </w:r>
      <w:r>
        <w:t xml:space="preserve"> de junio de </w:t>
      </w:r>
      <w:r w:rsidRPr="004B2D0B">
        <w:t>2016. Disponible: https://scc.pj.gob.pe/wps/wcm/connect/</w:t>
      </w:r>
      <w:r>
        <w:br/>
      </w:r>
      <w:r w:rsidRPr="004B2D0B">
        <w:t>2b4459804d160074ad7cbdd13fde886</w:t>
      </w:r>
      <w:r>
        <w:t>c/PLAN+NACIONAL+19-</w:t>
      </w:r>
      <w:r w:rsidRPr="004B2D0B">
        <w:t>04+CORREGIDO+FINAL%</w:t>
      </w:r>
      <w:r>
        <w:br/>
      </w:r>
      <w:r w:rsidRPr="004B2D0B">
        <w:t>5B1%5D.pdf?MOD=AJPERES&amp;CACHEID=2</w:t>
      </w:r>
      <w:r>
        <w:t>b4459804d160074ad7cbdd13fde886c.</w:t>
      </w:r>
    </w:p>
  </w:footnote>
  <w:footnote w:id="41">
    <w:p w:rsidR="007E0CA6" w:rsidRPr="00C47121" w:rsidRDefault="007E0CA6" w:rsidP="00F4219D">
      <w:pPr>
        <w:pStyle w:val="Textonotapie"/>
        <w:rPr>
          <w:lang w:val="es-PE"/>
        </w:rPr>
      </w:pPr>
      <w:r>
        <w:tab/>
      </w:r>
      <w:r w:rsidRPr="00214959">
        <w:rPr>
          <w:rStyle w:val="Refdenotaalpie"/>
          <w:szCs w:val="16"/>
        </w:rPr>
        <w:footnoteRef/>
      </w:r>
      <w:r>
        <w:tab/>
      </w:r>
      <w:r w:rsidRPr="00055918">
        <w:t>Instituto Nacional Penitenciario</w:t>
      </w:r>
      <w:r w:rsidRPr="004B2D0B">
        <w:rPr>
          <w:lang w:val="es-PE"/>
        </w:rPr>
        <w:t xml:space="preserve">. Oficio </w:t>
      </w:r>
      <w:r>
        <w:rPr>
          <w:lang w:val="es-PE"/>
        </w:rPr>
        <w:t>núm.</w:t>
      </w:r>
      <w:r w:rsidRPr="004B2D0B">
        <w:rPr>
          <w:lang w:val="es-PE"/>
        </w:rPr>
        <w:t xml:space="preserve"> 377-2017-INPE/4. Fecha: 8</w:t>
      </w:r>
      <w:r>
        <w:rPr>
          <w:lang w:val="es-PE"/>
        </w:rPr>
        <w:t xml:space="preserve"> de enero de </w:t>
      </w:r>
      <w:r w:rsidRPr="004B2D0B">
        <w:rPr>
          <w:lang w:val="es-PE"/>
        </w:rPr>
        <w:t>2016. Información ampliada por correo electrónico de fecha: 23</w:t>
      </w:r>
      <w:r>
        <w:rPr>
          <w:lang w:val="es-PE"/>
        </w:rPr>
        <w:t xml:space="preserve"> de junio de 2017, pág. 7. </w:t>
      </w:r>
    </w:p>
  </w:footnote>
  <w:footnote w:id="42">
    <w:p w:rsidR="007E0CA6" w:rsidRPr="004B2D0B" w:rsidRDefault="007E0CA6" w:rsidP="00F4219D">
      <w:pPr>
        <w:pStyle w:val="Textonotapie"/>
      </w:pPr>
      <w:r>
        <w:tab/>
      </w:r>
      <w:r w:rsidRPr="00214959">
        <w:rPr>
          <w:rStyle w:val="Refdenotaalpie"/>
          <w:szCs w:val="16"/>
        </w:rPr>
        <w:footnoteRef/>
      </w:r>
      <w:r>
        <w:tab/>
      </w:r>
      <w:r w:rsidRPr="00055918">
        <w:t>Instituto Nacional Penitenciario</w:t>
      </w:r>
      <w:r w:rsidRPr="004B2D0B">
        <w:t>. Resolución Presidencial Instituto Nacional Penitenciario</w:t>
      </w:r>
      <w:r>
        <w:br/>
        <w:t>núm.</w:t>
      </w:r>
      <w:r w:rsidRPr="004B2D0B">
        <w:t xml:space="preserve"> 003-2008-INPE/P. Fecha: 3</w:t>
      </w:r>
      <w:r>
        <w:t xml:space="preserve"> de enero de </w:t>
      </w:r>
      <w:r w:rsidRPr="004B2D0B">
        <w:t>2008. Artículo 101°. Disponible en: http://www.inpe.gob.pe/pdf/asist</w:t>
      </w:r>
      <w:r>
        <w:t>encias/ResPre-003-2008-INPE.pdf.</w:t>
      </w:r>
    </w:p>
  </w:footnote>
  <w:footnote w:id="43">
    <w:p w:rsidR="007E0CA6" w:rsidRPr="00C47121" w:rsidRDefault="007E0CA6" w:rsidP="00F4219D">
      <w:pPr>
        <w:pStyle w:val="Textonotapie"/>
        <w:rPr>
          <w:lang w:val="es-PE"/>
        </w:rPr>
      </w:pPr>
      <w:r>
        <w:tab/>
      </w:r>
      <w:r w:rsidRPr="00214959">
        <w:rPr>
          <w:rStyle w:val="Refdenotaalpie"/>
          <w:szCs w:val="16"/>
        </w:rPr>
        <w:footnoteRef/>
      </w:r>
      <w:r>
        <w:tab/>
      </w:r>
      <w:r w:rsidRPr="00055918">
        <w:t>Instituto Nacional Penitenciario</w:t>
      </w:r>
      <w:r w:rsidRPr="004B2D0B">
        <w:rPr>
          <w:lang w:val="es-PE"/>
        </w:rPr>
        <w:t xml:space="preserve">. Oficio </w:t>
      </w:r>
      <w:r>
        <w:rPr>
          <w:lang w:val="es-PE"/>
        </w:rPr>
        <w:t>núm.</w:t>
      </w:r>
      <w:r w:rsidRPr="004B2D0B">
        <w:rPr>
          <w:lang w:val="es-PE"/>
        </w:rPr>
        <w:t xml:space="preserve"> 377-2017-INPE/4. Fecha: 8</w:t>
      </w:r>
      <w:r>
        <w:rPr>
          <w:lang w:val="es-PE"/>
        </w:rPr>
        <w:t xml:space="preserve"> de enero de 2016</w:t>
      </w:r>
      <w:r w:rsidRPr="004B2D0B">
        <w:rPr>
          <w:lang w:val="es-PE"/>
        </w:rPr>
        <w:t>. Información ampliada por correo electrónico de fecha: 23</w:t>
      </w:r>
      <w:r>
        <w:rPr>
          <w:lang w:val="es-PE"/>
        </w:rPr>
        <w:t xml:space="preserve"> de junio de </w:t>
      </w:r>
      <w:r w:rsidRPr="004B2D0B">
        <w:rPr>
          <w:lang w:val="es-PE"/>
        </w:rPr>
        <w:t>2017, pág. 7.</w:t>
      </w:r>
    </w:p>
  </w:footnote>
  <w:footnote w:id="44">
    <w:p w:rsidR="007E0CA6" w:rsidRPr="00C47121" w:rsidRDefault="007E0CA6" w:rsidP="00F4219D">
      <w:pPr>
        <w:pStyle w:val="Textonotapie"/>
      </w:pPr>
      <w:r>
        <w:tab/>
      </w:r>
      <w:r w:rsidRPr="00214959">
        <w:rPr>
          <w:rStyle w:val="Refdenotaalpie"/>
          <w:szCs w:val="16"/>
        </w:rPr>
        <w:footnoteRef/>
      </w:r>
      <w:r>
        <w:tab/>
      </w:r>
      <w:r w:rsidRPr="00055918">
        <w:t>Ministerio de Justicia y Derechos Humanos</w:t>
      </w:r>
      <w:r w:rsidRPr="004B2D0B">
        <w:rPr>
          <w:lang w:val="es-PE"/>
        </w:rPr>
        <w:t xml:space="preserve">. Decreto Supremo </w:t>
      </w:r>
      <w:r>
        <w:rPr>
          <w:lang w:val="es-PE"/>
        </w:rPr>
        <w:t>núm.</w:t>
      </w:r>
      <w:r w:rsidRPr="004B2D0B">
        <w:rPr>
          <w:lang w:val="es-PE"/>
        </w:rPr>
        <w:t xml:space="preserve"> 015-20003-JUS. Aprueban Reglamento del Código de Ejecución Penal. Publicado en el </w:t>
      </w:r>
      <w:r w:rsidRPr="00055918">
        <w:rPr>
          <w:i/>
          <w:lang w:val="es-PE"/>
        </w:rPr>
        <w:t>Diario Oficial</w:t>
      </w:r>
      <w:r w:rsidRPr="004B2D0B">
        <w:rPr>
          <w:lang w:val="es-PE"/>
        </w:rPr>
        <w:t xml:space="preserve"> </w:t>
      </w:r>
      <w:r w:rsidRPr="00EC38A9">
        <w:rPr>
          <w:i/>
          <w:lang w:val="es-PE"/>
        </w:rPr>
        <w:t>“El Peruano”</w:t>
      </w:r>
      <w:r w:rsidRPr="004B2D0B">
        <w:rPr>
          <w:lang w:val="es-PE"/>
        </w:rPr>
        <w:t>: 11</w:t>
      </w:r>
      <w:r>
        <w:rPr>
          <w:lang w:val="es-PE"/>
        </w:rPr>
        <w:t xml:space="preserve"> de enero de </w:t>
      </w:r>
      <w:r w:rsidRPr="004B2D0B">
        <w:rPr>
          <w:lang w:val="es-PE"/>
        </w:rPr>
        <w:t>2003. Art. 124.</w:t>
      </w:r>
    </w:p>
  </w:footnote>
  <w:footnote w:id="45">
    <w:p w:rsidR="007E0CA6" w:rsidRPr="00C47121" w:rsidRDefault="007E0CA6" w:rsidP="00F4219D">
      <w:pPr>
        <w:pStyle w:val="Textonotapie"/>
      </w:pPr>
      <w:r>
        <w:tab/>
      </w:r>
      <w:r w:rsidRPr="00214959">
        <w:rPr>
          <w:rStyle w:val="Refdenotaalpie"/>
          <w:szCs w:val="16"/>
        </w:rPr>
        <w:footnoteRef/>
      </w:r>
      <w:r>
        <w:tab/>
      </w:r>
      <w:r w:rsidRPr="00055918">
        <w:t>Ministerio de Justicia y Derechos Humanos</w:t>
      </w:r>
      <w:r w:rsidRPr="004B2D0B">
        <w:rPr>
          <w:lang w:val="es-PE"/>
        </w:rPr>
        <w:t xml:space="preserve">. Decreto Supremo </w:t>
      </w:r>
      <w:r>
        <w:rPr>
          <w:lang w:val="es-PE"/>
        </w:rPr>
        <w:t>núm.</w:t>
      </w:r>
      <w:r w:rsidRPr="004B2D0B">
        <w:rPr>
          <w:lang w:val="es-PE"/>
        </w:rPr>
        <w:t xml:space="preserve"> 015-20003-JUS. Aprueban Reglamento del Código de Ejecución Penal. Publicado en el </w:t>
      </w:r>
      <w:r w:rsidRPr="00055918">
        <w:rPr>
          <w:i/>
          <w:lang w:val="es-PE"/>
        </w:rPr>
        <w:t>Diario Oficial</w:t>
      </w:r>
      <w:r w:rsidRPr="004B2D0B">
        <w:rPr>
          <w:lang w:val="es-PE"/>
        </w:rPr>
        <w:t xml:space="preserve"> </w:t>
      </w:r>
      <w:r w:rsidRPr="00EC38A9">
        <w:rPr>
          <w:i/>
          <w:lang w:val="es-PE"/>
        </w:rPr>
        <w:t>“El Peruano”</w:t>
      </w:r>
      <w:r w:rsidRPr="004B2D0B">
        <w:rPr>
          <w:lang w:val="es-PE"/>
        </w:rPr>
        <w:t>: 11</w:t>
      </w:r>
      <w:r>
        <w:rPr>
          <w:lang w:val="es-PE"/>
        </w:rPr>
        <w:t xml:space="preserve"> de septiembre de </w:t>
      </w:r>
      <w:r w:rsidRPr="004B2D0B">
        <w:rPr>
          <w:lang w:val="es-PE"/>
        </w:rPr>
        <w:t>2003. Art. 130.</w:t>
      </w:r>
    </w:p>
  </w:footnote>
  <w:footnote w:id="46">
    <w:p w:rsidR="007E0CA6" w:rsidRPr="00C47121" w:rsidRDefault="007E0CA6" w:rsidP="00F4219D">
      <w:pPr>
        <w:pStyle w:val="Textonotapie"/>
      </w:pPr>
      <w:r>
        <w:tab/>
      </w:r>
      <w:r w:rsidRPr="00214959">
        <w:rPr>
          <w:rStyle w:val="Refdenotaalpie"/>
          <w:szCs w:val="16"/>
        </w:rPr>
        <w:footnoteRef/>
      </w:r>
      <w:r>
        <w:tab/>
      </w:r>
      <w:r w:rsidRPr="00055918">
        <w:t>Instituto Nacional Penitenciario</w:t>
      </w:r>
      <w:r w:rsidRPr="004B2D0B">
        <w:rPr>
          <w:lang w:val="es-PE"/>
        </w:rPr>
        <w:t>. Convenio Marco de Cooperación Interinstitucional entre el Instituto Nacional Penitenciario y el Seguro Integral de Salud. Fecha: 23</w:t>
      </w:r>
      <w:r>
        <w:rPr>
          <w:lang w:val="es-PE"/>
        </w:rPr>
        <w:t xml:space="preserve"> de septiembre de </w:t>
      </w:r>
      <w:r w:rsidRPr="004B2D0B">
        <w:rPr>
          <w:lang w:val="es-PE"/>
        </w:rPr>
        <w:t>2014. Cláusula Quinta. Consulta: 20</w:t>
      </w:r>
      <w:r>
        <w:rPr>
          <w:lang w:val="es-PE"/>
        </w:rPr>
        <w:t xml:space="preserve"> de marzo de </w:t>
      </w:r>
      <w:r w:rsidRPr="004B2D0B">
        <w:rPr>
          <w:lang w:val="es-PE"/>
        </w:rPr>
        <w:t xml:space="preserve">2016. Disponible en: </w:t>
      </w:r>
      <w:r w:rsidRPr="004B2D0B">
        <w:t>http:</w:t>
      </w:r>
      <w:r>
        <w:t>//www.inpe.gob.pe/pdf/65__a.pdf.</w:t>
      </w:r>
    </w:p>
  </w:footnote>
  <w:footnote w:id="47">
    <w:p w:rsidR="007E0CA6" w:rsidRPr="00C47121" w:rsidRDefault="007E0CA6" w:rsidP="00F4219D">
      <w:pPr>
        <w:pStyle w:val="Textonotapie"/>
      </w:pPr>
      <w:r>
        <w:tab/>
      </w:r>
      <w:r w:rsidRPr="00214959">
        <w:rPr>
          <w:rStyle w:val="Refdenotaalpie"/>
          <w:szCs w:val="16"/>
        </w:rPr>
        <w:footnoteRef/>
      </w:r>
      <w:r>
        <w:tab/>
      </w:r>
      <w:r w:rsidRPr="00055918">
        <w:rPr>
          <w:lang w:val="es-PE"/>
        </w:rPr>
        <w:t>Instituto Nacional Penitenciario</w:t>
      </w:r>
      <w:r w:rsidRPr="004B2D0B">
        <w:rPr>
          <w:lang w:val="es-PE"/>
        </w:rPr>
        <w:t xml:space="preserve">. Oficio </w:t>
      </w:r>
      <w:r>
        <w:rPr>
          <w:lang w:val="es-PE"/>
        </w:rPr>
        <w:t>núm.</w:t>
      </w:r>
      <w:r w:rsidRPr="004B2D0B">
        <w:rPr>
          <w:lang w:val="es-PE"/>
        </w:rPr>
        <w:t xml:space="preserve"> 377-2017-INPE/04. Fecha: 16</w:t>
      </w:r>
      <w:r>
        <w:rPr>
          <w:lang w:val="es-PE"/>
        </w:rPr>
        <w:t xml:space="preserve"> de junio de </w:t>
      </w:r>
      <w:r w:rsidRPr="004B2D0B">
        <w:rPr>
          <w:lang w:val="es-PE"/>
        </w:rPr>
        <w:t>2017. Fs. 6.</w:t>
      </w:r>
    </w:p>
  </w:footnote>
  <w:footnote w:id="48">
    <w:p w:rsidR="007E0CA6" w:rsidRPr="004B2D0B" w:rsidRDefault="007E0CA6" w:rsidP="00F4219D">
      <w:pPr>
        <w:pStyle w:val="Textonotapie"/>
        <w:rPr>
          <w:lang w:val="es-PE"/>
        </w:rPr>
      </w:pPr>
      <w:r>
        <w:tab/>
      </w:r>
      <w:r w:rsidRPr="00214959">
        <w:rPr>
          <w:rStyle w:val="Refdenotaalpie"/>
          <w:szCs w:val="16"/>
        </w:rPr>
        <w:footnoteRef/>
      </w:r>
      <w:r>
        <w:tab/>
        <w:t>Poder Ejecutivo</w:t>
      </w:r>
      <w:r w:rsidRPr="004B2D0B">
        <w:rPr>
          <w:lang w:val="es-PE"/>
        </w:rPr>
        <w:t xml:space="preserve">. Decreto Legislativo </w:t>
      </w:r>
      <w:r>
        <w:rPr>
          <w:lang w:val="es-PE"/>
        </w:rPr>
        <w:t>núm.</w:t>
      </w:r>
      <w:r w:rsidRPr="004B2D0B">
        <w:rPr>
          <w:lang w:val="es-PE"/>
        </w:rPr>
        <w:t xml:space="preserve"> 1164. Decreto Legislativo que establece disposiciones para la extensión de la cobertura poblacional del Seguro Integral de Salud en materia de afiliación al Régimen de Financiamiento Subsidiado. Publicado en el </w:t>
      </w:r>
      <w:r w:rsidRPr="00055918">
        <w:rPr>
          <w:i/>
          <w:lang w:val="es-PE"/>
        </w:rPr>
        <w:t>Diario Oficial</w:t>
      </w:r>
      <w:r>
        <w:rPr>
          <w:lang w:val="es-PE"/>
        </w:rPr>
        <w:t xml:space="preserve"> </w:t>
      </w:r>
      <w:r w:rsidRPr="00EC38A9">
        <w:rPr>
          <w:i/>
          <w:lang w:val="es-PE"/>
        </w:rPr>
        <w:t>“El Peruano”</w:t>
      </w:r>
      <w:r>
        <w:rPr>
          <w:lang w:val="es-PE"/>
        </w:rPr>
        <w:t>: 7 de septiembre de 2013.</w:t>
      </w:r>
    </w:p>
  </w:footnote>
  <w:footnote w:id="49">
    <w:p w:rsidR="007E0CA6" w:rsidRPr="004B2D0B" w:rsidRDefault="007E0CA6" w:rsidP="00F4219D">
      <w:pPr>
        <w:pStyle w:val="Textonotapie"/>
      </w:pPr>
      <w:r>
        <w:tab/>
      </w:r>
      <w:r w:rsidRPr="00214959">
        <w:rPr>
          <w:rStyle w:val="Refdenotaalpie"/>
          <w:rFonts w:eastAsiaTheme="majorEastAsia"/>
          <w:szCs w:val="16"/>
        </w:rPr>
        <w:footnoteRef/>
      </w:r>
      <w:r>
        <w:tab/>
      </w:r>
      <w:r w:rsidRPr="00EB0523">
        <w:t>Congreso de la República</w:t>
      </w:r>
      <w:r w:rsidRPr="004B2D0B">
        <w:t xml:space="preserve">. Ley </w:t>
      </w:r>
      <w:r>
        <w:t>núm.</w:t>
      </w:r>
      <w:r w:rsidRPr="004B2D0B">
        <w:t xml:space="preserve"> 30287. Publicado en el </w:t>
      </w:r>
      <w:r w:rsidRPr="00055918">
        <w:rPr>
          <w:i/>
        </w:rPr>
        <w:t>Diario Oficial</w:t>
      </w:r>
      <w:r w:rsidRPr="004B2D0B">
        <w:t xml:space="preserve"> </w:t>
      </w:r>
      <w:r w:rsidRPr="00EC38A9">
        <w:rPr>
          <w:i/>
        </w:rPr>
        <w:t>“El Peruano”</w:t>
      </w:r>
      <w:r>
        <w:t xml:space="preserve">: 14 de diciembre de 2014. Artículo 1°. </w:t>
      </w:r>
    </w:p>
  </w:footnote>
  <w:footnote w:id="50">
    <w:p w:rsidR="007E0CA6" w:rsidRPr="004B2D0B" w:rsidRDefault="007E0CA6" w:rsidP="00F4219D">
      <w:pPr>
        <w:pStyle w:val="Textonotapie"/>
      </w:pPr>
      <w:r>
        <w:tab/>
      </w:r>
      <w:r w:rsidRPr="00214959">
        <w:rPr>
          <w:rStyle w:val="Refdenotaalpie"/>
          <w:rFonts w:eastAsiaTheme="majorEastAsia"/>
          <w:szCs w:val="16"/>
        </w:rPr>
        <w:footnoteRef/>
      </w:r>
      <w:r>
        <w:tab/>
        <w:t>Ley núm. 30287. Art. 25°.</w:t>
      </w:r>
    </w:p>
  </w:footnote>
  <w:footnote w:id="51">
    <w:p w:rsidR="007E0CA6" w:rsidRPr="00C47121" w:rsidRDefault="007E0CA6" w:rsidP="00F4219D">
      <w:pPr>
        <w:pStyle w:val="Textonotapie"/>
      </w:pPr>
      <w:r>
        <w:tab/>
      </w:r>
      <w:r w:rsidRPr="00214959">
        <w:rPr>
          <w:rStyle w:val="Refdenotaalpie"/>
          <w:szCs w:val="16"/>
        </w:rPr>
        <w:footnoteRef/>
      </w:r>
      <w:r>
        <w:tab/>
      </w:r>
      <w:r w:rsidRPr="004B2D0B">
        <w:rPr>
          <w:lang w:val="es-PE"/>
        </w:rPr>
        <w:t xml:space="preserve">Ley </w:t>
      </w:r>
      <w:r>
        <w:rPr>
          <w:lang w:val="es-PE"/>
        </w:rPr>
        <w:t>núm.</w:t>
      </w:r>
      <w:r w:rsidRPr="004B2D0B">
        <w:rPr>
          <w:lang w:val="es-PE"/>
        </w:rPr>
        <w:t xml:space="preserve"> 30287. Art. 3°: “La atención integral de salud comprende la promoción, prevención, diagnóstico, tratamiento, rehabilitación y atención especializada, según requerimiento de la persona afectada y otros que se fueran incorporando en la norma técnica nacional”</w:t>
      </w:r>
      <w:r>
        <w:rPr>
          <w:lang w:val="es-PE"/>
        </w:rPr>
        <w:t>.</w:t>
      </w:r>
    </w:p>
  </w:footnote>
  <w:footnote w:id="52">
    <w:p w:rsidR="007E0CA6" w:rsidRPr="004B2D0B" w:rsidRDefault="007E0CA6" w:rsidP="00F4219D">
      <w:pPr>
        <w:pStyle w:val="Textonotapie"/>
      </w:pPr>
      <w:r>
        <w:tab/>
      </w:r>
      <w:r w:rsidRPr="00214959">
        <w:rPr>
          <w:rStyle w:val="Refdenotaalpie"/>
          <w:rFonts w:eastAsiaTheme="majorEastAsia"/>
          <w:szCs w:val="16"/>
        </w:rPr>
        <w:footnoteRef/>
      </w:r>
      <w:r>
        <w:tab/>
      </w:r>
      <w:proofErr w:type="spellStart"/>
      <w:r>
        <w:rPr>
          <w:i/>
        </w:rPr>
        <w:t>Idem</w:t>
      </w:r>
      <w:proofErr w:type="spellEnd"/>
      <w:r>
        <w:t>, art. 26°.</w:t>
      </w:r>
    </w:p>
  </w:footnote>
  <w:footnote w:id="53">
    <w:p w:rsidR="007E0CA6" w:rsidRPr="00C47121" w:rsidRDefault="007E0CA6" w:rsidP="00F4219D">
      <w:pPr>
        <w:pStyle w:val="Textonotapie"/>
      </w:pPr>
      <w:r>
        <w:tab/>
      </w:r>
      <w:r w:rsidRPr="00214959">
        <w:rPr>
          <w:rStyle w:val="Refdenotaalpie"/>
          <w:szCs w:val="16"/>
        </w:rPr>
        <w:footnoteRef/>
      </w:r>
      <w:r>
        <w:tab/>
      </w:r>
      <w:r w:rsidRPr="00055918">
        <w:rPr>
          <w:lang w:val="es-PE"/>
        </w:rPr>
        <w:t>Instituto Nacional Penitenciario</w:t>
      </w:r>
      <w:r w:rsidRPr="004B2D0B">
        <w:rPr>
          <w:lang w:val="es-PE"/>
        </w:rPr>
        <w:t xml:space="preserve">. Oficio </w:t>
      </w:r>
      <w:r>
        <w:rPr>
          <w:lang w:val="es-PE"/>
        </w:rPr>
        <w:t>núm.</w:t>
      </w:r>
      <w:r w:rsidRPr="004B2D0B">
        <w:rPr>
          <w:lang w:val="es-PE"/>
        </w:rPr>
        <w:t xml:space="preserve"> 377-2017-INPE/04. Fecha: 16</w:t>
      </w:r>
      <w:r>
        <w:rPr>
          <w:lang w:val="es-PE"/>
        </w:rPr>
        <w:t xml:space="preserve"> de junio de </w:t>
      </w:r>
      <w:r w:rsidRPr="004B2D0B">
        <w:rPr>
          <w:lang w:val="es-PE"/>
        </w:rPr>
        <w:t>2017. Fs.</w:t>
      </w:r>
      <w:r>
        <w:rPr>
          <w:lang w:val="es-PE"/>
        </w:rPr>
        <w:t> </w:t>
      </w:r>
      <w:r w:rsidRPr="004B2D0B">
        <w:rPr>
          <w:lang w:val="es-PE"/>
        </w:rPr>
        <w:t>059.</w:t>
      </w:r>
    </w:p>
  </w:footnote>
  <w:footnote w:id="54">
    <w:p w:rsidR="007E0CA6" w:rsidRPr="004B2D0B" w:rsidRDefault="007E0CA6" w:rsidP="00F4219D">
      <w:pPr>
        <w:pStyle w:val="Textonotapie"/>
      </w:pPr>
      <w:r>
        <w:tab/>
      </w:r>
      <w:r w:rsidRPr="00214959">
        <w:rPr>
          <w:rStyle w:val="Refdenotaalpie"/>
          <w:szCs w:val="16"/>
        </w:rPr>
        <w:footnoteRef/>
      </w:r>
      <w:r>
        <w:tab/>
        <w:t>Poder Ejecutivo</w:t>
      </w:r>
      <w:r w:rsidRPr="004B2D0B">
        <w:t>. Decreto Legisl</w:t>
      </w:r>
      <w:r>
        <w:t>ativo núm. 1325. Artículo 3° (3).</w:t>
      </w:r>
    </w:p>
  </w:footnote>
  <w:footnote w:id="55">
    <w:p w:rsidR="007E0CA6" w:rsidRPr="00C47121" w:rsidRDefault="007E0CA6" w:rsidP="00F4219D">
      <w:pPr>
        <w:pStyle w:val="Textonotapie"/>
      </w:pPr>
      <w:r>
        <w:tab/>
      </w:r>
      <w:r w:rsidRPr="00214959">
        <w:rPr>
          <w:rStyle w:val="Refdenotaalpie"/>
          <w:szCs w:val="16"/>
        </w:rPr>
        <w:footnoteRef/>
      </w:r>
      <w:r>
        <w:tab/>
      </w:r>
      <w:r w:rsidRPr="00EB0523">
        <w:rPr>
          <w:lang w:val="es-PE"/>
        </w:rPr>
        <w:t>Congreso de la República</w:t>
      </w:r>
      <w:r w:rsidRPr="004B2D0B">
        <w:rPr>
          <w:lang w:val="es-PE"/>
        </w:rPr>
        <w:t xml:space="preserve">. Ley </w:t>
      </w:r>
      <w:r>
        <w:rPr>
          <w:lang w:val="es-PE"/>
        </w:rPr>
        <w:t>núm.</w:t>
      </w:r>
      <w:r w:rsidRPr="004B2D0B">
        <w:rPr>
          <w:lang w:val="es-PE"/>
        </w:rPr>
        <w:t xml:space="preserve"> 26842. Ley General de Salud. Publicado en el </w:t>
      </w:r>
      <w:r w:rsidRPr="00055918">
        <w:rPr>
          <w:i/>
          <w:lang w:val="es-PE"/>
        </w:rPr>
        <w:t>Diario Oficial</w:t>
      </w:r>
      <w:r>
        <w:rPr>
          <w:lang w:val="es-PE"/>
        </w:rPr>
        <w:t xml:space="preserve"> </w:t>
      </w:r>
      <w:r w:rsidRPr="00EC38A9">
        <w:rPr>
          <w:i/>
          <w:lang w:val="es-PE"/>
        </w:rPr>
        <w:t>“El</w:t>
      </w:r>
      <w:r>
        <w:rPr>
          <w:i/>
          <w:lang w:val="es-PE"/>
        </w:rPr>
        <w:t> </w:t>
      </w:r>
      <w:r w:rsidRPr="00EC38A9">
        <w:rPr>
          <w:i/>
          <w:lang w:val="es-PE"/>
        </w:rPr>
        <w:t>Peruano”</w:t>
      </w:r>
      <w:r w:rsidRPr="004B2D0B">
        <w:rPr>
          <w:lang w:val="es-PE"/>
        </w:rPr>
        <w:t>: 20</w:t>
      </w:r>
      <w:r>
        <w:rPr>
          <w:lang w:val="es-PE"/>
        </w:rPr>
        <w:t xml:space="preserve"> de julio de </w:t>
      </w:r>
      <w:r w:rsidRPr="004B2D0B">
        <w:rPr>
          <w:lang w:val="es-PE"/>
        </w:rPr>
        <w:t>1997. Art. 25°.</w:t>
      </w:r>
    </w:p>
  </w:footnote>
  <w:footnote w:id="56">
    <w:p w:rsidR="007E0CA6" w:rsidRPr="00C47121" w:rsidRDefault="007E0CA6" w:rsidP="00F4219D">
      <w:pPr>
        <w:pStyle w:val="Textonotapie"/>
      </w:pPr>
      <w:r>
        <w:tab/>
      </w:r>
      <w:r w:rsidRPr="00214959">
        <w:rPr>
          <w:rStyle w:val="Refdenotaalpie"/>
          <w:szCs w:val="16"/>
        </w:rPr>
        <w:footnoteRef/>
      </w:r>
      <w:r>
        <w:tab/>
      </w:r>
      <w:r w:rsidRPr="00EB0523">
        <w:rPr>
          <w:lang w:val="es-PE"/>
        </w:rPr>
        <w:t>Congreso de la República</w:t>
      </w:r>
      <w:r w:rsidRPr="004B2D0B">
        <w:t xml:space="preserve">. </w:t>
      </w:r>
      <w:r w:rsidRPr="004B2D0B">
        <w:rPr>
          <w:lang w:val="es-PE"/>
        </w:rPr>
        <w:t xml:space="preserve">Ley </w:t>
      </w:r>
      <w:r>
        <w:rPr>
          <w:lang w:val="es-PE"/>
        </w:rPr>
        <w:t>núm.</w:t>
      </w:r>
      <w:r w:rsidRPr="004B2D0B">
        <w:rPr>
          <w:lang w:val="es-PE"/>
        </w:rPr>
        <w:t xml:space="preserve"> 26842. Ley General de Salud, </w:t>
      </w:r>
      <w:r w:rsidRPr="00055918">
        <w:rPr>
          <w:i/>
          <w:lang w:val="es-PE"/>
        </w:rPr>
        <w:t>Diario Oficial</w:t>
      </w:r>
      <w:r w:rsidRPr="004B2D0B">
        <w:rPr>
          <w:lang w:val="es-PE"/>
        </w:rPr>
        <w:t xml:space="preserve"> </w:t>
      </w:r>
      <w:r w:rsidRPr="00EC38A9">
        <w:rPr>
          <w:i/>
          <w:lang w:val="es-PE"/>
        </w:rPr>
        <w:t>“El Peruano”</w:t>
      </w:r>
      <w:r w:rsidRPr="004B2D0B">
        <w:rPr>
          <w:lang w:val="es-PE"/>
        </w:rPr>
        <w:t>: 20</w:t>
      </w:r>
      <w:r>
        <w:rPr>
          <w:lang w:val="es-PE"/>
        </w:rPr>
        <w:t xml:space="preserve"> de julio de </w:t>
      </w:r>
      <w:r w:rsidRPr="004B2D0B">
        <w:rPr>
          <w:lang w:val="es-PE"/>
        </w:rPr>
        <w:t>1977. Art. 25°</w:t>
      </w:r>
      <w:r>
        <w:rPr>
          <w:lang w:val="es-PE"/>
        </w:rPr>
        <w:t>.</w:t>
      </w:r>
    </w:p>
  </w:footnote>
  <w:footnote w:id="57">
    <w:p w:rsidR="007E0CA6" w:rsidRPr="004B2D0B" w:rsidRDefault="007E0CA6" w:rsidP="00F4219D">
      <w:pPr>
        <w:pStyle w:val="Textonotapie"/>
      </w:pPr>
      <w:r>
        <w:tab/>
      </w:r>
      <w:r w:rsidRPr="00214959">
        <w:rPr>
          <w:rStyle w:val="Refdenotaalpie"/>
          <w:szCs w:val="16"/>
        </w:rPr>
        <w:footnoteRef/>
      </w:r>
      <w:r>
        <w:tab/>
      </w:r>
      <w:r w:rsidRPr="00055918">
        <w:rPr>
          <w:lang w:val="es-PE"/>
        </w:rPr>
        <w:t>Instituto Nacional Penitenciario</w:t>
      </w:r>
      <w:r w:rsidRPr="004B2D0B">
        <w:rPr>
          <w:lang w:val="es-PE"/>
        </w:rPr>
        <w:t xml:space="preserve">. Oficio </w:t>
      </w:r>
      <w:r>
        <w:rPr>
          <w:lang w:val="es-PE"/>
        </w:rPr>
        <w:t>núm.</w:t>
      </w:r>
      <w:r w:rsidRPr="004B2D0B">
        <w:rPr>
          <w:lang w:val="es-PE"/>
        </w:rPr>
        <w:t xml:space="preserve"> 968-2017-INPE/13. Fecha: 15</w:t>
      </w:r>
      <w:r>
        <w:rPr>
          <w:lang w:val="es-PE"/>
        </w:rPr>
        <w:t xml:space="preserve"> de junio de </w:t>
      </w:r>
      <w:r w:rsidRPr="004B2D0B">
        <w:rPr>
          <w:lang w:val="es-PE"/>
        </w:rPr>
        <w:t>2017. Fs. 055.</w:t>
      </w:r>
    </w:p>
  </w:footnote>
  <w:footnote w:id="58">
    <w:p w:rsidR="007E0CA6" w:rsidRPr="004B2D0B" w:rsidRDefault="007E0CA6" w:rsidP="00F4219D">
      <w:pPr>
        <w:pStyle w:val="Textonotapie"/>
      </w:pPr>
      <w:r>
        <w:tab/>
      </w:r>
      <w:r w:rsidRPr="00214959">
        <w:rPr>
          <w:rStyle w:val="Refdenotaalpie"/>
          <w:szCs w:val="16"/>
        </w:rPr>
        <w:footnoteRef/>
      </w:r>
      <w:r>
        <w:tab/>
        <w:t>Poder Ejecutivo</w:t>
      </w:r>
      <w:r w:rsidRPr="004B2D0B">
        <w:t xml:space="preserve">. Decreto Legislativo </w:t>
      </w:r>
      <w:r>
        <w:t>núm.</w:t>
      </w:r>
      <w:r w:rsidRPr="004B2D0B">
        <w:t xml:space="preserve"> 1325. Cuarta Di</w:t>
      </w:r>
      <w:r>
        <w:t>sposición Complementaria Final.</w:t>
      </w:r>
    </w:p>
  </w:footnote>
  <w:footnote w:id="59">
    <w:p w:rsidR="007E0CA6" w:rsidRPr="004B2D0B" w:rsidRDefault="007E0CA6" w:rsidP="00F4219D">
      <w:pPr>
        <w:pStyle w:val="Textonotapie"/>
        <w:rPr>
          <w:lang w:val="es-PE"/>
        </w:rPr>
      </w:pPr>
      <w:r>
        <w:tab/>
      </w:r>
      <w:r w:rsidRPr="00214959">
        <w:rPr>
          <w:rStyle w:val="Refdenotaalpie"/>
          <w:szCs w:val="16"/>
        </w:rPr>
        <w:footnoteRef/>
      </w:r>
      <w:r>
        <w:tab/>
      </w:r>
      <w:r>
        <w:rPr>
          <w:lang w:val="es-PE"/>
        </w:rPr>
        <w:t>Poder Ejecutivo</w:t>
      </w:r>
      <w:r w:rsidRPr="004B2D0B">
        <w:rPr>
          <w:lang w:val="es-PE"/>
        </w:rPr>
        <w:t xml:space="preserve">. Decreto Legislativo </w:t>
      </w:r>
      <w:r>
        <w:rPr>
          <w:lang w:val="es-PE"/>
        </w:rPr>
        <w:t>núm.</w:t>
      </w:r>
      <w:r w:rsidRPr="004B2D0B">
        <w:rPr>
          <w:lang w:val="es-PE"/>
        </w:rPr>
        <w:t xml:space="preserve"> 1328. Publicado en el </w:t>
      </w:r>
      <w:r w:rsidRPr="00055918">
        <w:rPr>
          <w:i/>
          <w:lang w:val="es-PE"/>
        </w:rPr>
        <w:t>Diario Oficial</w:t>
      </w:r>
      <w:r>
        <w:rPr>
          <w:lang w:val="es-PE"/>
        </w:rPr>
        <w:t xml:space="preserve"> </w:t>
      </w:r>
      <w:r w:rsidRPr="00EC38A9">
        <w:rPr>
          <w:i/>
          <w:lang w:val="es-PE"/>
        </w:rPr>
        <w:t>“El Peruano”</w:t>
      </w:r>
      <w:r>
        <w:rPr>
          <w:lang w:val="es-PE"/>
        </w:rPr>
        <w:t xml:space="preserve">: 6 de enero de 2017. </w:t>
      </w:r>
    </w:p>
  </w:footnote>
  <w:footnote w:id="60">
    <w:p w:rsidR="007E0CA6" w:rsidRPr="004B2D0B" w:rsidRDefault="007E0CA6" w:rsidP="00F4219D">
      <w:pPr>
        <w:pStyle w:val="Textonotapie"/>
      </w:pPr>
      <w:r>
        <w:tab/>
      </w:r>
      <w:r w:rsidRPr="00214959">
        <w:rPr>
          <w:rStyle w:val="Refdenotaalpie"/>
          <w:szCs w:val="16"/>
        </w:rPr>
        <w:footnoteRef/>
      </w:r>
      <w:r>
        <w:tab/>
      </w:r>
      <w:r w:rsidRPr="00055918">
        <w:t>Instituto Nacional Penitenciario</w:t>
      </w:r>
      <w:r w:rsidRPr="004B2D0B">
        <w:t xml:space="preserve">. Resolución Presidencial </w:t>
      </w:r>
      <w:r>
        <w:t>núm. 296-2012-INPE/P. Artículo 2°.</w:t>
      </w:r>
    </w:p>
  </w:footnote>
  <w:footnote w:id="61">
    <w:p w:rsidR="007E0CA6" w:rsidRPr="004B2D0B" w:rsidRDefault="007E0CA6" w:rsidP="00F4219D">
      <w:pPr>
        <w:pStyle w:val="Textonotapie"/>
      </w:pPr>
      <w:r>
        <w:tab/>
      </w:r>
      <w:r w:rsidRPr="00214959">
        <w:rPr>
          <w:rStyle w:val="Refdenotaalpie"/>
          <w:szCs w:val="16"/>
        </w:rPr>
        <w:footnoteRef/>
      </w:r>
      <w:r>
        <w:tab/>
      </w:r>
      <w:r w:rsidRPr="00055918">
        <w:t>Ministerio de Justicia y Derechos Humanos</w:t>
      </w:r>
      <w:r w:rsidRPr="004B2D0B">
        <w:t xml:space="preserve">. Plan Nacional de educación en Derechos y Deberes </w:t>
      </w:r>
      <w:r w:rsidRPr="004B2D0B">
        <w:rPr>
          <w:lang w:val="es-PE"/>
        </w:rPr>
        <w:t>Fundamentales</w:t>
      </w:r>
      <w:r w:rsidRPr="004B2D0B">
        <w:t xml:space="preserve"> al 2021.</w:t>
      </w:r>
      <w:r>
        <w:t xml:space="preserve"> </w:t>
      </w:r>
      <w:r w:rsidRPr="004B2D0B">
        <w:t xml:space="preserve">Decreto Supremo </w:t>
      </w:r>
      <w:r>
        <w:t>núm.</w:t>
      </w:r>
      <w:r w:rsidRPr="004B2D0B">
        <w:t xml:space="preserve"> 010-2014.</w:t>
      </w:r>
      <w:r>
        <w:t xml:space="preserve"> </w:t>
      </w:r>
      <w:r w:rsidRPr="004B2D0B">
        <w:t xml:space="preserve">Publicado en el </w:t>
      </w:r>
      <w:r w:rsidRPr="00055918">
        <w:rPr>
          <w:i/>
        </w:rPr>
        <w:t>Diario Oficial</w:t>
      </w:r>
      <w:r w:rsidRPr="004B2D0B">
        <w:t xml:space="preserve"> </w:t>
      </w:r>
      <w:r w:rsidRPr="00EC38A9">
        <w:rPr>
          <w:i/>
        </w:rPr>
        <w:t>“El</w:t>
      </w:r>
      <w:r>
        <w:rPr>
          <w:i/>
        </w:rPr>
        <w:t> </w:t>
      </w:r>
      <w:r w:rsidRPr="00EC38A9">
        <w:rPr>
          <w:i/>
        </w:rPr>
        <w:t>Peruano”</w:t>
      </w:r>
      <w:r w:rsidRPr="004B2D0B">
        <w:t>: 12</w:t>
      </w:r>
      <w:r>
        <w:t xml:space="preserve"> de diciembre de </w:t>
      </w:r>
      <w:r w:rsidRPr="004B2D0B">
        <w:t>2014.</w:t>
      </w:r>
      <w:r>
        <w:t xml:space="preserve"> </w:t>
      </w:r>
      <w:r w:rsidRPr="004B2D0B">
        <w:t>Pág. 43. Consulta: 23</w:t>
      </w:r>
      <w:r>
        <w:t xml:space="preserve"> de junio de </w:t>
      </w:r>
      <w:r w:rsidRPr="004B2D0B">
        <w:t>2017. Disponible en: http://www.minjus.gob.pe/wp-content</w:t>
      </w:r>
      <w:r>
        <w:t>/uploads/2014/12/PNDDF-2014.pdf.</w:t>
      </w:r>
    </w:p>
  </w:footnote>
  <w:footnote w:id="62">
    <w:p w:rsidR="007E0CA6" w:rsidRPr="004B2D0B" w:rsidRDefault="007E0CA6" w:rsidP="00F4219D">
      <w:pPr>
        <w:pStyle w:val="Textonotapie"/>
      </w:pPr>
      <w:r>
        <w:tab/>
      </w:r>
      <w:r w:rsidRPr="00214959">
        <w:rPr>
          <w:rStyle w:val="Refdenotaalpie"/>
          <w:szCs w:val="16"/>
        </w:rPr>
        <w:footnoteRef/>
      </w:r>
      <w:r>
        <w:tab/>
      </w:r>
      <w:r w:rsidRPr="00055918">
        <w:t>Ministerio de Justicia y Derechos Humanos</w:t>
      </w:r>
      <w:r w:rsidRPr="004B2D0B">
        <w:t xml:space="preserve">. Decreto Supremo </w:t>
      </w:r>
      <w:r>
        <w:t>núm.</w:t>
      </w:r>
      <w:r w:rsidRPr="004B2D0B">
        <w:t xml:space="preserve"> 009-2007-JUS. Reglamento de Organización y Funciones del Instituto Nacional Penitenciario. Publicado en el </w:t>
      </w:r>
      <w:r w:rsidRPr="00055918">
        <w:rPr>
          <w:i/>
        </w:rPr>
        <w:t>Diario Oficial</w:t>
      </w:r>
      <w:r w:rsidRPr="004B2D0B">
        <w:t xml:space="preserve"> </w:t>
      </w:r>
      <w:r w:rsidRPr="00EC38A9">
        <w:rPr>
          <w:i/>
        </w:rPr>
        <w:t>“El</w:t>
      </w:r>
      <w:r>
        <w:rPr>
          <w:i/>
        </w:rPr>
        <w:t> </w:t>
      </w:r>
      <w:r w:rsidRPr="00EC38A9">
        <w:rPr>
          <w:i/>
        </w:rPr>
        <w:t>Peruano”</w:t>
      </w:r>
      <w:r w:rsidRPr="004B2D0B">
        <w:t xml:space="preserve">: </w:t>
      </w:r>
      <w:r>
        <w:t>10 de octubre de 1997). Artículos 68 a 72.</w:t>
      </w:r>
    </w:p>
  </w:footnote>
  <w:footnote w:id="63">
    <w:p w:rsidR="007E0CA6" w:rsidRPr="004B2D0B" w:rsidRDefault="007E0CA6" w:rsidP="00F4219D">
      <w:pPr>
        <w:pStyle w:val="Textonotapie"/>
      </w:pPr>
      <w:r>
        <w:tab/>
      </w:r>
      <w:r w:rsidRPr="00214959">
        <w:rPr>
          <w:rStyle w:val="Refdenotaalpie"/>
          <w:szCs w:val="16"/>
        </w:rPr>
        <w:footnoteRef/>
      </w:r>
      <w:r>
        <w:tab/>
      </w:r>
      <w:r w:rsidRPr="00EB0523">
        <w:t>Congreso de la República</w:t>
      </w:r>
      <w:r w:rsidRPr="004B2D0B">
        <w:t xml:space="preserve">. Ley </w:t>
      </w:r>
      <w:r>
        <w:t>núm.</w:t>
      </w:r>
      <w:r w:rsidRPr="004B2D0B">
        <w:t xml:space="preserve"> 29709. Publicada en el </w:t>
      </w:r>
      <w:r w:rsidRPr="00055918">
        <w:rPr>
          <w:i/>
        </w:rPr>
        <w:t>Diario Oficial</w:t>
      </w:r>
      <w:r>
        <w:t xml:space="preserve"> </w:t>
      </w:r>
      <w:r w:rsidRPr="00EC38A9">
        <w:rPr>
          <w:i/>
        </w:rPr>
        <w:t>“El Peruano”</w:t>
      </w:r>
      <w:r>
        <w:t xml:space="preserve">: 17 de junio de 2011. </w:t>
      </w:r>
    </w:p>
  </w:footnote>
  <w:footnote w:id="64">
    <w:p w:rsidR="007E0CA6" w:rsidRPr="004B2D0B" w:rsidRDefault="007E0CA6" w:rsidP="00F4219D">
      <w:pPr>
        <w:pStyle w:val="Textonotapie"/>
      </w:pPr>
      <w:r>
        <w:tab/>
      </w:r>
      <w:r w:rsidRPr="00214959">
        <w:rPr>
          <w:rStyle w:val="Refdenotaalpie"/>
          <w:szCs w:val="16"/>
        </w:rPr>
        <w:footnoteRef/>
      </w:r>
      <w:r>
        <w:tab/>
      </w:r>
      <w:r w:rsidRPr="00EB0523">
        <w:t>Ministerio de Justicia y Derechos Humanos</w:t>
      </w:r>
      <w:r w:rsidRPr="004B2D0B">
        <w:t xml:space="preserve">. D.S. </w:t>
      </w:r>
      <w:r>
        <w:t>núm.</w:t>
      </w:r>
      <w:r w:rsidRPr="004B2D0B">
        <w:t xml:space="preserve"> 013-2012-JUS. Publicada en el </w:t>
      </w:r>
      <w:r w:rsidRPr="00055918">
        <w:rPr>
          <w:i/>
        </w:rPr>
        <w:t>Diario Oficial</w:t>
      </w:r>
      <w:r>
        <w:t xml:space="preserve"> </w:t>
      </w:r>
      <w:r w:rsidRPr="00EC38A9">
        <w:rPr>
          <w:i/>
        </w:rPr>
        <w:t>“El Peruano”</w:t>
      </w:r>
      <w:r>
        <w:t>: 23 de julio de 2012.</w:t>
      </w:r>
    </w:p>
  </w:footnote>
  <w:footnote w:id="65">
    <w:p w:rsidR="007E0CA6" w:rsidRPr="004B2D0B" w:rsidRDefault="007E0CA6" w:rsidP="00F4219D">
      <w:pPr>
        <w:pStyle w:val="Textonotapie"/>
      </w:pPr>
      <w:r>
        <w:tab/>
      </w:r>
      <w:r w:rsidRPr="00214959">
        <w:rPr>
          <w:rStyle w:val="Refdenotaalpie"/>
          <w:szCs w:val="16"/>
        </w:rPr>
        <w:footnoteRef/>
      </w:r>
      <w:r>
        <w:tab/>
        <w:t>Poder Ejecutivo</w:t>
      </w:r>
      <w:r w:rsidRPr="004B2D0B">
        <w:t xml:space="preserve">. Decreto Legislativo </w:t>
      </w:r>
      <w:r>
        <w:t>núm.</w:t>
      </w:r>
      <w:r w:rsidRPr="004B2D0B">
        <w:t xml:space="preserve"> 1325. Artículo </w:t>
      </w:r>
      <w:r>
        <w:t>9° (1) (a).</w:t>
      </w:r>
    </w:p>
  </w:footnote>
  <w:footnote w:id="66">
    <w:p w:rsidR="007E0CA6" w:rsidRPr="004B2D0B" w:rsidRDefault="007E0CA6" w:rsidP="00F4219D">
      <w:pPr>
        <w:pStyle w:val="Textonotapie"/>
      </w:pPr>
      <w:r>
        <w:tab/>
      </w:r>
      <w:r w:rsidRPr="00214959">
        <w:rPr>
          <w:rStyle w:val="Refdenotaalpie"/>
          <w:szCs w:val="16"/>
        </w:rPr>
        <w:footnoteRef/>
      </w:r>
      <w:r>
        <w:tab/>
      </w:r>
      <w:r w:rsidRPr="004B2D0B">
        <w:t>J</w:t>
      </w:r>
      <w:r>
        <w:t>usticia</w:t>
      </w:r>
      <w:r w:rsidRPr="004B2D0B">
        <w:t xml:space="preserve">. Reglamento del Código de Ejecución Penal. Decreto Supremo </w:t>
      </w:r>
      <w:r>
        <w:t>núm.</w:t>
      </w:r>
      <w:r w:rsidRPr="004B2D0B">
        <w:t xml:space="preserve"> 15-2003-JUS. Publicado en el </w:t>
      </w:r>
      <w:r w:rsidRPr="00055918">
        <w:rPr>
          <w:i/>
        </w:rPr>
        <w:t>Diario Oficial</w:t>
      </w:r>
      <w:r>
        <w:t xml:space="preserve"> </w:t>
      </w:r>
      <w:r w:rsidRPr="00EC38A9">
        <w:rPr>
          <w:i/>
        </w:rPr>
        <w:t>“El Peruano”</w:t>
      </w:r>
      <w:r>
        <w:t>: 11 de noviembre de 2003.</w:t>
      </w:r>
    </w:p>
  </w:footnote>
  <w:footnote w:id="67">
    <w:p w:rsidR="007E0CA6" w:rsidRPr="004B2D0B" w:rsidRDefault="007E0CA6" w:rsidP="00F4219D">
      <w:pPr>
        <w:pStyle w:val="Textonotapie"/>
      </w:pPr>
      <w:r>
        <w:tab/>
      </w:r>
      <w:r w:rsidRPr="00214959">
        <w:rPr>
          <w:rStyle w:val="Refdenotaalpie"/>
          <w:rFonts w:eastAsiaTheme="majorEastAsia"/>
          <w:szCs w:val="16"/>
        </w:rPr>
        <w:footnoteRef/>
      </w:r>
      <w:r>
        <w:tab/>
      </w:r>
      <w:r w:rsidRPr="00EB0523">
        <w:t>Ministerio de la Mujer y Poblaciones Vulnerables</w:t>
      </w:r>
      <w:r w:rsidRPr="004B2D0B">
        <w:t xml:space="preserve">. Dirección General de Niñas, Niños y Adolescentes (DGNNA). </w:t>
      </w:r>
      <w:r w:rsidRPr="00AB27CA">
        <w:rPr>
          <w:lang w:val="pt-PT"/>
        </w:rPr>
        <w:t xml:space="preserve">Oficio </w:t>
      </w:r>
      <w:r>
        <w:rPr>
          <w:lang w:val="pt-PT"/>
        </w:rPr>
        <w:t>núm.</w:t>
      </w:r>
      <w:r w:rsidRPr="00AB27CA">
        <w:rPr>
          <w:lang w:val="pt-PT"/>
        </w:rPr>
        <w:t xml:space="preserve"> 542-2015-MIMP/DGNNA. Fecha: 11</w:t>
      </w:r>
      <w:r>
        <w:rPr>
          <w:lang w:val="pt-PT"/>
        </w:rPr>
        <w:t xml:space="preserve"> de noviembre de 2015</w:t>
      </w:r>
      <w:r w:rsidRPr="00AB27CA">
        <w:rPr>
          <w:lang w:val="pt-PT"/>
        </w:rPr>
        <w:t xml:space="preserve">. Informe </w:t>
      </w:r>
      <w:r>
        <w:rPr>
          <w:lang w:val="pt-PT"/>
        </w:rPr>
        <w:t>núm.</w:t>
      </w:r>
      <w:r w:rsidRPr="00AB27CA">
        <w:rPr>
          <w:lang w:val="pt-PT"/>
        </w:rPr>
        <w:t xml:space="preserve"> 047-2015-MIMP-DGNNA-OAAA. </w:t>
      </w:r>
      <w:r>
        <w:t>Pág. 2.</w:t>
      </w:r>
    </w:p>
  </w:footnote>
  <w:footnote w:id="68">
    <w:p w:rsidR="007E0CA6" w:rsidRPr="00C47121" w:rsidRDefault="007E0CA6" w:rsidP="00F4219D">
      <w:pPr>
        <w:pStyle w:val="Textonotapie"/>
      </w:pPr>
      <w:r>
        <w:tab/>
      </w:r>
      <w:r w:rsidRPr="00214959">
        <w:rPr>
          <w:rStyle w:val="Refdenotaalpie"/>
          <w:szCs w:val="16"/>
        </w:rPr>
        <w:footnoteRef/>
      </w:r>
      <w:r>
        <w:tab/>
      </w:r>
      <w:r w:rsidRPr="00EB0523">
        <w:rPr>
          <w:lang w:val="es-PE"/>
        </w:rPr>
        <w:t>Ministerio de la Mujer y Poblaciones Vulnerables</w:t>
      </w:r>
      <w:r w:rsidRPr="004B2D0B">
        <w:rPr>
          <w:lang w:val="es-PE"/>
        </w:rPr>
        <w:t xml:space="preserve">. Dirección General de Niñas, Niños y Adolescentes. </w:t>
      </w:r>
      <w:r w:rsidRPr="00AB27CA">
        <w:rPr>
          <w:lang w:val="pt-PT"/>
        </w:rPr>
        <w:t xml:space="preserve">Oficio </w:t>
      </w:r>
      <w:r>
        <w:rPr>
          <w:lang w:val="pt-PT"/>
        </w:rPr>
        <w:t>núm.</w:t>
      </w:r>
      <w:r w:rsidRPr="00AB27CA">
        <w:rPr>
          <w:lang w:val="pt-PT"/>
        </w:rPr>
        <w:t xml:space="preserve"> 542-2015-MIMP/DGNNA. DE Fecha: 11</w:t>
      </w:r>
      <w:r>
        <w:rPr>
          <w:lang w:val="pt-PT"/>
        </w:rPr>
        <w:t xml:space="preserve"> de noviembre de</w:t>
      </w:r>
      <w:r w:rsidRPr="00AB27CA">
        <w:rPr>
          <w:lang w:val="pt-PT"/>
        </w:rPr>
        <w:t xml:space="preserve">2015. Informe </w:t>
      </w:r>
      <w:r>
        <w:rPr>
          <w:lang w:val="pt-PT"/>
        </w:rPr>
        <w:t>núm.</w:t>
      </w:r>
      <w:r w:rsidRPr="00AB27CA">
        <w:rPr>
          <w:lang w:val="pt-PT"/>
        </w:rPr>
        <w:t xml:space="preserve"> 047-2015-MIMP-DGNNA-OAAA. </w:t>
      </w:r>
      <w:r w:rsidRPr="004B2D0B">
        <w:rPr>
          <w:lang w:val="es-PE"/>
        </w:rPr>
        <w:t>Pág. 1</w:t>
      </w:r>
      <w:r w:rsidR="00A957D1">
        <w:rPr>
          <w:lang w:val="es-PE"/>
        </w:rPr>
        <w:t>.</w:t>
      </w:r>
    </w:p>
  </w:footnote>
  <w:footnote w:id="69">
    <w:p w:rsidR="007E0CA6" w:rsidRPr="004B2D0B" w:rsidRDefault="007E0CA6" w:rsidP="00F4219D">
      <w:pPr>
        <w:pStyle w:val="Textonotapie"/>
      </w:pPr>
      <w:r>
        <w:tab/>
      </w:r>
      <w:r w:rsidRPr="00214959">
        <w:rPr>
          <w:rStyle w:val="Refdenotaalpie"/>
          <w:rFonts w:eastAsiaTheme="majorEastAsia"/>
          <w:szCs w:val="16"/>
        </w:rPr>
        <w:footnoteRef/>
      </w:r>
      <w:r>
        <w:tab/>
      </w:r>
      <w:r w:rsidRPr="00EB0523">
        <w:rPr>
          <w:lang w:val="es-PE"/>
        </w:rPr>
        <w:t>Ministerio de la Mujer y Poblaciones Vulnerables</w:t>
      </w:r>
      <w:r w:rsidRPr="004B2D0B">
        <w:t xml:space="preserve">. D.S. </w:t>
      </w:r>
      <w:r>
        <w:t>núm.</w:t>
      </w:r>
      <w:r w:rsidRPr="004B2D0B">
        <w:t xml:space="preserve"> 006-2016-MIMP. Publicado en el </w:t>
      </w:r>
      <w:r w:rsidRPr="00055918">
        <w:rPr>
          <w:i/>
        </w:rPr>
        <w:t>Diario Oficial</w:t>
      </w:r>
      <w:r>
        <w:t xml:space="preserve"> </w:t>
      </w:r>
      <w:r w:rsidRPr="00EC38A9">
        <w:rPr>
          <w:i/>
        </w:rPr>
        <w:t>“El Peruano”</w:t>
      </w:r>
      <w:r>
        <w:t>: 22 de julio de 2016.</w:t>
      </w:r>
    </w:p>
  </w:footnote>
  <w:footnote w:id="70">
    <w:p w:rsidR="007E0CA6" w:rsidRPr="00C47121" w:rsidRDefault="007E0CA6" w:rsidP="00F4219D">
      <w:pPr>
        <w:pStyle w:val="Textonotapie"/>
      </w:pPr>
      <w:r>
        <w:tab/>
      </w:r>
      <w:r w:rsidRPr="00214959">
        <w:rPr>
          <w:rStyle w:val="Refdenotaalpie"/>
          <w:szCs w:val="16"/>
        </w:rPr>
        <w:footnoteRef/>
      </w:r>
      <w:r>
        <w:tab/>
      </w:r>
      <w:r w:rsidRPr="00EB0523">
        <w:t>Instituto Nacional Penitenciario</w:t>
      </w:r>
      <w:r w:rsidRPr="004B2D0B">
        <w:t xml:space="preserve">. Oficio </w:t>
      </w:r>
      <w:r>
        <w:t>núm.</w:t>
      </w:r>
      <w:r w:rsidRPr="004B2D0B">
        <w:t xml:space="preserve"> 377-2017-INPE</w:t>
      </w:r>
      <w:r>
        <w:t xml:space="preserve">/04. Fecha: 16 de junio de 2017. Fs. 4. </w:t>
      </w:r>
    </w:p>
  </w:footnote>
  <w:footnote w:id="71">
    <w:p w:rsidR="007E0CA6" w:rsidRPr="004B2D0B" w:rsidRDefault="007E0CA6" w:rsidP="00F4219D">
      <w:pPr>
        <w:pStyle w:val="Textonotapie"/>
      </w:pPr>
      <w:r>
        <w:rPr>
          <w:lang w:val="es-PE"/>
        </w:rPr>
        <w:tab/>
      </w:r>
      <w:r w:rsidRPr="00214959">
        <w:rPr>
          <w:rStyle w:val="Refdenotaalpie"/>
          <w:rFonts w:eastAsiaTheme="majorEastAsia"/>
          <w:szCs w:val="16"/>
        </w:rPr>
        <w:footnoteRef/>
      </w:r>
      <w:r>
        <w:rPr>
          <w:lang w:val="es-PE"/>
        </w:rPr>
        <w:tab/>
      </w:r>
      <w:r w:rsidRPr="00055918">
        <w:rPr>
          <w:lang w:val="es-PE"/>
        </w:rPr>
        <w:t>Instituto Nacional Penitenciario</w:t>
      </w:r>
      <w:r w:rsidRPr="004B2D0B">
        <w:t xml:space="preserve">. Resolución Presidencial </w:t>
      </w:r>
      <w:r>
        <w:t>núm.</w:t>
      </w:r>
      <w:r w:rsidRPr="004B2D0B">
        <w:t xml:space="preserve"> 119-2016-INPE/P. Fecha: 22</w:t>
      </w:r>
      <w:r>
        <w:t xml:space="preserve"> de abril de </w:t>
      </w:r>
      <w:r w:rsidRPr="004B2D0B">
        <w:t>2016. Disponible: http://app2.inpe.gob.pe/resolucion/cache/Gestion/2016/Directiva/DI012-INPE-2016-DTP.pdf. Consulta: 19</w:t>
      </w:r>
      <w:r>
        <w:t xml:space="preserve"> de octubre de 2016.</w:t>
      </w:r>
    </w:p>
  </w:footnote>
  <w:footnote w:id="72">
    <w:p w:rsidR="007E0CA6" w:rsidRPr="00C47121" w:rsidRDefault="007E0CA6" w:rsidP="00F4219D">
      <w:pPr>
        <w:pStyle w:val="Textonotapie"/>
      </w:pPr>
      <w:r>
        <w:tab/>
      </w:r>
      <w:r w:rsidRPr="00214959">
        <w:rPr>
          <w:rStyle w:val="Refdenotaalpie"/>
          <w:szCs w:val="16"/>
        </w:rPr>
        <w:footnoteRef/>
      </w:r>
      <w:r>
        <w:tab/>
      </w:r>
      <w:r w:rsidRPr="004B2D0B">
        <w:rPr>
          <w:lang w:val="es-PE"/>
        </w:rPr>
        <w:t xml:space="preserve">Código de Ejecución Penal. Decreto Legislativo </w:t>
      </w:r>
      <w:r>
        <w:rPr>
          <w:lang w:val="es-PE"/>
        </w:rPr>
        <w:t>núm.</w:t>
      </w:r>
      <w:r w:rsidRPr="004B2D0B">
        <w:rPr>
          <w:lang w:val="es-PE"/>
        </w:rPr>
        <w:t xml:space="preserve"> 654. Publicado en el </w:t>
      </w:r>
      <w:r w:rsidRPr="00055918">
        <w:rPr>
          <w:i/>
          <w:lang w:val="es-PE"/>
        </w:rPr>
        <w:t>Diario Oficial</w:t>
      </w:r>
      <w:r w:rsidRPr="004B2D0B">
        <w:rPr>
          <w:lang w:val="es-PE"/>
        </w:rPr>
        <w:t xml:space="preserve"> </w:t>
      </w:r>
      <w:r w:rsidRPr="00EC38A9">
        <w:rPr>
          <w:i/>
          <w:lang w:val="es-PE"/>
        </w:rPr>
        <w:t>“El</w:t>
      </w:r>
      <w:r>
        <w:rPr>
          <w:i/>
          <w:lang w:val="es-PE"/>
        </w:rPr>
        <w:t> </w:t>
      </w:r>
      <w:r w:rsidRPr="00EC38A9">
        <w:rPr>
          <w:i/>
          <w:lang w:val="es-PE"/>
        </w:rPr>
        <w:t>Peruano”</w:t>
      </w:r>
      <w:r w:rsidRPr="004B2D0B">
        <w:rPr>
          <w:lang w:val="es-PE"/>
        </w:rPr>
        <w:t>: 2</w:t>
      </w:r>
      <w:r>
        <w:rPr>
          <w:lang w:val="es-PE"/>
        </w:rPr>
        <w:t xml:space="preserve"> de agosto de </w:t>
      </w:r>
      <w:r w:rsidRPr="004B2D0B">
        <w:rPr>
          <w:lang w:val="es-PE"/>
        </w:rPr>
        <w:t>1991.</w:t>
      </w:r>
    </w:p>
  </w:footnote>
  <w:footnote w:id="73">
    <w:p w:rsidR="007E0CA6" w:rsidRPr="004B2D0B" w:rsidRDefault="007E0CA6" w:rsidP="00F4219D">
      <w:pPr>
        <w:pStyle w:val="Textonotapie"/>
      </w:pPr>
      <w:r>
        <w:tab/>
      </w:r>
      <w:r w:rsidRPr="00214959">
        <w:rPr>
          <w:rStyle w:val="Refdenotaalpie"/>
          <w:szCs w:val="16"/>
        </w:rPr>
        <w:footnoteRef/>
      </w:r>
      <w:r>
        <w:tab/>
        <w:t>Poder Judicial</w:t>
      </w:r>
      <w:r w:rsidRPr="004B2D0B">
        <w:t xml:space="preserve">. IX Pleno Jurisdiccional de las Salas Penales Permanente y Transitoria. Acuerdo Plenario </w:t>
      </w:r>
      <w:r>
        <w:t>núm.</w:t>
      </w:r>
      <w:r w:rsidRPr="004B2D0B">
        <w:t xml:space="preserve"> 2-2015/CIJ-116. Publicado en el </w:t>
      </w:r>
      <w:r w:rsidRPr="00055918">
        <w:rPr>
          <w:i/>
        </w:rPr>
        <w:t>Diario Oficial</w:t>
      </w:r>
      <w:r w:rsidRPr="004B2D0B">
        <w:t xml:space="preserve"> </w:t>
      </w:r>
      <w:r w:rsidRPr="00EC38A9">
        <w:rPr>
          <w:i/>
        </w:rPr>
        <w:t>“El Peruano”</w:t>
      </w:r>
      <w:r w:rsidRPr="004B2D0B">
        <w:t>: 21</w:t>
      </w:r>
      <w:r>
        <w:t xml:space="preserve"> de junio de </w:t>
      </w:r>
      <w:r w:rsidRPr="004B2D0B">
        <w:t>2016. Consulta: 26</w:t>
      </w:r>
      <w:r>
        <w:t xml:space="preserve"> de junio de </w:t>
      </w:r>
      <w:r w:rsidRPr="004B2D0B">
        <w:t>2017. Disponible en: http://busquedas.elperuano.com.pe/normaslegales/ix-pleno-jurisdiccional-de-las-salas-penales-permanente-y-tr-acuerdo-pleno-jurisdiccional-de-las-penalas-permanente-1</w:t>
      </w:r>
      <w:r>
        <w:t>395131-1/.</w:t>
      </w:r>
    </w:p>
  </w:footnote>
  <w:footnote w:id="74">
    <w:p w:rsidR="007E0CA6" w:rsidRPr="004B2D0B" w:rsidRDefault="007E0CA6" w:rsidP="00F4219D">
      <w:pPr>
        <w:pStyle w:val="Textonotapie"/>
        <w:rPr>
          <w:lang w:val="es-PE"/>
        </w:rPr>
      </w:pPr>
      <w:r>
        <w:tab/>
      </w:r>
      <w:r w:rsidRPr="00214959">
        <w:rPr>
          <w:rStyle w:val="Refdenotaalpie"/>
          <w:szCs w:val="16"/>
        </w:rPr>
        <w:footnoteRef/>
      </w:r>
      <w:r>
        <w:tab/>
      </w:r>
      <w:r w:rsidRPr="00EB0523">
        <w:t>Congreso de la República</w:t>
      </w:r>
      <w:r w:rsidRPr="004B2D0B">
        <w:t xml:space="preserve">. </w:t>
      </w:r>
      <w:r w:rsidRPr="004B2D0B">
        <w:rPr>
          <w:lang w:val="es-PE"/>
        </w:rPr>
        <w:t xml:space="preserve">Ley </w:t>
      </w:r>
      <w:r>
        <w:rPr>
          <w:lang w:val="es-PE"/>
        </w:rPr>
        <w:t>núm.</w:t>
      </w:r>
      <w:r w:rsidRPr="004B2D0B">
        <w:rPr>
          <w:lang w:val="es-PE"/>
        </w:rPr>
        <w:t xml:space="preserve"> 27337. Ley que aprueba el Nuevo Código de los Adolescentes. </w:t>
      </w:r>
      <w:r w:rsidRPr="00055918">
        <w:rPr>
          <w:i/>
          <w:lang w:val="es-PE"/>
        </w:rPr>
        <w:t>Diario Oficial</w:t>
      </w:r>
      <w:r>
        <w:rPr>
          <w:lang w:val="es-PE"/>
        </w:rPr>
        <w:t xml:space="preserve"> </w:t>
      </w:r>
      <w:r w:rsidRPr="00EC38A9">
        <w:rPr>
          <w:i/>
          <w:lang w:val="es-PE"/>
        </w:rPr>
        <w:t>“El Peruano”</w:t>
      </w:r>
      <w:r>
        <w:rPr>
          <w:lang w:val="es-PE"/>
        </w:rPr>
        <w:t>: 7 de agosto de 2000.</w:t>
      </w:r>
    </w:p>
  </w:footnote>
  <w:footnote w:id="75">
    <w:p w:rsidR="007E0CA6" w:rsidRPr="00C47121" w:rsidRDefault="007E0CA6" w:rsidP="00F4219D">
      <w:pPr>
        <w:pStyle w:val="Textonotapie"/>
      </w:pPr>
      <w:r>
        <w:tab/>
      </w:r>
      <w:r w:rsidRPr="00214959">
        <w:rPr>
          <w:rStyle w:val="Refdenotaalpie"/>
          <w:szCs w:val="16"/>
        </w:rPr>
        <w:footnoteRef/>
      </w:r>
      <w:r>
        <w:tab/>
        <w:t>Poder Ejecutivo</w:t>
      </w:r>
      <w:r w:rsidRPr="004B2D0B">
        <w:t xml:space="preserve">. Decreto Legislativo </w:t>
      </w:r>
      <w:r>
        <w:t>núm.</w:t>
      </w:r>
      <w:r w:rsidRPr="004B2D0B">
        <w:t xml:space="preserve"> 1204. Decreto Legislativo que modifica el Código de los Niños y Adolescentes para regular las sanciones a adolescentes infractores de la ley penal y su ejecución. Publicado en el </w:t>
      </w:r>
      <w:r w:rsidRPr="00055918">
        <w:rPr>
          <w:i/>
        </w:rPr>
        <w:t>Diario Oficial</w:t>
      </w:r>
      <w:r>
        <w:t xml:space="preserve"> </w:t>
      </w:r>
      <w:r w:rsidRPr="00EC38A9">
        <w:rPr>
          <w:i/>
        </w:rPr>
        <w:t>“El Peruano”</w:t>
      </w:r>
      <w:r>
        <w:t>: 23 de septiembre de2015.</w:t>
      </w:r>
    </w:p>
  </w:footnote>
  <w:footnote w:id="76">
    <w:p w:rsidR="007E0CA6" w:rsidRPr="004B2D0B" w:rsidRDefault="007E0CA6" w:rsidP="00F4219D">
      <w:pPr>
        <w:pStyle w:val="Textonotapie"/>
        <w:rPr>
          <w:lang w:val="es-PE"/>
        </w:rPr>
      </w:pPr>
      <w:r>
        <w:tab/>
      </w:r>
      <w:r w:rsidRPr="00214959">
        <w:rPr>
          <w:rStyle w:val="Refdenotaalpie"/>
          <w:szCs w:val="16"/>
        </w:rPr>
        <w:footnoteRef/>
      </w:r>
      <w:r>
        <w:tab/>
      </w:r>
      <w:r>
        <w:rPr>
          <w:lang w:val="es-PE"/>
        </w:rPr>
        <w:t>Poder Judicial</w:t>
      </w:r>
      <w:r w:rsidRPr="004B2D0B">
        <w:rPr>
          <w:lang w:val="es-PE"/>
        </w:rPr>
        <w:t xml:space="preserve">. Oficio </w:t>
      </w:r>
      <w:r>
        <w:rPr>
          <w:lang w:val="es-PE"/>
        </w:rPr>
        <w:t>núm.</w:t>
      </w:r>
      <w:r w:rsidRPr="004B2D0B">
        <w:rPr>
          <w:lang w:val="es-PE"/>
        </w:rPr>
        <w:t xml:space="preserve"> 2215-2016-SG-CS-</w:t>
      </w:r>
      <w:r>
        <w:rPr>
          <w:lang w:val="es-PE"/>
        </w:rPr>
        <w:t>PJ (Fecha: 28 de marzo de 2016). Pág. 5.</w:t>
      </w:r>
    </w:p>
  </w:footnote>
  <w:footnote w:id="77">
    <w:p w:rsidR="007E0CA6" w:rsidRPr="00C47121" w:rsidRDefault="007E0CA6" w:rsidP="00F4219D">
      <w:pPr>
        <w:pStyle w:val="Textonotapie"/>
        <w:rPr>
          <w:lang w:val="es-ES_tradnl"/>
        </w:rPr>
      </w:pPr>
      <w:r>
        <w:tab/>
      </w:r>
      <w:r w:rsidRPr="00214959">
        <w:rPr>
          <w:rStyle w:val="Refdenotaalpie"/>
          <w:szCs w:val="16"/>
        </w:rPr>
        <w:footnoteRef/>
      </w:r>
      <w:r>
        <w:tab/>
      </w:r>
      <w:r>
        <w:rPr>
          <w:lang w:val="es-PE"/>
        </w:rPr>
        <w:t>Poder Ejecutivo</w:t>
      </w:r>
      <w:r w:rsidRPr="004B2D0B">
        <w:rPr>
          <w:lang w:val="es-PE"/>
        </w:rPr>
        <w:t xml:space="preserve">. Decreto Legislativo </w:t>
      </w:r>
      <w:r>
        <w:rPr>
          <w:lang w:val="es-PE"/>
        </w:rPr>
        <w:t>núm.</w:t>
      </w:r>
      <w:r w:rsidRPr="004B2D0B">
        <w:rPr>
          <w:lang w:val="es-PE"/>
        </w:rPr>
        <w:t xml:space="preserve"> 1348. Decreto Legislativo</w:t>
      </w:r>
      <w:r w:rsidRPr="004B2D0B">
        <w:rPr>
          <w:lang w:val="es-ES_tradnl"/>
        </w:rPr>
        <w:t xml:space="preserve"> que aprueba el Código de Responsabilidad Penal de Adolescentes. Publicado en el </w:t>
      </w:r>
      <w:r w:rsidRPr="00055918">
        <w:rPr>
          <w:i/>
          <w:lang w:val="es-ES_tradnl"/>
        </w:rPr>
        <w:t>Diario Oficial</w:t>
      </w:r>
      <w:r>
        <w:rPr>
          <w:lang w:val="es-ES_tradnl"/>
        </w:rPr>
        <w:t xml:space="preserve"> </w:t>
      </w:r>
      <w:r w:rsidRPr="00EC38A9">
        <w:rPr>
          <w:i/>
          <w:lang w:val="es-ES_tradnl"/>
        </w:rPr>
        <w:t>“El Peruano”</w:t>
      </w:r>
      <w:r>
        <w:rPr>
          <w:lang w:val="es-ES_tradnl"/>
        </w:rPr>
        <w:t>: 7 de enero de 2017.</w:t>
      </w:r>
    </w:p>
  </w:footnote>
  <w:footnote w:id="78">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r>
      <w:r w:rsidRPr="00AB27CA">
        <w:rPr>
          <w:lang w:val="pt-PT"/>
        </w:rPr>
        <w:t xml:space="preserve">Decreto Legislativo </w:t>
      </w:r>
      <w:r>
        <w:rPr>
          <w:lang w:val="pt-PT"/>
        </w:rPr>
        <w:t>núm.</w:t>
      </w:r>
      <w:r w:rsidRPr="00AB27CA">
        <w:rPr>
          <w:lang w:val="pt-PT"/>
        </w:rPr>
        <w:t xml:space="preserve"> 1348. Ar</w:t>
      </w:r>
      <w:r>
        <w:rPr>
          <w:lang w:val="pt-PT"/>
        </w:rPr>
        <w:t>tículo I del Título Preliminar.</w:t>
      </w:r>
    </w:p>
  </w:footnote>
  <w:footnote w:id="79">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r>
      <w:r w:rsidRPr="00AB27CA">
        <w:rPr>
          <w:lang w:val="pt-PT"/>
        </w:rPr>
        <w:t xml:space="preserve">Decreto Legislativo </w:t>
      </w:r>
      <w:r>
        <w:rPr>
          <w:lang w:val="pt-PT"/>
        </w:rPr>
        <w:t>núm.</w:t>
      </w:r>
      <w:r w:rsidRPr="00AB27CA">
        <w:rPr>
          <w:lang w:val="pt-PT"/>
        </w:rPr>
        <w:t xml:space="preserve"> 1348. Artí</w:t>
      </w:r>
      <w:r>
        <w:rPr>
          <w:lang w:val="pt-PT"/>
        </w:rPr>
        <w:t xml:space="preserve">culo II del Título Preliminar. </w:t>
      </w:r>
    </w:p>
  </w:footnote>
  <w:footnote w:id="80">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r>
      <w:r w:rsidRPr="00AB27CA">
        <w:rPr>
          <w:lang w:val="pt-PT"/>
        </w:rPr>
        <w:t xml:space="preserve">Decreto Legislativo </w:t>
      </w:r>
      <w:r>
        <w:rPr>
          <w:lang w:val="pt-PT"/>
        </w:rPr>
        <w:t>núm.</w:t>
      </w:r>
      <w:r w:rsidRPr="00AB27CA">
        <w:rPr>
          <w:lang w:val="pt-PT"/>
        </w:rPr>
        <w:t xml:space="preserve"> 1348. Artí</w:t>
      </w:r>
      <w:r>
        <w:rPr>
          <w:lang w:val="pt-PT"/>
        </w:rPr>
        <w:t>culo XIV del Título Preliminar.</w:t>
      </w:r>
    </w:p>
  </w:footnote>
  <w:footnote w:id="81">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r>
      <w:r w:rsidRPr="00AB27CA">
        <w:rPr>
          <w:lang w:val="pt-PT"/>
        </w:rPr>
        <w:t xml:space="preserve">Decreto Legislativo </w:t>
      </w:r>
      <w:r>
        <w:rPr>
          <w:lang w:val="pt-PT"/>
        </w:rPr>
        <w:t>núm.</w:t>
      </w:r>
      <w:r w:rsidRPr="00AB27CA">
        <w:rPr>
          <w:lang w:val="pt-PT"/>
        </w:rPr>
        <w:t xml:space="preserve"> 1348. Artículo 6.</w:t>
      </w:r>
    </w:p>
  </w:footnote>
  <w:footnote w:id="82">
    <w:p w:rsidR="007E0CA6" w:rsidRPr="004B2D0B" w:rsidRDefault="007E0CA6" w:rsidP="00742A2C">
      <w:pPr>
        <w:pStyle w:val="Textonotapie"/>
        <w:spacing w:after="60"/>
      </w:pPr>
      <w:r>
        <w:tab/>
      </w:r>
      <w:r w:rsidRPr="00214959">
        <w:rPr>
          <w:rStyle w:val="Refdenotaalpie"/>
          <w:szCs w:val="16"/>
        </w:rPr>
        <w:footnoteRef/>
      </w:r>
      <w:r>
        <w:tab/>
      </w:r>
      <w:proofErr w:type="spellStart"/>
      <w:r w:rsidRPr="00742A2C">
        <w:rPr>
          <w:i/>
        </w:rPr>
        <w:t>Idem</w:t>
      </w:r>
      <w:proofErr w:type="spellEnd"/>
      <w:r w:rsidRPr="004B2D0B">
        <w:t>, Art. 163.2</w:t>
      </w:r>
    </w:p>
    <w:p w:rsidR="007E0CA6" w:rsidRPr="004B2D0B" w:rsidRDefault="007E0CA6" w:rsidP="00742A2C">
      <w:pPr>
        <w:pStyle w:val="Textonotapie"/>
        <w:spacing w:after="60"/>
        <w:rPr>
          <w:lang w:val="es-PE"/>
        </w:rPr>
      </w:pPr>
      <w:r>
        <w:rPr>
          <w:lang w:val="es-PE"/>
        </w:rPr>
        <w:tab/>
      </w:r>
      <w:r>
        <w:rPr>
          <w:lang w:val="es-PE"/>
        </w:rPr>
        <w:tab/>
        <w:t>“[…] delitos</w:t>
      </w:r>
    </w:p>
    <w:p w:rsidR="007E0CA6" w:rsidRPr="004B2D0B" w:rsidRDefault="007E0CA6" w:rsidP="00742A2C">
      <w:pPr>
        <w:pStyle w:val="Textonotapie"/>
        <w:spacing w:after="60"/>
      </w:pPr>
      <w:r>
        <w:tab/>
      </w:r>
      <w:r>
        <w:tab/>
      </w:r>
      <w:r w:rsidRPr="004B2D0B">
        <w:t>1. Parricidio</w:t>
      </w:r>
    </w:p>
    <w:p w:rsidR="007E0CA6" w:rsidRPr="004B2D0B" w:rsidRDefault="007E0CA6" w:rsidP="00742A2C">
      <w:pPr>
        <w:pStyle w:val="Textonotapie"/>
        <w:spacing w:after="60"/>
      </w:pPr>
      <w:r>
        <w:tab/>
      </w:r>
      <w:r>
        <w:tab/>
      </w:r>
      <w:r w:rsidRPr="004B2D0B">
        <w:t>2. Homicidio calificado</w:t>
      </w:r>
    </w:p>
    <w:p w:rsidR="007E0CA6" w:rsidRPr="004B2D0B" w:rsidRDefault="007E0CA6" w:rsidP="00742A2C">
      <w:pPr>
        <w:pStyle w:val="Textonotapie"/>
        <w:spacing w:after="60"/>
      </w:pPr>
      <w:r>
        <w:tab/>
      </w:r>
      <w:r>
        <w:tab/>
      </w:r>
      <w:r w:rsidRPr="004B2D0B">
        <w:t>3. Homicidio calificado por la condición de la víctima</w:t>
      </w:r>
    </w:p>
    <w:p w:rsidR="007E0CA6" w:rsidRPr="004B2D0B" w:rsidRDefault="007E0CA6" w:rsidP="00742A2C">
      <w:pPr>
        <w:pStyle w:val="Textonotapie"/>
        <w:spacing w:after="60"/>
      </w:pPr>
      <w:r>
        <w:tab/>
      </w:r>
      <w:r>
        <w:tab/>
      </w:r>
      <w:r w:rsidRPr="004B2D0B">
        <w:t>4. Feminicidio</w:t>
      </w:r>
    </w:p>
    <w:p w:rsidR="007E0CA6" w:rsidRPr="004B2D0B" w:rsidRDefault="007E0CA6" w:rsidP="00742A2C">
      <w:pPr>
        <w:pStyle w:val="Textonotapie"/>
        <w:spacing w:after="60"/>
      </w:pPr>
      <w:r w:rsidRPr="004B2D0B">
        <w:t xml:space="preserve"> </w:t>
      </w:r>
      <w:r>
        <w:tab/>
      </w:r>
      <w:r>
        <w:tab/>
      </w:r>
      <w:r w:rsidRPr="004B2D0B">
        <w:t>5. Lesiones graves (segundo y tercer párrafo)</w:t>
      </w:r>
    </w:p>
    <w:p w:rsidR="007E0CA6" w:rsidRPr="004B2D0B" w:rsidRDefault="007E0CA6" w:rsidP="00742A2C">
      <w:pPr>
        <w:pStyle w:val="Textonotapie"/>
        <w:spacing w:after="60"/>
      </w:pPr>
      <w:r>
        <w:tab/>
      </w:r>
      <w:r>
        <w:tab/>
      </w:r>
      <w:r w:rsidRPr="004B2D0B">
        <w:t>6. Lesiones graves cuando la víctima es menor de edad, de la tercera edad o persona con discapacidad</w:t>
      </w:r>
    </w:p>
    <w:p w:rsidR="007E0CA6" w:rsidRPr="004B2D0B" w:rsidRDefault="007E0CA6" w:rsidP="00742A2C">
      <w:pPr>
        <w:pStyle w:val="Textonotapie"/>
        <w:spacing w:after="60"/>
      </w:pPr>
      <w:r w:rsidRPr="004B2D0B">
        <w:t xml:space="preserve"> </w:t>
      </w:r>
      <w:r>
        <w:tab/>
      </w:r>
      <w:r>
        <w:tab/>
      </w:r>
      <w:r w:rsidRPr="004B2D0B">
        <w:t>7. Lesiones graves por violencia contra la mujer y su entorno familiar</w:t>
      </w:r>
    </w:p>
    <w:p w:rsidR="007E0CA6" w:rsidRPr="004B2D0B" w:rsidRDefault="007E0CA6" w:rsidP="00742A2C">
      <w:pPr>
        <w:pStyle w:val="Textonotapie"/>
        <w:spacing w:after="60"/>
      </w:pPr>
      <w:r w:rsidRPr="004B2D0B">
        <w:t xml:space="preserve"> </w:t>
      </w:r>
      <w:r>
        <w:tab/>
      </w:r>
      <w:r>
        <w:tab/>
      </w:r>
      <w:r w:rsidRPr="004B2D0B">
        <w:t>8. Instigación o participación en pandillaje pernicioso</w:t>
      </w:r>
    </w:p>
    <w:p w:rsidR="007E0CA6" w:rsidRPr="004B2D0B" w:rsidRDefault="007E0CA6" w:rsidP="00742A2C">
      <w:pPr>
        <w:pStyle w:val="Textonotapie"/>
        <w:spacing w:after="60"/>
      </w:pPr>
      <w:r>
        <w:tab/>
      </w:r>
      <w:r>
        <w:tab/>
      </w:r>
      <w:r w:rsidRPr="004B2D0B">
        <w:t>9. Secuestro</w:t>
      </w:r>
    </w:p>
    <w:p w:rsidR="007E0CA6" w:rsidRPr="004B2D0B" w:rsidRDefault="007E0CA6" w:rsidP="00742A2C">
      <w:pPr>
        <w:pStyle w:val="Textonotapie"/>
        <w:spacing w:after="60"/>
      </w:pPr>
      <w:r>
        <w:tab/>
      </w:r>
      <w:r>
        <w:tab/>
      </w:r>
      <w:r w:rsidRPr="004B2D0B">
        <w:t>10. Trata de personas</w:t>
      </w:r>
    </w:p>
    <w:p w:rsidR="007E0CA6" w:rsidRPr="004B2D0B" w:rsidRDefault="007E0CA6" w:rsidP="00742A2C">
      <w:pPr>
        <w:pStyle w:val="Textonotapie"/>
        <w:spacing w:after="60"/>
      </w:pPr>
      <w:r>
        <w:tab/>
      </w:r>
      <w:r>
        <w:tab/>
      </w:r>
      <w:r w:rsidRPr="004B2D0B">
        <w:t>11. Formas agravadas de la trata de personas</w:t>
      </w:r>
    </w:p>
    <w:p w:rsidR="007E0CA6" w:rsidRPr="004B2D0B" w:rsidRDefault="007E0CA6" w:rsidP="00742A2C">
      <w:pPr>
        <w:pStyle w:val="Textonotapie"/>
        <w:spacing w:after="60"/>
      </w:pPr>
      <w:r>
        <w:tab/>
      </w:r>
      <w:r>
        <w:tab/>
      </w:r>
      <w:r w:rsidRPr="004B2D0B">
        <w:t>12. Violación sexual</w:t>
      </w:r>
    </w:p>
    <w:p w:rsidR="007E0CA6" w:rsidRPr="004B2D0B" w:rsidRDefault="007E0CA6" w:rsidP="00742A2C">
      <w:pPr>
        <w:pStyle w:val="Textonotapie"/>
        <w:spacing w:after="60"/>
      </w:pPr>
      <w:r>
        <w:tab/>
      </w:r>
      <w:r>
        <w:tab/>
      </w:r>
      <w:r w:rsidRPr="004B2D0B">
        <w:t>13. Violación de persona en estado de inconsciencia o en la imposibilidad de resistir</w:t>
      </w:r>
    </w:p>
    <w:p w:rsidR="007E0CA6" w:rsidRPr="004B2D0B" w:rsidRDefault="007E0CA6" w:rsidP="00742A2C">
      <w:pPr>
        <w:pStyle w:val="Textonotapie"/>
        <w:spacing w:after="60"/>
      </w:pPr>
      <w:r>
        <w:tab/>
      </w:r>
      <w:r>
        <w:tab/>
      </w:r>
      <w:r w:rsidRPr="004B2D0B">
        <w:t>14. Violación de persona en incapacidad de resistencia</w:t>
      </w:r>
    </w:p>
    <w:p w:rsidR="007E0CA6" w:rsidRPr="004B2D0B" w:rsidRDefault="007E0CA6" w:rsidP="00742A2C">
      <w:pPr>
        <w:pStyle w:val="Textonotapie"/>
        <w:spacing w:after="60"/>
      </w:pPr>
      <w:r>
        <w:tab/>
      </w:r>
      <w:r>
        <w:tab/>
      </w:r>
      <w:r w:rsidRPr="004B2D0B">
        <w:t>15. Violación sexual de menor de edad</w:t>
      </w:r>
    </w:p>
    <w:p w:rsidR="007E0CA6" w:rsidRPr="004B2D0B" w:rsidRDefault="007E0CA6" w:rsidP="00742A2C">
      <w:pPr>
        <w:pStyle w:val="Textonotapie"/>
        <w:spacing w:after="60"/>
      </w:pPr>
      <w:r>
        <w:tab/>
      </w:r>
      <w:r>
        <w:tab/>
      </w:r>
      <w:r w:rsidRPr="004B2D0B">
        <w:t>16. Robo agravado</w:t>
      </w:r>
    </w:p>
    <w:p w:rsidR="007E0CA6" w:rsidRPr="004B2D0B" w:rsidRDefault="007E0CA6" w:rsidP="00742A2C">
      <w:pPr>
        <w:pStyle w:val="Textonotapie"/>
        <w:spacing w:after="60"/>
      </w:pPr>
      <w:r>
        <w:tab/>
      </w:r>
      <w:r>
        <w:tab/>
      </w:r>
      <w:r w:rsidRPr="004B2D0B">
        <w:t>17. Extorsión</w:t>
      </w:r>
    </w:p>
    <w:p w:rsidR="007E0CA6" w:rsidRPr="004B2D0B" w:rsidRDefault="007E0CA6" w:rsidP="00742A2C">
      <w:pPr>
        <w:pStyle w:val="Textonotapie"/>
        <w:spacing w:after="60"/>
      </w:pPr>
      <w:r>
        <w:tab/>
      </w:r>
      <w:r>
        <w:tab/>
      </w:r>
      <w:r w:rsidRPr="004B2D0B">
        <w:t>18. Promoción o favorecimiento al Tráfico Ilícito de Drogas y otros</w:t>
      </w:r>
    </w:p>
    <w:p w:rsidR="007E0CA6" w:rsidRPr="004B2D0B" w:rsidRDefault="007E0CA6" w:rsidP="00742A2C">
      <w:pPr>
        <w:pStyle w:val="Textonotapie"/>
        <w:spacing w:after="60"/>
        <w:rPr>
          <w:lang w:val="es-PE"/>
        </w:rPr>
      </w:pPr>
      <w:r>
        <w:tab/>
      </w:r>
      <w:r>
        <w:tab/>
      </w:r>
      <w:r w:rsidRPr="004B2D0B">
        <w:rPr>
          <w:lang w:val="es-PE"/>
        </w:rPr>
        <w:t>19. Tráfico Ilícito de Insumos Químicos y Productos Fiscalizados</w:t>
      </w:r>
    </w:p>
    <w:p w:rsidR="007E0CA6" w:rsidRPr="004B2D0B" w:rsidRDefault="007E0CA6" w:rsidP="00742A2C">
      <w:pPr>
        <w:pStyle w:val="Textonotapie"/>
        <w:spacing w:after="60"/>
        <w:rPr>
          <w:lang w:val="es-PE"/>
        </w:rPr>
      </w:pPr>
      <w:r>
        <w:rPr>
          <w:lang w:val="es-PE"/>
        </w:rPr>
        <w:tab/>
      </w:r>
      <w:r>
        <w:rPr>
          <w:lang w:val="es-PE"/>
        </w:rPr>
        <w:tab/>
      </w:r>
      <w:r w:rsidRPr="004B2D0B">
        <w:rPr>
          <w:lang w:val="es-PE"/>
        </w:rPr>
        <w:t>20. Comercialización y cultivo de amapola y marihuana y su siembra compulsiva</w:t>
      </w:r>
    </w:p>
    <w:p w:rsidR="007E0CA6" w:rsidRPr="00AB27CA" w:rsidRDefault="007E0CA6" w:rsidP="00742A2C">
      <w:pPr>
        <w:pStyle w:val="Textonotapie"/>
        <w:spacing w:after="60"/>
        <w:rPr>
          <w:lang w:val="pt-PT"/>
        </w:rPr>
      </w:pPr>
      <w:r>
        <w:rPr>
          <w:lang w:val="es-PE"/>
        </w:rPr>
        <w:tab/>
      </w:r>
      <w:r>
        <w:rPr>
          <w:lang w:val="es-PE"/>
        </w:rPr>
        <w:tab/>
      </w:r>
      <w:r w:rsidRPr="00AB27CA">
        <w:rPr>
          <w:lang w:val="pt-PT"/>
        </w:rPr>
        <w:t>21. Formas agravadas de tráfico de droga</w:t>
      </w:r>
    </w:p>
    <w:p w:rsidR="007E0CA6" w:rsidRPr="004B2D0B" w:rsidRDefault="007E0CA6" w:rsidP="00F4219D">
      <w:pPr>
        <w:pStyle w:val="Textonotapie"/>
        <w:rPr>
          <w:lang w:val="es-PE"/>
        </w:rPr>
      </w:pPr>
      <w:r>
        <w:rPr>
          <w:lang w:val="pt-PT"/>
        </w:rPr>
        <w:tab/>
      </w:r>
      <w:r>
        <w:rPr>
          <w:lang w:val="pt-PT"/>
        </w:rPr>
        <w:tab/>
        <w:t xml:space="preserve"> </w:t>
      </w:r>
      <w:r>
        <w:rPr>
          <w:lang w:val="es-PE"/>
        </w:rPr>
        <w:t>[…].”</w:t>
      </w:r>
    </w:p>
  </w:footnote>
  <w:footnote w:id="83">
    <w:p w:rsidR="007E0CA6" w:rsidRPr="004B2D0B" w:rsidRDefault="007E0CA6" w:rsidP="00F4219D">
      <w:pPr>
        <w:pStyle w:val="Textonotapie"/>
        <w:rPr>
          <w:lang w:val="es-PE"/>
        </w:rPr>
      </w:pPr>
      <w:r>
        <w:tab/>
      </w:r>
      <w:r w:rsidRPr="00214959">
        <w:rPr>
          <w:rStyle w:val="Refdenotaalpie"/>
          <w:szCs w:val="16"/>
        </w:rPr>
        <w:footnoteRef/>
      </w:r>
      <w:r>
        <w:tab/>
      </w:r>
      <w:proofErr w:type="spellStart"/>
      <w:r>
        <w:rPr>
          <w:lang w:val="es-PE"/>
        </w:rPr>
        <w:t>Idem</w:t>
      </w:r>
      <w:proofErr w:type="spellEnd"/>
      <w:r>
        <w:rPr>
          <w:lang w:val="es-PE"/>
        </w:rPr>
        <w:t>, Art. 163.</w:t>
      </w:r>
    </w:p>
  </w:footnote>
  <w:footnote w:id="84">
    <w:p w:rsidR="007E0CA6" w:rsidRPr="004B2D0B" w:rsidRDefault="007E0CA6" w:rsidP="00F4219D">
      <w:pPr>
        <w:pStyle w:val="Textonotapie"/>
        <w:rPr>
          <w:lang w:val="es-PE"/>
        </w:rPr>
      </w:pPr>
      <w:r>
        <w:tab/>
      </w:r>
      <w:r w:rsidRPr="00214959">
        <w:rPr>
          <w:rStyle w:val="Refdenotaalpie"/>
          <w:szCs w:val="16"/>
        </w:rPr>
        <w:footnoteRef/>
      </w:r>
      <w:r>
        <w:tab/>
      </w:r>
      <w:proofErr w:type="spellStart"/>
      <w:r>
        <w:rPr>
          <w:lang w:val="es-PE"/>
        </w:rPr>
        <w:t>Idem</w:t>
      </w:r>
      <w:proofErr w:type="spellEnd"/>
      <w:r>
        <w:rPr>
          <w:lang w:val="es-PE"/>
        </w:rPr>
        <w:t>, Art. 164.</w:t>
      </w:r>
    </w:p>
  </w:footnote>
  <w:footnote w:id="85">
    <w:p w:rsidR="007E0CA6" w:rsidRPr="004B2D0B" w:rsidRDefault="007E0CA6" w:rsidP="00F4219D">
      <w:pPr>
        <w:pStyle w:val="Textonotapie"/>
        <w:rPr>
          <w:lang w:val="es-PE"/>
        </w:rPr>
      </w:pPr>
      <w:r>
        <w:tab/>
      </w:r>
      <w:r w:rsidRPr="00214959">
        <w:rPr>
          <w:rStyle w:val="Refdenotaalpie"/>
          <w:szCs w:val="16"/>
        </w:rPr>
        <w:footnoteRef/>
      </w:r>
      <w:r>
        <w:tab/>
      </w:r>
      <w:r w:rsidRPr="00EB0523">
        <w:rPr>
          <w:lang w:val="es-PE"/>
        </w:rPr>
        <w:t>Congreso de la República</w:t>
      </w:r>
      <w:r w:rsidRPr="004B2D0B">
        <w:rPr>
          <w:lang w:val="es-PE"/>
        </w:rPr>
        <w:t xml:space="preserve">. Ley </w:t>
      </w:r>
      <w:r>
        <w:rPr>
          <w:lang w:val="es-PE"/>
        </w:rPr>
        <w:t>núm.</w:t>
      </w:r>
      <w:r w:rsidRPr="004B2D0B">
        <w:rPr>
          <w:lang w:val="es-PE"/>
        </w:rPr>
        <w:t xml:space="preserve"> 30466. Publicado en el </w:t>
      </w:r>
      <w:r w:rsidRPr="00055918">
        <w:rPr>
          <w:i/>
          <w:lang w:val="es-PE"/>
        </w:rPr>
        <w:t>Diario Oficial</w:t>
      </w:r>
      <w:r w:rsidRPr="004B2D0B">
        <w:rPr>
          <w:lang w:val="es-PE"/>
        </w:rPr>
        <w:t xml:space="preserve"> </w:t>
      </w:r>
      <w:r w:rsidRPr="00EC38A9">
        <w:rPr>
          <w:i/>
          <w:lang w:val="es-PE"/>
        </w:rPr>
        <w:t>“El Peruano”</w:t>
      </w:r>
      <w:r>
        <w:rPr>
          <w:lang w:val="es-PE"/>
        </w:rPr>
        <w:t>. 17 de junio de 2016. Art. 1°.</w:t>
      </w:r>
    </w:p>
  </w:footnote>
  <w:footnote w:id="86">
    <w:p w:rsidR="007E0CA6" w:rsidRPr="004B2D0B" w:rsidRDefault="007E0CA6" w:rsidP="00F4219D">
      <w:pPr>
        <w:pStyle w:val="Textonotapie"/>
        <w:rPr>
          <w:lang w:val="es-PE"/>
        </w:rPr>
      </w:pPr>
      <w:r>
        <w:rPr>
          <w:lang w:val="es-PE"/>
        </w:rPr>
        <w:tab/>
      </w:r>
      <w:r w:rsidRPr="00214959">
        <w:rPr>
          <w:rStyle w:val="Refdenotaalpie"/>
          <w:szCs w:val="16"/>
        </w:rPr>
        <w:footnoteRef/>
      </w:r>
      <w:r>
        <w:rPr>
          <w:lang w:val="es-PE"/>
        </w:rPr>
        <w:tab/>
      </w:r>
      <w:r w:rsidRPr="00EB0523">
        <w:t>Ministerio de la Mujer y Poblaciones Vulnerables</w:t>
      </w:r>
      <w:r w:rsidRPr="004B2D0B">
        <w:rPr>
          <w:lang w:val="es-PE"/>
        </w:rPr>
        <w:t>. Plan Nacional de Acción por la Infancia y la Adolescencia 2012</w:t>
      </w:r>
      <w:r>
        <w:rPr>
          <w:lang w:val="es-PE"/>
        </w:rPr>
        <w:t>-</w:t>
      </w:r>
      <w:r w:rsidRPr="004B2D0B">
        <w:rPr>
          <w:lang w:val="es-PE"/>
        </w:rPr>
        <w:t xml:space="preserve">2021. Aprobado mediante Decreto Supremo </w:t>
      </w:r>
      <w:r>
        <w:rPr>
          <w:lang w:val="es-PE"/>
        </w:rPr>
        <w:t>núm.</w:t>
      </w:r>
      <w:r w:rsidRPr="004B2D0B">
        <w:rPr>
          <w:lang w:val="es-PE"/>
        </w:rPr>
        <w:t xml:space="preserve"> 001-2012-MIMP. Publicado en el </w:t>
      </w:r>
      <w:r w:rsidRPr="00055918">
        <w:rPr>
          <w:i/>
          <w:lang w:val="es-PE"/>
        </w:rPr>
        <w:t>Diario Oficial</w:t>
      </w:r>
      <w:r w:rsidRPr="004B2D0B">
        <w:rPr>
          <w:lang w:val="es-PE"/>
        </w:rPr>
        <w:t xml:space="preserve"> </w:t>
      </w:r>
      <w:r w:rsidRPr="00742A2C">
        <w:rPr>
          <w:i/>
          <w:lang w:val="es-PE"/>
        </w:rPr>
        <w:t>“El Peruano”.</w:t>
      </w:r>
      <w:r w:rsidRPr="004B2D0B">
        <w:rPr>
          <w:lang w:val="es-PE"/>
        </w:rPr>
        <w:t xml:space="preserve"> 14</w:t>
      </w:r>
      <w:r>
        <w:rPr>
          <w:lang w:val="es-PE"/>
        </w:rPr>
        <w:t xml:space="preserve"> de abril de </w:t>
      </w:r>
      <w:r w:rsidRPr="004B2D0B">
        <w:rPr>
          <w:lang w:val="es-PE"/>
        </w:rPr>
        <w:t>2012. Pág. 76. Consulta: 23</w:t>
      </w:r>
      <w:r>
        <w:rPr>
          <w:lang w:val="es-PE"/>
        </w:rPr>
        <w:t xml:space="preserve"> de junio de </w:t>
      </w:r>
      <w:r w:rsidRPr="004B2D0B">
        <w:rPr>
          <w:lang w:val="es-PE"/>
        </w:rPr>
        <w:t>2016. Disponible en: http://www.mimp.gob.pe/webs/mimp/pnaia/pdf/Documento_PNAIA.pdf</w:t>
      </w:r>
      <w:r>
        <w:rPr>
          <w:lang w:val="es-PE"/>
        </w:rPr>
        <w:t>.</w:t>
      </w:r>
    </w:p>
  </w:footnote>
  <w:footnote w:id="87">
    <w:p w:rsidR="007E0CA6" w:rsidRPr="00C47121" w:rsidRDefault="007E0CA6" w:rsidP="00F4219D">
      <w:pPr>
        <w:pStyle w:val="Textonotapie"/>
      </w:pPr>
      <w:r>
        <w:tab/>
      </w:r>
      <w:r w:rsidRPr="00214959">
        <w:rPr>
          <w:rStyle w:val="Refdenotaalpie"/>
          <w:szCs w:val="16"/>
        </w:rPr>
        <w:footnoteRef/>
      </w:r>
      <w:r w:rsidRPr="004B2D0B">
        <w:t xml:space="preserve"> </w:t>
      </w:r>
      <w:r>
        <w:tab/>
      </w:r>
      <w:r w:rsidRPr="004B2D0B">
        <w:rPr>
          <w:lang w:val="es-PE"/>
        </w:rPr>
        <w:t>M</w:t>
      </w:r>
      <w:r>
        <w:rPr>
          <w:lang w:val="es-PE"/>
        </w:rPr>
        <w:t xml:space="preserve">inisterio de </w:t>
      </w:r>
      <w:proofErr w:type="spellStart"/>
      <w:r>
        <w:rPr>
          <w:lang w:val="es-PE"/>
        </w:rPr>
        <w:t>Jusitica</w:t>
      </w:r>
      <w:proofErr w:type="spellEnd"/>
      <w:r>
        <w:rPr>
          <w:lang w:val="es-PE"/>
        </w:rPr>
        <w:t xml:space="preserve"> y Derechos Humanos</w:t>
      </w:r>
      <w:r w:rsidRPr="004B2D0B">
        <w:rPr>
          <w:lang w:val="es-PE"/>
        </w:rPr>
        <w:t xml:space="preserve">. Decreto Supremo </w:t>
      </w:r>
      <w:r>
        <w:rPr>
          <w:lang w:val="es-PE"/>
        </w:rPr>
        <w:t>núm.</w:t>
      </w:r>
      <w:r w:rsidRPr="004B2D0B">
        <w:rPr>
          <w:lang w:val="es-PE"/>
        </w:rPr>
        <w:t xml:space="preserve"> 014-2014-JUS. Aprueban Plan Nacional de Prevención y Tratamiento del Adolescente en conflicto con la ley penal. Publicada en el </w:t>
      </w:r>
      <w:r w:rsidRPr="00055918">
        <w:rPr>
          <w:i/>
          <w:lang w:val="es-PE"/>
        </w:rPr>
        <w:t>Diario Oficial</w:t>
      </w:r>
      <w:r w:rsidRPr="00EC38A9">
        <w:rPr>
          <w:i/>
          <w:lang w:val="es-PE"/>
        </w:rPr>
        <w:t xml:space="preserve"> “El Peruano”</w:t>
      </w:r>
      <w:r w:rsidRPr="004B2D0B">
        <w:rPr>
          <w:lang w:val="es-PE"/>
        </w:rPr>
        <w:t>: 1</w:t>
      </w:r>
      <w:r>
        <w:rPr>
          <w:lang w:val="es-PE"/>
        </w:rPr>
        <w:t xml:space="preserve"> de diciembre de </w:t>
      </w:r>
      <w:r w:rsidRPr="004B2D0B">
        <w:rPr>
          <w:lang w:val="es-PE"/>
        </w:rPr>
        <w:t xml:space="preserve">2013. </w:t>
      </w:r>
    </w:p>
  </w:footnote>
  <w:footnote w:id="88">
    <w:p w:rsidR="007E0CA6" w:rsidRPr="00AB27CA" w:rsidRDefault="007E0CA6" w:rsidP="00F4219D">
      <w:pPr>
        <w:pStyle w:val="Textonotapie"/>
        <w:rPr>
          <w:lang w:val="pt-PT"/>
        </w:rPr>
      </w:pPr>
      <w:r>
        <w:tab/>
      </w:r>
      <w:r w:rsidRPr="00214959">
        <w:rPr>
          <w:rStyle w:val="Refdenotaalpie"/>
          <w:szCs w:val="16"/>
        </w:rPr>
        <w:footnoteRef/>
      </w:r>
      <w:r>
        <w:tab/>
      </w:r>
      <w:r w:rsidRPr="00055918">
        <w:rPr>
          <w:lang w:val="es-PE"/>
        </w:rPr>
        <w:t>Ministerio de Justicia y Derechos Humanos</w:t>
      </w:r>
      <w:r w:rsidRPr="004B2D0B">
        <w:rPr>
          <w:lang w:val="es-PE"/>
        </w:rPr>
        <w:t xml:space="preserve">. Dirección General de Política Criminal y Penitenciaria. </w:t>
      </w:r>
      <w:r w:rsidRPr="00AB27CA">
        <w:rPr>
          <w:lang w:val="pt-PT"/>
        </w:rPr>
        <w:t xml:space="preserve">Informe </w:t>
      </w:r>
      <w:r>
        <w:rPr>
          <w:lang w:val="pt-PT"/>
        </w:rPr>
        <w:t>núm.</w:t>
      </w:r>
      <w:r w:rsidRPr="00AB27CA">
        <w:rPr>
          <w:lang w:val="pt-PT"/>
        </w:rPr>
        <w:t xml:space="preserve"> 109-2015-JUS/DG</w:t>
      </w:r>
      <w:r>
        <w:rPr>
          <w:lang w:val="pt-PT"/>
        </w:rPr>
        <w:t>PCP. Fecha: 29 de octubre de 2015. Pág. 3.</w:t>
      </w:r>
    </w:p>
  </w:footnote>
  <w:footnote w:id="89">
    <w:p w:rsidR="007E0CA6" w:rsidRPr="00C47121" w:rsidRDefault="007E0CA6" w:rsidP="00F4219D">
      <w:pPr>
        <w:pStyle w:val="Textonotapie"/>
      </w:pPr>
      <w:r>
        <w:rPr>
          <w:lang w:val="pt-PT"/>
        </w:rPr>
        <w:tab/>
      </w:r>
      <w:r w:rsidRPr="00214959">
        <w:rPr>
          <w:rStyle w:val="Refdenotaalpie"/>
          <w:szCs w:val="16"/>
        </w:rPr>
        <w:footnoteRef/>
      </w:r>
      <w:r>
        <w:rPr>
          <w:lang w:val="pt-PT"/>
        </w:rPr>
        <w:tab/>
        <w:t>Poder Judicial</w:t>
      </w:r>
      <w:r w:rsidRPr="00AB27CA">
        <w:rPr>
          <w:lang w:val="pt-PT"/>
        </w:rPr>
        <w:t xml:space="preserve">. Oficio </w:t>
      </w:r>
      <w:r>
        <w:rPr>
          <w:lang w:val="pt-PT"/>
        </w:rPr>
        <w:t>núm.</w:t>
      </w:r>
      <w:r w:rsidRPr="00AB27CA">
        <w:rPr>
          <w:lang w:val="pt-PT"/>
        </w:rPr>
        <w:t xml:space="preserve"> 012-2017-DDHH-PJ. </w:t>
      </w:r>
      <w:r w:rsidRPr="004B2D0B">
        <w:rPr>
          <w:lang w:val="es-PE"/>
        </w:rPr>
        <w:t>Fecha: 17</w:t>
      </w:r>
      <w:r>
        <w:rPr>
          <w:lang w:val="es-PE"/>
        </w:rPr>
        <w:t xml:space="preserve"> de abril de </w:t>
      </w:r>
      <w:r w:rsidRPr="004B2D0B">
        <w:rPr>
          <w:lang w:val="es-PE"/>
        </w:rPr>
        <w:t>2017. Pág. 3.</w:t>
      </w:r>
    </w:p>
  </w:footnote>
  <w:footnote w:id="90">
    <w:p w:rsidR="007E0CA6" w:rsidRPr="004B2D0B" w:rsidRDefault="007E0CA6" w:rsidP="00F4219D">
      <w:pPr>
        <w:pStyle w:val="Textonotapie"/>
      </w:pPr>
      <w:r>
        <w:tab/>
      </w:r>
      <w:r w:rsidRPr="00214959">
        <w:rPr>
          <w:rStyle w:val="Refdenotaalpie"/>
          <w:szCs w:val="16"/>
        </w:rPr>
        <w:footnoteRef/>
      </w:r>
      <w:r>
        <w:tab/>
        <w:t>Poder Ejecutivo</w:t>
      </w:r>
      <w:r w:rsidRPr="004B2D0B">
        <w:t xml:space="preserve">. Decreto Legislativo </w:t>
      </w:r>
      <w:r>
        <w:t>núm.</w:t>
      </w:r>
      <w:r w:rsidRPr="004B2D0B">
        <w:t xml:space="preserve"> 1299. Publicado en el </w:t>
      </w:r>
      <w:r w:rsidRPr="00055918">
        <w:rPr>
          <w:i/>
        </w:rPr>
        <w:t>Diario Oficial</w:t>
      </w:r>
      <w:r w:rsidRPr="004B2D0B">
        <w:t xml:space="preserve"> </w:t>
      </w:r>
      <w:r w:rsidRPr="00EC38A9">
        <w:rPr>
          <w:i/>
        </w:rPr>
        <w:t>“El Peruano”</w:t>
      </w:r>
      <w:r>
        <w:t>: 30 de diciembre de 2016. Art. 1°.</w:t>
      </w:r>
    </w:p>
  </w:footnote>
  <w:footnote w:id="91">
    <w:p w:rsidR="007E0CA6" w:rsidRPr="00C47121" w:rsidRDefault="007E0CA6" w:rsidP="00F4219D">
      <w:pPr>
        <w:pStyle w:val="Textonotapie"/>
      </w:pPr>
      <w:r>
        <w:tab/>
      </w:r>
      <w:r w:rsidRPr="00214959">
        <w:rPr>
          <w:rStyle w:val="Refdenotaalpie"/>
          <w:szCs w:val="16"/>
        </w:rPr>
        <w:footnoteRef/>
      </w:r>
      <w:r>
        <w:tab/>
      </w:r>
      <w:r>
        <w:rPr>
          <w:lang w:val="es-PE"/>
        </w:rPr>
        <w:t>Poder Judicial</w:t>
      </w:r>
      <w:r w:rsidRPr="004B2D0B">
        <w:rPr>
          <w:lang w:val="es-PE"/>
        </w:rPr>
        <w:t xml:space="preserve">. Oficio </w:t>
      </w:r>
      <w:r>
        <w:rPr>
          <w:lang w:val="es-PE"/>
        </w:rPr>
        <w:t>núm.</w:t>
      </w:r>
      <w:r w:rsidRPr="004B2D0B">
        <w:rPr>
          <w:lang w:val="es-PE"/>
        </w:rPr>
        <w:t xml:space="preserve"> 234-2015-DDHH-PJ. Fecha: </w:t>
      </w:r>
      <w:r>
        <w:rPr>
          <w:lang w:val="es-PE"/>
        </w:rPr>
        <w:t xml:space="preserve">18 de noviembre de </w:t>
      </w:r>
      <w:r w:rsidRPr="004B2D0B">
        <w:rPr>
          <w:lang w:val="es-PE"/>
        </w:rPr>
        <w:t xml:space="preserve">2016. Adjunta Oficio </w:t>
      </w:r>
      <w:r>
        <w:rPr>
          <w:lang w:val="es-PE"/>
        </w:rPr>
        <w:t>núm.</w:t>
      </w:r>
      <w:r w:rsidRPr="004B2D0B">
        <w:rPr>
          <w:lang w:val="es-PE"/>
        </w:rPr>
        <w:t xml:space="preserve"> 919-2015-GCJ-GG/PJ (10</w:t>
      </w:r>
      <w:r>
        <w:rPr>
          <w:lang w:val="es-PE"/>
        </w:rPr>
        <w:t xml:space="preserve"> de noviembre de </w:t>
      </w:r>
      <w:r w:rsidRPr="004B2D0B">
        <w:rPr>
          <w:lang w:val="es-PE"/>
        </w:rPr>
        <w:t>2015) de la Gerencia de Centros Juveniles.</w:t>
      </w:r>
    </w:p>
  </w:footnote>
  <w:footnote w:id="92">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r>
      <w:r w:rsidRPr="005734FA">
        <w:rPr>
          <w:i/>
          <w:lang w:val="pt-PT"/>
        </w:rPr>
        <w:t>Ibidem</w:t>
      </w:r>
      <w:r>
        <w:rPr>
          <w:lang w:val="pt-PT"/>
        </w:rPr>
        <w:t>.</w:t>
      </w:r>
    </w:p>
  </w:footnote>
  <w:footnote w:id="93">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r>
      <w:r w:rsidRPr="005734FA">
        <w:rPr>
          <w:i/>
          <w:lang w:val="pt-PT"/>
        </w:rPr>
        <w:t>Ibidem</w:t>
      </w:r>
      <w:r>
        <w:rPr>
          <w:i/>
          <w:lang w:val="pt-PT"/>
        </w:rPr>
        <w:t>.</w:t>
      </w:r>
    </w:p>
  </w:footnote>
  <w:footnote w:id="94">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t>Poder Judicial</w:t>
      </w:r>
      <w:r w:rsidRPr="00AB27CA">
        <w:rPr>
          <w:lang w:val="pt-PT"/>
        </w:rPr>
        <w:t xml:space="preserve">. Oficio </w:t>
      </w:r>
      <w:r>
        <w:rPr>
          <w:lang w:val="pt-PT"/>
        </w:rPr>
        <w:t>núm.</w:t>
      </w:r>
      <w:r w:rsidRPr="00AB27CA">
        <w:rPr>
          <w:lang w:val="pt-PT"/>
        </w:rPr>
        <w:t xml:space="preserve"> 012-2017-DDHH</w:t>
      </w:r>
      <w:r>
        <w:rPr>
          <w:lang w:val="pt-PT"/>
        </w:rPr>
        <w:t>-PJ. Fecha: 17 de abril de 2017. Pág. 1.</w:t>
      </w:r>
    </w:p>
  </w:footnote>
  <w:footnote w:id="95">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r>
      <w:r w:rsidRPr="005734FA">
        <w:rPr>
          <w:i/>
          <w:lang w:val="pt-PT"/>
        </w:rPr>
        <w:t>Ibidem</w:t>
      </w:r>
    </w:p>
  </w:footnote>
  <w:footnote w:id="96">
    <w:p w:rsidR="007E0CA6" w:rsidRPr="00C47121" w:rsidRDefault="007E0CA6" w:rsidP="00F4219D">
      <w:pPr>
        <w:pStyle w:val="Textonotapie"/>
      </w:pPr>
      <w:r>
        <w:rPr>
          <w:lang w:val="pt-PT"/>
        </w:rPr>
        <w:tab/>
      </w:r>
      <w:r w:rsidRPr="00214959">
        <w:rPr>
          <w:rStyle w:val="Refdenotaalpie"/>
          <w:szCs w:val="16"/>
        </w:rPr>
        <w:footnoteRef/>
      </w:r>
      <w:r>
        <w:rPr>
          <w:lang w:val="pt-PT"/>
        </w:rPr>
        <w:tab/>
        <w:t>Poder Judicial</w:t>
      </w:r>
      <w:r w:rsidRPr="00AB27CA">
        <w:rPr>
          <w:lang w:val="pt-PT"/>
        </w:rPr>
        <w:t xml:space="preserve">. Oficio </w:t>
      </w:r>
      <w:r>
        <w:rPr>
          <w:lang w:val="pt-PT"/>
        </w:rPr>
        <w:t>núm.</w:t>
      </w:r>
      <w:r w:rsidRPr="00AB27CA">
        <w:rPr>
          <w:lang w:val="pt-PT"/>
        </w:rPr>
        <w:t xml:space="preserve"> 012-2017-DDHH-PJ. </w:t>
      </w:r>
      <w:r w:rsidRPr="004B2D0B">
        <w:rPr>
          <w:lang w:val="es-PE"/>
        </w:rPr>
        <w:t>Fecha: 17</w:t>
      </w:r>
      <w:r>
        <w:rPr>
          <w:lang w:val="es-PE"/>
        </w:rPr>
        <w:t xml:space="preserve"> de abril de </w:t>
      </w:r>
      <w:r w:rsidRPr="004B2D0B">
        <w:rPr>
          <w:lang w:val="es-PE"/>
        </w:rPr>
        <w:t>2017. Pág. 2.</w:t>
      </w:r>
    </w:p>
  </w:footnote>
  <w:footnote w:id="97">
    <w:p w:rsidR="007E0CA6" w:rsidRPr="00C47121" w:rsidRDefault="007E0CA6" w:rsidP="00F4219D">
      <w:pPr>
        <w:pStyle w:val="Textonotapie"/>
      </w:pPr>
      <w:r>
        <w:tab/>
      </w:r>
      <w:r w:rsidRPr="00214959">
        <w:rPr>
          <w:rStyle w:val="Refdenotaalpie"/>
          <w:szCs w:val="16"/>
        </w:rPr>
        <w:footnoteRef/>
      </w:r>
      <w:r>
        <w:tab/>
      </w:r>
      <w:proofErr w:type="spellStart"/>
      <w:r w:rsidRPr="005734FA">
        <w:rPr>
          <w:i/>
          <w:lang w:val="es-PE"/>
        </w:rPr>
        <w:t>Ibidem</w:t>
      </w:r>
      <w:proofErr w:type="spellEnd"/>
    </w:p>
  </w:footnote>
  <w:footnote w:id="98">
    <w:p w:rsidR="007E0CA6" w:rsidRPr="00C47121" w:rsidRDefault="007E0CA6" w:rsidP="00F4219D">
      <w:pPr>
        <w:pStyle w:val="Textonotapie"/>
      </w:pPr>
      <w:r>
        <w:tab/>
      </w:r>
      <w:r w:rsidRPr="00214959">
        <w:rPr>
          <w:rStyle w:val="Refdenotaalpie"/>
          <w:szCs w:val="16"/>
        </w:rPr>
        <w:footnoteRef/>
      </w:r>
      <w:r>
        <w:tab/>
      </w:r>
      <w:r w:rsidRPr="004B2D0B">
        <w:rPr>
          <w:lang w:val="es-PE"/>
        </w:rPr>
        <w:t>M</w:t>
      </w:r>
      <w:r>
        <w:rPr>
          <w:lang w:val="es-PE"/>
        </w:rPr>
        <w:t>inisterio del Interior</w:t>
      </w:r>
      <w:r w:rsidRPr="004B2D0B">
        <w:rPr>
          <w:lang w:val="es-PE"/>
        </w:rPr>
        <w:t xml:space="preserve">. Dirección General para la Seguridad Democrática. Oficio </w:t>
      </w:r>
      <w:r>
        <w:rPr>
          <w:lang w:val="es-PE"/>
        </w:rPr>
        <w:t>núm.</w:t>
      </w:r>
      <w:r w:rsidRPr="004B2D0B">
        <w:rPr>
          <w:lang w:val="es-PE"/>
        </w:rPr>
        <w:t xml:space="preserve"> 001577-2015/IN/DGSD. Pág. 3.</w:t>
      </w:r>
    </w:p>
  </w:footnote>
  <w:footnote w:id="99">
    <w:p w:rsidR="007E0CA6" w:rsidRPr="004B2D0B" w:rsidRDefault="007E0CA6" w:rsidP="00742A2C">
      <w:pPr>
        <w:pStyle w:val="Textonotapie"/>
        <w:spacing w:after="60"/>
        <w:rPr>
          <w:lang w:val="es-PE"/>
        </w:rPr>
      </w:pPr>
      <w:r>
        <w:tab/>
      </w:r>
      <w:r w:rsidRPr="00214959">
        <w:rPr>
          <w:rStyle w:val="Refdenotaalpie"/>
          <w:szCs w:val="16"/>
        </w:rPr>
        <w:footnoteRef/>
      </w:r>
      <w:r>
        <w:tab/>
        <w:t xml:space="preserve"> </w:t>
      </w:r>
      <w:r w:rsidRPr="00115349">
        <w:rPr>
          <w:lang w:val="es-PE"/>
        </w:rPr>
        <w:t>Ministerio del Interior</w:t>
      </w:r>
      <w:r w:rsidRPr="004B2D0B">
        <w:rPr>
          <w:lang w:val="es-PE"/>
        </w:rPr>
        <w:t xml:space="preserve">. Dirección General para la Seguridad Democrática. Oficio </w:t>
      </w:r>
      <w:r>
        <w:rPr>
          <w:lang w:val="es-PE"/>
        </w:rPr>
        <w:t>núm.</w:t>
      </w:r>
      <w:r w:rsidRPr="004B2D0B">
        <w:rPr>
          <w:lang w:val="es-PE"/>
        </w:rPr>
        <w:t xml:space="preserve"> 001577-2015/IN/DGSD. Pág. 3.</w:t>
      </w:r>
    </w:p>
    <w:p w:rsidR="007E0CA6" w:rsidRPr="00C47121" w:rsidRDefault="007E0CA6" w:rsidP="00F4219D">
      <w:pPr>
        <w:pStyle w:val="Textonotapie"/>
      </w:pPr>
      <w:r>
        <w:rPr>
          <w:lang w:val="es-PE"/>
        </w:rPr>
        <w:tab/>
      </w:r>
      <w:r>
        <w:rPr>
          <w:lang w:val="es-PE"/>
        </w:rPr>
        <w:tab/>
      </w:r>
      <w:r w:rsidRPr="004B2D0B">
        <w:rPr>
          <w:lang w:val="es-PE"/>
        </w:rPr>
        <w:t>Cfr. Manual de Derechos Humanos aplicados a la Función Policial. Pág. 53.</w:t>
      </w:r>
    </w:p>
  </w:footnote>
  <w:footnote w:id="100">
    <w:p w:rsidR="007E0CA6" w:rsidRPr="004B2D0B" w:rsidRDefault="007E0CA6" w:rsidP="00742A2C">
      <w:pPr>
        <w:pStyle w:val="Textonotapie"/>
        <w:spacing w:after="60"/>
        <w:rPr>
          <w:lang w:val="es-PE"/>
        </w:rPr>
      </w:pPr>
      <w:r>
        <w:tab/>
      </w:r>
      <w:r w:rsidRPr="00214959">
        <w:rPr>
          <w:rStyle w:val="Refdenotaalpie"/>
          <w:szCs w:val="16"/>
        </w:rPr>
        <w:footnoteRef/>
      </w:r>
      <w:r>
        <w:tab/>
      </w:r>
      <w:r>
        <w:rPr>
          <w:lang w:val="es-PE"/>
        </w:rPr>
        <w:t>Poder Judicial</w:t>
      </w:r>
      <w:r w:rsidRPr="004B2D0B">
        <w:rPr>
          <w:lang w:val="es-PE"/>
        </w:rPr>
        <w:t xml:space="preserve">. Resolución Administrativa. </w:t>
      </w:r>
      <w:r>
        <w:rPr>
          <w:lang w:val="es-PE"/>
        </w:rPr>
        <w:t>núm.</w:t>
      </w:r>
      <w:r w:rsidRPr="004B2D0B">
        <w:rPr>
          <w:lang w:val="es-PE"/>
        </w:rPr>
        <w:t xml:space="preserve"> 072-2015-CE-PJ. Fecha. 13</w:t>
      </w:r>
      <w:r>
        <w:rPr>
          <w:lang w:val="es-PE"/>
        </w:rPr>
        <w:t xml:space="preserve"> de marzo de </w:t>
      </w:r>
      <w:r w:rsidRPr="004B2D0B">
        <w:rPr>
          <w:lang w:val="es-PE"/>
        </w:rPr>
        <w:t>2016. Aprueban el “Manual de Normas de Procedimientos para la Ejecución de las Medidas Socioeducativas para la Reinserción Social del Adolescente en Conflicto con la Ley Penal en los Centros Juveniles de Medio Abierto”.</w:t>
      </w:r>
    </w:p>
    <w:p w:rsidR="007E0CA6" w:rsidRPr="004B2D0B" w:rsidRDefault="007E0CA6" w:rsidP="00742A2C">
      <w:pPr>
        <w:pStyle w:val="Textonotapie"/>
        <w:spacing w:after="60"/>
        <w:rPr>
          <w:lang w:val="es-PE"/>
        </w:rPr>
      </w:pPr>
      <w:r>
        <w:rPr>
          <w:lang w:val="es-PE"/>
        </w:rPr>
        <w:tab/>
      </w:r>
      <w:r>
        <w:rPr>
          <w:lang w:val="es-PE"/>
        </w:rPr>
        <w:tab/>
      </w:r>
      <w:r w:rsidRPr="004B2D0B">
        <w:rPr>
          <w:lang w:val="es-PE"/>
        </w:rPr>
        <w:t xml:space="preserve">Además se cuenta con otras normas, entre ellas: </w:t>
      </w:r>
    </w:p>
    <w:p w:rsidR="007E0CA6" w:rsidRPr="004B2D0B" w:rsidRDefault="007E0CA6" w:rsidP="00742A2C">
      <w:pPr>
        <w:pStyle w:val="Textonotapie"/>
        <w:spacing w:after="60"/>
        <w:rPr>
          <w:lang w:val="es-PE"/>
        </w:rPr>
      </w:pPr>
      <w:r>
        <w:rPr>
          <w:lang w:val="es-PE"/>
        </w:rPr>
        <w:tab/>
      </w:r>
      <w:r>
        <w:rPr>
          <w:lang w:val="es-PE"/>
        </w:rPr>
        <w:tab/>
      </w:r>
      <w:r w:rsidRPr="004B2D0B">
        <w:rPr>
          <w:lang w:val="es-PE"/>
        </w:rPr>
        <w:t xml:space="preserve">Resolución Administrativa </w:t>
      </w:r>
      <w:r>
        <w:rPr>
          <w:lang w:val="es-PE"/>
        </w:rPr>
        <w:t>núm.</w:t>
      </w:r>
      <w:r w:rsidRPr="004B2D0B">
        <w:rPr>
          <w:lang w:val="es-PE"/>
        </w:rPr>
        <w:t xml:space="preserve"> 546-2013-GG-PJ, aprueba la “Guía Operativa para elaborar el Informe de Gestión de los Centros Juveniles de medio abierto a nivel nacional. </w:t>
      </w:r>
    </w:p>
    <w:p w:rsidR="007E0CA6" w:rsidRPr="004B2D0B" w:rsidRDefault="007E0CA6" w:rsidP="00742A2C">
      <w:pPr>
        <w:pStyle w:val="Textonotapie"/>
        <w:spacing w:after="60"/>
        <w:rPr>
          <w:lang w:val="es-PE"/>
        </w:rPr>
      </w:pPr>
      <w:r>
        <w:rPr>
          <w:lang w:val="es-PE"/>
        </w:rPr>
        <w:tab/>
      </w:r>
      <w:r>
        <w:rPr>
          <w:lang w:val="es-PE"/>
        </w:rPr>
        <w:tab/>
      </w:r>
      <w:r w:rsidRPr="004B2D0B">
        <w:rPr>
          <w:lang w:val="es-PE"/>
        </w:rPr>
        <w:t xml:space="preserve">Resolución Administrativa </w:t>
      </w:r>
      <w:r>
        <w:rPr>
          <w:lang w:val="es-PE"/>
        </w:rPr>
        <w:t>núm.</w:t>
      </w:r>
      <w:r w:rsidRPr="004B2D0B">
        <w:rPr>
          <w:lang w:val="es-PE"/>
        </w:rPr>
        <w:t xml:space="preserve"> 318-2013-GG-PJ, aprueba la Directiva </w:t>
      </w:r>
      <w:r>
        <w:rPr>
          <w:lang w:val="es-PE"/>
        </w:rPr>
        <w:t>núm.</w:t>
      </w:r>
      <w:r w:rsidRPr="004B2D0B">
        <w:rPr>
          <w:lang w:val="es-PE"/>
        </w:rPr>
        <w:t xml:space="preserve"> 007-2013-GG-PJ, “Normas que regulan la Organización y Funcionamiento del Programa de Escuela de Padres en los Centros Juveniles de Medio Abierto a Nivel Nacional”.</w:t>
      </w:r>
    </w:p>
    <w:p w:rsidR="007E0CA6" w:rsidRPr="004B2D0B" w:rsidRDefault="007E0CA6" w:rsidP="00F4219D">
      <w:pPr>
        <w:pStyle w:val="Textonotapie"/>
        <w:rPr>
          <w:lang w:val="es-PE"/>
        </w:rPr>
      </w:pPr>
      <w:r>
        <w:rPr>
          <w:lang w:val="es-PE"/>
        </w:rPr>
        <w:tab/>
      </w:r>
      <w:r>
        <w:rPr>
          <w:lang w:val="es-PE"/>
        </w:rPr>
        <w:tab/>
      </w:r>
      <w:r w:rsidRPr="004B2D0B">
        <w:rPr>
          <w:lang w:val="es-PE"/>
        </w:rPr>
        <w:t xml:space="preserve">Resolución Administrativa </w:t>
      </w:r>
      <w:r>
        <w:rPr>
          <w:lang w:val="es-PE"/>
        </w:rPr>
        <w:t>núm.</w:t>
      </w:r>
      <w:r w:rsidRPr="004B2D0B">
        <w:rPr>
          <w:lang w:val="es-PE"/>
        </w:rPr>
        <w:t xml:space="preserve"> 608-2013-GG-PJ, aprueba Directiva </w:t>
      </w:r>
      <w:r>
        <w:rPr>
          <w:lang w:val="es-PE"/>
        </w:rPr>
        <w:t>núm.</w:t>
      </w:r>
      <w:r w:rsidRPr="004B2D0B">
        <w:rPr>
          <w:lang w:val="es-PE"/>
        </w:rPr>
        <w:t xml:space="preserve"> 002-2013-GCJ-GG/PJ, “Organización del Expediente Matriz del Adolescente en conflicto con la Ley Penal de los Centros Juveniles de medio abierto a nivel nacional”. </w:t>
      </w:r>
    </w:p>
  </w:footnote>
  <w:footnote w:id="101">
    <w:p w:rsidR="007E0CA6" w:rsidRPr="00C47121" w:rsidRDefault="007E0CA6" w:rsidP="00F4219D">
      <w:pPr>
        <w:pStyle w:val="Textonotapie"/>
      </w:pPr>
      <w:r>
        <w:tab/>
      </w:r>
      <w:r w:rsidRPr="00214959">
        <w:rPr>
          <w:rStyle w:val="Refdenotaalpie"/>
          <w:szCs w:val="16"/>
        </w:rPr>
        <w:footnoteRef/>
      </w:r>
      <w:r>
        <w:tab/>
      </w:r>
      <w:r>
        <w:rPr>
          <w:lang w:val="es-PE"/>
        </w:rPr>
        <w:t>Poder Judicial</w:t>
      </w:r>
      <w:r w:rsidRPr="004B2D0B">
        <w:t xml:space="preserve">. Gerencia General. Resolución Administrativa </w:t>
      </w:r>
      <w:r>
        <w:t>núm.</w:t>
      </w:r>
      <w:r w:rsidRPr="004B2D0B">
        <w:t xml:space="preserve"> 040-2013-GG-PJ, que aprueba el “Reglamento de Derechos, Deberes y Sanciones de los Adolescentes en conflicto con la Ley Penal de los Centros Juveniles de Medio Cerrado del Poder Judicial”. Fecha: 22</w:t>
      </w:r>
      <w:r>
        <w:t xml:space="preserve"> de enero de </w:t>
      </w:r>
      <w:r w:rsidRPr="004B2D0B">
        <w:t>2013. Consulta: 23</w:t>
      </w:r>
      <w:r>
        <w:t xml:space="preserve"> de junio de </w:t>
      </w:r>
      <w:r w:rsidRPr="004B2D0B">
        <w:t>2016. Disponible en: https://www.pj.gob.pe/wps/wcm/connect/</w:t>
      </w:r>
      <w:r>
        <w:br/>
      </w:r>
      <w:r w:rsidRPr="004B2D0B">
        <w:t>007320804f05a4478dc4efef22a976ef/RA_040-2013-GG-PJ.PDF?MOD=AJPERES&amp;</w:t>
      </w:r>
      <w:r>
        <w:br/>
      </w:r>
      <w:r w:rsidRPr="004B2D0B">
        <w:t>CACHEID=0</w:t>
      </w:r>
      <w:r>
        <w:t>07320804f05a4478dc4efef22a976ef</w:t>
      </w:r>
    </w:p>
  </w:footnote>
  <w:footnote w:id="102">
    <w:p w:rsidR="007E0CA6" w:rsidRPr="00C47121" w:rsidRDefault="007E0CA6" w:rsidP="00F4219D">
      <w:pPr>
        <w:pStyle w:val="Textonotapie"/>
      </w:pPr>
      <w:r>
        <w:rPr>
          <w:lang w:val="pt-PT"/>
        </w:rPr>
        <w:tab/>
      </w:r>
      <w:r w:rsidRPr="00214959">
        <w:rPr>
          <w:rStyle w:val="Refdenotaalpie"/>
          <w:szCs w:val="16"/>
        </w:rPr>
        <w:footnoteRef/>
      </w:r>
      <w:r>
        <w:rPr>
          <w:lang w:val="pt-PT"/>
        </w:rPr>
        <w:tab/>
        <w:t>Poder Judicial</w:t>
      </w:r>
      <w:r w:rsidRPr="00AB27CA">
        <w:rPr>
          <w:lang w:val="pt-PT"/>
        </w:rPr>
        <w:t xml:space="preserve">. Oficio </w:t>
      </w:r>
      <w:r>
        <w:rPr>
          <w:lang w:val="pt-PT"/>
        </w:rPr>
        <w:t>núm.</w:t>
      </w:r>
      <w:r w:rsidRPr="00AB27CA">
        <w:rPr>
          <w:lang w:val="pt-PT"/>
        </w:rPr>
        <w:t xml:space="preserve"> 234-2015-DDHH-PJ. </w:t>
      </w:r>
      <w:proofErr w:type="spellStart"/>
      <w:r w:rsidRPr="00742A2C">
        <w:rPr>
          <w:i/>
          <w:lang w:val="es-PE"/>
        </w:rPr>
        <w:t>Op</w:t>
      </w:r>
      <w:proofErr w:type="spellEnd"/>
      <w:r w:rsidRPr="00742A2C">
        <w:rPr>
          <w:i/>
          <w:lang w:val="es-PE"/>
        </w:rPr>
        <w:t xml:space="preserve">. </w:t>
      </w:r>
      <w:r>
        <w:rPr>
          <w:i/>
          <w:lang w:val="es-PE"/>
        </w:rPr>
        <w:t>c</w:t>
      </w:r>
      <w:r w:rsidRPr="00742A2C">
        <w:rPr>
          <w:i/>
          <w:lang w:val="es-PE"/>
        </w:rPr>
        <w:t>it</w:t>
      </w:r>
      <w:r w:rsidRPr="004B2D0B">
        <w:rPr>
          <w:lang w:val="es-PE"/>
        </w:rPr>
        <w:t>. Pág. 4.</w:t>
      </w:r>
    </w:p>
  </w:footnote>
  <w:footnote w:id="103">
    <w:p w:rsidR="007E0CA6" w:rsidRPr="00C47121" w:rsidRDefault="007E0CA6" w:rsidP="00F4219D">
      <w:pPr>
        <w:pStyle w:val="Textonotapie"/>
      </w:pPr>
      <w:r>
        <w:tab/>
      </w:r>
      <w:r w:rsidRPr="00214959">
        <w:rPr>
          <w:rStyle w:val="Refdenotaalpie"/>
          <w:szCs w:val="16"/>
        </w:rPr>
        <w:footnoteRef/>
      </w:r>
      <w:r>
        <w:tab/>
        <w:t xml:space="preserve"> </w:t>
      </w:r>
      <w:r w:rsidRPr="004B2D0B">
        <w:t xml:space="preserve"> </w:t>
      </w:r>
      <w:r>
        <w:t>Poder Judicial</w:t>
      </w:r>
      <w:r w:rsidRPr="004B2D0B">
        <w:t>. Plan Nacional de Acceso a la Justicia de las Personas en Condición de Vulnerabi</w:t>
      </w:r>
      <w:r>
        <w:t xml:space="preserve">lidad 2016-2021. Pág. 77 a 80. </w:t>
      </w:r>
    </w:p>
  </w:footnote>
  <w:footnote w:id="104">
    <w:p w:rsidR="007E0CA6" w:rsidRPr="004B2D0B" w:rsidRDefault="007E0CA6" w:rsidP="00F4219D">
      <w:pPr>
        <w:pStyle w:val="Textonotapie"/>
      </w:pPr>
      <w:r>
        <w:tab/>
      </w:r>
      <w:r w:rsidRPr="00214959">
        <w:rPr>
          <w:rStyle w:val="Refdenotaalpie"/>
          <w:szCs w:val="16"/>
        </w:rPr>
        <w:footnoteRef/>
      </w:r>
      <w:r>
        <w:tab/>
      </w:r>
      <w:r w:rsidRPr="004B2D0B">
        <w:t xml:space="preserve">JUSTICIA. Decreto Supremo </w:t>
      </w:r>
      <w:r>
        <w:t>núm.</w:t>
      </w:r>
      <w:r w:rsidRPr="004B2D0B">
        <w:t xml:space="preserve"> 015-2003-JUS. Publicado en el </w:t>
      </w:r>
      <w:r w:rsidRPr="00055918">
        <w:rPr>
          <w:i/>
        </w:rPr>
        <w:t>Diario Oficial</w:t>
      </w:r>
      <w:r w:rsidRPr="004B2D0B">
        <w:t xml:space="preserve"> </w:t>
      </w:r>
      <w:r w:rsidRPr="00EC38A9">
        <w:rPr>
          <w:i/>
        </w:rPr>
        <w:t>“El Peruano”</w:t>
      </w:r>
      <w:r>
        <w:t>: 11 de septiembre de 2003. Art. 3°.</w:t>
      </w:r>
    </w:p>
  </w:footnote>
  <w:footnote w:id="105">
    <w:p w:rsidR="007E0CA6" w:rsidRPr="00C47121" w:rsidRDefault="007E0CA6" w:rsidP="00F4219D">
      <w:pPr>
        <w:pStyle w:val="Textonotapie"/>
      </w:pPr>
      <w:r>
        <w:tab/>
      </w:r>
      <w:r w:rsidRPr="00214959">
        <w:rPr>
          <w:rStyle w:val="Refdenotaalpie"/>
          <w:szCs w:val="16"/>
        </w:rPr>
        <w:footnoteRef/>
      </w:r>
      <w:r>
        <w:tab/>
      </w:r>
      <w:r>
        <w:rPr>
          <w:lang w:val="es-PE"/>
        </w:rPr>
        <w:t>Poder Ejecutivo</w:t>
      </w:r>
      <w:r w:rsidRPr="004B2D0B">
        <w:rPr>
          <w:lang w:val="es-PE"/>
        </w:rPr>
        <w:t xml:space="preserve">. Decreto Legislativo </w:t>
      </w:r>
      <w:r>
        <w:rPr>
          <w:lang w:val="es-PE"/>
        </w:rPr>
        <w:t>núm.</w:t>
      </w:r>
      <w:r w:rsidRPr="004B2D0B">
        <w:rPr>
          <w:lang w:val="es-PE"/>
        </w:rPr>
        <w:t xml:space="preserve"> 1325. Artículo 3° (2).</w:t>
      </w:r>
    </w:p>
  </w:footnote>
  <w:footnote w:id="106">
    <w:p w:rsidR="007E0CA6" w:rsidRPr="00C47121" w:rsidRDefault="007E0CA6" w:rsidP="00F4219D">
      <w:pPr>
        <w:pStyle w:val="Textonotapie"/>
      </w:pPr>
      <w:r>
        <w:tab/>
      </w:r>
      <w:r w:rsidRPr="00214959">
        <w:rPr>
          <w:rStyle w:val="Refdenotaalpie"/>
          <w:szCs w:val="16"/>
        </w:rPr>
        <w:footnoteRef/>
      </w:r>
      <w:r>
        <w:tab/>
      </w:r>
      <w:r w:rsidRPr="004B2D0B">
        <w:t>M</w:t>
      </w:r>
      <w:r>
        <w:t>inisterio de Salud</w:t>
      </w:r>
      <w:r w:rsidRPr="004B2D0B">
        <w:rPr>
          <w:lang w:val="es-PE"/>
        </w:rPr>
        <w:t xml:space="preserve">. Decreto Supremo </w:t>
      </w:r>
      <w:r>
        <w:rPr>
          <w:lang w:val="es-PE"/>
        </w:rPr>
        <w:t>núm.</w:t>
      </w:r>
      <w:r w:rsidRPr="004B2D0B">
        <w:rPr>
          <w:lang w:val="es-PE"/>
        </w:rPr>
        <w:t xml:space="preserve"> 033-2015-SA. Reglamento de la Ley </w:t>
      </w:r>
      <w:r>
        <w:rPr>
          <w:lang w:val="es-PE"/>
        </w:rPr>
        <w:t>núm. </w:t>
      </w:r>
      <w:r w:rsidRPr="004B2D0B">
        <w:rPr>
          <w:lang w:val="es-PE"/>
        </w:rPr>
        <w:t xml:space="preserve">29889, Ley que modifica el artículo 11° de la Ley </w:t>
      </w:r>
      <w:r>
        <w:rPr>
          <w:lang w:val="es-PE"/>
        </w:rPr>
        <w:t xml:space="preserve">núm. </w:t>
      </w:r>
      <w:r w:rsidRPr="004B2D0B">
        <w:rPr>
          <w:lang w:val="es-PE"/>
        </w:rPr>
        <w:t xml:space="preserve">26842 (Ley General de Salud). </w:t>
      </w:r>
      <w:r w:rsidRPr="00055918">
        <w:rPr>
          <w:i/>
          <w:lang w:val="es-PE"/>
        </w:rPr>
        <w:t>Diario Oficial</w:t>
      </w:r>
      <w:r w:rsidRPr="004B2D0B">
        <w:rPr>
          <w:lang w:val="es-PE"/>
        </w:rPr>
        <w:t xml:space="preserve"> </w:t>
      </w:r>
      <w:r w:rsidRPr="00EC38A9">
        <w:rPr>
          <w:i/>
          <w:lang w:val="es-PE"/>
        </w:rPr>
        <w:t>“El</w:t>
      </w:r>
      <w:r>
        <w:rPr>
          <w:i/>
          <w:lang w:val="es-PE"/>
        </w:rPr>
        <w:t> </w:t>
      </w:r>
      <w:r w:rsidRPr="00EC38A9">
        <w:rPr>
          <w:i/>
          <w:lang w:val="es-PE"/>
        </w:rPr>
        <w:t>Peruano”</w:t>
      </w:r>
      <w:r w:rsidRPr="004B2D0B">
        <w:rPr>
          <w:lang w:val="es-PE"/>
        </w:rPr>
        <w:t>: 6</w:t>
      </w:r>
      <w:r>
        <w:rPr>
          <w:lang w:val="es-PE"/>
        </w:rPr>
        <w:t xml:space="preserve"> de octubre de </w:t>
      </w:r>
      <w:r w:rsidRPr="004B2D0B">
        <w:rPr>
          <w:lang w:val="es-PE"/>
        </w:rPr>
        <w:t xml:space="preserve">2015. Art. 1°. </w:t>
      </w:r>
    </w:p>
  </w:footnote>
  <w:footnote w:id="107">
    <w:p w:rsidR="007E0CA6" w:rsidRPr="00C47121" w:rsidRDefault="007E0CA6" w:rsidP="00F4219D">
      <w:pPr>
        <w:pStyle w:val="Textonotapie"/>
      </w:pPr>
      <w:r>
        <w:tab/>
      </w:r>
      <w:r w:rsidRPr="00214959">
        <w:rPr>
          <w:rStyle w:val="Refdenotaalpie"/>
          <w:szCs w:val="16"/>
        </w:rPr>
        <w:footnoteRef/>
      </w:r>
      <w:r>
        <w:tab/>
      </w:r>
      <w:r w:rsidRPr="004B2D0B">
        <w:rPr>
          <w:lang w:val="es-PE"/>
        </w:rPr>
        <w:t xml:space="preserve">Art. 4°, inc. e) </w:t>
      </w:r>
      <w:r>
        <w:rPr>
          <w:lang w:val="es-PE"/>
        </w:rPr>
        <w:t>a</w:t>
      </w:r>
      <w:r w:rsidRPr="004B2D0B">
        <w:rPr>
          <w:lang w:val="es-PE"/>
        </w:rPr>
        <w:t xml:space="preserve"> g), del Decreto Supremo </w:t>
      </w:r>
      <w:r>
        <w:rPr>
          <w:lang w:val="es-PE"/>
        </w:rPr>
        <w:t>núm.</w:t>
      </w:r>
      <w:r w:rsidRPr="004B2D0B">
        <w:rPr>
          <w:lang w:val="es-PE"/>
        </w:rPr>
        <w:t xml:space="preserve"> 033-2015-SA.</w:t>
      </w:r>
    </w:p>
  </w:footnote>
  <w:footnote w:id="108">
    <w:p w:rsidR="007E0CA6" w:rsidRPr="00C47121" w:rsidRDefault="007E0CA6" w:rsidP="00F4219D">
      <w:pPr>
        <w:pStyle w:val="Textonotapie"/>
        <w:rPr>
          <w:lang w:val="es-ES_tradnl"/>
        </w:rPr>
      </w:pPr>
      <w:r>
        <w:tab/>
      </w:r>
      <w:r w:rsidRPr="00214959">
        <w:rPr>
          <w:rStyle w:val="Refdenotaalpie"/>
          <w:szCs w:val="16"/>
        </w:rPr>
        <w:footnoteRef/>
      </w:r>
      <w:r>
        <w:tab/>
        <w:t>Poder Ejecutivo</w:t>
      </w:r>
      <w:r w:rsidRPr="004B2D0B">
        <w:rPr>
          <w:lang w:val="es-ES_tradnl"/>
        </w:rPr>
        <w:t xml:space="preserve">. Decreto Legislativo </w:t>
      </w:r>
      <w:r>
        <w:rPr>
          <w:lang w:val="es-ES_tradnl"/>
        </w:rPr>
        <w:t>núm.</w:t>
      </w:r>
      <w:r w:rsidRPr="004B2D0B">
        <w:rPr>
          <w:lang w:val="es-ES_tradnl"/>
        </w:rPr>
        <w:t xml:space="preserve">1351. Publicado en el </w:t>
      </w:r>
      <w:r w:rsidRPr="00055918">
        <w:rPr>
          <w:i/>
          <w:lang w:val="es-ES_tradnl"/>
        </w:rPr>
        <w:t>Diario Oficial</w:t>
      </w:r>
      <w:r w:rsidRPr="004B2D0B">
        <w:rPr>
          <w:lang w:val="es-ES_tradnl"/>
        </w:rPr>
        <w:t xml:space="preserve"> </w:t>
      </w:r>
      <w:r w:rsidRPr="00EC38A9">
        <w:rPr>
          <w:i/>
          <w:lang w:val="es-ES_tradnl"/>
        </w:rPr>
        <w:t>“El Peruano”</w:t>
      </w:r>
      <w:r w:rsidRPr="004B2D0B">
        <w:rPr>
          <w:lang w:val="es-ES_tradnl"/>
        </w:rPr>
        <w:t>: 7</w:t>
      </w:r>
      <w:r>
        <w:rPr>
          <w:lang w:val="es-ES_tradnl"/>
        </w:rPr>
        <w:t xml:space="preserve"> de enero de </w:t>
      </w:r>
      <w:r w:rsidRPr="004B2D0B">
        <w:rPr>
          <w:lang w:val="es-ES_tradnl"/>
        </w:rPr>
        <w:t xml:space="preserve">2017. </w:t>
      </w:r>
      <w:r w:rsidRPr="004B2D0B">
        <w:t>Artículo</w:t>
      </w:r>
      <w:r>
        <w:rPr>
          <w:lang w:val="es-ES_tradnl"/>
        </w:rPr>
        <w:t xml:space="preserve"> 2°.</w:t>
      </w:r>
    </w:p>
  </w:footnote>
  <w:footnote w:id="109">
    <w:p w:rsidR="007E0CA6" w:rsidRPr="004B2D0B" w:rsidRDefault="007E0CA6" w:rsidP="00F4219D">
      <w:pPr>
        <w:pStyle w:val="Textonotapie"/>
      </w:pPr>
      <w:r>
        <w:tab/>
      </w:r>
      <w:r w:rsidRPr="00214959">
        <w:rPr>
          <w:rStyle w:val="Refdenotaalpie"/>
          <w:szCs w:val="16"/>
        </w:rPr>
        <w:footnoteRef/>
      </w:r>
      <w:r>
        <w:tab/>
      </w:r>
      <w:r w:rsidRPr="00EB0523">
        <w:t>Congreso de la República</w:t>
      </w:r>
      <w:r w:rsidRPr="004B2D0B">
        <w:t xml:space="preserve">. Ley </w:t>
      </w:r>
      <w:r>
        <w:t>núm.</w:t>
      </w:r>
      <w:r w:rsidRPr="004B2D0B">
        <w:t xml:space="preserve"> 30054. Publicada en el </w:t>
      </w:r>
      <w:r w:rsidRPr="00055918">
        <w:rPr>
          <w:i/>
        </w:rPr>
        <w:t>Diario Oficial</w:t>
      </w:r>
      <w:r>
        <w:t xml:space="preserve"> </w:t>
      </w:r>
      <w:r w:rsidRPr="00EC38A9">
        <w:rPr>
          <w:i/>
        </w:rPr>
        <w:t>“El Peruano”</w:t>
      </w:r>
      <w:r>
        <w:t>: 30 de junio de 2013.</w:t>
      </w:r>
    </w:p>
  </w:footnote>
  <w:footnote w:id="110">
    <w:p w:rsidR="007E0CA6" w:rsidRPr="004B2D0B" w:rsidRDefault="007E0CA6" w:rsidP="00F4219D">
      <w:pPr>
        <w:pStyle w:val="Textonotapie"/>
      </w:pPr>
      <w:r>
        <w:tab/>
      </w:r>
      <w:r w:rsidRPr="00214959">
        <w:rPr>
          <w:rStyle w:val="Refdenotaalpie"/>
          <w:szCs w:val="16"/>
        </w:rPr>
        <w:footnoteRef/>
      </w:r>
      <w:r>
        <w:t xml:space="preserve"> </w:t>
      </w:r>
      <w:r w:rsidRPr="004B2D0B">
        <w:tab/>
      </w:r>
      <w:r w:rsidRPr="00EB0523">
        <w:rPr>
          <w:lang w:val="es-ES_tradnl"/>
        </w:rPr>
        <w:t>Congreso de la República</w:t>
      </w:r>
      <w:r w:rsidRPr="004B2D0B">
        <w:t xml:space="preserve">. Ley </w:t>
      </w:r>
      <w:r>
        <w:t>núm.</w:t>
      </w:r>
      <w:r w:rsidRPr="004B2D0B">
        <w:t xml:space="preserve"> 30077. Publicado en el </w:t>
      </w:r>
      <w:r w:rsidRPr="00055918">
        <w:rPr>
          <w:i/>
        </w:rPr>
        <w:t>Diario Oficial</w:t>
      </w:r>
      <w:r w:rsidRPr="004B2D0B">
        <w:t xml:space="preserve"> </w:t>
      </w:r>
      <w:r w:rsidRPr="00EC38A9">
        <w:rPr>
          <w:i/>
        </w:rPr>
        <w:t>“El Peruano”</w:t>
      </w:r>
      <w:r w:rsidRPr="004B2D0B">
        <w:t>: 2</w:t>
      </w:r>
      <w:r>
        <w:t>0 de agosto de 2013. Artículo 3° inc. 18.</w:t>
      </w:r>
    </w:p>
  </w:footnote>
  <w:footnote w:id="111">
    <w:p w:rsidR="007E0CA6" w:rsidRPr="004B2D0B" w:rsidRDefault="007E0CA6" w:rsidP="00F4219D">
      <w:pPr>
        <w:pStyle w:val="Textonotapie"/>
      </w:pPr>
      <w:r>
        <w:tab/>
      </w:r>
      <w:r w:rsidRPr="00214959">
        <w:rPr>
          <w:rStyle w:val="Refdenotaalpie"/>
          <w:szCs w:val="16"/>
        </w:rPr>
        <w:footnoteRef/>
      </w:r>
      <w:r>
        <w:tab/>
      </w:r>
      <w:r w:rsidRPr="004B2D0B">
        <w:t>A</w:t>
      </w:r>
      <w:r>
        <w:t xml:space="preserve">rtículo 2° de la Ley núm. 30054. </w:t>
      </w:r>
    </w:p>
  </w:footnote>
  <w:footnote w:id="112">
    <w:p w:rsidR="007E0CA6" w:rsidRPr="004B2D0B" w:rsidRDefault="007E0CA6" w:rsidP="00F4219D">
      <w:pPr>
        <w:pStyle w:val="Textonotapie"/>
      </w:pPr>
      <w:r>
        <w:tab/>
      </w:r>
      <w:r w:rsidRPr="00214959">
        <w:rPr>
          <w:rStyle w:val="Refdenotaalpie"/>
          <w:szCs w:val="16"/>
        </w:rPr>
        <w:footnoteRef/>
      </w:r>
      <w:r>
        <w:tab/>
      </w:r>
      <w:r w:rsidRPr="004B2D0B">
        <w:t>Art</w:t>
      </w:r>
      <w:r>
        <w:t>ículo 3° inc. 18. Ley núm. 30077.</w:t>
      </w:r>
    </w:p>
  </w:footnote>
  <w:footnote w:id="113">
    <w:p w:rsidR="007E0CA6" w:rsidRPr="004B2D0B" w:rsidRDefault="007E0CA6" w:rsidP="00F4219D">
      <w:pPr>
        <w:pStyle w:val="Textonotapie"/>
        <w:rPr>
          <w:lang w:val="en-US"/>
        </w:rPr>
      </w:pPr>
      <w:r w:rsidRPr="00941F3D">
        <w:tab/>
      </w:r>
      <w:r w:rsidRPr="00214959">
        <w:rPr>
          <w:rStyle w:val="Refdenotaalpie"/>
          <w:szCs w:val="16"/>
        </w:rPr>
        <w:footnoteRef/>
      </w:r>
      <w:r>
        <w:rPr>
          <w:lang w:val="en-US"/>
        </w:rPr>
        <w:tab/>
        <w:t xml:space="preserve">Ley </w:t>
      </w:r>
      <w:proofErr w:type="spellStart"/>
      <w:r>
        <w:rPr>
          <w:lang w:val="en-US"/>
        </w:rPr>
        <w:t>núm</w:t>
      </w:r>
      <w:proofErr w:type="spellEnd"/>
      <w:r>
        <w:rPr>
          <w:lang w:val="en-US"/>
        </w:rPr>
        <w:t>. 30077. Art. 22° (1) (c).</w:t>
      </w:r>
    </w:p>
  </w:footnote>
  <w:footnote w:id="114">
    <w:p w:rsidR="007E0CA6" w:rsidRPr="004B2D0B" w:rsidRDefault="007E0CA6" w:rsidP="00F4219D">
      <w:pPr>
        <w:pStyle w:val="Textonotapie"/>
        <w:rPr>
          <w:lang w:val="en-US"/>
        </w:rPr>
      </w:pPr>
      <w:r>
        <w:rPr>
          <w:lang w:val="en-US"/>
        </w:rPr>
        <w:tab/>
      </w:r>
      <w:r w:rsidRPr="00214959">
        <w:rPr>
          <w:rStyle w:val="Refdenotaalpie"/>
          <w:szCs w:val="16"/>
        </w:rPr>
        <w:footnoteRef/>
      </w:r>
      <w:r>
        <w:rPr>
          <w:lang w:val="en-US"/>
        </w:rPr>
        <w:tab/>
      </w:r>
      <w:r w:rsidRPr="00742A2C">
        <w:rPr>
          <w:i/>
          <w:lang w:val="en-US"/>
        </w:rPr>
        <w:t>Idem</w:t>
      </w:r>
      <w:r w:rsidRPr="004B2D0B">
        <w:rPr>
          <w:lang w:val="en-US"/>
        </w:rPr>
        <w:t xml:space="preserve">, </w:t>
      </w:r>
      <w:r>
        <w:rPr>
          <w:lang w:val="en-US"/>
        </w:rPr>
        <w:t>art. 24° (1).</w:t>
      </w:r>
    </w:p>
  </w:footnote>
  <w:footnote w:id="115">
    <w:p w:rsidR="007E0CA6" w:rsidRPr="004B2D0B" w:rsidRDefault="007E0CA6" w:rsidP="00F4219D">
      <w:pPr>
        <w:pStyle w:val="Textonotapie"/>
      </w:pPr>
      <w:r w:rsidRPr="004275EC">
        <w:rPr>
          <w:lang w:val="en-US"/>
        </w:rPr>
        <w:tab/>
      </w:r>
      <w:r w:rsidRPr="00214959">
        <w:rPr>
          <w:rStyle w:val="Refdenotaalpie"/>
          <w:szCs w:val="16"/>
        </w:rPr>
        <w:footnoteRef/>
      </w:r>
      <w:r>
        <w:tab/>
        <w:t>Poder Ejecutivo</w:t>
      </w:r>
      <w:r w:rsidRPr="004B2D0B">
        <w:t xml:space="preserve">. Decreto Legislativo </w:t>
      </w:r>
      <w:r>
        <w:t>núm.</w:t>
      </w:r>
      <w:r w:rsidRPr="004B2D0B">
        <w:t xml:space="preserve"> 957. Publicado en el </w:t>
      </w:r>
      <w:r w:rsidRPr="00055918">
        <w:rPr>
          <w:i/>
        </w:rPr>
        <w:t>Diario Oficial</w:t>
      </w:r>
      <w:r w:rsidRPr="004B2D0B">
        <w:t xml:space="preserve"> </w:t>
      </w:r>
      <w:r w:rsidRPr="00EC38A9">
        <w:rPr>
          <w:i/>
        </w:rPr>
        <w:t>“El Peruano”</w:t>
      </w:r>
      <w:r>
        <w:t>: 29 de julio de 2004. Artículo IX.</w:t>
      </w:r>
    </w:p>
  </w:footnote>
  <w:footnote w:id="116">
    <w:p w:rsidR="007E0CA6" w:rsidRPr="004B2D0B" w:rsidRDefault="007E0CA6" w:rsidP="00F4219D">
      <w:pPr>
        <w:pStyle w:val="Textonotapie"/>
      </w:pPr>
      <w:r>
        <w:tab/>
      </w:r>
      <w:r w:rsidRPr="00214959">
        <w:rPr>
          <w:rStyle w:val="Refdenotaalpie"/>
          <w:szCs w:val="16"/>
        </w:rPr>
        <w:footnoteRef/>
      </w:r>
      <w:r>
        <w:tab/>
      </w:r>
      <w:r w:rsidRPr="00055918">
        <w:t>Ministerio de Justicia y Derechos Humanos</w:t>
      </w:r>
      <w:r w:rsidRPr="004B2D0B">
        <w:t xml:space="preserve">. D.S. </w:t>
      </w:r>
      <w:r>
        <w:t>núm.</w:t>
      </w:r>
      <w:r w:rsidRPr="004B2D0B">
        <w:t xml:space="preserve"> 011-2012-JUS. Fe</w:t>
      </w:r>
      <w:r>
        <w:t>cha: 20 de abril de 2016. Artículo 101°.</w:t>
      </w:r>
    </w:p>
  </w:footnote>
  <w:footnote w:id="117">
    <w:p w:rsidR="007E0CA6" w:rsidRPr="00AB27CA" w:rsidRDefault="007E0CA6" w:rsidP="00F4219D">
      <w:pPr>
        <w:pStyle w:val="Textonotapie"/>
        <w:rPr>
          <w:lang w:val="pt-PT"/>
        </w:rPr>
      </w:pPr>
      <w:r>
        <w:tab/>
      </w:r>
      <w:r w:rsidRPr="00214959">
        <w:rPr>
          <w:rStyle w:val="Refdenotaalpie"/>
          <w:szCs w:val="16"/>
        </w:rPr>
        <w:footnoteRef/>
      </w:r>
      <w:r>
        <w:tab/>
        <w:t xml:space="preserve"> </w:t>
      </w:r>
      <w:r w:rsidRPr="00055918">
        <w:rPr>
          <w:lang w:val="es-ES_tradnl"/>
        </w:rPr>
        <w:t>Ministerio de Justicia y Derechos Humanos</w:t>
      </w:r>
      <w:r w:rsidRPr="004B2D0B">
        <w:t xml:space="preserve">. Dirección General de Defensa Pública y Acceso a la Justicia (DGDPAJ). </w:t>
      </w:r>
      <w:r w:rsidRPr="00AB27CA">
        <w:rPr>
          <w:lang w:val="pt-PT"/>
        </w:rPr>
        <w:t xml:space="preserve">Oficio </w:t>
      </w:r>
      <w:r>
        <w:rPr>
          <w:lang w:val="pt-PT"/>
        </w:rPr>
        <w:t>núm.</w:t>
      </w:r>
      <w:r w:rsidRPr="00AB27CA">
        <w:rPr>
          <w:lang w:val="pt-PT"/>
        </w:rPr>
        <w:t xml:space="preserve"> 01014-2016-JUS-DGDP. Fecha: 29</w:t>
      </w:r>
      <w:r>
        <w:rPr>
          <w:lang w:val="pt-PT"/>
        </w:rPr>
        <w:t xml:space="preserve"> de septiembre de </w:t>
      </w:r>
      <w:r w:rsidRPr="00AB27CA">
        <w:rPr>
          <w:lang w:val="pt-PT"/>
        </w:rPr>
        <w:t xml:space="preserve">2016. Informe </w:t>
      </w:r>
      <w:r>
        <w:rPr>
          <w:lang w:val="pt-PT"/>
        </w:rPr>
        <w:t>núm.</w:t>
      </w:r>
      <w:r w:rsidRPr="00AB27CA">
        <w:rPr>
          <w:lang w:val="pt-PT"/>
        </w:rPr>
        <w:t xml:space="preserve"> 00018-2016-JUS/DGDP-DDP-FEVP (</w:t>
      </w:r>
      <w:r>
        <w:rPr>
          <w:lang w:val="pt-PT"/>
        </w:rPr>
        <w:t xml:space="preserve">Fecha: 26 de septiembre de 2016). Págs. 3 y 4. </w:t>
      </w:r>
    </w:p>
  </w:footnote>
  <w:footnote w:id="118">
    <w:p w:rsidR="007E0CA6" w:rsidRPr="00AB27CA" w:rsidRDefault="007E0CA6" w:rsidP="00F4219D">
      <w:pPr>
        <w:pStyle w:val="Textonotapie"/>
        <w:rPr>
          <w:lang w:val="pt-PT"/>
        </w:rPr>
      </w:pPr>
      <w:r>
        <w:rPr>
          <w:lang w:val="pt-PT"/>
        </w:rPr>
        <w:tab/>
      </w:r>
      <w:r w:rsidRPr="00214959">
        <w:rPr>
          <w:rStyle w:val="Refdenotaalpie"/>
          <w:rFonts w:eastAsiaTheme="majorEastAsia"/>
          <w:szCs w:val="16"/>
        </w:rPr>
        <w:footnoteRef/>
      </w:r>
      <w:r>
        <w:rPr>
          <w:lang w:val="pt-PT"/>
        </w:rPr>
        <w:tab/>
      </w:r>
      <w:r w:rsidRPr="00742A2C">
        <w:rPr>
          <w:i/>
          <w:lang w:val="pt-PT"/>
        </w:rPr>
        <w:t>Idem</w:t>
      </w:r>
      <w:r>
        <w:rPr>
          <w:lang w:val="pt-PT"/>
        </w:rPr>
        <w:t>, págs.5 y 6.</w:t>
      </w:r>
    </w:p>
  </w:footnote>
  <w:footnote w:id="119">
    <w:p w:rsidR="007E0CA6" w:rsidRPr="004B2D0B" w:rsidRDefault="007E0CA6" w:rsidP="00F4219D">
      <w:pPr>
        <w:pStyle w:val="Textonotapie"/>
      </w:pPr>
      <w:r>
        <w:tab/>
      </w:r>
      <w:r w:rsidRPr="00214959">
        <w:rPr>
          <w:rStyle w:val="Refdenotaalpie"/>
          <w:szCs w:val="16"/>
        </w:rPr>
        <w:footnoteRef/>
      </w:r>
      <w:r>
        <w:tab/>
      </w:r>
      <w:proofErr w:type="spellStart"/>
      <w:r w:rsidRPr="00742A2C">
        <w:rPr>
          <w:i/>
        </w:rPr>
        <w:t>Idem</w:t>
      </w:r>
      <w:proofErr w:type="spellEnd"/>
      <w:r>
        <w:t>, pág. 17.</w:t>
      </w:r>
    </w:p>
  </w:footnote>
  <w:footnote w:id="120">
    <w:p w:rsidR="007E0CA6" w:rsidRPr="00AB27CA" w:rsidRDefault="007E0CA6" w:rsidP="00F4219D">
      <w:pPr>
        <w:pStyle w:val="Textonotapie"/>
        <w:rPr>
          <w:lang w:val="pt-PT"/>
        </w:rPr>
      </w:pPr>
      <w:r>
        <w:tab/>
      </w:r>
      <w:r w:rsidRPr="00214959">
        <w:rPr>
          <w:rStyle w:val="Refdenotaalpie"/>
          <w:szCs w:val="16"/>
        </w:rPr>
        <w:footnoteRef/>
      </w:r>
      <w:r>
        <w:tab/>
      </w:r>
      <w:r w:rsidRPr="00055918">
        <w:t>Ministerio de Justicia y Derechos Humanos</w:t>
      </w:r>
      <w:r w:rsidRPr="004B2D0B">
        <w:t xml:space="preserve">. Dirección General de Defensa Pública y Acceso a la Justicia. </w:t>
      </w:r>
      <w:r w:rsidRPr="00AB27CA">
        <w:rPr>
          <w:lang w:val="pt-PT"/>
        </w:rPr>
        <w:t xml:space="preserve">Oficio </w:t>
      </w:r>
      <w:r>
        <w:rPr>
          <w:lang w:val="pt-PT"/>
        </w:rPr>
        <w:t>núm.</w:t>
      </w:r>
      <w:r w:rsidRPr="00AB27CA">
        <w:rPr>
          <w:lang w:val="pt-PT"/>
        </w:rPr>
        <w:t xml:space="preserve"> 1037-2016-JUS-DGDP. Fecha: 5</w:t>
      </w:r>
      <w:r>
        <w:rPr>
          <w:lang w:val="pt-PT"/>
        </w:rPr>
        <w:t xml:space="preserve"> de octubre de </w:t>
      </w:r>
      <w:r w:rsidRPr="00AB27CA">
        <w:rPr>
          <w:lang w:val="pt-PT"/>
        </w:rPr>
        <w:t xml:space="preserve">2016. Informe Técnico </w:t>
      </w:r>
      <w:r>
        <w:rPr>
          <w:lang w:val="pt-PT"/>
        </w:rPr>
        <w:t>núm. 032-2016-JUS/DGDP-WEM. Pág. 3.</w:t>
      </w:r>
    </w:p>
  </w:footnote>
  <w:footnote w:id="121">
    <w:p w:rsidR="007E0CA6" w:rsidRPr="00AB27CA" w:rsidRDefault="007E0CA6" w:rsidP="00F4219D">
      <w:pPr>
        <w:pStyle w:val="Textonotapie"/>
        <w:rPr>
          <w:lang w:val="pt-PT"/>
        </w:rPr>
      </w:pPr>
      <w:r>
        <w:rPr>
          <w:lang w:val="pt-PT"/>
        </w:rPr>
        <w:tab/>
      </w:r>
      <w:r w:rsidRPr="00214959">
        <w:rPr>
          <w:rStyle w:val="Refdenotaalpie"/>
          <w:szCs w:val="16"/>
        </w:rPr>
        <w:footnoteRef/>
      </w:r>
      <w:r>
        <w:rPr>
          <w:lang w:val="pt-PT"/>
        </w:rPr>
        <w:tab/>
      </w:r>
      <w:r w:rsidRPr="00742A2C">
        <w:rPr>
          <w:i/>
          <w:lang w:val="pt-PT"/>
        </w:rPr>
        <w:t>Idem</w:t>
      </w:r>
      <w:r>
        <w:rPr>
          <w:lang w:val="pt-PT"/>
        </w:rPr>
        <w:t>, pág. 7.</w:t>
      </w:r>
    </w:p>
  </w:footnote>
  <w:footnote w:id="122">
    <w:p w:rsidR="007E0CA6" w:rsidRPr="004B2D0B" w:rsidRDefault="007E0CA6" w:rsidP="00F4219D">
      <w:pPr>
        <w:pStyle w:val="Textonotapie"/>
      </w:pPr>
      <w:r>
        <w:tab/>
      </w:r>
      <w:r w:rsidRPr="00214959">
        <w:rPr>
          <w:rStyle w:val="Refdenotaalpie"/>
          <w:szCs w:val="16"/>
        </w:rPr>
        <w:footnoteRef/>
      </w:r>
      <w:r>
        <w:tab/>
        <w:t>Poder Ejecutivo</w:t>
      </w:r>
      <w:r w:rsidRPr="004B2D0B">
        <w:t>. Decreto Legi</w:t>
      </w:r>
      <w:r>
        <w:t xml:space="preserve">slativo núm. 1325. Artículo 13°. </w:t>
      </w:r>
    </w:p>
  </w:footnote>
  <w:footnote w:id="123">
    <w:p w:rsidR="007E0CA6" w:rsidRPr="004B2D0B" w:rsidRDefault="007E0CA6" w:rsidP="00F4219D">
      <w:pPr>
        <w:pStyle w:val="Textonotapie"/>
        <w:rPr>
          <w:lang w:val="es-PE"/>
        </w:rPr>
      </w:pPr>
      <w:r>
        <w:tab/>
      </w:r>
      <w:r w:rsidRPr="00214959">
        <w:rPr>
          <w:rStyle w:val="Refdenotaalpie"/>
          <w:szCs w:val="16"/>
        </w:rPr>
        <w:footnoteRef/>
      </w:r>
      <w:r>
        <w:tab/>
      </w:r>
      <w:r w:rsidRPr="00055918">
        <w:t>Ministerio de Justicia y Derechos Humanos</w:t>
      </w:r>
      <w:r w:rsidRPr="004B2D0B">
        <w:rPr>
          <w:lang w:val="es-PE"/>
        </w:rPr>
        <w:t>. Plan Anticorrupción del Ministerio de Justicia y Derechos Humanos 2013</w:t>
      </w:r>
      <w:r>
        <w:rPr>
          <w:lang w:val="es-PE"/>
        </w:rPr>
        <w:t>-</w:t>
      </w:r>
      <w:r w:rsidRPr="004B2D0B">
        <w:rPr>
          <w:lang w:val="es-PE"/>
        </w:rPr>
        <w:t xml:space="preserve">2016. Anexo </w:t>
      </w:r>
      <w:r>
        <w:rPr>
          <w:lang w:val="es-PE"/>
        </w:rPr>
        <w:t>núm.</w:t>
      </w:r>
      <w:r w:rsidRPr="004B2D0B">
        <w:rPr>
          <w:lang w:val="es-PE"/>
        </w:rPr>
        <w:t xml:space="preserve"> 3. Pág. 62 </w:t>
      </w:r>
      <w:r>
        <w:rPr>
          <w:lang w:val="es-PE"/>
        </w:rPr>
        <w:t>a</w:t>
      </w:r>
      <w:r w:rsidRPr="004B2D0B">
        <w:rPr>
          <w:lang w:val="es-PE"/>
        </w:rPr>
        <w:t xml:space="preserve"> 64. Consulta: 23</w:t>
      </w:r>
      <w:r>
        <w:rPr>
          <w:lang w:val="es-PE"/>
        </w:rPr>
        <w:t xml:space="preserve"> de junio de </w:t>
      </w:r>
      <w:r w:rsidRPr="004B2D0B">
        <w:rPr>
          <w:lang w:val="es-PE"/>
        </w:rPr>
        <w:t>2016. Disponible en: http://www.minjus.gob.pe/wp-content/uploads/2013/11/plan-anticorrupcion-justicia-2013-2016.pdf</w:t>
      </w:r>
      <w:r>
        <w:rPr>
          <w:lang w:val="es-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A6" w:rsidRPr="007758CF" w:rsidRDefault="007E0CA6" w:rsidP="00B32BBD">
    <w:pPr>
      <w:pStyle w:val="Encabezado"/>
      <w:tabs>
        <w:tab w:val="left" w:pos="2324"/>
      </w:tabs>
      <w:rPr>
        <w:lang w:val="en-US"/>
      </w:rPr>
    </w:pPr>
    <w:r w:rsidRPr="007758CF">
      <w:rPr>
        <w:lang w:val="en-US"/>
      </w:rPr>
      <w:t>CAT/OP/PER/1/Add.1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A6" w:rsidRPr="007758CF" w:rsidRDefault="007E0CA6" w:rsidP="003E0C9F">
    <w:pPr>
      <w:pStyle w:val="Encabezado"/>
      <w:jc w:val="right"/>
      <w:rPr>
        <w:lang w:val="en-US"/>
      </w:rPr>
    </w:pPr>
    <w:r w:rsidRPr="007758CF">
      <w:rPr>
        <w:lang w:val="en-US"/>
      </w:rPr>
      <w:t>CAT/OP/PER/1/Add.1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A1262D"/>
    <w:multiLevelType w:val="multilevel"/>
    <w:tmpl w:val="8E189D88"/>
    <w:lvl w:ilvl="0">
      <w:start w:val="120"/>
      <w:numFmt w:val="decimal"/>
      <w:lvlText w:val="%1"/>
      <w:lvlJc w:val="left"/>
      <w:pPr>
        <w:ind w:left="540" w:hanging="540"/>
      </w:pPr>
      <w:rPr>
        <w:rFonts w:hint="default"/>
      </w:rPr>
    </w:lvl>
    <w:lvl w:ilvl="1">
      <w:start w:val="1"/>
      <w:numFmt w:val="decimal"/>
      <w:lvlText w:val="%1.%2"/>
      <w:lvlJc w:val="left"/>
      <w:pPr>
        <w:ind w:left="937" w:hanging="54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1" w15:restartNumberingAfterBreak="0">
    <w:nsid w:val="02E53430"/>
    <w:multiLevelType w:val="multilevel"/>
    <w:tmpl w:val="A880E5CE"/>
    <w:lvl w:ilvl="0">
      <w:start w:val="1"/>
      <w:numFmt w:val="decimal"/>
      <w:lvlText w:val="%1."/>
      <w:lvlJc w:val="left"/>
      <w:pPr>
        <w:ind w:left="1070" w:hanging="360"/>
      </w:pPr>
      <w:rPr>
        <w:rFonts w:ascii="Times New Roman" w:hAnsi="Times New Roman" w:cs="Times New Roman" w:hint="default"/>
        <w:b w:val="0"/>
        <w:i w:val="0"/>
        <w:color w:val="auto"/>
        <w:sz w:val="22"/>
        <w:szCs w:val="22"/>
      </w:rPr>
    </w:lvl>
    <w:lvl w:ilvl="1">
      <w:start w:val="1"/>
      <w:numFmt w:val="decimal"/>
      <w:lvlText w:val="%1.%2."/>
      <w:lvlJc w:val="left"/>
      <w:pPr>
        <w:ind w:left="79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A0AC2"/>
    <w:multiLevelType w:val="multilevel"/>
    <w:tmpl w:val="CFC0A24A"/>
    <w:lvl w:ilvl="0">
      <w:start w:val="126"/>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D5F2B"/>
    <w:multiLevelType w:val="multilevel"/>
    <w:tmpl w:val="EA6E2BB8"/>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B66E49"/>
    <w:multiLevelType w:val="multilevel"/>
    <w:tmpl w:val="4050A9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73738E"/>
    <w:multiLevelType w:val="multilevel"/>
    <w:tmpl w:val="C468842C"/>
    <w:lvl w:ilvl="0">
      <w:start w:val="153"/>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59A43C79"/>
    <w:multiLevelType w:val="hybridMultilevel"/>
    <w:tmpl w:val="04685380"/>
    <w:lvl w:ilvl="0" w:tplc="DC6A9046">
      <w:start w:val="1"/>
      <w:numFmt w:val="lowerRoman"/>
      <w:lvlText w:val="(%1)"/>
      <w:lvlJc w:val="left"/>
      <w:pPr>
        <w:ind w:left="1080" w:hanging="720"/>
      </w:pPr>
      <w:rPr>
        <w:rFonts w:ascii="Times New Roman" w:eastAsia="Times New Roman"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6D2945"/>
    <w:multiLevelType w:val="multilevel"/>
    <w:tmpl w:val="DBAA8C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20"/>
  </w:num>
  <w:num w:numId="3">
    <w:abstractNumId w:val="18"/>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4"/>
  </w:num>
  <w:num w:numId="18">
    <w:abstractNumId w:val="15"/>
  </w:num>
  <w:num w:numId="19">
    <w:abstractNumId w:val="21"/>
  </w:num>
  <w:num w:numId="20">
    <w:abstractNumId w:val="17"/>
  </w:num>
  <w:num w:numId="21">
    <w:abstractNumId w:val="10"/>
  </w:num>
  <w:num w:numId="22">
    <w:abstractNumId w:val="12"/>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99"/>
    <w:rsid w:val="00001656"/>
    <w:rsid w:val="00006BB9"/>
    <w:rsid w:val="000164A0"/>
    <w:rsid w:val="00055918"/>
    <w:rsid w:val="00070CA0"/>
    <w:rsid w:val="000B57E7"/>
    <w:rsid w:val="000D7C62"/>
    <w:rsid w:val="000E122C"/>
    <w:rsid w:val="000F09DF"/>
    <w:rsid w:val="000F61B2"/>
    <w:rsid w:val="00103EFD"/>
    <w:rsid w:val="001075E9"/>
    <w:rsid w:val="00115349"/>
    <w:rsid w:val="0015425F"/>
    <w:rsid w:val="00155C74"/>
    <w:rsid w:val="00160FF7"/>
    <w:rsid w:val="00180183"/>
    <w:rsid w:val="0018060E"/>
    <w:rsid w:val="00190B99"/>
    <w:rsid w:val="00196389"/>
    <w:rsid w:val="001B04E7"/>
    <w:rsid w:val="001B513E"/>
    <w:rsid w:val="001B624D"/>
    <w:rsid w:val="001C772C"/>
    <w:rsid w:val="001C7A89"/>
    <w:rsid w:val="001E652F"/>
    <w:rsid w:val="00214959"/>
    <w:rsid w:val="00215FAC"/>
    <w:rsid w:val="0022765D"/>
    <w:rsid w:val="00261B80"/>
    <w:rsid w:val="00275C68"/>
    <w:rsid w:val="0028026A"/>
    <w:rsid w:val="002A2EFC"/>
    <w:rsid w:val="002C0E18"/>
    <w:rsid w:val="002C33BB"/>
    <w:rsid w:val="002D5AAC"/>
    <w:rsid w:val="00301299"/>
    <w:rsid w:val="00322004"/>
    <w:rsid w:val="00330A0E"/>
    <w:rsid w:val="00336851"/>
    <w:rsid w:val="003402C2"/>
    <w:rsid w:val="003662D0"/>
    <w:rsid w:val="00371372"/>
    <w:rsid w:val="00375431"/>
    <w:rsid w:val="00381C24"/>
    <w:rsid w:val="003958D0"/>
    <w:rsid w:val="003B06B9"/>
    <w:rsid w:val="003E0C9F"/>
    <w:rsid w:val="003E3860"/>
    <w:rsid w:val="003E7721"/>
    <w:rsid w:val="00403B5F"/>
    <w:rsid w:val="0041418E"/>
    <w:rsid w:val="004275EC"/>
    <w:rsid w:val="00454E07"/>
    <w:rsid w:val="0047036F"/>
    <w:rsid w:val="004B2994"/>
    <w:rsid w:val="004C7964"/>
    <w:rsid w:val="0050108D"/>
    <w:rsid w:val="00512DF5"/>
    <w:rsid w:val="00561C11"/>
    <w:rsid w:val="00572E19"/>
    <w:rsid w:val="005734FA"/>
    <w:rsid w:val="00583560"/>
    <w:rsid w:val="005E3185"/>
    <w:rsid w:val="005F0B42"/>
    <w:rsid w:val="005F16AE"/>
    <w:rsid w:val="005F2345"/>
    <w:rsid w:val="00627833"/>
    <w:rsid w:val="00655A21"/>
    <w:rsid w:val="00676D6B"/>
    <w:rsid w:val="006808A9"/>
    <w:rsid w:val="006928EB"/>
    <w:rsid w:val="006A4CE0"/>
    <w:rsid w:val="006B5350"/>
    <w:rsid w:val="006C1A4E"/>
    <w:rsid w:val="006E78B0"/>
    <w:rsid w:val="006F35EE"/>
    <w:rsid w:val="006F6C28"/>
    <w:rsid w:val="007021FF"/>
    <w:rsid w:val="00702F10"/>
    <w:rsid w:val="007076CB"/>
    <w:rsid w:val="0073240B"/>
    <w:rsid w:val="00742A2C"/>
    <w:rsid w:val="00744102"/>
    <w:rsid w:val="00753B36"/>
    <w:rsid w:val="00767828"/>
    <w:rsid w:val="00773DE4"/>
    <w:rsid w:val="00774483"/>
    <w:rsid w:val="00774ECC"/>
    <w:rsid w:val="007758CF"/>
    <w:rsid w:val="007967DF"/>
    <w:rsid w:val="007A4752"/>
    <w:rsid w:val="007B5512"/>
    <w:rsid w:val="007D1802"/>
    <w:rsid w:val="007E0CA6"/>
    <w:rsid w:val="007F38A0"/>
    <w:rsid w:val="0081068B"/>
    <w:rsid w:val="00810DFC"/>
    <w:rsid w:val="00812E97"/>
    <w:rsid w:val="0081591E"/>
    <w:rsid w:val="00820755"/>
    <w:rsid w:val="008223FD"/>
    <w:rsid w:val="00834B71"/>
    <w:rsid w:val="0084754A"/>
    <w:rsid w:val="0086445C"/>
    <w:rsid w:val="0087010F"/>
    <w:rsid w:val="0087567D"/>
    <w:rsid w:val="008841A8"/>
    <w:rsid w:val="00895E46"/>
    <w:rsid w:val="008A08D7"/>
    <w:rsid w:val="008A13F9"/>
    <w:rsid w:val="008D061E"/>
    <w:rsid w:val="00906890"/>
    <w:rsid w:val="00910B7E"/>
    <w:rsid w:val="00941F3D"/>
    <w:rsid w:val="00943163"/>
    <w:rsid w:val="00951972"/>
    <w:rsid w:val="00952325"/>
    <w:rsid w:val="009572BD"/>
    <w:rsid w:val="00963777"/>
    <w:rsid w:val="00965C56"/>
    <w:rsid w:val="009843D1"/>
    <w:rsid w:val="009E4A9F"/>
    <w:rsid w:val="009F3AAE"/>
    <w:rsid w:val="00A0115D"/>
    <w:rsid w:val="00A028FD"/>
    <w:rsid w:val="00A16630"/>
    <w:rsid w:val="00A17DFD"/>
    <w:rsid w:val="00A2680F"/>
    <w:rsid w:val="00A540BB"/>
    <w:rsid w:val="00A6214A"/>
    <w:rsid w:val="00A647C0"/>
    <w:rsid w:val="00A764EB"/>
    <w:rsid w:val="00A917B3"/>
    <w:rsid w:val="00A9564E"/>
    <w:rsid w:val="00A957D1"/>
    <w:rsid w:val="00A9792F"/>
    <w:rsid w:val="00AA5EAC"/>
    <w:rsid w:val="00AB4B51"/>
    <w:rsid w:val="00AC50EF"/>
    <w:rsid w:val="00AC5B8D"/>
    <w:rsid w:val="00B10CC7"/>
    <w:rsid w:val="00B271C1"/>
    <w:rsid w:val="00B32BBD"/>
    <w:rsid w:val="00B34DBF"/>
    <w:rsid w:val="00B45F9C"/>
    <w:rsid w:val="00B52259"/>
    <w:rsid w:val="00B62458"/>
    <w:rsid w:val="00B67AED"/>
    <w:rsid w:val="00B94EAA"/>
    <w:rsid w:val="00BB10CE"/>
    <w:rsid w:val="00BD33EE"/>
    <w:rsid w:val="00BF4687"/>
    <w:rsid w:val="00C14FEC"/>
    <w:rsid w:val="00C26C04"/>
    <w:rsid w:val="00C3381F"/>
    <w:rsid w:val="00C37FDE"/>
    <w:rsid w:val="00C429E9"/>
    <w:rsid w:val="00C47121"/>
    <w:rsid w:val="00C57360"/>
    <w:rsid w:val="00C60F0C"/>
    <w:rsid w:val="00C71AAB"/>
    <w:rsid w:val="00C805C9"/>
    <w:rsid w:val="00C9507C"/>
    <w:rsid w:val="00C97111"/>
    <w:rsid w:val="00CA1679"/>
    <w:rsid w:val="00CD0954"/>
    <w:rsid w:val="00D03969"/>
    <w:rsid w:val="00D13CA3"/>
    <w:rsid w:val="00D4612E"/>
    <w:rsid w:val="00D51B34"/>
    <w:rsid w:val="00D751E9"/>
    <w:rsid w:val="00D90138"/>
    <w:rsid w:val="00D90D44"/>
    <w:rsid w:val="00D95A8F"/>
    <w:rsid w:val="00DA2911"/>
    <w:rsid w:val="00DA5A55"/>
    <w:rsid w:val="00DC4C3F"/>
    <w:rsid w:val="00DF29B2"/>
    <w:rsid w:val="00E026EE"/>
    <w:rsid w:val="00E14BCD"/>
    <w:rsid w:val="00E33CA6"/>
    <w:rsid w:val="00E568E5"/>
    <w:rsid w:val="00E73F76"/>
    <w:rsid w:val="00E92B5D"/>
    <w:rsid w:val="00EB0523"/>
    <w:rsid w:val="00EC38A9"/>
    <w:rsid w:val="00ED3F84"/>
    <w:rsid w:val="00EE4E94"/>
    <w:rsid w:val="00EF1360"/>
    <w:rsid w:val="00EF2381"/>
    <w:rsid w:val="00EF3220"/>
    <w:rsid w:val="00F10730"/>
    <w:rsid w:val="00F4219D"/>
    <w:rsid w:val="00F54E13"/>
    <w:rsid w:val="00F617E7"/>
    <w:rsid w:val="00F8743D"/>
    <w:rsid w:val="00F94155"/>
    <w:rsid w:val="00F97674"/>
    <w:rsid w:val="00FD22F2"/>
    <w:rsid w:val="00FD2EF7"/>
    <w:rsid w:val="00FD4AD6"/>
    <w:rsid w:val="00FF1481"/>
    <w:rsid w:val="00FF1E5D"/>
    <w:rsid w:val="00FF59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34306DC6-8175-47E1-AF1D-96D57C06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link w:val="Ttulo1Car"/>
    <w:uiPriority w:val="9"/>
    <w:qFormat/>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Texto de nota al pie,Footnotes refss,Appel note de bas de page,Footnote number,referencia nota al pie,BVI fnr,f,CVR Ref. de nota al pie,Footnote Reference.SES,16 Point,Superscript 6 Point,ftref,Ref,de nota al pie,Ref Car"/>
    <w:basedOn w:val="Fuentedeprrafopredeter"/>
    <w:link w:val="BVIfnrCar1CarCarCarCarCarCarCarCar"/>
    <w:uiPriority w:val="99"/>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Texto,nota,pie,Ref.,al,Geneva 9,Font: Geneva 9,Boston 10,Fußnotentextr"/>
    <w:basedOn w:val="Normal"/>
    <w:link w:val="TextonotapieCar"/>
    <w:uiPriority w:val="99"/>
    <w:qFormat/>
    <w:rsid w:val="006A4CE0"/>
    <w:pPr>
      <w:tabs>
        <w:tab w:val="right" w:pos="1021"/>
      </w:tabs>
      <w:spacing w:line="220" w:lineRule="exact"/>
      <w:ind w:left="1134" w:right="1134" w:hanging="1134"/>
    </w:pPr>
    <w:rPr>
      <w:sz w:val="18"/>
    </w:rPr>
  </w:style>
  <w:style w:type="table" w:styleId="Tablaconcuadrcula">
    <w:name w:val="Table Grid"/>
    <w:basedOn w:val="Tablanormal"/>
    <w:uiPriority w:val="39"/>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1"/>
      </w:numPr>
    </w:pPr>
  </w:style>
  <w:style w:type="numbering" w:styleId="1ai">
    <w:name w:val="Outline List 1"/>
    <w:basedOn w:val="Sinlista"/>
    <w:semiHidden/>
    <w:rsid w:val="006A4CE0"/>
    <w:pPr>
      <w:numPr>
        <w:numId w:val="2"/>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3"/>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uiPriority w:val="99"/>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6"/>
      </w:numPr>
    </w:pPr>
  </w:style>
  <w:style w:type="paragraph" w:styleId="Listaconnmeros2">
    <w:name w:val="List Number 2"/>
    <w:basedOn w:val="Normal"/>
    <w:semiHidden/>
    <w:rsid w:val="006A4CE0"/>
    <w:pPr>
      <w:numPr>
        <w:numId w:val="7"/>
      </w:numPr>
    </w:pPr>
  </w:style>
  <w:style w:type="paragraph" w:styleId="Listaconnmeros3">
    <w:name w:val="List Number 3"/>
    <w:basedOn w:val="Normal"/>
    <w:semiHidden/>
    <w:rsid w:val="006A4CE0"/>
    <w:pPr>
      <w:numPr>
        <w:numId w:val="8"/>
      </w:numPr>
    </w:pPr>
  </w:style>
  <w:style w:type="paragraph" w:styleId="Listaconnmeros4">
    <w:name w:val="List Number 4"/>
    <w:basedOn w:val="Normal"/>
    <w:semiHidden/>
    <w:rsid w:val="006A4CE0"/>
    <w:pPr>
      <w:numPr>
        <w:numId w:val="9"/>
      </w:numPr>
    </w:pPr>
  </w:style>
  <w:style w:type="paragraph" w:styleId="Listaconnmeros5">
    <w:name w:val="List Number 5"/>
    <w:basedOn w:val="Normal"/>
    <w:semiHidden/>
    <w:rsid w:val="006A4CE0"/>
    <w:pPr>
      <w:numPr>
        <w:numId w:val="10"/>
      </w:numPr>
    </w:pPr>
  </w:style>
  <w:style w:type="paragraph" w:styleId="Listaconvietas">
    <w:name w:val="List Bullet"/>
    <w:basedOn w:val="Normal"/>
    <w:semiHidden/>
    <w:rsid w:val="006A4CE0"/>
    <w:pPr>
      <w:numPr>
        <w:numId w:val="11"/>
      </w:numPr>
    </w:pPr>
  </w:style>
  <w:style w:type="paragraph" w:styleId="Listaconvietas2">
    <w:name w:val="List Bullet 2"/>
    <w:basedOn w:val="Normal"/>
    <w:semiHidden/>
    <w:rsid w:val="006A4CE0"/>
    <w:pPr>
      <w:numPr>
        <w:numId w:val="12"/>
      </w:numPr>
    </w:pPr>
  </w:style>
  <w:style w:type="paragraph" w:styleId="Listaconvietas3">
    <w:name w:val="List Bullet 3"/>
    <w:basedOn w:val="Normal"/>
    <w:semiHidden/>
    <w:rsid w:val="006A4CE0"/>
    <w:pPr>
      <w:numPr>
        <w:numId w:val="13"/>
      </w:numPr>
    </w:pPr>
  </w:style>
  <w:style w:type="paragraph" w:styleId="Listaconvietas4">
    <w:name w:val="List Bullet 4"/>
    <w:basedOn w:val="Normal"/>
    <w:semiHidden/>
    <w:rsid w:val="006A4CE0"/>
    <w:pPr>
      <w:numPr>
        <w:numId w:val="14"/>
      </w:numPr>
    </w:pPr>
  </w:style>
  <w:style w:type="paragraph" w:styleId="Listaconvietas5">
    <w:name w:val="List Bullet 5"/>
    <w:basedOn w:val="Normal"/>
    <w:semiHidden/>
    <w:rsid w:val="006A4CE0"/>
    <w:pPr>
      <w:numPr>
        <w:numId w:val="1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uiPriority w:val="99"/>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uiPriority w:val="99"/>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link w:val="TextonotaalfinalCar"/>
    <w:uiPriority w:val="99"/>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4"/>
      </w:numPr>
      <w:spacing w:after="120"/>
      <w:ind w:right="1134"/>
      <w:jc w:val="both"/>
    </w:pPr>
    <w:rPr>
      <w:lang w:eastAsia="en-US"/>
    </w:rPr>
  </w:style>
  <w:style w:type="paragraph" w:customStyle="1" w:styleId="Bullet2G">
    <w:name w:val="_Bullet 2_G"/>
    <w:basedOn w:val="Normal"/>
    <w:qFormat/>
    <w:rsid w:val="006A4CE0"/>
    <w:pPr>
      <w:numPr>
        <w:numId w:val="5"/>
      </w:numPr>
      <w:spacing w:after="120"/>
      <w:ind w:right="1134"/>
      <w:jc w:val="both"/>
    </w:pPr>
  </w:style>
  <w:style w:type="paragraph" w:styleId="Textodeglobo">
    <w:name w:val="Balloon Text"/>
    <w:basedOn w:val="Normal"/>
    <w:link w:val="TextodegloboCar"/>
    <w:uiPriority w:val="99"/>
    <w:semiHidden/>
    <w:rsid w:val="00190B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B99"/>
    <w:rPr>
      <w:rFonts w:ascii="Tahoma" w:hAnsi="Tahoma" w:cs="Tahoma"/>
      <w:sz w:val="16"/>
      <w:szCs w:val="16"/>
      <w:lang w:val="es-ES" w:eastAsia="es-ES"/>
    </w:rPr>
  </w:style>
  <w:style w:type="character" w:customStyle="1" w:styleId="SingleTxtGChar">
    <w:name w:val="_ Single Txt_G Char"/>
    <w:link w:val="SingleTxtG"/>
    <w:rsid w:val="006E78B0"/>
    <w:rPr>
      <w:lang w:val="es-ES" w:eastAsia="es-ES"/>
    </w:rPr>
  </w:style>
  <w:style w:type="character" w:customStyle="1" w:styleId="Ttulo1Car">
    <w:name w:val="Título 1 Car"/>
    <w:aliases w:val="Table_G Car"/>
    <w:basedOn w:val="Fuentedeprrafopredeter"/>
    <w:link w:val="Ttulo1"/>
    <w:uiPriority w:val="9"/>
    <w:rsid w:val="00A764EB"/>
    <w:rPr>
      <w:rFonts w:cs="Arial"/>
      <w:bCs/>
      <w:szCs w:val="32"/>
      <w:lang w:val="es-ES" w:eastAsia="es-ES"/>
    </w:rPr>
  </w:style>
  <w:style w:type="character" w:customStyle="1" w:styleId="FootnoteTextChar">
    <w:name w:val="Footnote Text Char"/>
    <w:basedOn w:val="Fuentedeprrafopredeter"/>
    <w:uiPriority w:val="99"/>
    <w:semiHidden/>
    <w:rsid w:val="00A764EB"/>
    <w:rPr>
      <w:rFonts w:ascii="Century Schoolbook" w:eastAsia="Times New Roman" w:hAnsi="Century Schoolbook" w:cs="Times New Roman"/>
      <w:color w:val="414751"/>
      <w:sz w:val="20"/>
      <w:szCs w:val="20"/>
      <w:lang w:val="es-ES"/>
    </w:rPr>
  </w:style>
  <w:style w:type="character" w:customStyle="1" w:styleId="TextonotapieCar">
    <w:name w:val="Texto nota pie Car"/>
    <w:aliases w:val="5_G Car,Footnote Text Char Char Char Char Char Car,Footnote Text Char Char Char Char Car,Footnote reference Car,FA Fu Car,Footnote Text Char Char Char Car,Texto Car,nota Car,pie Car,Ref. Car,al Car,Geneva 9 Car,Font: Geneva 9 Car"/>
    <w:basedOn w:val="Fuentedeprrafopredeter"/>
    <w:link w:val="Textonotapie"/>
    <w:uiPriority w:val="99"/>
    <w:rsid w:val="00A764EB"/>
    <w:rPr>
      <w:sz w:val="18"/>
      <w:lang w:val="es-ES" w:eastAsia="es-ES"/>
    </w:rPr>
  </w:style>
  <w:style w:type="paragraph" w:customStyle="1" w:styleId="BVIfnrCar1CarCarCarCarCarCarCarCar">
    <w:name w:val="BVI fnr Car1 Car Car Car Car Car Car Car Car"/>
    <w:aliases w:val="ftref Car Car Car Car Car Car Car Car Car Car Car Car Car Car, BVI fnr"/>
    <w:basedOn w:val="Normal"/>
    <w:link w:val="Refdenotaalpie"/>
    <w:uiPriority w:val="99"/>
    <w:rsid w:val="00A764EB"/>
    <w:pPr>
      <w:spacing w:before="200" w:after="160" w:line="240" w:lineRule="exact"/>
    </w:pPr>
    <w:rPr>
      <w:sz w:val="18"/>
      <w:vertAlign w:val="superscript"/>
      <w:lang w:val="en-US" w:eastAsia="zh-CN"/>
    </w:rPr>
  </w:style>
  <w:style w:type="character" w:customStyle="1" w:styleId="EncabezadoCar">
    <w:name w:val="Encabezado Car"/>
    <w:aliases w:val="6_G Car"/>
    <w:basedOn w:val="Fuentedeprrafopredeter"/>
    <w:link w:val="Encabezado"/>
    <w:uiPriority w:val="99"/>
    <w:rsid w:val="00A764EB"/>
    <w:rPr>
      <w:b/>
      <w:sz w:val="18"/>
      <w:lang w:val="es-ES" w:eastAsia="es-ES"/>
    </w:rPr>
  </w:style>
  <w:style w:type="character" w:customStyle="1" w:styleId="PiedepginaCar">
    <w:name w:val="Pie de página Car"/>
    <w:aliases w:val="3_G Car"/>
    <w:basedOn w:val="Fuentedeprrafopredeter"/>
    <w:link w:val="Piedepgina"/>
    <w:uiPriority w:val="99"/>
    <w:rsid w:val="00A764EB"/>
    <w:rPr>
      <w:sz w:val="16"/>
      <w:lang w:val="es-ES" w:eastAsia="es-ES"/>
    </w:rPr>
  </w:style>
  <w:style w:type="paragraph" w:styleId="Prrafodelista">
    <w:name w:val="List Paragraph"/>
    <w:aliases w:val="Fundamentacion,Footnote,List Paragraph1,NUMBERED PARAGRAPH,List Paragraph 1,References,ReferencesCxSpLast,lp1,NIVEL ONE"/>
    <w:basedOn w:val="Normal"/>
    <w:link w:val="PrrafodelistaCar"/>
    <w:uiPriority w:val="34"/>
    <w:qFormat/>
    <w:rsid w:val="00A764EB"/>
    <w:pPr>
      <w:spacing w:after="200" w:line="276" w:lineRule="auto"/>
      <w:ind w:left="720"/>
      <w:contextualSpacing/>
    </w:pPr>
    <w:rPr>
      <w:rFonts w:ascii="Century Schoolbook" w:hAnsi="Century Schoolbook"/>
      <w:color w:val="414751"/>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A764EB"/>
    <w:pPr>
      <w:spacing w:before="200" w:after="160" w:line="240" w:lineRule="exact"/>
    </w:pPr>
    <w:rPr>
      <w:rFonts w:asciiTheme="minorHAnsi" w:eastAsiaTheme="minorHAnsi" w:hAnsiTheme="minorHAnsi" w:cstheme="minorBidi"/>
      <w:sz w:val="22"/>
      <w:szCs w:val="22"/>
      <w:vertAlign w:val="superscript"/>
      <w:lang w:val="es-PE" w:eastAsia="en-US"/>
    </w:rPr>
  </w:style>
  <w:style w:type="character" w:customStyle="1" w:styleId="PrrafodelistaCar">
    <w:name w:val="Párrafo de lista Car"/>
    <w:aliases w:val="Fundamentacion Car,Footnote Car,List Paragraph1 Car,NUMBERED PARAGRAPH Car,List Paragraph 1 Car,References Car,ReferencesCxSpLast Car,lp1 Car,NIVEL ONE Car"/>
    <w:link w:val="Prrafodelista"/>
    <w:uiPriority w:val="34"/>
    <w:rsid w:val="00A764EB"/>
    <w:rPr>
      <w:rFonts w:ascii="Century Schoolbook" w:hAnsi="Century Schoolbook"/>
      <w:color w:val="414751"/>
      <w:lang w:val="es-ES" w:eastAsia="en-US"/>
    </w:rPr>
  </w:style>
  <w:style w:type="paragraph" w:styleId="TtuloTDC">
    <w:name w:val="TOC Heading"/>
    <w:basedOn w:val="Ttulo1"/>
    <w:next w:val="Normal"/>
    <w:uiPriority w:val="39"/>
    <w:unhideWhenUsed/>
    <w:qFormat/>
    <w:rsid w:val="00A764EB"/>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s-PE" w:eastAsia="es-PE"/>
    </w:rPr>
  </w:style>
  <w:style w:type="paragraph" w:styleId="TDC1">
    <w:name w:val="toc 1"/>
    <w:basedOn w:val="Normal"/>
    <w:next w:val="Normal"/>
    <w:autoRedefine/>
    <w:uiPriority w:val="39"/>
    <w:unhideWhenUsed/>
    <w:rsid w:val="00A764EB"/>
    <w:pPr>
      <w:tabs>
        <w:tab w:val="left" w:pos="400"/>
        <w:tab w:val="right" w:leader="dot" w:pos="8494"/>
      </w:tabs>
      <w:spacing w:after="100" w:line="276" w:lineRule="auto"/>
      <w:ind w:left="284" w:hanging="284"/>
    </w:pPr>
    <w:rPr>
      <w:rFonts w:ascii="Century Schoolbook" w:hAnsi="Century Schoolbook"/>
      <w:color w:val="414751"/>
      <w:lang w:eastAsia="en-US"/>
    </w:rPr>
  </w:style>
  <w:style w:type="paragraph" w:styleId="TDC2">
    <w:name w:val="toc 2"/>
    <w:basedOn w:val="Normal"/>
    <w:next w:val="Normal"/>
    <w:autoRedefine/>
    <w:uiPriority w:val="39"/>
    <w:unhideWhenUsed/>
    <w:rsid w:val="00A764EB"/>
    <w:pPr>
      <w:tabs>
        <w:tab w:val="left" w:pos="709"/>
        <w:tab w:val="right" w:leader="dot" w:pos="8494"/>
      </w:tabs>
      <w:spacing w:after="100" w:line="276" w:lineRule="auto"/>
      <w:ind w:left="426"/>
    </w:pPr>
    <w:rPr>
      <w:rFonts w:ascii="Century Schoolbook" w:hAnsi="Century Schoolbook"/>
      <w:color w:val="414751"/>
      <w:lang w:eastAsia="en-US"/>
    </w:rPr>
  </w:style>
  <w:style w:type="paragraph" w:styleId="TDC3">
    <w:name w:val="toc 3"/>
    <w:basedOn w:val="Normal"/>
    <w:next w:val="Normal"/>
    <w:autoRedefine/>
    <w:uiPriority w:val="39"/>
    <w:unhideWhenUsed/>
    <w:rsid w:val="00A764EB"/>
    <w:pPr>
      <w:tabs>
        <w:tab w:val="left" w:pos="1760"/>
        <w:tab w:val="right" w:leader="dot" w:pos="8494"/>
      </w:tabs>
      <w:spacing w:after="100" w:line="276" w:lineRule="auto"/>
      <w:ind w:left="1134"/>
    </w:pPr>
    <w:rPr>
      <w:rFonts w:ascii="Century Schoolbook" w:hAnsi="Century Schoolbook"/>
      <w:color w:val="414751"/>
      <w:lang w:eastAsia="en-US"/>
    </w:rPr>
  </w:style>
  <w:style w:type="character" w:customStyle="1" w:styleId="TextonotaalfinalCar">
    <w:name w:val="Texto nota al final Car"/>
    <w:aliases w:val="2_G Car"/>
    <w:basedOn w:val="Fuentedeprrafopredeter"/>
    <w:link w:val="Textonotaalfinal"/>
    <w:uiPriority w:val="99"/>
    <w:rsid w:val="00A764EB"/>
    <w:rPr>
      <w:sz w:val="18"/>
      <w:lang w:val="es-ES" w:eastAsia="es-ES"/>
    </w:rPr>
  </w:style>
  <w:style w:type="character" w:customStyle="1" w:styleId="UnresolvedMention">
    <w:name w:val="Unresolved Mention"/>
    <w:basedOn w:val="Fuentedeprrafopredeter"/>
    <w:uiPriority w:val="99"/>
    <w:semiHidden/>
    <w:unhideWhenUsed/>
    <w:rsid w:val="00A764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pp2.inpe.gob.pe/Resolucion/cache/Gestion/2016/Directiva/DI-007-2016-INPE-DT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A551-4648-4F8F-B1D8-06ED13D1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11098</Words>
  <Characters>61039</Characters>
  <Application>Microsoft Office Word</Application>
  <DocSecurity>0</DocSecurity>
  <Lines>508</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M/CONF/TEMPLATE/1</vt:lpstr>
      <vt:lpstr>M/CONF/TEMPLATE/1</vt:lpstr>
    </vt:vector>
  </TitlesOfParts>
  <Company>OHCHR</Company>
  <LinksUpToDate>false</LinksUpToDate>
  <CharactersWithSpaces>71994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CAT/OP/PER/1/Add.1</dc:title>
  <dc:subject>Final</dc:subject>
  <dc:creator>Korol</dc:creator>
  <cp:keywords/>
  <dc:description/>
  <cp:lastModifiedBy>Generic TPSSPA1</cp:lastModifiedBy>
  <cp:revision>3</cp:revision>
  <cp:lastPrinted>2017-08-08T12:20:00Z</cp:lastPrinted>
  <dcterms:created xsi:type="dcterms:W3CDTF">2017-08-08T12:20:00Z</dcterms:created>
  <dcterms:modified xsi:type="dcterms:W3CDTF">2017-08-08T12:21:00Z</dcterms:modified>
</cp:coreProperties>
</file>