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B75B325" w14:textId="77777777" w:rsidTr="00B52F49">
        <w:trPr>
          <w:trHeight w:hRule="exact" w:val="851"/>
        </w:trPr>
        <w:tc>
          <w:tcPr>
            <w:tcW w:w="1280" w:type="dxa"/>
            <w:tcBorders>
              <w:bottom w:val="single" w:sz="4" w:space="0" w:color="auto"/>
            </w:tcBorders>
          </w:tcPr>
          <w:p w14:paraId="6AE8C4E5" w14:textId="77777777" w:rsidR="002D5AAC" w:rsidRDefault="002D5AAC" w:rsidP="00B52F49">
            <w:pPr>
              <w:kinsoku w:val="0"/>
              <w:overflowPunct w:val="0"/>
              <w:autoSpaceDE w:val="0"/>
              <w:autoSpaceDN w:val="0"/>
              <w:adjustRightInd w:val="0"/>
              <w:snapToGrid w:val="0"/>
            </w:pPr>
          </w:p>
        </w:tc>
        <w:tc>
          <w:tcPr>
            <w:tcW w:w="2273" w:type="dxa"/>
            <w:tcBorders>
              <w:bottom w:val="single" w:sz="4" w:space="0" w:color="auto"/>
            </w:tcBorders>
            <w:vAlign w:val="bottom"/>
          </w:tcPr>
          <w:p w14:paraId="7ED681F2" w14:textId="77777777"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6440B64" w14:textId="1BFA37FD" w:rsidR="002D5AAC" w:rsidRDefault="00B52F49" w:rsidP="00B52F49">
            <w:pPr>
              <w:jc w:val="right"/>
            </w:pPr>
            <w:r w:rsidRPr="00B52F49">
              <w:rPr>
                <w:sz w:val="40"/>
              </w:rPr>
              <w:t>CED</w:t>
            </w:r>
            <w:r>
              <w:t>/C/22/1</w:t>
            </w:r>
          </w:p>
        </w:tc>
      </w:tr>
      <w:tr w:rsidR="002D5AAC" w14:paraId="55F09226" w14:textId="77777777" w:rsidTr="00B52F49">
        <w:trPr>
          <w:trHeight w:hRule="exact" w:val="2835"/>
        </w:trPr>
        <w:tc>
          <w:tcPr>
            <w:tcW w:w="1280" w:type="dxa"/>
            <w:tcBorders>
              <w:top w:val="single" w:sz="4" w:space="0" w:color="auto"/>
              <w:bottom w:val="single" w:sz="12" w:space="0" w:color="auto"/>
            </w:tcBorders>
          </w:tcPr>
          <w:p w14:paraId="6D669F01" w14:textId="77777777" w:rsidR="002D5AAC" w:rsidRDefault="00477509" w:rsidP="008F7CAA">
            <w:pPr>
              <w:spacing w:before="120"/>
              <w:jc w:val="center"/>
            </w:pPr>
            <w:r>
              <w:rPr>
                <w:noProof/>
              </w:rPr>
              <w:drawing>
                <wp:inline distT="0" distB="0" distL="0" distR="0" wp14:anchorId="375E5386" wp14:editId="38B71B3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4EEE047"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14:paraId="4357D67E" w14:textId="77777777" w:rsidR="002D5AAC" w:rsidRDefault="00B52F49" w:rsidP="008F7CAA">
            <w:pPr>
              <w:spacing w:before="240"/>
            </w:pPr>
            <w:r>
              <w:t>Distr. general</w:t>
            </w:r>
          </w:p>
          <w:p w14:paraId="3CF2F91D" w14:textId="69B8DDC3" w:rsidR="00B52F49" w:rsidRDefault="00A40C47" w:rsidP="00B52F49">
            <w:pPr>
              <w:spacing w:line="240" w:lineRule="exact"/>
            </w:pPr>
            <w:r>
              <w:t xml:space="preserve">10 </w:t>
            </w:r>
            <w:r w:rsidR="00B52F49">
              <w:t>de noviembre de 2021</w:t>
            </w:r>
          </w:p>
          <w:p w14:paraId="4B0DDD0C" w14:textId="77777777" w:rsidR="00B52F49" w:rsidRDefault="00B52F49" w:rsidP="00B52F49">
            <w:pPr>
              <w:spacing w:line="240" w:lineRule="exact"/>
            </w:pPr>
            <w:r>
              <w:t>Español</w:t>
            </w:r>
          </w:p>
          <w:p w14:paraId="00CF6A9B" w14:textId="77777777" w:rsidR="00B52F49" w:rsidRDefault="00B52F49" w:rsidP="00B52F49">
            <w:pPr>
              <w:spacing w:line="240" w:lineRule="exact"/>
            </w:pPr>
            <w:r>
              <w:t>Original: inglés</w:t>
            </w:r>
          </w:p>
          <w:p w14:paraId="2B1EC176" w14:textId="38C6E2A6" w:rsidR="005E1D08" w:rsidRDefault="005E1D08" w:rsidP="00B52F49">
            <w:pPr>
              <w:spacing w:line="240" w:lineRule="exact"/>
            </w:pPr>
            <w:r>
              <w:t>Español, francés e inglés únicamente</w:t>
            </w:r>
          </w:p>
        </w:tc>
      </w:tr>
    </w:tbl>
    <w:p w14:paraId="45E4E6FD" w14:textId="77777777" w:rsidR="00B52F49" w:rsidRPr="00B52F49" w:rsidRDefault="00B52F49" w:rsidP="00B52F49">
      <w:pPr>
        <w:spacing w:before="120"/>
        <w:rPr>
          <w:b/>
          <w:bCs/>
          <w:sz w:val="24"/>
          <w:szCs w:val="24"/>
        </w:rPr>
      </w:pPr>
      <w:bookmarkStart w:id="0" w:name="_GoBack"/>
      <w:bookmarkEnd w:id="0"/>
      <w:r w:rsidRPr="00B52F49">
        <w:rPr>
          <w:b/>
          <w:bCs/>
          <w:sz w:val="24"/>
          <w:szCs w:val="24"/>
        </w:rPr>
        <w:t>Comité contra la Desaparición Forzada</w:t>
      </w:r>
    </w:p>
    <w:p w14:paraId="797E5C77" w14:textId="77777777" w:rsidR="00B52F49" w:rsidRPr="00B52F49" w:rsidRDefault="00B52F49" w:rsidP="00B52F49">
      <w:pPr>
        <w:rPr>
          <w:b/>
          <w:bCs/>
        </w:rPr>
      </w:pPr>
      <w:r w:rsidRPr="00B52F49">
        <w:rPr>
          <w:b/>
          <w:bCs/>
        </w:rPr>
        <w:t>22º período de sesiones</w:t>
      </w:r>
    </w:p>
    <w:p w14:paraId="7FAE28ED" w14:textId="77777777" w:rsidR="00B52F49" w:rsidRPr="00B52F49" w:rsidRDefault="00B52F49" w:rsidP="00B52F49">
      <w:r w:rsidRPr="00B52F49">
        <w:t>28 de marzo a 8 de abril de 2022</w:t>
      </w:r>
    </w:p>
    <w:p w14:paraId="57651B49" w14:textId="77777777" w:rsidR="00B52F49" w:rsidRPr="00B52F49" w:rsidRDefault="00B52F49" w:rsidP="00B52F49">
      <w:r w:rsidRPr="00B52F49">
        <w:t>Tema 1 del programa provisional</w:t>
      </w:r>
    </w:p>
    <w:p w14:paraId="5CD49DDA" w14:textId="77777777" w:rsidR="00B52F49" w:rsidRPr="00B52F49" w:rsidRDefault="00B52F49" w:rsidP="00B52F49">
      <w:pPr>
        <w:rPr>
          <w:b/>
          <w:bCs/>
        </w:rPr>
      </w:pPr>
      <w:r w:rsidRPr="00B52F49">
        <w:rPr>
          <w:b/>
          <w:bCs/>
        </w:rPr>
        <w:t>Aprobación del programa</w:t>
      </w:r>
    </w:p>
    <w:p w14:paraId="63B8A855" w14:textId="720220AF" w:rsidR="00B52F49" w:rsidRPr="00B52F49" w:rsidRDefault="00B52F49" w:rsidP="00B52F49">
      <w:pPr>
        <w:pStyle w:val="HChG"/>
      </w:pPr>
      <w:r w:rsidRPr="00B52F49">
        <w:tab/>
      </w:r>
      <w:r>
        <w:tab/>
      </w:r>
      <w:r w:rsidRPr="00B52F49">
        <w:t>Programa provisional anotado</w:t>
      </w:r>
    </w:p>
    <w:p w14:paraId="3E1EB38C" w14:textId="56ACCA4E" w:rsidR="00B52F49" w:rsidRPr="00B52F49" w:rsidRDefault="00B52F49" w:rsidP="00B52F49">
      <w:pPr>
        <w:pStyle w:val="H1G"/>
      </w:pPr>
      <w:r>
        <w:tab/>
      </w:r>
      <w:r w:rsidRPr="00B52F49">
        <w:tab/>
        <w:t>Programa provisional</w:t>
      </w:r>
    </w:p>
    <w:p w14:paraId="3ADAE690" w14:textId="77777777" w:rsidR="00B52F49" w:rsidRPr="00B52F49" w:rsidRDefault="00B52F49" w:rsidP="00B52F49">
      <w:pPr>
        <w:pStyle w:val="SingleTxtG"/>
        <w:ind w:left="1701" w:hanging="567"/>
      </w:pPr>
      <w:r w:rsidRPr="00B52F49">
        <w:t>1.</w:t>
      </w:r>
      <w:r w:rsidRPr="00B52F49">
        <w:tab/>
        <w:t>Aprobación del programa.</w:t>
      </w:r>
    </w:p>
    <w:p w14:paraId="7ACC00F2" w14:textId="77777777" w:rsidR="00B52F49" w:rsidRPr="00B52F49" w:rsidRDefault="00B52F49" w:rsidP="00B52F49">
      <w:pPr>
        <w:pStyle w:val="SingleTxtG"/>
        <w:ind w:left="1701" w:hanging="567"/>
      </w:pPr>
      <w:r w:rsidRPr="00B52F49">
        <w:t>2.</w:t>
      </w:r>
      <w:r w:rsidRPr="00B52F49">
        <w:tab/>
        <w:t>Homenaje a las víctimas de desaparición forzada.</w:t>
      </w:r>
    </w:p>
    <w:p w14:paraId="7F4D2D8F" w14:textId="77777777" w:rsidR="00B52F49" w:rsidRPr="00B52F49" w:rsidRDefault="00B52F49" w:rsidP="00B52F49">
      <w:pPr>
        <w:pStyle w:val="SingleTxtG"/>
        <w:ind w:left="1701" w:hanging="567"/>
      </w:pPr>
      <w:r w:rsidRPr="00B52F49">
        <w:t>3.</w:t>
      </w:r>
      <w:r w:rsidRPr="00B52F49">
        <w:tab/>
        <w:t>Informes de los miembros del Comité sobre las actividades realizadas entre los períodos de sesiones 21º y 22º del Comité.</w:t>
      </w:r>
    </w:p>
    <w:p w14:paraId="4ED9CBA6" w14:textId="77777777" w:rsidR="00B52F49" w:rsidRPr="00B52F49" w:rsidRDefault="00B52F49" w:rsidP="00B52F49">
      <w:pPr>
        <w:pStyle w:val="SingleTxtG"/>
        <w:ind w:left="1701" w:hanging="567"/>
      </w:pPr>
      <w:r w:rsidRPr="00B52F49">
        <w:t>4.</w:t>
      </w:r>
      <w:r w:rsidRPr="00B52F49">
        <w:tab/>
        <w:t>Información recibida por el Comité.</w:t>
      </w:r>
    </w:p>
    <w:p w14:paraId="14666D28" w14:textId="77777777" w:rsidR="00B52F49" w:rsidRPr="00B52F49" w:rsidRDefault="00B52F49" w:rsidP="00B52F49">
      <w:pPr>
        <w:pStyle w:val="SingleTxtG"/>
        <w:ind w:left="1701" w:hanging="567"/>
      </w:pPr>
      <w:r w:rsidRPr="00B52F49">
        <w:t>5.</w:t>
      </w:r>
      <w:r w:rsidRPr="00B52F49">
        <w:tab/>
        <w:t>Asuntos relacionados con los métodos de trabajo del Comité:</w:t>
      </w:r>
    </w:p>
    <w:p w14:paraId="387666CE" w14:textId="3B08E0FB" w:rsidR="00B52F49" w:rsidRPr="00B52F49" w:rsidRDefault="00B52F49" w:rsidP="00B52F49">
      <w:pPr>
        <w:pStyle w:val="SingleTxtG"/>
        <w:ind w:left="2268" w:hanging="567"/>
      </w:pPr>
      <w:r w:rsidRPr="00B52F49">
        <w:t>a)</w:t>
      </w:r>
      <w:r w:rsidRPr="00B52F49">
        <w:tab/>
        <w:t>Métodos de trabajo en relación con los artículos 29 a 34 de la Convención;</w:t>
      </w:r>
    </w:p>
    <w:p w14:paraId="3152CD6B" w14:textId="5EABCB08" w:rsidR="00B52F49" w:rsidRPr="00B52F49" w:rsidRDefault="00B52F49" w:rsidP="00B52F49">
      <w:pPr>
        <w:pStyle w:val="SingleTxtG"/>
        <w:ind w:left="2268" w:hanging="567"/>
      </w:pPr>
      <w:r w:rsidRPr="00B52F49">
        <w:t>b)</w:t>
      </w:r>
      <w:r w:rsidRPr="00B52F49">
        <w:tab/>
        <w:t>Revisión del reglamento y de los métodos de trabajo del Comité;</w:t>
      </w:r>
    </w:p>
    <w:p w14:paraId="509F60E1" w14:textId="7F98E78A" w:rsidR="00B52F49" w:rsidRPr="00B52F49" w:rsidRDefault="00B52F49" w:rsidP="00B52F49">
      <w:pPr>
        <w:pStyle w:val="SingleTxtG"/>
        <w:ind w:left="2268" w:hanging="567"/>
      </w:pPr>
      <w:r w:rsidRPr="00B52F49">
        <w:t>c)</w:t>
      </w:r>
      <w:r w:rsidRPr="00B52F49">
        <w:tab/>
        <w:t>Desaparición forzada en el contexto de la migración;</w:t>
      </w:r>
    </w:p>
    <w:p w14:paraId="0D547DDE" w14:textId="27F7A015" w:rsidR="00B52F49" w:rsidRPr="00B52F49" w:rsidRDefault="00B52F49" w:rsidP="00B52F49">
      <w:pPr>
        <w:pStyle w:val="SingleTxtG"/>
        <w:ind w:left="2268" w:hanging="567"/>
      </w:pPr>
      <w:r w:rsidRPr="00B52F49">
        <w:t>d)</w:t>
      </w:r>
      <w:r w:rsidRPr="00B52F49">
        <w:tab/>
        <w:t>Desaparición forzada y agentes no estatales;</w:t>
      </w:r>
    </w:p>
    <w:p w14:paraId="7D6D7739" w14:textId="61C4FE59" w:rsidR="00B52F49" w:rsidRPr="00B52F49" w:rsidRDefault="00B52F49" w:rsidP="00B52F49">
      <w:pPr>
        <w:pStyle w:val="SingleTxtG"/>
        <w:ind w:left="2268" w:hanging="567"/>
      </w:pPr>
      <w:r w:rsidRPr="00B52F49">
        <w:t>e)</w:t>
      </w:r>
      <w:r w:rsidRPr="00B52F49">
        <w:tab/>
        <w:t>Propuesta de celebración de un foro mundial para promover la ratificación de la Convención;</w:t>
      </w:r>
    </w:p>
    <w:p w14:paraId="6B83D425" w14:textId="5D5E896D" w:rsidR="00B52F49" w:rsidRPr="00B52F49" w:rsidRDefault="00B52F49" w:rsidP="00B52F49">
      <w:pPr>
        <w:pStyle w:val="SingleTxtG"/>
        <w:ind w:left="2268" w:hanging="567"/>
      </w:pPr>
      <w:r w:rsidRPr="00B52F49">
        <w:t>f)</w:t>
      </w:r>
      <w:r w:rsidRPr="00B52F49">
        <w:tab/>
        <w:t>Examen del folleto informativo sobre las desapariciones forzadas o involuntarias;</w:t>
      </w:r>
    </w:p>
    <w:p w14:paraId="3B6E74D2" w14:textId="0ECB066C" w:rsidR="00B52F49" w:rsidRPr="00B52F49" w:rsidRDefault="00B52F49" w:rsidP="00B52F49">
      <w:pPr>
        <w:pStyle w:val="SingleTxtG"/>
        <w:ind w:left="2268" w:hanging="567"/>
      </w:pPr>
      <w:r w:rsidRPr="00B52F49">
        <w:t>g)</w:t>
      </w:r>
      <w:r w:rsidRPr="00B52F49">
        <w:tab/>
        <w:t>Otros asuntos.</w:t>
      </w:r>
    </w:p>
    <w:p w14:paraId="17846CFD" w14:textId="77777777" w:rsidR="00B52F49" w:rsidRPr="00B52F49" w:rsidRDefault="00B52F49" w:rsidP="00B52F49">
      <w:pPr>
        <w:pStyle w:val="SingleTxtG"/>
        <w:ind w:left="1701" w:hanging="567"/>
      </w:pPr>
      <w:r w:rsidRPr="00B52F49">
        <w:t>6.</w:t>
      </w:r>
      <w:r w:rsidRPr="00B52F49">
        <w:tab/>
        <w:t>Examen de los informes de los Estados partes en la Convención.</w:t>
      </w:r>
    </w:p>
    <w:p w14:paraId="4E55F170" w14:textId="77777777" w:rsidR="00B52F49" w:rsidRPr="00B52F49" w:rsidRDefault="00B52F49" w:rsidP="00B52F49">
      <w:pPr>
        <w:pStyle w:val="SingleTxtG"/>
        <w:ind w:left="1701" w:hanging="567"/>
      </w:pPr>
      <w:r w:rsidRPr="00B52F49">
        <w:t>7.</w:t>
      </w:r>
      <w:r w:rsidRPr="00B52F49">
        <w:tab/>
        <w:t>Reuniones con organizaciones no gubernamentales, instituciones nacionales de derechos humanos y organismos de las Naciones Unidas.</w:t>
      </w:r>
    </w:p>
    <w:p w14:paraId="521C331F" w14:textId="77777777" w:rsidR="00B52F49" w:rsidRPr="00B52F49" w:rsidRDefault="00B52F49" w:rsidP="00B52F49">
      <w:pPr>
        <w:pStyle w:val="SingleTxtG"/>
        <w:ind w:left="1701" w:hanging="567"/>
      </w:pPr>
      <w:r w:rsidRPr="00B52F49">
        <w:t>8.</w:t>
      </w:r>
      <w:r w:rsidRPr="00B52F49">
        <w:tab/>
        <w:t>Examen de las listas de cuestiones.</w:t>
      </w:r>
    </w:p>
    <w:p w14:paraId="1EE21982" w14:textId="77777777" w:rsidR="00B52F49" w:rsidRPr="00B52F49" w:rsidRDefault="00B52F49" w:rsidP="00B52F49">
      <w:pPr>
        <w:pStyle w:val="SingleTxtG"/>
        <w:ind w:left="1701" w:hanging="567"/>
      </w:pPr>
      <w:r w:rsidRPr="00B52F49">
        <w:t>9.</w:t>
      </w:r>
      <w:r w:rsidRPr="00B52F49">
        <w:tab/>
      </w:r>
      <w:bookmarkStart w:id="1" w:name="_Hlk88044210"/>
      <w:r w:rsidRPr="00B52F49">
        <w:t>Visitas efectuadas por el Comité (art. 33 de la Convención)</w:t>
      </w:r>
      <w:bookmarkEnd w:id="1"/>
      <w:r w:rsidRPr="00B52F49">
        <w:t>.</w:t>
      </w:r>
    </w:p>
    <w:p w14:paraId="62F9639F" w14:textId="77777777" w:rsidR="00B52F49" w:rsidRPr="00B52F49" w:rsidRDefault="00B52F49" w:rsidP="00B52F49">
      <w:pPr>
        <w:pStyle w:val="SingleTxtG"/>
        <w:ind w:left="1701" w:hanging="567"/>
      </w:pPr>
      <w:r w:rsidRPr="00B52F49">
        <w:t>10.</w:t>
      </w:r>
      <w:r w:rsidRPr="00B52F49">
        <w:tab/>
        <w:t>Seguimiento de las observaciones finales sobre los informes de los Estados partes.</w:t>
      </w:r>
      <w:bookmarkStart w:id="2" w:name="_Hlk42615411"/>
      <w:bookmarkEnd w:id="2"/>
    </w:p>
    <w:p w14:paraId="146FAAF9" w14:textId="77777777" w:rsidR="00B52F49" w:rsidRPr="00B52F49" w:rsidRDefault="00B52F49" w:rsidP="00B52F49">
      <w:pPr>
        <w:pStyle w:val="SingleTxtG"/>
        <w:ind w:left="1701" w:hanging="567"/>
      </w:pPr>
      <w:r w:rsidRPr="00B52F49">
        <w:t>11.</w:t>
      </w:r>
      <w:r w:rsidRPr="00B52F49">
        <w:tab/>
        <w:t>Examen del informe sobre las peticiones de acción urgente (art. 30 de la Convención).</w:t>
      </w:r>
    </w:p>
    <w:p w14:paraId="1AFECEA1" w14:textId="77777777" w:rsidR="00B52F49" w:rsidRPr="00B52F49" w:rsidRDefault="00B52F49" w:rsidP="00B52F49">
      <w:pPr>
        <w:pStyle w:val="SingleTxtG"/>
        <w:ind w:left="1701" w:hanging="567"/>
      </w:pPr>
      <w:r w:rsidRPr="00B52F49">
        <w:t>12.</w:t>
      </w:r>
      <w:r w:rsidRPr="00B52F49">
        <w:tab/>
        <w:t>Examen de comunicaciones individuales (art. 31 de la Convención).</w:t>
      </w:r>
    </w:p>
    <w:p w14:paraId="3C49A47F" w14:textId="77777777" w:rsidR="00B52F49" w:rsidRPr="00B52F49" w:rsidRDefault="00B52F49" w:rsidP="00B52F49">
      <w:pPr>
        <w:pStyle w:val="SingleTxtG"/>
        <w:ind w:left="1701" w:hanging="567"/>
      </w:pPr>
      <w:r w:rsidRPr="00B52F49">
        <w:t>13.</w:t>
      </w:r>
      <w:r w:rsidRPr="00B52F49">
        <w:tab/>
        <w:t>Seguimiento de los dictámenes del Comité.</w:t>
      </w:r>
    </w:p>
    <w:p w14:paraId="703863D7" w14:textId="77777777" w:rsidR="00B52F49" w:rsidRPr="00B52F49" w:rsidRDefault="00B52F49" w:rsidP="00B52F49">
      <w:pPr>
        <w:pStyle w:val="SingleTxtG"/>
        <w:ind w:left="1701" w:hanging="567"/>
      </w:pPr>
      <w:r w:rsidRPr="00B52F49">
        <w:t>14.</w:t>
      </w:r>
      <w:r w:rsidRPr="00B52F49">
        <w:tab/>
        <w:t>Represalias.</w:t>
      </w:r>
    </w:p>
    <w:p w14:paraId="3E5B28CA" w14:textId="77777777" w:rsidR="00B52F49" w:rsidRPr="00B52F49" w:rsidRDefault="00B52F49" w:rsidP="00B52F49">
      <w:pPr>
        <w:pStyle w:val="SingleTxtG"/>
        <w:ind w:left="1701" w:hanging="567"/>
      </w:pPr>
      <w:r w:rsidRPr="00B52F49">
        <w:lastRenderedPageBreak/>
        <w:t>15.</w:t>
      </w:r>
      <w:r w:rsidRPr="00B52F49">
        <w:tab/>
        <w:t>Debate sobre el examen por la Asamblea General del estado del sistema de órganos creados en virtud de tratados de derechos humanos.</w:t>
      </w:r>
    </w:p>
    <w:p w14:paraId="4A38A69F" w14:textId="77777777" w:rsidR="00B52F49" w:rsidRPr="00B52F49" w:rsidRDefault="00B52F49" w:rsidP="00B52F49">
      <w:pPr>
        <w:pStyle w:val="SingleTxtG"/>
        <w:ind w:left="1701" w:hanging="567"/>
      </w:pPr>
      <w:r w:rsidRPr="00B52F49">
        <w:t>16.</w:t>
      </w:r>
      <w:r w:rsidRPr="00B52F49">
        <w:tab/>
        <w:t>Reuniones con titulares de mandatos de los procedimientos especiales y mecanismos regionales de derechos humanos.</w:t>
      </w:r>
    </w:p>
    <w:p w14:paraId="7A5D0869" w14:textId="77777777" w:rsidR="00B52F49" w:rsidRPr="00B52F49" w:rsidRDefault="00B52F49" w:rsidP="00B52F49">
      <w:pPr>
        <w:pStyle w:val="SingleTxtG"/>
        <w:ind w:left="1701" w:hanging="567"/>
      </w:pPr>
      <w:r w:rsidRPr="00B52F49">
        <w:t>17.</w:t>
      </w:r>
      <w:r w:rsidRPr="00B52F49">
        <w:tab/>
        <w:t>Programa provisional del 23</w:t>
      </w:r>
      <w:r w:rsidRPr="00B52F49">
        <w:rPr>
          <w:vertAlign w:val="superscript"/>
        </w:rPr>
        <w:t>er</w:t>
      </w:r>
      <w:r w:rsidRPr="00B52F49">
        <w:t xml:space="preserve"> período de sesiones.</w:t>
      </w:r>
    </w:p>
    <w:p w14:paraId="5E189E80" w14:textId="5AD4E986" w:rsidR="00B52F49" w:rsidRPr="00B52F49" w:rsidRDefault="00B52F49" w:rsidP="00B52F49">
      <w:pPr>
        <w:pStyle w:val="H1G"/>
      </w:pPr>
      <w:r w:rsidRPr="00B52F49">
        <w:tab/>
      </w:r>
      <w:r>
        <w:tab/>
      </w:r>
      <w:r w:rsidRPr="00B52F49">
        <w:t>Anotaciones</w:t>
      </w:r>
    </w:p>
    <w:p w14:paraId="7185862A" w14:textId="77777777" w:rsidR="00B52F49" w:rsidRPr="00B52F49" w:rsidRDefault="00B52F49" w:rsidP="00B52F49">
      <w:pPr>
        <w:pStyle w:val="H23G"/>
      </w:pPr>
      <w:r w:rsidRPr="00B52F49">
        <w:tab/>
        <w:t>1.</w:t>
      </w:r>
      <w:r w:rsidRPr="00B52F49">
        <w:tab/>
        <w:t>Aprobación del programa</w:t>
      </w:r>
    </w:p>
    <w:p w14:paraId="2A78E827" w14:textId="0B3A4A40" w:rsidR="00B52F49" w:rsidRPr="00B52F49" w:rsidRDefault="00B52F49" w:rsidP="00B52F49">
      <w:pPr>
        <w:pStyle w:val="SingleTxtG"/>
      </w:pPr>
      <w:r>
        <w:tab/>
      </w:r>
      <w:r w:rsidRPr="00B52F49">
        <w:t>De conformidad con el artículo 8 del reglamento, el primer tema del programa provisional de cada período de sesiones será la aprobación del programa, excepto cuando deban elegirse los miembros de la Mesa. En relación con este tema, el Comité examinará y aprobará el programa de su 22º período de sesiones.</w:t>
      </w:r>
    </w:p>
    <w:p w14:paraId="7B6EF369" w14:textId="77777777" w:rsidR="00B52F49" w:rsidRPr="00B52F49" w:rsidRDefault="00B52F49" w:rsidP="00B52F49">
      <w:pPr>
        <w:pStyle w:val="H23G"/>
      </w:pPr>
      <w:r w:rsidRPr="00B52F49">
        <w:tab/>
        <w:t>2.</w:t>
      </w:r>
      <w:r w:rsidRPr="00B52F49">
        <w:tab/>
        <w:t>Homenaje a las víctimas de desaparición forzada</w:t>
      </w:r>
    </w:p>
    <w:p w14:paraId="6A7CFBC7" w14:textId="563F2A8D" w:rsidR="00B52F49" w:rsidRPr="00B52F49" w:rsidRDefault="00B52F49" w:rsidP="00B52F49">
      <w:pPr>
        <w:pStyle w:val="SingleTxtG"/>
      </w:pPr>
      <w:r>
        <w:tab/>
      </w:r>
      <w:r w:rsidRPr="00B52F49">
        <w:t>El Comité rendirá homenaje a las víctimas de desaparición forzada.</w:t>
      </w:r>
    </w:p>
    <w:p w14:paraId="57D3EC37" w14:textId="350F90AC" w:rsidR="00B52F49" w:rsidRPr="00B52F49" w:rsidRDefault="00B52F49" w:rsidP="00B52F49">
      <w:pPr>
        <w:pStyle w:val="H23G"/>
      </w:pPr>
      <w:r w:rsidRPr="00B52F49">
        <w:tab/>
        <w:t>3.</w:t>
      </w:r>
      <w:r w:rsidRPr="00B52F49">
        <w:tab/>
        <w:t xml:space="preserve">Informes de los miembros del Comité sobre las actividades realizadas </w:t>
      </w:r>
      <w:r>
        <w:br/>
      </w:r>
      <w:r w:rsidRPr="00B52F49">
        <w:t>entre los períodos de sesiones 21º y 22º del Comité</w:t>
      </w:r>
    </w:p>
    <w:p w14:paraId="7819DB89" w14:textId="1609A637" w:rsidR="00B52F49" w:rsidRPr="00B52F49" w:rsidRDefault="00B52F49" w:rsidP="00B52F49">
      <w:pPr>
        <w:pStyle w:val="SingleTxtG"/>
        <w:rPr>
          <w:b/>
        </w:rPr>
      </w:pPr>
      <w:r w:rsidRPr="00B52F49">
        <w:rPr>
          <w:b/>
        </w:rPr>
        <w:tab/>
      </w:r>
      <w:r w:rsidRPr="00B52F49">
        <w:rPr>
          <w:bCs/>
        </w:rPr>
        <w:t>Los miembros del Comité informarán sobre las actividades que han realizado en relación con la Convención entre los períodos de sesiones 21º y 22º</w:t>
      </w:r>
      <w:r w:rsidRPr="00B52F49">
        <w:t>.</w:t>
      </w:r>
    </w:p>
    <w:p w14:paraId="130803A5" w14:textId="77777777" w:rsidR="00B52F49" w:rsidRPr="00B52F49" w:rsidRDefault="00B52F49" w:rsidP="00B52F49">
      <w:pPr>
        <w:pStyle w:val="H23G"/>
      </w:pPr>
      <w:r w:rsidRPr="00B52F49">
        <w:tab/>
        <w:t>4.</w:t>
      </w:r>
      <w:r w:rsidRPr="00B52F49">
        <w:tab/>
        <w:t>Información recibida por el Comité</w:t>
      </w:r>
    </w:p>
    <w:p w14:paraId="35808192" w14:textId="77777777" w:rsidR="00B52F49" w:rsidRPr="00B52F49" w:rsidRDefault="00B52F49" w:rsidP="00B52F49">
      <w:pPr>
        <w:pStyle w:val="SingleTxtG"/>
      </w:pPr>
      <w:r w:rsidRPr="00B52F49">
        <w:tab/>
        <w:t>El Comité examinará toda información que haya recibido en relación con los artículos 33 y 34 de la Convención.</w:t>
      </w:r>
    </w:p>
    <w:p w14:paraId="1DF79376" w14:textId="77777777" w:rsidR="00B52F49" w:rsidRPr="00B52F49" w:rsidRDefault="00B52F49" w:rsidP="00B52F49">
      <w:pPr>
        <w:pStyle w:val="H23G"/>
      </w:pPr>
      <w:r w:rsidRPr="00B52F49">
        <w:tab/>
        <w:t>5.</w:t>
      </w:r>
      <w:r w:rsidRPr="00B52F49">
        <w:tab/>
        <w:t>Asuntos relacionados con los métodos de trabajo del Comité</w:t>
      </w:r>
    </w:p>
    <w:p w14:paraId="3DE0CC0A" w14:textId="77777777" w:rsidR="00B52F49" w:rsidRPr="00B52F49" w:rsidRDefault="00B52F49" w:rsidP="00B52F49">
      <w:pPr>
        <w:pStyle w:val="H23G"/>
      </w:pPr>
      <w:r w:rsidRPr="00B52F49">
        <w:tab/>
        <w:t>a)</w:t>
      </w:r>
      <w:r w:rsidRPr="00B52F49">
        <w:tab/>
        <w:t>Métodos de trabajo en relación con los artículos 29 a 34 de la Convención</w:t>
      </w:r>
    </w:p>
    <w:p w14:paraId="740081FB" w14:textId="77777777" w:rsidR="00B52F49" w:rsidRPr="00B52F49" w:rsidRDefault="00B52F49" w:rsidP="00B52F49">
      <w:pPr>
        <w:pStyle w:val="SingleTxtG"/>
      </w:pPr>
      <w:r w:rsidRPr="00B52F49">
        <w:tab/>
        <w:t>El Comité proseguirá la elaboración de la metodología y los procedimientos de trabajo para llevar a la práctica los artículos 29 a 34 de la Convención. En particular, seguirá examinando la aplicación del artículo 29, párrafo 4.</w:t>
      </w:r>
    </w:p>
    <w:p w14:paraId="52877F08" w14:textId="77777777" w:rsidR="00B52F49" w:rsidRPr="00B52F49" w:rsidRDefault="00B52F49" w:rsidP="00B52F49">
      <w:pPr>
        <w:pStyle w:val="H23G"/>
      </w:pPr>
      <w:r w:rsidRPr="00B52F49">
        <w:tab/>
        <w:t>b)</w:t>
      </w:r>
      <w:r w:rsidRPr="00B52F49">
        <w:tab/>
        <w:t>Revisión del reglamento y de los métodos de trabajo del Comité</w:t>
      </w:r>
    </w:p>
    <w:p w14:paraId="332131B2" w14:textId="77777777" w:rsidR="00B52F49" w:rsidRPr="00B52F49" w:rsidRDefault="00B52F49" w:rsidP="00B52F49">
      <w:pPr>
        <w:pStyle w:val="SingleTxtG"/>
      </w:pPr>
      <w:r w:rsidRPr="00B52F49">
        <w:tab/>
        <w:t>El Comité proseguirá la revisión de su reglamento y de sus métodos de trabajo.</w:t>
      </w:r>
    </w:p>
    <w:p w14:paraId="1B7C40B3" w14:textId="77777777" w:rsidR="00B52F49" w:rsidRPr="00B52F49" w:rsidRDefault="00B52F49" w:rsidP="00B52F49">
      <w:pPr>
        <w:pStyle w:val="H23G"/>
      </w:pPr>
      <w:r w:rsidRPr="00B52F49">
        <w:tab/>
        <w:t>c)</w:t>
      </w:r>
      <w:r w:rsidRPr="00B52F49">
        <w:tab/>
        <w:t>Desaparición forzada en el contexto de la migración</w:t>
      </w:r>
    </w:p>
    <w:p w14:paraId="08CACE00" w14:textId="77777777" w:rsidR="00B52F49" w:rsidRPr="00B52F49" w:rsidRDefault="00B52F49" w:rsidP="00B52F49">
      <w:pPr>
        <w:pStyle w:val="SingleTxtG"/>
      </w:pPr>
      <w:r w:rsidRPr="00B52F49">
        <w:tab/>
        <w:t>El Comité proseguirá la elaboración de un proyecto de comentario general sobre la desaparición forzada en el contexto de la migración.</w:t>
      </w:r>
    </w:p>
    <w:p w14:paraId="674D879A" w14:textId="77777777" w:rsidR="00B52F49" w:rsidRPr="00B52F49" w:rsidRDefault="00B52F49" w:rsidP="00B52F49">
      <w:pPr>
        <w:pStyle w:val="H23G"/>
      </w:pPr>
      <w:r w:rsidRPr="00B52F49">
        <w:tab/>
        <w:t>d)</w:t>
      </w:r>
      <w:r w:rsidRPr="00B52F49">
        <w:tab/>
        <w:t>Desaparición forzada y agentes no estatales</w:t>
      </w:r>
    </w:p>
    <w:p w14:paraId="2458023A" w14:textId="77777777" w:rsidR="00B52F49" w:rsidRPr="00B52F49" w:rsidRDefault="00B52F49" w:rsidP="00B52F49">
      <w:pPr>
        <w:pStyle w:val="SingleTxtG"/>
      </w:pPr>
      <w:r w:rsidRPr="00B52F49">
        <w:tab/>
        <w:t>El Comité proseguirá la elaboración de un proyecto de declaración relativa a los agentes no estatales.</w:t>
      </w:r>
    </w:p>
    <w:p w14:paraId="5F5A3865" w14:textId="505050FE" w:rsidR="00B52F49" w:rsidRPr="00B52F49" w:rsidRDefault="00B52F49" w:rsidP="00B52F49">
      <w:pPr>
        <w:pStyle w:val="H23G"/>
      </w:pPr>
      <w:r w:rsidRPr="00B52F49">
        <w:tab/>
        <w:t>e)</w:t>
      </w:r>
      <w:r w:rsidRPr="00B52F49">
        <w:tab/>
        <w:t xml:space="preserve">Propuesta de celebración de un foro mundial para promover la ratificación </w:t>
      </w:r>
      <w:r>
        <w:br/>
      </w:r>
      <w:r w:rsidRPr="00B52F49">
        <w:t>de la Convención</w:t>
      </w:r>
    </w:p>
    <w:p w14:paraId="233265EA" w14:textId="77777777" w:rsidR="00B52F49" w:rsidRPr="00B52F49" w:rsidRDefault="00B52F49" w:rsidP="00B52F49">
      <w:pPr>
        <w:pStyle w:val="SingleTxtG"/>
      </w:pPr>
      <w:r w:rsidRPr="00B52F49">
        <w:tab/>
        <w:t>El Comité proseguirá su examen de la propuesta de celebración de un foro mundial para promover la ratificación de la Convención.</w:t>
      </w:r>
    </w:p>
    <w:p w14:paraId="5F7C9913" w14:textId="343FFE16" w:rsidR="00B52F49" w:rsidRPr="00B52F49" w:rsidRDefault="00B52F49" w:rsidP="00B52F49">
      <w:pPr>
        <w:pStyle w:val="H23G"/>
      </w:pPr>
      <w:r w:rsidRPr="00B52F49">
        <w:lastRenderedPageBreak/>
        <w:tab/>
        <w:t>f)</w:t>
      </w:r>
      <w:r w:rsidRPr="00B52F49">
        <w:tab/>
        <w:t xml:space="preserve"> Examen del folleto informativo sobre las desapariciones forzadas </w:t>
      </w:r>
      <w:r>
        <w:br/>
      </w:r>
      <w:r w:rsidRPr="00B52F49">
        <w:t>o involuntarias</w:t>
      </w:r>
    </w:p>
    <w:p w14:paraId="4A094A4A" w14:textId="77777777" w:rsidR="00B52F49" w:rsidRPr="00B52F49" w:rsidRDefault="00B52F49" w:rsidP="00B52F49">
      <w:pPr>
        <w:pStyle w:val="SingleTxtG"/>
      </w:pPr>
      <w:r w:rsidRPr="00B52F49">
        <w:tab/>
        <w:t xml:space="preserve">Los coordinadores del Comité y del Grupo de Trabajo sobre las Desapariciones Forzadas o Involuntarias informarán al Comité acerca de los progresos realizados en el examen del folleto informativo sobre las desapariciones forzadas o involuntarias. </w:t>
      </w:r>
      <w:r w:rsidRPr="00B52F49">
        <w:tab/>
      </w:r>
    </w:p>
    <w:p w14:paraId="6173D14C" w14:textId="77777777" w:rsidR="00B52F49" w:rsidRPr="00B52F49" w:rsidRDefault="00B52F49" w:rsidP="00B52F49">
      <w:pPr>
        <w:pStyle w:val="H23G"/>
      </w:pPr>
      <w:r w:rsidRPr="00B52F49">
        <w:tab/>
        <w:t>g)</w:t>
      </w:r>
      <w:r w:rsidRPr="00B52F49">
        <w:tab/>
        <w:t>Otros asuntos</w:t>
      </w:r>
    </w:p>
    <w:p w14:paraId="33313756" w14:textId="77777777" w:rsidR="00B52F49" w:rsidRPr="00B52F49" w:rsidRDefault="00B52F49" w:rsidP="00B52F49">
      <w:pPr>
        <w:pStyle w:val="SingleTxtG"/>
      </w:pPr>
      <w:r w:rsidRPr="00B52F49">
        <w:tab/>
        <w:t>El Comité examinará cualquier otro asunto que guarde relación con sus métodos de trabajo.</w:t>
      </w:r>
    </w:p>
    <w:p w14:paraId="0224B936" w14:textId="77777777" w:rsidR="00B52F49" w:rsidRPr="00B52F49" w:rsidRDefault="00B52F49" w:rsidP="00B52F49">
      <w:pPr>
        <w:pStyle w:val="H23G"/>
      </w:pPr>
      <w:r w:rsidRPr="00B52F49">
        <w:tab/>
        <w:t>6.</w:t>
      </w:r>
      <w:r w:rsidRPr="00B52F49">
        <w:tab/>
        <w:t>Examen de los informes de los Estados partes en la Convención</w:t>
      </w:r>
    </w:p>
    <w:p w14:paraId="55E1ED5C" w14:textId="77777777" w:rsidR="00B52F49" w:rsidRPr="00B52F49" w:rsidRDefault="00B52F49" w:rsidP="00B52F49">
      <w:pPr>
        <w:pStyle w:val="SingleTxtG"/>
      </w:pPr>
      <w:r w:rsidRPr="00B52F49">
        <w:tab/>
        <w:t>El Comité examinará los informes presentados por Grecia y el Níger</w:t>
      </w:r>
      <w:r w:rsidRPr="00B52F49">
        <w:rPr>
          <w:sz w:val="18"/>
          <w:szCs w:val="18"/>
          <w:vertAlign w:val="superscript"/>
        </w:rPr>
        <w:footnoteReference w:id="1"/>
      </w:r>
      <w:r w:rsidRPr="00B52F49">
        <w:t xml:space="preserve"> con arreglo al artículo 29, párrafo 1, de la Convención.</w:t>
      </w:r>
    </w:p>
    <w:p w14:paraId="575BCAB9" w14:textId="1603555B" w:rsidR="00B52F49" w:rsidRPr="00B52F49" w:rsidRDefault="00B52F49" w:rsidP="00B52F49">
      <w:pPr>
        <w:pStyle w:val="H23G"/>
      </w:pPr>
      <w:r w:rsidRPr="00B52F49">
        <w:tab/>
        <w:t>7.</w:t>
      </w:r>
      <w:r w:rsidRPr="00B52F49">
        <w:tab/>
        <w:t xml:space="preserve">Reuniones con organizaciones no gubernamentales, instituciones nacionales </w:t>
      </w:r>
      <w:r>
        <w:br/>
      </w:r>
      <w:r w:rsidRPr="00B52F49">
        <w:t>de derechos humanos y organismos de las Naciones Unidas</w:t>
      </w:r>
    </w:p>
    <w:p w14:paraId="777D060D" w14:textId="40F1C875" w:rsidR="00B52F49" w:rsidRPr="00B52F49" w:rsidRDefault="005E1D08" w:rsidP="00B52F49">
      <w:pPr>
        <w:pStyle w:val="SingleTxtG"/>
      </w:pPr>
      <w:bookmarkStart w:id="3" w:name="_Hlk84948140"/>
      <w:r>
        <w:tab/>
      </w:r>
      <w:r w:rsidR="00B52F49" w:rsidRPr="00B52F49">
        <w:t>El Comité recibirá información de organizaciones no gubernamentales, instituciones nacionales de derechos humanos y organismos de las Naciones Unidas sobre la situación de las desapariciones forzadas en los Estados partes cuyos informes debe examinar en el actual período de sesiones.</w:t>
      </w:r>
      <w:bookmarkEnd w:id="3"/>
    </w:p>
    <w:p w14:paraId="125E21AD" w14:textId="77777777" w:rsidR="00B52F49" w:rsidRPr="00B52F49" w:rsidRDefault="00B52F49" w:rsidP="00B52F49">
      <w:pPr>
        <w:pStyle w:val="H23G"/>
      </w:pPr>
      <w:r w:rsidRPr="00B52F49">
        <w:tab/>
        <w:t>8.</w:t>
      </w:r>
      <w:r w:rsidRPr="00B52F49">
        <w:tab/>
        <w:t>Examen de las listas de cuestiones</w:t>
      </w:r>
    </w:p>
    <w:p w14:paraId="403EB48D" w14:textId="77777777" w:rsidR="00B52F49" w:rsidRPr="00B52F49" w:rsidRDefault="00B52F49" w:rsidP="00B52F49">
      <w:pPr>
        <w:pStyle w:val="SingleTxtG"/>
      </w:pPr>
      <w:r w:rsidRPr="00B52F49">
        <w:tab/>
        <w:t>El Comité examinará y aprobará las listas de cuestiones relativas a los informes presentados por Camboya, Gambia y Nigeria</w:t>
      </w:r>
      <w:r w:rsidRPr="00B52F49">
        <w:rPr>
          <w:sz w:val="18"/>
          <w:szCs w:val="18"/>
          <w:vertAlign w:val="superscript"/>
        </w:rPr>
        <w:footnoteReference w:id="2"/>
      </w:r>
      <w:r w:rsidRPr="00B52F49">
        <w:t>.</w:t>
      </w:r>
    </w:p>
    <w:p w14:paraId="40A162BC" w14:textId="77777777" w:rsidR="00B52F49" w:rsidRPr="00B52F49" w:rsidRDefault="00B52F49" w:rsidP="00B52F49">
      <w:pPr>
        <w:pStyle w:val="H23G"/>
      </w:pPr>
      <w:r w:rsidRPr="00B52F49">
        <w:tab/>
        <w:t>9.</w:t>
      </w:r>
      <w:r w:rsidRPr="00B52F49">
        <w:tab/>
        <w:t>Visitas efectuadas por el Comité (art. 33 de la Convención)</w:t>
      </w:r>
    </w:p>
    <w:p w14:paraId="0A559427" w14:textId="77777777" w:rsidR="00B52F49" w:rsidRPr="00B52F49" w:rsidRDefault="00B52F49" w:rsidP="00B52F49">
      <w:pPr>
        <w:pStyle w:val="SingleTxtG"/>
      </w:pPr>
      <w:r w:rsidRPr="00B52F49">
        <w:tab/>
        <w:t>El Comité examinará cualquier cuestión relacionada con las visitas que haya solicitado o tenga previsto solicitar de conformidad con el artículo 33 de la Convención.</w:t>
      </w:r>
    </w:p>
    <w:p w14:paraId="10214515" w14:textId="18EE42DA" w:rsidR="00B52F49" w:rsidRPr="00B52F49" w:rsidRDefault="00B52F49" w:rsidP="00B52F49">
      <w:pPr>
        <w:pStyle w:val="H23G"/>
      </w:pPr>
      <w:r w:rsidRPr="00B52F49">
        <w:tab/>
        <w:t>10.</w:t>
      </w:r>
      <w:r w:rsidRPr="00B52F49">
        <w:tab/>
        <w:t xml:space="preserve">Seguimiento de las observaciones finales sobre los informes </w:t>
      </w:r>
      <w:r>
        <w:br/>
      </w:r>
      <w:r w:rsidRPr="00B52F49">
        <w:t>de los Estados partes</w:t>
      </w:r>
    </w:p>
    <w:p w14:paraId="6763F0D9" w14:textId="77777777" w:rsidR="00B52F49" w:rsidRPr="00B52F49" w:rsidRDefault="00B52F49" w:rsidP="00B52F49">
      <w:pPr>
        <w:pStyle w:val="SingleTxtG"/>
      </w:pPr>
      <w:r w:rsidRPr="00B52F49">
        <w:tab/>
        <w:t>El Comité examinará el informe de los relatores encargados del seguimiento de la aplicación de las observaciones finales de conformidad con el artículo 29 de la Convención y el artículo 54 del reglamento.</w:t>
      </w:r>
    </w:p>
    <w:p w14:paraId="001B93D8" w14:textId="77777777" w:rsidR="00B52F49" w:rsidRPr="00B52F49" w:rsidRDefault="00B52F49" w:rsidP="00B52F49">
      <w:pPr>
        <w:pStyle w:val="H23G"/>
      </w:pPr>
      <w:r w:rsidRPr="00B52F49">
        <w:tab/>
        <w:t>11.</w:t>
      </w:r>
      <w:r w:rsidRPr="00B52F49">
        <w:tab/>
        <w:t xml:space="preserve">Examen del informe sobre las peticiones de acción urgente </w:t>
      </w:r>
      <w:r w:rsidRPr="00B52F49">
        <w:br/>
        <w:t>(art. 30 de la Convención)</w:t>
      </w:r>
    </w:p>
    <w:p w14:paraId="3D03853C" w14:textId="77777777" w:rsidR="00B52F49" w:rsidRPr="00B52F49" w:rsidRDefault="00B52F49" w:rsidP="00B52F49">
      <w:pPr>
        <w:pStyle w:val="SingleTxtG"/>
      </w:pPr>
      <w:r w:rsidRPr="00B52F49">
        <w:tab/>
        <w:t>El grupo de trabajo del Comité encargado de examinar las peticiones de acción urgente de conformidad con el artículo 30 de la Convención informará al Comité de las peticiones recibidas y las medidas de seguimiento adoptadas desde el anterior período de sesiones.</w:t>
      </w:r>
    </w:p>
    <w:p w14:paraId="4B1B1861" w14:textId="77777777" w:rsidR="00B52F49" w:rsidRPr="00B52F49" w:rsidRDefault="00B52F49" w:rsidP="00B52F49">
      <w:pPr>
        <w:pStyle w:val="H23G"/>
      </w:pPr>
      <w:r w:rsidRPr="00B52F49">
        <w:tab/>
        <w:t>12.</w:t>
      </w:r>
      <w:r w:rsidRPr="00B52F49">
        <w:tab/>
        <w:t>Examen de comunicaciones individuales (art. 31 de la Convención)</w:t>
      </w:r>
    </w:p>
    <w:p w14:paraId="69831156" w14:textId="77777777" w:rsidR="00B52F49" w:rsidRPr="00B52F49" w:rsidRDefault="00B52F49" w:rsidP="00B52F49">
      <w:pPr>
        <w:pStyle w:val="SingleTxtG"/>
      </w:pPr>
      <w:r w:rsidRPr="00B52F49">
        <w:tab/>
        <w:t>El Comité examinará comunicaciones individuales de conformidad con el artículo 31 de la Convención.</w:t>
      </w:r>
    </w:p>
    <w:p w14:paraId="643CF0BF" w14:textId="77777777" w:rsidR="00B52F49" w:rsidRPr="00B52F49" w:rsidRDefault="00B52F49" w:rsidP="00B52F49">
      <w:pPr>
        <w:pStyle w:val="H23G"/>
      </w:pPr>
      <w:r w:rsidRPr="00B52F49">
        <w:tab/>
        <w:t>13.</w:t>
      </w:r>
      <w:r w:rsidRPr="00B52F49">
        <w:tab/>
        <w:t>Seguimiento de los dictámenes del Comité</w:t>
      </w:r>
    </w:p>
    <w:p w14:paraId="10ECCDCB" w14:textId="77777777" w:rsidR="00B52F49" w:rsidRPr="00B52F49" w:rsidRDefault="00B52F49" w:rsidP="00B52F49">
      <w:pPr>
        <w:pStyle w:val="SingleTxtG"/>
      </w:pPr>
      <w:r w:rsidRPr="00B52F49">
        <w:tab/>
        <w:t>El Comité examinará el informe del relator encargado del seguimiento de los dictámenes de conformidad con el artículo 31 de la Convención y el artículo 79 del reglamento.</w:t>
      </w:r>
    </w:p>
    <w:p w14:paraId="679FA8A1" w14:textId="77777777" w:rsidR="00B52F49" w:rsidRPr="00B52F49" w:rsidRDefault="00B52F49" w:rsidP="00B52F49">
      <w:pPr>
        <w:pStyle w:val="H23G"/>
      </w:pPr>
      <w:r w:rsidRPr="00B52F49">
        <w:lastRenderedPageBreak/>
        <w:tab/>
        <w:t>14.</w:t>
      </w:r>
      <w:r w:rsidRPr="00B52F49">
        <w:tab/>
        <w:t>Represalias</w:t>
      </w:r>
    </w:p>
    <w:p w14:paraId="7315180E" w14:textId="77777777" w:rsidR="00B52F49" w:rsidRPr="00B52F49" w:rsidRDefault="00B52F49" w:rsidP="00B52F49">
      <w:pPr>
        <w:pStyle w:val="SingleTxtG"/>
      </w:pPr>
      <w:r w:rsidRPr="00B52F49">
        <w:tab/>
        <w:t>El relator sobre las represalias informará de las medidas adoptadas en relación con las denuncias de represalias recibidas desde el 21</w:t>
      </w:r>
      <w:r w:rsidRPr="00B52F49">
        <w:rPr>
          <w:vertAlign w:val="superscript"/>
        </w:rPr>
        <w:t>er</w:t>
      </w:r>
      <w:r w:rsidRPr="00B52F49">
        <w:t xml:space="preserve"> período de sesiones del Comité.</w:t>
      </w:r>
    </w:p>
    <w:p w14:paraId="0B48BCB0" w14:textId="77777777" w:rsidR="00B52F49" w:rsidRPr="00B52F49" w:rsidRDefault="00B52F49" w:rsidP="00B52F49">
      <w:pPr>
        <w:pStyle w:val="H23G"/>
      </w:pPr>
      <w:r w:rsidRPr="00B52F49">
        <w:tab/>
        <w:t>15.</w:t>
      </w:r>
      <w:r w:rsidRPr="00B52F49">
        <w:tab/>
        <w:t xml:space="preserve">Debate sobre el examen por la Asamblea General del estado del sistema </w:t>
      </w:r>
      <w:r w:rsidRPr="00B52F49">
        <w:br/>
        <w:t>de órganos creados en virtud de tratados de derechos humanos</w:t>
      </w:r>
    </w:p>
    <w:p w14:paraId="007B5920" w14:textId="77777777" w:rsidR="00B52F49" w:rsidRPr="00B52F49" w:rsidRDefault="00B52F49" w:rsidP="00B52F49">
      <w:pPr>
        <w:pStyle w:val="SingleTxtG"/>
      </w:pPr>
      <w:r w:rsidRPr="00B52F49">
        <w:tab/>
        <w:t>El Comité celebrará reuniones con los interesados pertinentes para estudiar los elementos del examen por la Asamblea General del estado del sistema de órganos creados en virtud de tratados de derechos humanos.</w:t>
      </w:r>
    </w:p>
    <w:p w14:paraId="1716C20C" w14:textId="5CA0F4D0" w:rsidR="00B52F49" w:rsidRPr="00B52F49" w:rsidRDefault="00B52F49" w:rsidP="00B52F49">
      <w:pPr>
        <w:pStyle w:val="H23G"/>
      </w:pPr>
      <w:r w:rsidRPr="00B52F49">
        <w:tab/>
        <w:t>16.</w:t>
      </w:r>
      <w:r w:rsidRPr="00B52F49">
        <w:tab/>
        <w:t xml:space="preserve">Reuniones con titulares de mandatos de los procedimientos especiales </w:t>
      </w:r>
      <w:r>
        <w:br/>
      </w:r>
      <w:r w:rsidRPr="00B52F49">
        <w:t>y mecanismos regionales de derechos humanos</w:t>
      </w:r>
    </w:p>
    <w:p w14:paraId="5F1EFA49" w14:textId="77777777" w:rsidR="00B52F49" w:rsidRPr="00B52F49" w:rsidRDefault="00B52F49" w:rsidP="00B52F49">
      <w:pPr>
        <w:pStyle w:val="SingleTxtG"/>
      </w:pPr>
      <w:r w:rsidRPr="00B52F49">
        <w:tab/>
        <w:t>El Comité celebrará reuniones con titulares de mandatos de los procedimientos especiales y mecanismos regionales de derechos humanos para promover la cooperación con estos y abordar cuestiones específicas de interés común.</w:t>
      </w:r>
    </w:p>
    <w:p w14:paraId="4274A324" w14:textId="77777777" w:rsidR="00B52F49" w:rsidRPr="00B52F49" w:rsidRDefault="00B52F49" w:rsidP="00B52F49">
      <w:pPr>
        <w:pStyle w:val="H23G"/>
      </w:pPr>
      <w:r w:rsidRPr="00B52F49">
        <w:tab/>
        <w:t>17.</w:t>
      </w:r>
      <w:r w:rsidRPr="00B52F49">
        <w:tab/>
        <w:t>Programa provisional del 23</w:t>
      </w:r>
      <w:r w:rsidRPr="00B52F49">
        <w:rPr>
          <w:vertAlign w:val="superscript"/>
        </w:rPr>
        <w:t>er</w:t>
      </w:r>
      <w:r w:rsidRPr="00B52F49">
        <w:t xml:space="preserve"> período de sesiones</w:t>
      </w:r>
    </w:p>
    <w:p w14:paraId="0FA36B5B" w14:textId="4C745050" w:rsidR="00B52F49" w:rsidRDefault="00B52F49" w:rsidP="00B52F49">
      <w:pPr>
        <w:pStyle w:val="SingleTxtG"/>
      </w:pPr>
      <w:r w:rsidRPr="00B52F49">
        <w:tab/>
        <w:t>El Comité examinará la lista de temas que deberán incluirse en el programa provisional de su 23</w:t>
      </w:r>
      <w:r w:rsidRPr="00B52F49">
        <w:rPr>
          <w:vertAlign w:val="superscript"/>
        </w:rPr>
        <w:t>er</w:t>
      </w:r>
      <w:r w:rsidRPr="00B52F49">
        <w:t xml:space="preserve"> período de sesiones, que se celebrará del 12 al 23 de septiembre de 2022.</w:t>
      </w:r>
    </w:p>
    <w:p w14:paraId="2539DA77" w14:textId="377ED30F" w:rsidR="00B52F49" w:rsidRPr="00B52F49" w:rsidRDefault="00B52F49" w:rsidP="00B52F49">
      <w:pPr>
        <w:pStyle w:val="SingleTxtG"/>
        <w:suppressAutoHyphens/>
        <w:spacing w:before="240" w:after="0"/>
        <w:jc w:val="center"/>
        <w:rPr>
          <w:u w:val="single"/>
        </w:rPr>
      </w:pPr>
      <w:r>
        <w:rPr>
          <w:u w:val="single"/>
        </w:rPr>
        <w:tab/>
      </w:r>
      <w:r>
        <w:rPr>
          <w:u w:val="single"/>
        </w:rPr>
        <w:tab/>
      </w:r>
      <w:r>
        <w:rPr>
          <w:u w:val="single"/>
        </w:rPr>
        <w:tab/>
      </w:r>
    </w:p>
    <w:sectPr w:rsidR="00B52F49" w:rsidRPr="00B52F49" w:rsidSect="00B52F4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A6A19" w14:textId="77777777" w:rsidR="003D36A4" w:rsidRPr="00A06E07" w:rsidRDefault="003D36A4" w:rsidP="00A06E07">
      <w:pPr>
        <w:pStyle w:val="Piedepgina"/>
      </w:pPr>
    </w:p>
  </w:endnote>
  <w:endnote w:type="continuationSeparator" w:id="0">
    <w:p w14:paraId="47099C3C" w14:textId="77777777" w:rsidR="003D36A4" w:rsidRPr="00A06E07" w:rsidRDefault="003D36A4"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C00D2" w14:textId="15C17396" w:rsidR="00B52F49" w:rsidRPr="00B52F49" w:rsidRDefault="00B52F49" w:rsidP="00B52F49">
    <w:pPr>
      <w:pStyle w:val="Piedepgina"/>
      <w:tabs>
        <w:tab w:val="right" w:pos="9638"/>
      </w:tabs>
    </w:pPr>
    <w:r w:rsidRPr="00B52F49">
      <w:rPr>
        <w:b/>
        <w:sz w:val="18"/>
      </w:rPr>
      <w:fldChar w:fldCharType="begin"/>
    </w:r>
    <w:r w:rsidRPr="00B52F49">
      <w:rPr>
        <w:b/>
        <w:sz w:val="18"/>
      </w:rPr>
      <w:instrText xml:space="preserve"> PAGE  \* MERGEFORMAT </w:instrText>
    </w:r>
    <w:r w:rsidRPr="00B52F49">
      <w:rPr>
        <w:b/>
        <w:sz w:val="18"/>
      </w:rPr>
      <w:fldChar w:fldCharType="separate"/>
    </w:r>
    <w:r w:rsidRPr="00B52F49">
      <w:rPr>
        <w:b/>
        <w:noProof/>
        <w:sz w:val="18"/>
      </w:rPr>
      <w:t>2</w:t>
    </w:r>
    <w:r w:rsidRPr="00B52F49">
      <w:rPr>
        <w:b/>
        <w:sz w:val="18"/>
      </w:rPr>
      <w:fldChar w:fldCharType="end"/>
    </w:r>
    <w:r>
      <w:rPr>
        <w:b/>
        <w:sz w:val="18"/>
      </w:rPr>
      <w:tab/>
    </w:r>
    <w:r>
      <w:t>GE.21-16362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29709" w14:textId="4BF00991" w:rsidR="00B52F49" w:rsidRPr="00B52F49" w:rsidRDefault="00B52F49" w:rsidP="00B52F49">
    <w:pPr>
      <w:pStyle w:val="Piedepgina"/>
      <w:tabs>
        <w:tab w:val="right" w:pos="9638"/>
      </w:tabs>
      <w:rPr>
        <w:b/>
        <w:sz w:val="18"/>
      </w:rPr>
    </w:pPr>
    <w:r>
      <w:t>GE.21-16362</w:t>
    </w:r>
    <w:r>
      <w:tab/>
    </w:r>
    <w:r w:rsidRPr="00B52F49">
      <w:rPr>
        <w:b/>
        <w:sz w:val="18"/>
      </w:rPr>
      <w:fldChar w:fldCharType="begin"/>
    </w:r>
    <w:r w:rsidRPr="00B52F49">
      <w:rPr>
        <w:b/>
        <w:sz w:val="18"/>
      </w:rPr>
      <w:instrText xml:space="preserve"> PAGE  \* MERGEFORMAT </w:instrText>
    </w:r>
    <w:r w:rsidRPr="00B52F49">
      <w:rPr>
        <w:b/>
        <w:sz w:val="18"/>
      </w:rPr>
      <w:fldChar w:fldCharType="separate"/>
    </w:r>
    <w:r w:rsidRPr="00B52F49">
      <w:rPr>
        <w:b/>
        <w:noProof/>
        <w:sz w:val="18"/>
      </w:rPr>
      <w:t>3</w:t>
    </w:r>
    <w:r w:rsidRPr="00B52F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AA51" w14:textId="40A4B5CF" w:rsidR="00042B72" w:rsidRPr="00B52F49" w:rsidRDefault="00B52F49" w:rsidP="00B52F49">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57FF4F57" wp14:editId="52E3708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21-16362  (S)</w:t>
    </w:r>
    <w:r>
      <w:rPr>
        <w:noProof/>
        <w:sz w:val="20"/>
      </w:rPr>
      <w:drawing>
        <wp:anchor distT="0" distB="0" distL="114300" distR="114300" simplePos="0" relativeHeight="251658752" behindDoc="0" locked="0" layoutInCell="1" allowOverlap="1" wp14:anchorId="240C34CD" wp14:editId="4EC061E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171121    171121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BD728" w14:textId="77777777" w:rsidR="003D36A4" w:rsidRPr="001075E9" w:rsidRDefault="003D36A4" w:rsidP="001075E9">
      <w:pPr>
        <w:tabs>
          <w:tab w:val="right" w:pos="2155"/>
        </w:tabs>
        <w:spacing w:after="80" w:line="240" w:lineRule="auto"/>
        <w:ind w:left="680"/>
        <w:rPr>
          <w:u w:val="single"/>
        </w:rPr>
      </w:pPr>
      <w:r>
        <w:rPr>
          <w:u w:val="single"/>
        </w:rPr>
        <w:tab/>
      </w:r>
    </w:p>
  </w:footnote>
  <w:footnote w:type="continuationSeparator" w:id="0">
    <w:p w14:paraId="6DD75E9B" w14:textId="77777777" w:rsidR="003D36A4" w:rsidRDefault="003D36A4" w:rsidP="00407B78">
      <w:pPr>
        <w:tabs>
          <w:tab w:val="right" w:pos="2155"/>
        </w:tabs>
        <w:spacing w:after="80"/>
        <w:ind w:left="680"/>
        <w:rPr>
          <w:u w:val="single"/>
        </w:rPr>
      </w:pPr>
      <w:r>
        <w:rPr>
          <w:u w:val="single"/>
        </w:rPr>
        <w:tab/>
      </w:r>
    </w:p>
  </w:footnote>
  <w:footnote w:id="1">
    <w:p w14:paraId="3C26F49A" w14:textId="77777777" w:rsidR="00B52F49" w:rsidRPr="00533908" w:rsidRDefault="00B52F49" w:rsidP="00B52F49">
      <w:pPr>
        <w:pStyle w:val="Textonotapie"/>
        <w:rPr>
          <w:lang w:val="en-US"/>
        </w:rPr>
      </w:pPr>
      <w:r w:rsidRPr="00533908">
        <w:tab/>
      </w:r>
      <w:r w:rsidRPr="00B52F49">
        <w:rPr>
          <w:rStyle w:val="Refdenotaalpie"/>
        </w:rPr>
        <w:footnoteRef/>
      </w:r>
      <w:r w:rsidRPr="00533908">
        <w:rPr>
          <w:lang w:val="en-US"/>
        </w:rPr>
        <w:tab/>
        <w:t>CED/C/GRC/1 y CED/C/NER/1.</w:t>
      </w:r>
    </w:p>
  </w:footnote>
  <w:footnote w:id="2">
    <w:p w14:paraId="3D828186" w14:textId="77777777" w:rsidR="00B52F49" w:rsidRPr="00533908" w:rsidRDefault="00B52F49" w:rsidP="00B52F49">
      <w:pPr>
        <w:pStyle w:val="Textonotapie"/>
        <w:rPr>
          <w:lang w:val="en-US"/>
        </w:rPr>
      </w:pPr>
      <w:r w:rsidRPr="00533908">
        <w:rPr>
          <w:lang w:val="en-US"/>
        </w:rPr>
        <w:tab/>
      </w:r>
      <w:r w:rsidRPr="00B52F49">
        <w:rPr>
          <w:rStyle w:val="Refdenotaalpie"/>
        </w:rPr>
        <w:footnoteRef/>
      </w:r>
      <w:r w:rsidRPr="00533908">
        <w:rPr>
          <w:lang w:val="en-US"/>
        </w:rPr>
        <w:tab/>
        <w:t>CED/C/KHM/1, CED/C/GMB/1 y CED/C/NGA/1.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EB0A" w14:textId="0CE44100" w:rsidR="00B52F49" w:rsidRPr="00B52F49" w:rsidRDefault="00B52F49">
    <w:pPr>
      <w:pStyle w:val="Encabezado"/>
    </w:pPr>
    <w:fldSimple w:instr=" TITLE  \* MERGEFORMAT ">
      <w:r w:rsidR="006C7973">
        <w:t>CED/C/22/1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9E822" w14:textId="73656B48" w:rsidR="00B52F49" w:rsidRPr="00B52F49" w:rsidRDefault="00B52F49" w:rsidP="00B52F49">
    <w:pPr>
      <w:pStyle w:val="Encabezado"/>
      <w:jc w:val="right"/>
    </w:pPr>
    <w:fldSimple w:instr=" TITLE  \* MERGEFORMAT ">
      <w:r w:rsidR="006C7973">
        <w:t>CED/C/22/1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A4"/>
    <w:rsid w:val="00033EE1"/>
    <w:rsid w:val="00042B72"/>
    <w:rsid w:val="00042F1C"/>
    <w:rsid w:val="000558BD"/>
    <w:rsid w:val="000B57E7"/>
    <w:rsid w:val="000B6373"/>
    <w:rsid w:val="000F09DF"/>
    <w:rsid w:val="000F61B2"/>
    <w:rsid w:val="001075E9"/>
    <w:rsid w:val="001312D2"/>
    <w:rsid w:val="00180183"/>
    <w:rsid w:val="0018649F"/>
    <w:rsid w:val="00196389"/>
    <w:rsid w:val="001A63A9"/>
    <w:rsid w:val="001B3EF6"/>
    <w:rsid w:val="001C7A89"/>
    <w:rsid w:val="002A2EFC"/>
    <w:rsid w:val="002A7023"/>
    <w:rsid w:val="002C0E18"/>
    <w:rsid w:val="002D5AAC"/>
    <w:rsid w:val="002E4A7E"/>
    <w:rsid w:val="00301299"/>
    <w:rsid w:val="00307FB6"/>
    <w:rsid w:val="00317339"/>
    <w:rsid w:val="00322004"/>
    <w:rsid w:val="003402C2"/>
    <w:rsid w:val="003610EE"/>
    <w:rsid w:val="0037276D"/>
    <w:rsid w:val="00381C24"/>
    <w:rsid w:val="003958D0"/>
    <w:rsid w:val="003B00E5"/>
    <w:rsid w:val="003D36A4"/>
    <w:rsid w:val="0040612E"/>
    <w:rsid w:val="00407B78"/>
    <w:rsid w:val="00424203"/>
    <w:rsid w:val="00454E07"/>
    <w:rsid w:val="00477509"/>
    <w:rsid w:val="0050108D"/>
    <w:rsid w:val="00504114"/>
    <w:rsid w:val="00513081"/>
    <w:rsid w:val="00517901"/>
    <w:rsid w:val="00526683"/>
    <w:rsid w:val="005709E0"/>
    <w:rsid w:val="00572113"/>
    <w:rsid w:val="00572E19"/>
    <w:rsid w:val="005961C8"/>
    <w:rsid w:val="005D7914"/>
    <w:rsid w:val="005E1D08"/>
    <w:rsid w:val="005E3CB3"/>
    <w:rsid w:val="005E6387"/>
    <w:rsid w:val="005F0B42"/>
    <w:rsid w:val="006160E5"/>
    <w:rsid w:val="00623071"/>
    <w:rsid w:val="00681A10"/>
    <w:rsid w:val="006C2031"/>
    <w:rsid w:val="006C7973"/>
    <w:rsid w:val="006D461A"/>
    <w:rsid w:val="006F35EE"/>
    <w:rsid w:val="007021FF"/>
    <w:rsid w:val="00757357"/>
    <w:rsid w:val="00786232"/>
    <w:rsid w:val="008154E9"/>
    <w:rsid w:val="00825F8D"/>
    <w:rsid w:val="00834B71"/>
    <w:rsid w:val="0086445C"/>
    <w:rsid w:val="00894693"/>
    <w:rsid w:val="008A08D7"/>
    <w:rsid w:val="008B6909"/>
    <w:rsid w:val="008F7CAA"/>
    <w:rsid w:val="00902F33"/>
    <w:rsid w:val="00906890"/>
    <w:rsid w:val="00911BE4"/>
    <w:rsid w:val="009311A7"/>
    <w:rsid w:val="00947F39"/>
    <w:rsid w:val="00951972"/>
    <w:rsid w:val="00955948"/>
    <w:rsid w:val="00A06E07"/>
    <w:rsid w:val="00A17739"/>
    <w:rsid w:val="00A256B7"/>
    <w:rsid w:val="00A34B7B"/>
    <w:rsid w:val="00A40C47"/>
    <w:rsid w:val="00A84021"/>
    <w:rsid w:val="00A917B3"/>
    <w:rsid w:val="00AB4B51"/>
    <w:rsid w:val="00AB5752"/>
    <w:rsid w:val="00B10CC7"/>
    <w:rsid w:val="00B30AB0"/>
    <w:rsid w:val="00B52F49"/>
    <w:rsid w:val="00B539E7"/>
    <w:rsid w:val="00B62458"/>
    <w:rsid w:val="00BD33EE"/>
    <w:rsid w:val="00BE3B45"/>
    <w:rsid w:val="00C0296F"/>
    <w:rsid w:val="00C03D44"/>
    <w:rsid w:val="00C60F0C"/>
    <w:rsid w:val="00C805C9"/>
    <w:rsid w:val="00C92939"/>
    <w:rsid w:val="00CA1679"/>
    <w:rsid w:val="00CE5A1A"/>
    <w:rsid w:val="00CF55F6"/>
    <w:rsid w:val="00D33D63"/>
    <w:rsid w:val="00D47FEA"/>
    <w:rsid w:val="00D90138"/>
    <w:rsid w:val="00DF5890"/>
    <w:rsid w:val="00E73F76"/>
    <w:rsid w:val="00EA2C9F"/>
    <w:rsid w:val="00EF1360"/>
    <w:rsid w:val="00EF3220"/>
    <w:rsid w:val="00F32B71"/>
    <w:rsid w:val="00F650CF"/>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65644B"/>
  <w15:docId w15:val="{E619CC2D-2240-437A-BF50-14DBF574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311A7"/>
    <w:pPr>
      <w:keepNext/>
      <w:outlineLvl w:val="1"/>
    </w:pPr>
    <w:rPr>
      <w:rFonts w:cs="Arial"/>
      <w:bCs/>
      <w:iCs/>
      <w:szCs w:val="28"/>
    </w:rPr>
  </w:style>
  <w:style w:type="paragraph" w:styleId="Ttulo3">
    <w:name w:val="heading 3"/>
    <w:basedOn w:val="Normal"/>
    <w:next w:val="Normal"/>
    <w:semiHidden/>
    <w:rsid w:val="009311A7"/>
    <w:pPr>
      <w:keepNext/>
      <w:spacing w:before="240" w:after="60"/>
      <w:outlineLvl w:val="2"/>
    </w:pPr>
    <w:rPr>
      <w:rFonts w:ascii="Arial" w:hAnsi="Arial" w:cs="Arial"/>
      <w:b/>
      <w:bCs/>
      <w:sz w:val="26"/>
      <w:szCs w:val="26"/>
    </w:rPr>
  </w:style>
  <w:style w:type="paragraph" w:styleId="Ttulo4">
    <w:name w:val="heading 4"/>
    <w:basedOn w:val="Normal"/>
    <w:next w:val="Normal"/>
    <w:semiHidden/>
    <w:rsid w:val="009311A7"/>
    <w:pPr>
      <w:keepNext/>
      <w:spacing w:before="240" w:after="60"/>
      <w:outlineLvl w:val="3"/>
    </w:pPr>
    <w:rPr>
      <w:b/>
      <w:bCs/>
      <w:sz w:val="28"/>
      <w:szCs w:val="28"/>
    </w:rPr>
  </w:style>
  <w:style w:type="paragraph" w:styleId="Ttulo5">
    <w:name w:val="heading 5"/>
    <w:basedOn w:val="Normal"/>
    <w:next w:val="Normal"/>
    <w:semiHidden/>
    <w:rsid w:val="009311A7"/>
    <w:pPr>
      <w:spacing w:before="240" w:after="60"/>
      <w:outlineLvl w:val="4"/>
    </w:pPr>
    <w:rPr>
      <w:b/>
      <w:bCs/>
      <w:i/>
      <w:iCs/>
      <w:sz w:val="26"/>
      <w:szCs w:val="26"/>
    </w:rPr>
  </w:style>
  <w:style w:type="paragraph" w:styleId="Ttulo6">
    <w:name w:val="heading 6"/>
    <w:basedOn w:val="Normal"/>
    <w:next w:val="Normal"/>
    <w:semiHidden/>
    <w:rsid w:val="009311A7"/>
    <w:pPr>
      <w:spacing w:before="240" w:after="60"/>
      <w:outlineLvl w:val="5"/>
    </w:pPr>
    <w:rPr>
      <w:b/>
      <w:bCs/>
      <w:sz w:val="22"/>
      <w:szCs w:val="22"/>
    </w:rPr>
  </w:style>
  <w:style w:type="paragraph" w:styleId="Ttulo7">
    <w:name w:val="heading 7"/>
    <w:basedOn w:val="Normal"/>
    <w:next w:val="Normal"/>
    <w:semiHidden/>
    <w:rsid w:val="009311A7"/>
    <w:pPr>
      <w:spacing w:before="240" w:after="60"/>
      <w:outlineLvl w:val="6"/>
    </w:pPr>
    <w:rPr>
      <w:sz w:val="24"/>
      <w:szCs w:val="24"/>
    </w:rPr>
  </w:style>
  <w:style w:type="paragraph" w:styleId="Ttulo8">
    <w:name w:val="heading 8"/>
    <w:basedOn w:val="Normal"/>
    <w:next w:val="Normal"/>
    <w:semiHidden/>
    <w:rsid w:val="009311A7"/>
    <w:pPr>
      <w:spacing w:before="240" w:after="60"/>
      <w:outlineLvl w:val="7"/>
    </w:pPr>
    <w:rPr>
      <w:i/>
      <w:iCs/>
      <w:sz w:val="24"/>
      <w:szCs w:val="24"/>
    </w:rPr>
  </w:style>
  <w:style w:type="paragraph" w:styleId="Ttulo9">
    <w:name w:val="heading 9"/>
    <w:basedOn w:val="Normal"/>
    <w:next w:val="Normal"/>
    <w:semiHidden/>
    <w:rsid w:val="009311A7"/>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3"/>
      </w:numPr>
    </w:pPr>
  </w:style>
  <w:style w:type="numbering" w:styleId="1ai">
    <w:name w:val="Outline List 1"/>
    <w:basedOn w:val="Sinlista"/>
    <w:rsid w:val="009311A7"/>
    <w:pPr>
      <w:numPr>
        <w:numId w:val="4"/>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5"/>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semiHidden/>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30"/>
      </w:numPr>
    </w:pPr>
  </w:style>
  <w:style w:type="paragraph" w:styleId="Listaconnmeros2">
    <w:name w:val="List Number 2"/>
    <w:basedOn w:val="Normal"/>
    <w:semiHidden/>
    <w:rsid w:val="009311A7"/>
    <w:pPr>
      <w:numPr>
        <w:numId w:val="31"/>
      </w:numPr>
    </w:pPr>
  </w:style>
  <w:style w:type="paragraph" w:styleId="Listaconnmeros3">
    <w:name w:val="List Number 3"/>
    <w:basedOn w:val="Normal"/>
    <w:semiHidden/>
    <w:rsid w:val="009311A7"/>
    <w:pPr>
      <w:numPr>
        <w:numId w:val="32"/>
      </w:numPr>
    </w:pPr>
  </w:style>
  <w:style w:type="paragraph" w:styleId="Listaconnmeros4">
    <w:name w:val="List Number 4"/>
    <w:basedOn w:val="Normal"/>
    <w:semiHidden/>
    <w:rsid w:val="009311A7"/>
    <w:pPr>
      <w:numPr>
        <w:numId w:val="33"/>
      </w:numPr>
    </w:pPr>
  </w:style>
  <w:style w:type="paragraph" w:styleId="Listaconnmeros5">
    <w:name w:val="List Number 5"/>
    <w:basedOn w:val="Normal"/>
    <w:semiHidden/>
    <w:rsid w:val="009311A7"/>
    <w:pPr>
      <w:numPr>
        <w:numId w:val="34"/>
      </w:numPr>
    </w:pPr>
  </w:style>
  <w:style w:type="paragraph" w:styleId="Listaconvietas">
    <w:name w:val="List Bullet"/>
    <w:basedOn w:val="Normal"/>
    <w:semiHidden/>
    <w:rsid w:val="009311A7"/>
    <w:pPr>
      <w:numPr>
        <w:numId w:val="25"/>
      </w:numPr>
    </w:pPr>
  </w:style>
  <w:style w:type="paragraph" w:styleId="Listaconvietas2">
    <w:name w:val="List Bullet 2"/>
    <w:basedOn w:val="Normal"/>
    <w:semiHidden/>
    <w:rsid w:val="009311A7"/>
    <w:pPr>
      <w:numPr>
        <w:numId w:val="26"/>
      </w:numPr>
    </w:pPr>
  </w:style>
  <w:style w:type="paragraph" w:styleId="Listaconvietas3">
    <w:name w:val="List Bullet 3"/>
    <w:basedOn w:val="Normal"/>
    <w:semiHidden/>
    <w:rsid w:val="009311A7"/>
    <w:pPr>
      <w:numPr>
        <w:numId w:val="27"/>
      </w:numPr>
    </w:pPr>
  </w:style>
  <w:style w:type="paragraph" w:styleId="Listaconvietas4">
    <w:name w:val="List Bullet 4"/>
    <w:basedOn w:val="Normal"/>
    <w:semiHidden/>
    <w:rsid w:val="009311A7"/>
    <w:pPr>
      <w:numPr>
        <w:numId w:val="28"/>
      </w:numPr>
    </w:pPr>
  </w:style>
  <w:style w:type="paragraph" w:styleId="Listaconvietas5">
    <w:name w:val="List Bullet 5"/>
    <w:basedOn w:val="Normal"/>
    <w:semiHidden/>
    <w:rsid w:val="009311A7"/>
    <w:pPr>
      <w:numPr>
        <w:numId w:val="29"/>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semiHidden/>
    <w:rsid w:val="009311A7"/>
  </w:style>
  <w:style w:type="character" w:styleId="Nmerodepgina">
    <w:name w:val="page number"/>
    <w:aliases w:val="7_G"/>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semiHidden/>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semiHidden/>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semiHidden/>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uiPriority w:val="1"/>
    <w:qFormat/>
    <w:rsid w:val="009311A7"/>
    <w:pPr>
      <w:numPr>
        <w:numId w:val="17"/>
      </w:numPr>
      <w:spacing w:after="120"/>
      <w:ind w:right="1134"/>
      <w:jc w:val="both"/>
    </w:pPr>
    <w:rPr>
      <w:lang w:eastAsia="en-US"/>
    </w:rPr>
  </w:style>
  <w:style w:type="paragraph" w:customStyle="1" w:styleId="Bullet2G">
    <w:name w:val="_Bullet 2_G"/>
    <w:basedOn w:val="Normal"/>
    <w:uiPriority w:val="1"/>
    <w:qFormat/>
    <w:rsid w:val="009311A7"/>
    <w:pPr>
      <w:numPr>
        <w:numId w:val="18"/>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311A7"/>
    <w:rPr>
      <w:lang w:val="es-ES" w:eastAsia="es-ES"/>
    </w:rPr>
  </w:style>
  <w:style w:type="paragraph" w:customStyle="1" w:styleId="1ParNoG">
    <w:name w:val="1 _ParNo_G"/>
    <w:basedOn w:val="Normal"/>
    <w:uiPriority w:val="1"/>
    <w:qFormat/>
    <w:rsid w:val="009311A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
    <w:basedOn w:val="Fuentedeprrafopredeter"/>
    <w:link w:val="Textonotapie"/>
    <w:uiPriority w:val="3"/>
    <w:rsid w:val="009311A7"/>
    <w:rPr>
      <w:sz w:val="18"/>
      <w:lang w:val="es-ES" w:eastAsia="es-ES"/>
    </w:rPr>
  </w:style>
  <w:style w:type="character" w:customStyle="1" w:styleId="TextonotaalfinalCar">
    <w:name w:val="Texto nota al final Car"/>
    <w:aliases w:val="2_G Car"/>
    <w:basedOn w:val="Fuentedeprrafopredeter"/>
    <w:link w:val="Textonotaalfinal"/>
    <w:uiPriority w:val="3"/>
    <w:rsid w:val="009311A7"/>
    <w:rPr>
      <w:sz w:val="18"/>
      <w:lang w:val="es-ES" w:eastAsia="es-ES"/>
    </w:rPr>
  </w:style>
  <w:style w:type="character" w:customStyle="1" w:styleId="PiedepginaCar">
    <w:name w:val="Pie de página Car"/>
    <w:aliases w:val="3_G Car"/>
    <w:basedOn w:val="Fuentedeprrafopredeter"/>
    <w:link w:val="Piedepgina"/>
    <w:uiPriority w:val="3"/>
    <w:rsid w:val="009311A7"/>
    <w:rPr>
      <w:sz w:val="16"/>
      <w:lang w:val="es-ES" w:eastAsia="es-ES"/>
    </w:rPr>
  </w:style>
  <w:style w:type="character" w:customStyle="1" w:styleId="EncabezadoCar">
    <w:name w:val="Encabezado Car"/>
    <w:aliases w:val="6_G Car"/>
    <w:basedOn w:val="Fuentedeprrafopredeter"/>
    <w:link w:val="Encabezado"/>
    <w:uiPriority w:val="3"/>
    <w:rsid w:val="009311A7"/>
    <w:rPr>
      <w:b/>
      <w:sz w:val="18"/>
      <w:lang w:val="es-ES" w:eastAsia="es-ES"/>
    </w:rPr>
  </w:style>
  <w:style w:type="character" w:customStyle="1" w:styleId="Ttulo1Car">
    <w:name w:val="Título 1 Car"/>
    <w:aliases w:val="Cuadro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semiHidden/>
    <w:rsid w:val="009311A7"/>
    <w:rPr>
      <w:b/>
      <w:bCs/>
      <w:i/>
      <w:iCs/>
      <w:color w:val="4F81BD"/>
    </w:rPr>
  </w:style>
  <w:style w:type="paragraph" w:styleId="Citadestacada">
    <w:name w:val="Intense Quote"/>
    <w:basedOn w:val="Normal"/>
    <w:next w:val="Normal"/>
    <w:link w:val="CitadestacadaCar"/>
    <w:uiPriority w:val="30"/>
    <w:semiHidden/>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semiHidden/>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311A7"/>
    <w:rPr>
      <w:rFonts w:ascii="Arial" w:hAnsi="Arial" w:cs="Arial"/>
      <w:b/>
      <w:bCs/>
      <w:kern w:val="28"/>
      <w:sz w:val="32"/>
      <w:szCs w:val="32"/>
      <w:lang w:val="es-ES" w:eastAsia="es-ES"/>
    </w:rPr>
  </w:style>
  <w:style w:type="paragraph" w:styleId="TDC1">
    <w:name w:val="toc 1"/>
    <w:basedOn w:val="Normal"/>
    <w:next w:val="Normal"/>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311A7"/>
    <w:pPr>
      <w:tabs>
        <w:tab w:val="clear" w:pos="851"/>
      </w:tabs>
      <w:ind w:left="1559" w:hanging="425"/>
    </w:pPr>
  </w:style>
  <w:style w:type="paragraph" w:styleId="TDC3">
    <w:name w:val="toc 3"/>
    <w:basedOn w:val="TDC2"/>
    <w:next w:val="Normal"/>
    <w:uiPriority w:val="5"/>
    <w:unhideWhenUsed/>
    <w:rsid w:val="009311A7"/>
    <w:pPr>
      <w:tabs>
        <w:tab w:val="left" w:pos="1985"/>
      </w:tabs>
      <w:ind w:left="1984"/>
    </w:pPr>
  </w:style>
  <w:style w:type="paragraph" w:styleId="TDC4">
    <w:name w:val="toc 4"/>
    <w:basedOn w:val="TDC1"/>
    <w:next w:val="Normal"/>
    <w:uiPriority w:val="5"/>
    <w:unhideWhenUsed/>
    <w:rsid w:val="009311A7"/>
    <w:pPr>
      <w:tabs>
        <w:tab w:val="clear" w:pos="9072"/>
        <w:tab w:val="left" w:leader="dot" w:pos="7938"/>
        <w:tab w:val="right" w:pos="8930"/>
      </w:tabs>
      <w:ind w:right="1701"/>
    </w:pPr>
  </w:style>
  <w:style w:type="paragraph" w:styleId="TDC5">
    <w:name w:val="toc 5"/>
    <w:basedOn w:val="TDC4"/>
    <w:next w:val="Normal"/>
    <w:uiPriority w:val="5"/>
    <w:unhideWhenUsed/>
    <w:rsid w:val="009311A7"/>
    <w:pPr>
      <w:tabs>
        <w:tab w:val="clear" w:pos="851"/>
      </w:tabs>
      <w:ind w:left="1559" w:hanging="425"/>
    </w:pPr>
  </w:style>
  <w:style w:type="paragraph" w:styleId="TDC6">
    <w:name w:val="toc 6"/>
    <w:basedOn w:val="TDC5"/>
    <w:next w:val="Normal"/>
    <w:uiPriority w:val="5"/>
    <w:unhideWhenUsed/>
    <w:rsid w:val="009311A7"/>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10</TotalTime>
  <Pages>4</Pages>
  <Words>1192</Words>
  <Characters>6434</Characters>
  <Application>Microsoft Office Word</Application>
  <DocSecurity>0</DocSecurity>
  <Lines>141</Lines>
  <Paragraphs>87</Paragraphs>
  <ScaleCrop>false</ScaleCrop>
  <HeadingPairs>
    <vt:vector size="2" baseType="variant">
      <vt:variant>
        <vt:lpstr>Título</vt:lpstr>
      </vt:variant>
      <vt:variant>
        <vt:i4>1</vt:i4>
      </vt:variant>
    </vt:vector>
  </HeadingPairs>
  <TitlesOfParts>
    <vt:vector size="1" baseType="lpstr">
      <vt:lpstr>CED/</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CED/C/22/1</dc:title>
  <dc:subject/>
  <dc:creator>Javier RODRIGUEZ PEREZ</dc:creator>
  <cp:keywords/>
  <cp:lastModifiedBy>Javier Rodriguez Perez</cp:lastModifiedBy>
  <cp:revision>3</cp:revision>
  <cp:lastPrinted>2021-11-17T14:45:00Z</cp:lastPrinted>
  <dcterms:created xsi:type="dcterms:W3CDTF">2021-11-17T14:45:00Z</dcterms:created>
  <dcterms:modified xsi:type="dcterms:W3CDTF">2021-11-17T14:46:00Z</dcterms:modified>
</cp:coreProperties>
</file>