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C2729" w:rsidRPr="005B2566" w:rsidTr="00CC44E3">
        <w:trPr>
          <w:trHeight w:hRule="exact" w:val="851"/>
        </w:trPr>
        <w:tc>
          <w:tcPr>
            <w:tcW w:w="1276" w:type="dxa"/>
            <w:tcBorders>
              <w:bottom w:val="single" w:sz="4" w:space="0" w:color="auto"/>
            </w:tcBorders>
          </w:tcPr>
          <w:p w:rsidR="00AC2729" w:rsidRPr="005B2566" w:rsidRDefault="00AC2729" w:rsidP="003A4201">
            <w:pPr>
              <w:rPr>
                <w:rFonts w:eastAsia="Dotum"/>
              </w:rPr>
            </w:pPr>
          </w:p>
        </w:tc>
        <w:tc>
          <w:tcPr>
            <w:tcW w:w="2268" w:type="dxa"/>
            <w:tcBorders>
              <w:bottom w:val="single" w:sz="4" w:space="0" w:color="auto"/>
            </w:tcBorders>
            <w:vAlign w:val="bottom"/>
          </w:tcPr>
          <w:p w:rsidR="00AC2729" w:rsidRPr="005B2566" w:rsidRDefault="00AC2729" w:rsidP="003A4201">
            <w:pPr>
              <w:spacing w:after="80" w:line="300" w:lineRule="exact"/>
              <w:rPr>
                <w:rFonts w:eastAsia="Dotum"/>
                <w:sz w:val="28"/>
              </w:rPr>
            </w:pPr>
            <w:r w:rsidRPr="005B2566">
              <w:rPr>
                <w:rFonts w:eastAsia="Dotum"/>
                <w:sz w:val="28"/>
              </w:rPr>
              <w:t>Nations Unies</w:t>
            </w:r>
          </w:p>
        </w:tc>
        <w:tc>
          <w:tcPr>
            <w:tcW w:w="6095" w:type="dxa"/>
            <w:gridSpan w:val="2"/>
            <w:tcBorders>
              <w:bottom w:val="single" w:sz="4" w:space="0" w:color="auto"/>
            </w:tcBorders>
            <w:vAlign w:val="bottom"/>
          </w:tcPr>
          <w:p w:rsidR="00AC2729" w:rsidRPr="002E1385" w:rsidRDefault="002E1385" w:rsidP="002E1385">
            <w:pPr>
              <w:jc w:val="right"/>
              <w:rPr>
                <w:rFonts w:eastAsia="Dotum"/>
              </w:rPr>
            </w:pPr>
            <w:r w:rsidRPr="002E1385">
              <w:rPr>
                <w:rFonts w:eastAsia="Dotum"/>
                <w:sz w:val="40"/>
              </w:rPr>
              <w:t>CAT</w:t>
            </w:r>
            <w:r>
              <w:rPr>
                <w:rFonts w:eastAsia="Dotum"/>
              </w:rPr>
              <w:t>/OP/SEN/2/Add.1</w:t>
            </w:r>
          </w:p>
        </w:tc>
      </w:tr>
      <w:tr w:rsidR="00AC2729" w:rsidRPr="005B2566" w:rsidTr="003A4201">
        <w:trPr>
          <w:trHeight w:hRule="exact" w:val="2835"/>
        </w:trPr>
        <w:tc>
          <w:tcPr>
            <w:tcW w:w="1276" w:type="dxa"/>
            <w:tcBorders>
              <w:top w:val="single" w:sz="4" w:space="0" w:color="auto"/>
              <w:bottom w:val="single" w:sz="12" w:space="0" w:color="auto"/>
            </w:tcBorders>
          </w:tcPr>
          <w:p w:rsidR="00AC2729" w:rsidRPr="005B2566" w:rsidRDefault="00AC2729" w:rsidP="003A4201">
            <w:pPr>
              <w:spacing w:before="120"/>
              <w:jc w:val="center"/>
              <w:rPr>
                <w:rFonts w:eastAsia="Dotum"/>
              </w:rPr>
            </w:pPr>
            <w:r w:rsidRPr="005B2566">
              <w:rPr>
                <w:rFonts w:eastAsia="Dotu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5B2566" w:rsidRDefault="00AC2729" w:rsidP="003A4201">
            <w:pPr>
              <w:spacing w:before="120" w:line="380" w:lineRule="exact"/>
              <w:rPr>
                <w:rFonts w:eastAsia="Dotum"/>
                <w:b/>
                <w:sz w:val="34"/>
                <w:szCs w:val="34"/>
              </w:rPr>
            </w:pPr>
            <w:r w:rsidRPr="005B2566">
              <w:rPr>
                <w:rFonts w:eastAsia="Dotum"/>
                <w:b/>
                <w:sz w:val="34"/>
                <w:szCs w:val="34"/>
              </w:rPr>
              <w:t>Protocole facultatif</w:t>
            </w:r>
            <w:r w:rsidRPr="005B2566">
              <w:rPr>
                <w:rFonts w:eastAsia="Dotum"/>
                <w:b/>
                <w:sz w:val="34"/>
                <w:szCs w:val="34"/>
              </w:rPr>
              <w:br/>
              <w:t>se rapportant à la Convention</w:t>
            </w:r>
            <w:r w:rsidR="00972F9F" w:rsidRPr="005B2566">
              <w:rPr>
                <w:rFonts w:eastAsia="Dotum"/>
                <w:b/>
                <w:sz w:val="34"/>
                <w:szCs w:val="34"/>
              </w:rPr>
              <w:br/>
            </w:r>
            <w:r w:rsidRPr="005B2566">
              <w:rPr>
                <w:rFonts w:eastAsia="Dotum"/>
                <w:b/>
                <w:sz w:val="34"/>
                <w:szCs w:val="34"/>
              </w:rPr>
              <w:t>contre la torture et autres</w:t>
            </w:r>
            <w:r w:rsidRPr="005B2566">
              <w:rPr>
                <w:rFonts w:eastAsia="Dotum"/>
                <w:b/>
                <w:sz w:val="34"/>
                <w:szCs w:val="34"/>
              </w:rPr>
              <w:br/>
              <w:t>peines ou traitements cruels, inhumains ou dégradants</w:t>
            </w:r>
          </w:p>
        </w:tc>
        <w:tc>
          <w:tcPr>
            <w:tcW w:w="2835" w:type="dxa"/>
            <w:tcBorders>
              <w:top w:val="single" w:sz="4" w:space="0" w:color="auto"/>
              <w:bottom w:val="single" w:sz="12" w:space="0" w:color="auto"/>
            </w:tcBorders>
          </w:tcPr>
          <w:p w:rsidR="00CC44E3" w:rsidRPr="005B2566" w:rsidRDefault="00CC44E3" w:rsidP="003A4201">
            <w:pPr>
              <w:spacing w:before="240"/>
              <w:rPr>
                <w:rFonts w:eastAsia="Dotum"/>
              </w:rPr>
            </w:pPr>
            <w:r w:rsidRPr="005B2566">
              <w:rPr>
                <w:rFonts w:eastAsia="Dotum"/>
              </w:rPr>
              <w:t>Distr. générale</w:t>
            </w:r>
          </w:p>
          <w:p w:rsidR="00CC44E3" w:rsidRPr="005B2566" w:rsidRDefault="007E0AC2" w:rsidP="004D7D30">
            <w:pPr>
              <w:spacing w:line="240" w:lineRule="exact"/>
              <w:rPr>
                <w:rFonts w:eastAsia="Dotum"/>
              </w:rPr>
            </w:pPr>
            <w:r>
              <w:rPr>
                <w:rFonts w:eastAsia="Dotum"/>
              </w:rPr>
              <w:t>3</w:t>
            </w:r>
            <w:r w:rsidR="00224C8D">
              <w:rPr>
                <w:rFonts w:eastAsia="Dotum"/>
              </w:rPr>
              <w:t xml:space="preserve"> février</w:t>
            </w:r>
            <w:r w:rsidR="003875F1" w:rsidRPr="005C5234">
              <w:rPr>
                <w:rFonts w:eastAsia="Dotum"/>
              </w:rPr>
              <w:t xml:space="preserve"> 2</w:t>
            </w:r>
            <w:r w:rsidR="003875F1" w:rsidRPr="005B2566">
              <w:rPr>
                <w:rFonts w:eastAsia="Dotum"/>
              </w:rPr>
              <w:t>014</w:t>
            </w:r>
          </w:p>
          <w:p w:rsidR="00CC44E3" w:rsidRPr="005B2566" w:rsidRDefault="00CC44E3" w:rsidP="00CC44E3">
            <w:pPr>
              <w:spacing w:line="240" w:lineRule="exact"/>
              <w:rPr>
                <w:rFonts w:eastAsia="Dotum"/>
              </w:rPr>
            </w:pPr>
          </w:p>
          <w:p w:rsidR="00AC2729" w:rsidRPr="005B2566" w:rsidRDefault="00CC44E3" w:rsidP="00CC44E3">
            <w:pPr>
              <w:spacing w:line="240" w:lineRule="exact"/>
              <w:rPr>
                <w:rFonts w:eastAsia="Dotum"/>
              </w:rPr>
            </w:pPr>
            <w:r w:rsidRPr="004D7D30">
              <w:rPr>
                <w:rFonts w:eastAsia="Dotum"/>
              </w:rPr>
              <w:t>Original:</w:t>
            </w:r>
            <w:r w:rsidRPr="005B2566">
              <w:rPr>
                <w:rFonts w:eastAsia="Dotum"/>
              </w:rPr>
              <w:t xml:space="preserve"> français </w:t>
            </w:r>
          </w:p>
        </w:tc>
      </w:tr>
    </w:tbl>
    <w:p w:rsidR="00D81982" w:rsidRPr="005B2566" w:rsidRDefault="00D81982" w:rsidP="00D81982">
      <w:pPr>
        <w:spacing w:before="120"/>
        <w:rPr>
          <w:rFonts w:eastAsia="Dotum"/>
          <w:b/>
          <w:sz w:val="24"/>
          <w:szCs w:val="24"/>
        </w:rPr>
      </w:pPr>
      <w:r w:rsidRPr="005B2566">
        <w:rPr>
          <w:rFonts w:eastAsia="Dotum"/>
          <w:b/>
          <w:sz w:val="24"/>
          <w:szCs w:val="24"/>
        </w:rPr>
        <w:t>Sous-Comité pour la prévention de la torture</w:t>
      </w:r>
      <w:r w:rsidRPr="005B2566">
        <w:rPr>
          <w:rFonts w:eastAsia="Dotum"/>
          <w:b/>
          <w:sz w:val="24"/>
          <w:szCs w:val="24"/>
        </w:rPr>
        <w:br/>
        <w:t>et autres peines ou traitements cruels,</w:t>
      </w:r>
      <w:r w:rsidRPr="005B2566">
        <w:rPr>
          <w:rFonts w:eastAsia="Dotum"/>
          <w:b/>
          <w:sz w:val="24"/>
          <w:szCs w:val="24"/>
        </w:rPr>
        <w:br/>
        <w:t>inhumains ou dégradants</w:t>
      </w:r>
    </w:p>
    <w:p w:rsidR="00D81982" w:rsidRPr="005B2566" w:rsidRDefault="00D81982" w:rsidP="00D81982">
      <w:pPr>
        <w:pStyle w:val="SingleTxtG"/>
        <w:rPr>
          <w:rFonts w:eastAsia="Dotum"/>
        </w:rPr>
      </w:pPr>
    </w:p>
    <w:p w:rsidR="00CC44E3" w:rsidRPr="005B2566" w:rsidRDefault="00CC44E3" w:rsidP="00B1332E">
      <w:pPr>
        <w:pStyle w:val="HMG"/>
        <w:rPr>
          <w:rFonts w:eastAsia="Dotum"/>
          <w:sz w:val="20"/>
        </w:rPr>
      </w:pPr>
      <w:r w:rsidRPr="005B2566">
        <w:rPr>
          <w:rFonts w:eastAsia="Dotum"/>
        </w:rPr>
        <w:tab/>
      </w:r>
      <w:r w:rsidRPr="005B2566">
        <w:rPr>
          <w:rFonts w:eastAsia="Dotum"/>
        </w:rPr>
        <w:tab/>
      </w:r>
      <w:r w:rsidR="00C802D4" w:rsidRPr="005B2566">
        <w:rPr>
          <w:rFonts w:eastAsia="Dotum"/>
          <w:lang w:val="fr-FR"/>
        </w:rPr>
        <w:t>Rapport du Sous-Comité pour la</w:t>
      </w:r>
      <w:r w:rsidR="001A732C" w:rsidRPr="005B2566">
        <w:rPr>
          <w:rFonts w:eastAsia="Dotum"/>
          <w:lang w:val="fr-FR"/>
        </w:rPr>
        <w:t xml:space="preserve"> </w:t>
      </w:r>
      <w:r w:rsidR="00C802D4" w:rsidRPr="005B2566">
        <w:rPr>
          <w:rFonts w:eastAsia="Dotum"/>
          <w:lang w:val="fr-FR"/>
        </w:rPr>
        <w:t>prévention de la torture et autres peines ou</w:t>
      </w:r>
      <w:r w:rsidR="004D7D30">
        <w:rPr>
          <w:rFonts w:eastAsia="Dotum"/>
          <w:lang w:val="fr-FR"/>
        </w:rPr>
        <w:t xml:space="preserve"> </w:t>
      </w:r>
      <w:r w:rsidR="00C802D4" w:rsidRPr="005B2566">
        <w:rPr>
          <w:rFonts w:eastAsia="Dotum"/>
          <w:lang w:val="fr-FR"/>
        </w:rPr>
        <w:t>traitements cruels, inhumains ou dégradants</w:t>
      </w:r>
      <w:r w:rsidR="00C802D4" w:rsidRPr="005B2566">
        <w:rPr>
          <w:rFonts w:eastAsia="Dotum"/>
          <w:bCs/>
          <w:lang w:val="fr-FR"/>
        </w:rPr>
        <w:t xml:space="preserve"> </w:t>
      </w:r>
      <w:r w:rsidR="00B1332E" w:rsidRPr="005B2566">
        <w:rPr>
          <w:rFonts w:eastAsia="Dotum"/>
          <w:lang w:val="fr-FR"/>
        </w:rPr>
        <w:t xml:space="preserve">sur </w:t>
      </w:r>
      <w:r w:rsidR="00B1332E">
        <w:rPr>
          <w:rFonts w:eastAsia="Dotum"/>
          <w:lang w:val="fr-FR"/>
        </w:rPr>
        <w:t>s</w:t>
      </w:r>
      <w:r w:rsidR="00B1332E" w:rsidRPr="005B2566">
        <w:rPr>
          <w:rFonts w:eastAsia="Dotum"/>
          <w:lang w:val="fr-FR"/>
        </w:rPr>
        <w:t xml:space="preserve">a visite </w:t>
      </w:r>
      <w:r w:rsidR="00B1332E">
        <w:rPr>
          <w:rFonts w:eastAsia="Dotum"/>
          <w:lang w:val="fr-FR"/>
        </w:rPr>
        <w:t xml:space="preserve">de conseil </w:t>
      </w:r>
      <w:r w:rsidR="00B1332E" w:rsidRPr="005B2566">
        <w:rPr>
          <w:rFonts w:eastAsia="Dotum"/>
          <w:lang w:val="fr-FR"/>
        </w:rPr>
        <w:t xml:space="preserve">au </w:t>
      </w:r>
      <w:r w:rsidR="00B1332E">
        <w:rPr>
          <w:rFonts w:eastAsia="Dotum"/>
          <w:lang w:val="fr-FR"/>
        </w:rPr>
        <w:t xml:space="preserve">mécanisme national de prévention du </w:t>
      </w:r>
      <w:r w:rsidR="00B1332E" w:rsidRPr="005B2566">
        <w:rPr>
          <w:rFonts w:eastAsia="Dotum"/>
          <w:lang w:val="fr-FR"/>
        </w:rPr>
        <w:t>Sénégal</w:t>
      </w:r>
    </w:p>
    <w:p w:rsidR="00C802D4" w:rsidRPr="005B2566" w:rsidRDefault="00C802D4" w:rsidP="001A732C">
      <w:pPr>
        <w:pStyle w:val="H23G"/>
        <w:rPr>
          <w:rFonts w:eastAsia="Dotum"/>
        </w:rPr>
      </w:pPr>
      <w:r w:rsidRPr="005B2566">
        <w:rPr>
          <w:rFonts w:eastAsia="Dotum"/>
        </w:rPr>
        <w:tab/>
      </w:r>
      <w:r w:rsidRPr="005B2566">
        <w:rPr>
          <w:rFonts w:eastAsia="Dotum"/>
        </w:rPr>
        <w:tab/>
        <w:t>Additif</w:t>
      </w:r>
    </w:p>
    <w:p w:rsidR="00C802D4" w:rsidRPr="004D7D30" w:rsidRDefault="00C802D4" w:rsidP="00D51BB0">
      <w:pPr>
        <w:pStyle w:val="HChG"/>
        <w:rPr>
          <w:rFonts w:eastAsia="Dotum"/>
          <w:sz w:val="20"/>
        </w:rPr>
      </w:pPr>
      <w:r w:rsidRPr="00B1332E">
        <w:rPr>
          <w:rFonts w:eastAsia="Dotum"/>
        </w:rPr>
        <w:tab/>
      </w:r>
      <w:r w:rsidRPr="00B1332E">
        <w:rPr>
          <w:rFonts w:eastAsia="Dotum"/>
        </w:rPr>
        <w:tab/>
      </w:r>
      <w:r w:rsidRPr="005B2566">
        <w:rPr>
          <w:rFonts w:eastAsia="Dotum"/>
        </w:rPr>
        <w:t>Réponses du mécanisme national de prévention du</w:t>
      </w:r>
      <w:r w:rsidR="001A732C" w:rsidRPr="005B2566">
        <w:rPr>
          <w:rFonts w:eastAsia="Dotum"/>
        </w:rPr>
        <w:t> </w:t>
      </w:r>
      <w:r w:rsidRPr="005B2566">
        <w:rPr>
          <w:rFonts w:eastAsia="Dotum"/>
        </w:rPr>
        <w:t xml:space="preserve">Sénégal aux recommandations et questions formulées par le </w:t>
      </w:r>
      <w:r w:rsidRPr="00B1332E">
        <w:rPr>
          <w:rFonts w:eastAsia="Dotum"/>
        </w:rPr>
        <w:t xml:space="preserve">Sous-Comité pour la prévention de la torture </w:t>
      </w:r>
      <w:r w:rsidR="00E6092B">
        <w:rPr>
          <w:rFonts w:eastAsia="Dotum"/>
        </w:rPr>
        <w:t xml:space="preserve">et autres peines ou traitements cruels, inhumains ou dégradants </w:t>
      </w:r>
      <w:r w:rsidRPr="005B2566">
        <w:rPr>
          <w:rFonts w:eastAsia="Dotum"/>
        </w:rPr>
        <w:t>dans le rapport sur sa visite de conseil</w:t>
      </w:r>
      <w:r w:rsidR="005B2CE5">
        <w:rPr>
          <w:rFonts w:eastAsia="Dotum"/>
        </w:rPr>
        <w:t xml:space="preserve"> </w:t>
      </w:r>
      <w:r w:rsidR="002B6FF3" w:rsidRPr="004D7D30">
        <w:rPr>
          <w:rStyle w:val="FootnoteReference"/>
          <w:rFonts w:eastAsia="Dotum"/>
          <w:b w:val="0"/>
          <w:bCs/>
          <w:sz w:val="20"/>
          <w:vertAlign w:val="baseline"/>
        </w:rPr>
        <w:footnoteReference w:customMarkFollows="1" w:id="2"/>
        <w:t>*</w:t>
      </w:r>
      <w:r w:rsidR="002B6FF3" w:rsidRPr="004D7D30">
        <w:rPr>
          <w:rFonts w:eastAsia="Dotum"/>
          <w:bCs/>
          <w:sz w:val="20"/>
          <w:vertAlign w:val="superscript"/>
        </w:rPr>
        <w:t>,</w:t>
      </w:r>
      <w:r w:rsidR="001A732C" w:rsidRPr="004D7D30">
        <w:rPr>
          <w:rFonts w:eastAsia="Dotum"/>
          <w:bCs/>
        </w:rPr>
        <w:t xml:space="preserve"> </w:t>
      </w:r>
      <w:r w:rsidR="002B6FF3" w:rsidRPr="004D7D30">
        <w:rPr>
          <w:rStyle w:val="FootnoteReference"/>
          <w:rFonts w:eastAsia="Dotum"/>
          <w:b w:val="0"/>
          <w:bCs/>
          <w:sz w:val="20"/>
          <w:vertAlign w:val="baseline"/>
        </w:rPr>
        <w:footnoteReference w:customMarkFollows="1" w:id="3"/>
        <w:t>**</w:t>
      </w:r>
      <w:r w:rsidR="002B6FF3" w:rsidRPr="004D7D30">
        <w:rPr>
          <w:rFonts w:eastAsia="Dotum"/>
          <w:bCs/>
          <w:sz w:val="20"/>
          <w:vertAlign w:val="superscript"/>
        </w:rPr>
        <w:t>,</w:t>
      </w:r>
      <w:r w:rsidR="004D7D30" w:rsidRPr="004D7D30">
        <w:rPr>
          <w:rFonts w:eastAsia="Dotum"/>
          <w:bCs/>
        </w:rPr>
        <w:t xml:space="preserve"> </w:t>
      </w:r>
      <w:r w:rsidR="002B6FF3" w:rsidRPr="004D7D30">
        <w:rPr>
          <w:rStyle w:val="FootnoteReference"/>
          <w:rFonts w:eastAsia="Dotum"/>
          <w:b w:val="0"/>
          <w:bCs/>
          <w:sz w:val="20"/>
          <w:vertAlign w:val="baseline"/>
        </w:rPr>
        <w:footnoteReference w:customMarkFollows="1" w:id="4"/>
        <w:t>***</w:t>
      </w:r>
      <w:r w:rsidRPr="004D7D30">
        <w:rPr>
          <w:rFonts w:eastAsia="Dotum"/>
          <w:bCs/>
          <w:sz w:val="20"/>
          <w:szCs w:val="28"/>
        </w:rPr>
        <w:t xml:space="preserve"> </w:t>
      </w:r>
    </w:p>
    <w:p w:rsidR="004D7D30" w:rsidRPr="004D7D30" w:rsidRDefault="004D7D30" w:rsidP="004D7D30">
      <w:pPr>
        <w:pStyle w:val="SingleTxtG"/>
        <w:jc w:val="right"/>
        <w:rPr>
          <w:rFonts w:eastAsia="Dotum"/>
        </w:rPr>
      </w:pPr>
      <w:r w:rsidRPr="004D7D30">
        <w:rPr>
          <w:rFonts w:eastAsia="Dotum"/>
        </w:rPr>
        <w:t>[</w:t>
      </w:r>
      <w:r>
        <w:rPr>
          <w:rFonts w:eastAsia="Dotum"/>
        </w:rPr>
        <w:t>22 janvier 2014]</w:t>
      </w:r>
    </w:p>
    <w:p w:rsidR="00262DFC" w:rsidRPr="005B2566" w:rsidRDefault="00262DFC" w:rsidP="00100C33">
      <w:pPr>
        <w:pStyle w:val="HChG"/>
        <w:rPr>
          <w:rFonts w:eastAsia="Dotum"/>
        </w:rPr>
      </w:pPr>
      <w:r w:rsidRPr="005B2566">
        <w:rPr>
          <w:rFonts w:eastAsia="Dotum"/>
        </w:rPr>
        <w:br w:type="page"/>
      </w:r>
      <w:r w:rsidR="009C40A5" w:rsidRPr="00C60829">
        <w:rPr>
          <w:rFonts w:eastAsia="Dotum"/>
          <w:lang w:val="fr-FR"/>
        </w:rPr>
        <w:tab/>
        <w:t>I.</w:t>
      </w:r>
      <w:r w:rsidR="009C40A5" w:rsidRPr="00C60829">
        <w:rPr>
          <w:rFonts w:eastAsia="Dotum"/>
          <w:lang w:val="fr-FR"/>
        </w:rPr>
        <w:tab/>
      </w:r>
      <w:r w:rsidR="00D81982" w:rsidRPr="00C60829">
        <w:rPr>
          <w:rFonts w:eastAsia="Dotum"/>
        </w:rPr>
        <w:t>R</w:t>
      </w:r>
      <w:r w:rsidR="00C60829" w:rsidRPr="00C60829">
        <w:rPr>
          <w:rFonts w:eastAsia="Dotum"/>
        </w:rPr>
        <w:t>éponses aux r</w:t>
      </w:r>
      <w:r w:rsidR="00D81982" w:rsidRPr="00C60829">
        <w:rPr>
          <w:rFonts w:eastAsia="Dotum"/>
        </w:rPr>
        <w:t>ecommandations concernant le cadre normatif du</w:t>
      </w:r>
      <w:r w:rsidR="00324AAB" w:rsidRPr="00C60829">
        <w:rPr>
          <w:rFonts w:eastAsia="Dotum"/>
        </w:rPr>
        <w:t> </w:t>
      </w:r>
      <w:r w:rsidR="00D81982" w:rsidRPr="00C60829">
        <w:rPr>
          <w:rFonts w:eastAsia="Dotum"/>
        </w:rPr>
        <w:t xml:space="preserve">Mécanisme </w:t>
      </w:r>
      <w:r w:rsidR="00100C33" w:rsidRPr="00C60829">
        <w:rPr>
          <w:rFonts w:eastAsia="Dotum"/>
        </w:rPr>
        <w:t>national de prévention</w:t>
      </w:r>
    </w:p>
    <w:p w:rsidR="00D81982" w:rsidRPr="005B2566" w:rsidRDefault="00D81982" w:rsidP="00324AAB">
      <w:pPr>
        <w:pStyle w:val="SingleTxtG"/>
        <w:numPr>
          <w:ilvl w:val="2"/>
          <w:numId w:val="11"/>
        </w:numPr>
        <w:rPr>
          <w:rFonts w:eastAsia="Dotum"/>
        </w:rPr>
      </w:pPr>
      <w:r w:rsidRPr="005B2566">
        <w:rPr>
          <w:rFonts w:eastAsia="Dotum"/>
        </w:rPr>
        <w:t xml:space="preserve">Depuis août 2012, l’Observateur </w:t>
      </w:r>
      <w:r w:rsidR="00100C33" w:rsidRPr="005B2566">
        <w:rPr>
          <w:rFonts w:eastAsia="Dotum"/>
        </w:rPr>
        <w:t xml:space="preserve">national des lieux de privation de liberté </w:t>
      </w:r>
      <w:r w:rsidRPr="005B2566">
        <w:rPr>
          <w:rFonts w:eastAsia="Dotum"/>
        </w:rPr>
        <w:t xml:space="preserve">(ONLPL) a adressé plusieurs correspondances aux autorités étatiques (Premier Ministre, Ministre de la justice) pour les inviter à procéder à la modification du décret rattachant le Mécanisme </w:t>
      </w:r>
      <w:r w:rsidR="00100C33" w:rsidRPr="005B2566">
        <w:rPr>
          <w:rFonts w:eastAsia="Dotum"/>
        </w:rPr>
        <w:t>national de prévention</w:t>
      </w:r>
      <w:r w:rsidRPr="005B2566">
        <w:rPr>
          <w:rFonts w:eastAsia="Dotum"/>
        </w:rPr>
        <w:t xml:space="preserve"> au Ministère de la </w:t>
      </w:r>
      <w:r w:rsidR="002D6A54" w:rsidRPr="005B2566">
        <w:rPr>
          <w:rFonts w:eastAsia="Dotum"/>
        </w:rPr>
        <w:t>j</w:t>
      </w:r>
      <w:r w:rsidRPr="005B2566">
        <w:rPr>
          <w:rFonts w:eastAsia="Dotum"/>
        </w:rPr>
        <w:t>ustice.</w:t>
      </w:r>
    </w:p>
    <w:p w:rsidR="00D81982" w:rsidRPr="005B2566" w:rsidRDefault="00D81982" w:rsidP="002D6A54">
      <w:pPr>
        <w:pStyle w:val="SingleTxtG"/>
        <w:numPr>
          <w:ilvl w:val="2"/>
          <w:numId w:val="11"/>
        </w:numPr>
        <w:rPr>
          <w:rFonts w:eastAsia="Dotum"/>
        </w:rPr>
      </w:pPr>
      <w:r w:rsidRPr="005B2566">
        <w:rPr>
          <w:rFonts w:eastAsia="Dotum"/>
        </w:rPr>
        <w:t>La dernière correspondance remonte au 18</w:t>
      </w:r>
      <w:r w:rsidR="002D6A54" w:rsidRPr="005B2566">
        <w:rPr>
          <w:rFonts w:eastAsia="Dotum"/>
        </w:rPr>
        <w:t> </w:t>
      </w:r>
      <w:r w:rsidRPr="005B2566">
        <w:rPr>
          <w:rFonts w:eastAsia="Dotum"/>
        </w:rPr>
        <w:t>octobre</w:t>
      </w:r>
      <w:r w:rsidR="002D6A54" w:rsidRPr="005B2566">
        <w:rPr>
          <w:rFonts w:eastAsia="Dotum"/>
        </w:rPr>
        <w:t> </w:t>
      </w:r>
      <w:r w:rsidRPr="005B2566">
        <w:rPr>
          <w:rFonts w:eastAsia="Dotum"/>
        </w:rPr>
        <w:t>2013.</w:t>
      </w:r>
    </w:p>
    <w:p w:rsidR="0088016A" w:rsidRPr="005B2566" w:rsidRDefault="00D81982" w:rsidP="00324AAB">
      <w:pPr>
        <w:pStyle w:val="SingleTxtG"/>
        <w:numPr>
          <w:ilvl w:val="2"/>
          <w:numId w:val="11"/>
        </w:numPr>
        <w:rPr>
          <w:rFonts w:eastAsia="Dotum"/>
        </w:rPr>
      </w:pPr>
      <w:r w:rsidRPr="005B2566">
        <w:rPr>
          <w:rFonts w:eastAsia="Dotum"/>
        </w:rPr>
        <w:t xml:space="preserve">L’actuel Ministre de la </w:t>
      </w:r>
      <w:r w:rsidR="002D6A54" w:rsidRPr="005B2566">
        <w:rPr>
          <w:rFonts w:eastAsia="Dotum"/>
        </w:rPr>
        <w:t>j</w:t>
      </w:r>
      <w:r w:rsidRPr="005B2566">
        <w:rPr>
          <w:rFonts w:eastAsia="Dotum"/>
        </w:rPr>
        <w:t>ustice</w:t>
      </w:r>
      <w:r w:rsidR="00324AAB" w:rsidRPr="005B2566">
        <w:rPr>
          <w:rFonts w:eastAsia="Dotum"/>
        </w:rPr>
        <w:t>:</w:t>
      </w:r>
      <w:r w:rsidRPr="005B2566">
        <w:rPr>
          <w:rFonts w:eastAsia="Dotum"/>
        </w:rPr>
        <w:t xml:space="preserve"> M</w:t>
      </w:r>
      <w:r w:rsidRPr="005B2566">
        <w:rPr>
          <w:rFonts w:eastAsia="Dotum"/>
          <w:vertAlign w:val="superscript"/>
        </w:rPr>
        <w:t>e</w:t>
      </w:r>
      <w:r w:rsidR="00324AAB" w:rsidRPr="005B2566">
        <w:rPr>
          <w:rFonts w:eastAsia="Dotum"/>
        </w:rPr>
        <w:t> </w:t>
      </w:r>
      <w:r w:rsidRPr="005B2566">
        <w:rPr>
          <w:rFonts w:eastAsia="Dotum"/>
        </w:rPr>
        <w:t xml:space="preserve">Sidiki Kaba nous a assuré au cours de notre rencontre, qu’il veillera à ce qu’il soit mis fin à tout rattachement du Mécanisme </w:t>
      </w:r>
      <w:r w:rsidR="00100C33" w:rsidRPr="005B2566">
        <w:rPr>
          <w:rFonts w:eastAsia="Dotum"/>
        </w:rPr>
        <w:t>national de prévention</w:t>
      </w:r>
      <w:r w:rsidRPr="005B2566">
        <w:rPr>
          <w:rFonts w:eastAsia="Dotum"/>
        </w:rPr>
        <w:t xml:space="preserve"> au pouvoir exécutif.</w:t>
      </w:r>
    </w:p>
    <w:p w:rsidR="00D81982" w:rsidRPr="005B2566" w:rsidRDefault="00D81982" w:rsidP="00605EA8">
      <w:pPr>
        <w:pStyle w:val="SingleTxtG"/>
        <w:numPr>
          <w:ilvl w:val="2"/>
          <w:numId w:val="11"/>
        </w:numPr>
        <w:rPr>
          <w:rFonts w:eastAsia="Dotum"/>
          <w:bCs/>
        </w:rPr>
      </w:pPr>
      <w:r w:rsidRPr="005B2566">
        <w:rPr>
          <w:rFonts w:eastAsia="Dotum"/>
          <w:bCs/>
        </w:rPr>
        <w:t xml:space="preserve">L’Observateur </w:t>
      </w:r>
      <w:r w:rsidR="00100C33" w:rsidRPr="005B2566">
        <w:rPr>
          <w:rFonts w:eastAsia="Dotum"/>
          <w:bCs/>
        </w:rPr>
        <w:t xml:space="preserve">national </w:t>
      </w:r>
      <w:r w:rsidRPr="005B2566">
        <w:rPr>
          <w:rFonts w:eastAsia="Dotum"/>
          <w:bCs/>
        </w:rPr>
        <w:t xml:space="preserve">informera le </w:t>
      </w:r>
      <w:r w:rsidR="00605EA8" w:rsidRPr="00605EA8">
        <w:rPr>
          <w:rFonts w:eastAsia="Dotum"/>
          <w:bCs/>
        </w:rPr>
        <w:t xml:space="preserve">Sous-Comité pour la prévention de la torture </w:t>
      </w:r>
      <w:r w:rsidRPr="00605EA8">
        <w:rPr>
          <w:rFonts w:eastAsia="Dotum"/>
          <w:bCs/>
        </w:rPr>
        <w:t>de</w:t>
      </w:r>
      <w:r w:rsidRPr="005B2566">
        <w:rPr>
          <w:rFonts w:eastAsia="Dotum"/>
          <w:bCs/>
        </w:rPr>
        <w:t xml:space="preserve"> la suite qui</w:t>
      </w:r>
      <w:r w:rsidR="001E0549" w:rsidRPr="005B2566">
        <w:rPr>
          <w:rFonts w:eastAsia="Dotum"/>
          <w:bCs/>
        </w:rPr>
        <w:t xml:space="preserve"> sera réservée à cette démarche</w:t>
      </w:r>
      <w:r w:rsidR="00B15D6B" w:rsidRPr="005B2566">
        <w:rPr>
          <w:rFonts w:eastAsia="Dotum"/>
          <w:bCs/>
        </w:rPr>
        <w:t>.</w:t>
      </w:r>
    </w:p>
    <w:p w:rsidR="00D81982" w:rsidRPr="005B2566" w:rsidRDefault="00D81982" w:rsidP="00324AAB">
      <w:pPr>
        <w:pStyle w:val="SingleTxtG"/>
        <w:numPr>
          <w:ilvl w:val="2"/>
          <w:numId w:val="11"/>
        </w:numPr>
        <w:rPr>
          <w:rFonts w:eastAsia="Dotum"/>
        </w:rPr>
      </w:pPr>
      <w:r w:rsidRPr="005B2566">
        <w:rPr>
          <w:rFonts w:eastAsia="Dotum"/>
        </w:rPr>
        <w:t xml:space="preserve">L’Observateur </w:t>
      </w:r>
      <w:r w:rsidR="00340B12" w:rsidRPr="005B2566">
        <w:rPr>
          <w:rFonts w:eastAsia="Dotum"/>
        </w:rPr>
        <w:t xml:space="preserve">national </w:t>
      </w:r>
      <w:r w:rsidRPr="005B2566">
        <w:rPr>
          <w:rFonts w:eastAsia="Dotum"/>
        </w:rPr>
        <w:t>choisit librement ses collaborateurs qui proviennent soit de l’Administration, soit en dehors de celle-ci.</w:t>
      </w:r>
    </w:p>
    <w:p w:rsidR="00D81982" w:rsidRPr="005B2566" w:rsidRDefault="00D81982" w:rsidP="00324AAB">
      <w:pPr>
        <w:pStyle w:val="SingleTxtG"/>
        <w:numPr>
          <w:ilvl w:val="2"/>
          <w:numId w:val="11"/>
        </w:numPr>
        <w:rPr>
          <w:rFonts w:eastAsia="Dotum"/>
        </w:rPr>
      </w:pPr>
      <w:r w:rsidRPr="005B2566">
        <w:rPr>
          <w:rFonts w:eastAsia="Dotum"/>
        </w:rPr>
        <w:t>Les collaborateurs qui proviennent de l’Administration sont rémunérés sur le budget général de l’</w:t>
      </w:r>
      <w:r w:rsidR="0028041D" w:rsidRPr="005B2566">
        <w:rPr>
          <w:rFonts w:eastAsia="Dotum"/>
        </w:rPr>
        <w:t>État</w:t>
      </w:r>
      <w:r w:rsidRPr="005B2566">
        <w:rPr>
          <w:rFonts w:eastAsia="Dotum"/>
        </w:rPr>
        <w:t xml:space="preserve"> pendant que les autres collaborateurs doivent être pris en charge dans le budget du Mécanisme </w:t>
      </w:r>
      <w:r w:rsidR="00340B12" w:rsidRPr="005B2566">
        <w:rPr>
          <w:rFonts w:eastAsia="Dotum"/>
        </w:rPr>
        <w:t>national de prévention</w:t>
      </w:r>
      <w:r w:rsidRPr="005B2566">
        <w:rPr>
          <w:rFonts w:eastAsia="Dotum"/>
        </w:rPr>
        <w:t>.</w:t>
      </w:r>
    </w:p>
    <w:p w:rsidR="00D81982" w:rsidRPr="005B2566" w:rsidRDefault="00D81982" w:rsidP="00340B12">
      <w:pPr>
        <w:pStyle w:val="SingleTxtG"/>
        <w:numPr>
          <w:ilvl w:val="2"/>
          <w:numId w:val="11"/>
        </w:numPr>
        <w:rPr>
          <w:rFonts w:eastAsia="Dotum"/>
        </w:rPr>
      </w:pPr>
      <w:r w:rsidRPr="005B2566">
        <w:rPr>
          <w:rFonts w:eastAsia="Dotum"/>
        </w:rPr>
        <w:t xml:space="preserve">En l’état actuel et compte tenu de l’extrême faiblesse du budget alloué au </w:t>
      </w:r>
      <w:r w:rsidR="00100C33" w:rsidRPr="005B2566">
        <w:rPr>
          <w:rFonts w:eastAsia="Dotum"/>
        </w:rPr>
        <w:t>Mécanisme national de prévention</w:t>
      </w:r>
      <w:r w:rsidRPr="005B2566">
        <w:rPr>
          <w:rFonts w:eastAsia="Dotum"/>
        </w:rPr>
        <w:t>: 21 500 000</w:t>
      </w:r>
      <w:r w:rsidR="004E14D1" w:rsidRPr="005B2566">
        <w:rPr>
          <w:rFonts w:eastAsia="Dotum"/>
        </w:rPr>
        <w:t> </w:t>
      </w:r>
      <w:r w:rsidR="00340B12" w:rsidRPr="005B2566">
        <w:rPr>
          <w:rFonts w:eastAsia="Dotum"/>
        </w:rPr>
        <w:t>francs </w:t>
      </w:r>
      <w:r w:rsidRPr="005B2566">
        <w:rPr>
          <w:rFonts w:eastAsia="Dotum"/>
        </w:rPr>
        <w:t>CFA soit l’équivalent de 33</w:t>
      </w:r>
      <w:r w:rsidR="00324AAB" w:rsidRPr="005B2566">
        <w:rPr>
          <w:rFonts w:eastAsia="Dotum"/>
        </w:rPr>
        <w:t> </w:t>
      </w:r>
      <w:r w:rsidRPr="005B2566">
        <w:rPr>
          <w:rFonts w:eastAsia="Dotum"/>
        </w:rPr>
        <w:t>000</w:t>
      </w:r>
      <w:r w:rsidR="004E14D1" w:rsidRPr="005B2566">
        <w:rPr>
          <w:rFonts w:eastAsia="Dotum"/>
        </w:rPr>
        <w:t> </w:t>
      </w:r>
      <w:r w:rsidR="005B3BA8" w:rsidRPr="005B2566">
        <w:rPr>
          <w:rFonts w:eastAsia="Dotum"/>
        </w:rPr>
        <w:t>e</w:t>
      </w:r>
      <w:r w:rsidR="00324AAB" w:rsidRPr="005B2566">
        <w:rPr>
          <w:rFonts w:eastAsia="Dotum"/>
        </w:rPr>
        <w:t>uro</w:t>
      </w:r>
      <w:r w:rsidR="005B3BA8" w:rsidRPr="005B2566">
        <w:rPr>
          <w:rFonts w:eastAsia="Dotum"/>
        </w:rPr>
        <w:t>s</w:t>
      </w:r>
      <w:r w:rsidRPr="005B2566">
        <w:rPr>
          <w:rFonts w:eastAsia="Dotum"/>
        </w:rPr>
        <w:t>, les collaborateurs</w:t>
      </w:r>
      <w:r w:rsidR="00324AAB" w:rsidRPr="005B2566">
        <w:rPr>
          <w:rFonts w:eastAsia="Dotum"/>
        </w:rPr>
        <w:t xml:space="preserve"> </w:t>
      </w:r>
      <w:r w:rsidRPr="005B2566">
        <w:rPr>
          <w:rFonts w:eastAsia="Dotum"/>
        </w:rPr>
        <w:t>n’appartenant pas à l’administration (voir annexes) ainsi que les personnels d’appui recrutés par l’ONLPL ne bénéficient d’aucune rémunération.</w:t>
      </w:r>
    </w:p>
    <w:p w:rsidR="00D81982" w:rsidRPr="005B2566" w:rsidRDefault="00D81982" w:rsidP="00324AAB">
      <w:pPr>
        <w:pStyle w:val="SingleTxtG"/>
        <w:numPr>
          <w:ilvl w:val="2"/>
          <w:numId w:val="11"/>
        </w:numPr>
        <w:rPr>
          <w:rFonts w:eastAsia="Dotum"/>
        </w:rPr>
      </w:pPr>
      <w:r w:rsidRPr="005B2566">
        <w:rPr>
          <w:rFonts w:eastAsia="Dotum"/>
        </w:rPr>
        <w:t>Il s’agit là d’une situation fort regrettable qui est de nature à entraver le bon fonctionnement de l’institution.</w:t>
      </w:r>
    </w:p>
    <w:p w:rsidR="00D81982" w:rsidRPr="005B2566" w:rsidRDefault="00D81982" w:rsidP="005B3BA8">
      <w:pPr>
        <w:pStyle w:val="SingleTxtG"/>
        <w:numPr>
          <w:ilvl w:val="2"/>
          <w:numId w:val="11"/>
        </w:numPr>
        <w:rPr>
          <w:rFonts w:eastAsia="Dotum"/>
        </w:rPr>
      </w:pPr>
      <w:r w:rsidRPr="005B2566">
        <w:rPr>
          <w:rFonts w:eastAsia="Dotum"/>
        </w:rPr>
        <w:t xml:space="preserve">Un projet de budget détaillé (voir annexes) a été envoyé depuis mars 2013 aux autorités étatiques (Ministère de la </w:t>
      </w:r>
      <w:r w:rsidR="002D6A54" w:rsidRPr="005B2566">
        <w:rPr>
          <w:rFonts w:eastAsia="Dotum"/>
        </w:rPr>
        <w:t>j</w:t>
      </w:r>
      <w:r w:rsidRPr="005B2566">
        <w:rPr>
          <w:rFonts w:eastAsia="Dotum"/>
        </w:rPr>
        <w:t xml:space="preserve">ustice et Commission des lois de l’Assemblée </w:t>
      </w:r>
      <w:r w:rsidR="00340B12" w:rsidRPr="005B2566">
        <w:rPr>
          <w:rFonts w:eastAsia="Dotum"/>
        </w:rPr>
        <w:t>nationale</w:t>
      </w:r>
      <w:r w:rsidRPr="005B2566">
        <w:rPr>
          <w:rFonts w:eastAsia="Dotum"/>
        </w:rPr>
        <w:t>) mais ces propositions n’ont pas été prises en compte dans le projet de loi de finances 2014 en cours d’examen devant le parlement.</w:t>
      </w:r>
    </w:p>
    <w:p w:rsidR="00D81982" w:rsidRPr="005B2566" w:rsidRDefault="00D81982" w:rsidP="007632AC">
      <w:pPr>
        <w:pStyle w:val="SingleTxtG"/>
        <w:numPr>
          <w:ilvl w:val="2"/>
          <w:numId w:val="11"/>
        </w:numPr>
        <w:rPr>
          <w:rFonts w:eastAsia="Dotum"/>
        </w:rPr>
      </w:pPr>
      <w:r w:rsidRPr="005B2566">
        <w:rPr>
          <w:rFonts w:eastAsia="Dotum"/>
        </w:rPr>
        <w:t>Le même montant de 21</w:t>
      </w:r>
      <w:r w:rsidR="005B3BA8" w:rsidRPr="005B2566">
        <w:rPr>
          <w:rFonts w:eastAsia="Dotum"/>
        </w:rPr>
        <w:t> </w:t>
      </w:r>
      <w:r w:rsidRPr="005B2566">
        <w:rPr>
          <w:rFonts w:eastAsia="Dotum"/>
        </w:rPr>
        <w:t>500</w:t>
      </w:r>
      <w:r w:rsidR="005B3BA8" w:rsidRPr="005B2566">
        <w:rPr>
          <w:rFonts w:eastAsia="Dotum"/>
        </w:rPr>
        <w:t> </w:t>
      </w:r>
      <w:r w:rsidRPr="005B2566">
        <w:rPr>
          <w:rFonts w:eastAsia="Dotum"/>
        </w:rPr>
        <w:t>000</w:t>
      </w:r>
      <w:r w:rsidR="004E14D1" w:rsidRPr="005B2566">
        <w:rPr>
          <w:rFonts w:eastAsia="Dotum"/>
        </w:rPr>
        <w:t> </w:t>
      </w:r>
      <w:r w:rsidR="00340B12" w:rsidRPr="005B2566">
        <w:rPr>
          <w:rFonts w:eastAsia="Dotum"/>
        </w:rPr>
        <w:t>francs </w:t>
      </w:r>
      <w:r w:rsidRPr="005B2566">
        <w:rPr>
          <w:rFonts w:eastAsia="Dotum"/>
        </w:rPr>
        <w:t xml:space="preserve">CFA a été, en effet, reconduit, ce qui veut dire que le </w:t>
      </w:r>
      <w:r w:rsidR="00340B12" w:rsidRPr="005B2566">
        <w:rPr>
          <w:rFonts w:eastAsia="Dotum"/>
        </w:rPr>
        <w:t>G</w:t>
      </w:r>
      <w:r w:rsidRPr="005B2566">
        <w:rPr>
          <w:rFonts w:eastAsia="Dotum"/>
        </w:rPr>
        <w:t>ouvernement du Sénégal n’a tenu compte ni de nos propositions, ni des recommandations formulées par le Comité contre la tortur</w:t>
      </w:r>
      <w:r w:rsidRPr="00152AC2">
        <w:rPr>
          <w:rFonts w:eastAsia="Dotum"/>
        </w:rPr>
        <w:t>e, le Sous-comité pour la prévention de la torture et le Conseil des droits de l’homme,</w:t>
      </w:r>
      <w:r w:rsidRPr="005B2566">
        <w:rPr>
          <w:rFonts w:eastAsia="Dotum"/>
        </w:rPr>
        <w:t xml:space="preserve"> lors du dernier passage du Sénégal à l’</w:t>
      </w:r>
      <w:r w:rsidR="007632AC" w:rsidRPr="005B2566">
        <w:rPr>
          <w:rFonts w:eastAsia="Dotum"/>
        </w:rPr>
        <w:t>e</w:t>
      </w:r>
      <w:r w:rsidRPr="005B2566">
        <w:rPr>
          <w:rFonts w:eastAsia="Dotum"/>
        </w:rPr>
        <w:t xml:space="preserve">xamen </w:t>
      </w:r>
      <w:r w:rsidR="007632AC" w:rsidRPr="005B2566">
        <w:rPr>
          <w:rFonts w:eastAsia="Dotum"/>
        </w:rPr>
        <w:t>périodique universel</w:t>
      </w:r>
      <w:r w:rsidRPr="005B2566">
        <w:rPr>
          <w:rFonts w:eastAsia="Dotum"/>
        </w:rPr>
        <w:t>.</w:t>
      </w:r>
    </w:p>
    <w:p w:rsidR="0088016A" w:rsidRPr="005B2566" w:rsidRDefault="00D81982" w:rsidP="007632AC">
      <w:pPr>
        <w:pStyle w:val="SingleTxtG"/>
        <w:numPr>
          <w:ilvl w:val="2"/>
          <w:numId w:val="11"/>
        </w:numPr>
        <w:rPr>
          <w:rFonts w:eastAsia="Dotum"/>
        </w:rPr>
      </w:pPr>
      <w:r w:rsidRPr="005B2566">
        <w:rPr>
          <w:rFonts w:eastAsia="Dotum"/>
        </w:rPr>
        <w:t>L’actuel</w:t>
      </w:r>
      <w:r w:rsidR="00324AAB" w:rsidRPr="005B2566">
        <w:rPr>
          <w:rFonts w:eastAsia="Dotum"/>
        </w:rPr>
        <w:t xml:space="preserve"> </w:t>
      </w:r>
      <w:r w:rsidRPr="005B2566">
        <w:rPr>
          <w:rFonts w:eastAsia="Dotum"/>
        </w:rPr>
        <w:t xml:space="preserve">Observateur </w:t>
      </w:r>
      <w:r w:rsidR="007632AC" w:rsidRPr="005B2566">
        <w:rPr>
          <w:rFonts w:eastAsia="Dotum"/>
        </w:rPr>
        <w:t>national</w:t>
      </w:r>
      <w:r w:rsidRPr="005B2566">
        <w:rPr>
          <w:rFonts w:eastAsia="Dotum"/>
        </w:rPr>
        <w:t xml:space="preserve">, </w:t>
      </w:r>
      <w:r w:rsidR="007632AC" w:rsidRPr="005B2566">
        <w:rPr>
          <w:rFonts w:eastAsia="Dotum"/>
        </w:rPr>
        <w:t>m</w:t>
      </w:r>
      <w:r w:rsidRPr="005B2566">
        <w:rPr>
          <w:rFonts w:eastAsia="Dotum"/>
        </w:rPr>
        <w:t>agistrat de formation ayant plus de 34</w:t>
      </w:r>
      <w:r w:rsidR="004E14D1" w:rsidRPr="005B2566">
        <w:rPr>
          <w:rFonts w:eastAsia="Dotum"/>
        </w:rPr>
        <w:t> </w:t>
      </w:r>
      <w:r w:rsidRPr="005B2566">
        <w:rPr>
          <w:rFonts w:eastAsia="Dotum"/>
        </w:rPr>
        <w:t xml:space="preserve">années d’activités professionnelles, a été choisi sur une liste de plusieurs candidats proposée au Ministère de la </w:t>
      </w:r>
      <w:r w:rsidR="002D6A54" w:rsidRPr="005B2566">
        <w:rPr>
          <w:rFonts w:eastAsia="Dotum"/>
        </w:rPr>
        <w:t>j</w:t>
      </w:r>
      <w:r w:rsidRPr="005B2566">
        <w:rPr>
          <w:rFonts w:eastAsia="Dotum"/>
        </w:rPr>
        <w:t>ustice.</w:t>
      </w:r>
    </w:p>
    <w:p w:rsidR="00D81982" w:rsidRPr="005B2566" w:rsidRDefault="00D81982" w:rsidP="007632AC">
      <w:pPr>
        <w:pStyle w:val="SingleTxtG"/>
        <w:numPr>
          <w:ilvl w:val="2"/>
          <w:numId w:val="11"/>
        </w:numPr>
        <w:rPr>
          <w:rFonts w:eastAsia="Dotum"/>
        </w:rPr>
      </w:pPr>
      <w:r w:rsidRPr="005B2566">
        <w:rPr>
          <w:rFonts w:eastAsia="Dotum"/>
        </w:rPr>
        <w:t xml:space="preserve">Les pouvoirs et mandat du Mécanisme </w:t>
      </w:r>
      <w:r w:rsidR="007632AC" w:rsidRPr="005B2566">
        <w:rPr>
          <w:rFonts w:eastAsia="Dotum"/>
        </w:rPr>
        <w:t>national de prévention</w:t>
      </w:r>
      <w:r w:rsidRPr="005B2566">
        <w:rPr>
          <w:rFonts w:eastAsia="Dotum"/>
        </w:rPr>
        <w:t xml:space="preserve"> sont en conformité avec les dispositions des articles</w:t>
      </w:r>
      <w:r w:rsidR="002D6A54" w:rsidRPr="005B2566">
        <w:rPr>
          <w:rFonts w:eastAsia="Dotum"/>
        </w:rPr>
        <w:t> </w:t>
      </w:r>
      <w:r w:rsidRPr="005B2566">
        <w:rPr>
          <w:rFonts w:eastAsia="Dotum"/>
        </w:rPr>
        <w:t xml:space="preserve">4 et 20 du </w:t>
      </w:r>
      <w:r w:rsidR="007632AC" w:rsidRPr="00953431">
        <w:rPr>
          <w:rFonts w:eastAsia="Dotum"/>
        </w:rPr>
        <w:t>P</w:t>
      </w:r>
      <w:r w:rsidRPr="00953431">
        <w:rPr>
          <w:rFonts w:eastAsia="Dotum"/>
        </w:rPr>
        <w:t>rotocole facultatif</w:t>
      </w:r>
      <w:r w:rsidR="00953431">
        <w:rPr>
          <w:rFonts w:eastAsia="Dotum"/>
        </w:rPr>
        <w:t xml:space="preserve"> </w:t>
      </w:r>
      <w:r w:rsidR="00953431" w:rsidRPr="00953431">
        <w:rPr>
          <w:rFonts w:eastAsia="Dotum"/>
        </w:rPr>
        <w:t>se rapportant à la Convention contre la torture et autres peines ou traitements cruels, inhumains ou dégradants</w:t>
      </w:r>
      <w:r w:rsidR="00324AAB" w:rsidRPr="005B2566">
        <w:rPr>
          <w:rFonts w:eastAsia="Dotum"/>
        </w:rPr>
        <w:t>;</w:t>
      </w:r>
      <w:r w:rsidRPr="005B2566">
        <w:rPr>
          <w:rFonts w:eastAsia="Dotum"/>
        </w:rPr>
        <w:t xml:space="preserve"> les lieux de privation de liberté sous la juridiction des forces armées à savoir les brigades de gendarmerie et les centres de détention des camps militaires, sont dans le champ de compétence de l’Observateur </w:t>
      </w:r>
      <w:r w:rsidR="00501814" w:rsidRPr="005B2566">
        <w:rPr>
          <w:rFonts w:eastAsia="Dotum"/>
        </w:rPr>
        <w:t>national</w:t>
      </w:r>
      <w:r w:rsidRPr="005B2566">
        <w:rPr>
          <w:rFonts w:eastAsia="Dotum"/>
        </w:rPr>
        <w:t>.</w:t>
      </w:r>
    </w:p>
    <w:p w:rsidR="00D81982" w:rsidRPr="005B2566" w:rsidRDefault="00D81982" w:rsidP="00324AAB">
      <w:pPr>
        <w:pStyle w:val="SingleTxtG"/>
        <w:numPr>
          <w:ilvl w:val="2"/>
          <w:numId w:val="11"/>
        </w:numPr>
        <w:rPr>
          <w:rFonts w:eastAsia="Dotum"/>
          <w:bCs/>
        </w:rPr>
      </w:pPr>
      <w:r w:rsidRPr="005B2566">
        <w:rPr>
          <w:rFonts w:eastAsia="Dotum"/>
          <w:bCs/>
        </w:rPr>
        <w:t xml:space="preserve">Plusieurs brigades de gendarmerie ont déjà été visitées par les </w:t>
      </w:r>
      <w:r w:rsidR="00501814" w:rsidRPr="005B2566">
        <w:rPr>
          <w:rFonts w:eastAsia="Dotum"/>
          <w:bCs/>
        </w:rPr>
        <w:t>observateurs</w:t>
      </w:r>
      <w:r w:rsidRPr="005B2566">
        <w:rPr>
          <w:rFonts w:eastAsia="Dotum"/>
          <w:bCs/>
        </w:rPr>
        <w:t>.</w:t>
      </w:r>
    </w:p>
    <w:p w:rsidR="00D81982" w:rsidRPr="005B2566" w:rsidRDefault="00D81982" w:rsidP="00324AAB">
      <w:pPr>
        <w:pStyle w:val="SingleTxtG"/>
        <w:numPr>
          <w:ilvl w:val="2"/>
          <w:numId w:val="11"/>
        </w:numPr>
        <w:rPr>
          <w:rFonts w:eastAsia="Dotum"/>
          <w:bCs/>
        </w:rPr>
      </w:pPr>
      <w:r w:rsidRPr="005B2566">
        <w:rPr>
          <w:rFonts w:eastAsia="Dotum"/>
          <w:bCs/>
        </w:rPr>
        <w:t>Les centres de détention des camps militaires sont prévus pour être visités en</w:t>
      </w:r>
      <w:r w:rsidR="00324AAB" w:rsidRPr="005B2566">
        <w:rPr>
          <w:rFonts w:eastAsia="Dotum"/>
          <w:bCs/>
        </w:rPr>
        <w:t> </w:t>
      </w:r>
      <w:r w:rsidRPr="005B2566">
        <w:rPr>
          <w:rFonts w:eastAsia="Dotum"/>
          <w:bCs/>
        </w:rPr>
        <w:t>2014.</w:t>
      </w:r>
    </w:p>
    <w:p w:rsidR="00D81982" w:rsidRPr="005B2566" w:rsidRDefault="00D81982" w:rsidP="00D81982">
      <w:pPr>
        <w:pStyle w:val="HChG"/>
        <w:rPr>
          <w:rFonts w:eastAsia="Dotum"/>
        </w:rPr>
      </w:pPr>
      <w:r w:rsidRPr="005B2566">
        <w:rPr>
          <w:rFonts w:eastAsia="Dotum"/>
        </w:rPr>
        <w:tab/>
        <w:t>II.</w:t>
      </w:r>
      <w:r w:rsidRPr="005B2566">
        <w:rPr>
          <w:rFonts w:eastAsia="Dotum"/>
        </w:rPr>
        <w:tab/>
        <w:t>R</w:t>
      </w:r>
      <w:r w:rsidR="00C60829">
        <w:rPr>
          <w:rFonts w:eastAsia="Dotum"/>
        </w:rPr>
        <w:t>éponses aux r</w:t>
      </w:r>
      <w:r w:rsidRPr="005B2566">
        <w:rPr>
          <w:rFonts w:eastAsia="Dotum"/>
        </w:rPr>
        <w:t>ecommandations d’ordre institutionnel</w:t>
      </w:r>
    </w:p>
    <w:p w:rsidR="00D81982" w:rsidRPr="005B2566" w:rsidRDefault="00D81982" w:rsidP="005B3BA8">
      <w:pPr>
        <w:pStyle w:val="SingleTxtG"/>
        <w:numPr>
          <w:ilvl w:val="2"/>
          <w:numId w:val="11"/>
        </w:numPr>
        <w:rPr>
          <w:rFonts w:eastAsia="Dotum"/>
        </w:rPr>
      </w:pPr>
      <w:r w:rsidRPr="005B2566">
        <w:rPr>
          <w:rFonts w:eastAsia="Dotum"/>
        </w:rPr>
        <w:t>Dès sa nomination en janvier 2012, l’Observateur s’est attelé à la mise en place des structures devant lui permettre d’assurer sa mission. C’est ainsi que le règlement intérieur et le guide pratique pour la visite des lieux de privation de liberté ont été élaborés et vulgarisés. Un programme de travail élaboré depuis le mois de février 2013</w:t>
      </w:r>
      <w:r w:rsidR="0028041D" w:rsidRPr="005B2566">
        <w:rPr>
          <w:rFonts w:eastAsia="Dotum"/>
        </w:rPr>
        <w:t>,</w:t>
      </w:r>
      <w:r w:rsidRPr="005B2566">
        <w:rPr>
          <w:rFonts w:eastAsia="Dotum"/>
        </w:rPr>
        <w:t xml:space="preserve"> consistant en une combinaison des visites des lieux de privation de liberté et des sessions de formation des magistrats, des gendarmes, des policiers et des agents de l’administration pénitentiaires, a été mis en place.</w:t>
      </w:r>
    </w:p>
    <w:p w:rsidR="00D81982" w:rsidRPr="005B2566" w:rsidRDefault="00D81982" w:rsidP="005B3BA8">
      <w:pPr>
        <w:pStyle w:val="SingleTxtG"/>
        <w:numPr>
          <w:ilvl w:val="2"/>
          <w:numId w:val="11"/>
        </w:numPr>
        <w:rPr>
          <w:rFonts w:eastAsia="Dotum"/>
        </w:rPr>
      </w:pPr>
      <w:r w:rsidRPr="005B2566">
        <w:rPr>
          <w:rFonts w:eastAsia="Dotum"/>
        </w:rPr>
        <w:t>Depuis lors</w:t>
      </w:r>
      <w:r w:rsidR="0028041D" w:rsidRPr="005B2566">
        <w:rPr>
          <w:rFonts w:eastAsia="Dotum"/>
        </w:rPr>
        <w:t>,</w:t>
      </w:r>
      <w:r w:rsidRPr="005B2566">
        <w:rPr>
          <w:rFonts w:eastAsia="Dotum"/>
        </w:rPr>
        <w:t xml:space="preserve"> ce programme est mis en œuvre et se déroule normalement à la satisfaction de l’opinion nationale et internationale et ce, malgré la modicité des moyens mis à notre disposition par l’</w:t>
      </w:r>
      <w:r w:rsidR="0028041D" w:rsidRPr="005B2566">
        <w:rPr>
          <w:rFonts w:eastAsia="Dotum"/>
        </w:rPr>
        <w:t>État</w:t>
      </w:r>
      <w:r w:rsidRPr="005B2566">
        <w:rPr>
          <w:rFonts w:eastAsia="Dotum"/>
        </w:rPr>
        <w:t xml:space="preserve"> du Sénégal.</w:t>
      </w:r>
    </w:p>
    <w:p w:rsidR="00D81982" w:rsidRPr="005B2566" w:rsidRDefault="00D81982" w:rsidP="0028041D">
      <w:pPr>
        <w:pStyle w:val="SingleTxtG"/>
        <w:numPr>
          <w:ilvl w:val="2"/>
          <w:numId w:val="11"/>
        </w:numPr>
        <w:rPr>
          <w:rFonts w:eastAsia="Dotum"/>
        </w:rPr>
      </w:pPr>
      <w:r w:rsidRPr="005B2566">
        <w:rPr>
          <w:rFonts w:eastAsia="Dotum"/>
        </w:rPr>
        <w:t>C’est ainsi qu</w:t>
      </w:r>
      <w:r w:rsidR="0028041D" w:rsidRPr="005B2566">
        <w:rPr>
          <w:rFonts w:eastAsia="Dotum"/>
        </w:rPr>
        <w:t xml:space="preserve">e, </w:t>
      </w:r>
      <w:r w:rsidRPr="005B2566">
        <w:rPr>
          <w:rFonts w:eastAsia="Dotum"/>
        </w:rPr>
        <w:t>à partir de mars 2013</w:t>
      </w:r>
      <w:r w:rsidR="0028041D" w:rsidRPr="005B2566">
        <w:rPr>
          <w:rFonts w:eastAsia="Dotum"/>
        </w:rPr>
        <w:t>,</w:t>
      </w:r>
      <w:r w:rsidR="00324AAB" w:rsidRPr="005B2566">
        <w:rPr>
          <w:rFonts w:eastAsia="Dotum"/>
        </w:rPr>
        <w:t xml:space="preserve"> </w:t>
      </w:r>
      <w:r w:rsidRPr="005B2566">
        <w:rPr>
          <w:rFonts w:eastAsia="Dotum"/>
        </w:rPr>
        <w:t>les régions de Thiès</w:t>
      </w:r>
      <w:r w:rsidR="00324AAB" w:rsidRPr="005B2566">
        <w:rPr>
          <w:rFonts w:eastAsia="Dotum"/>
        </w:rPr>
        <w:t>,</w:t>
      </w:r>
      <w:r w:rsidRPr="005B2566">
        <w:rPr>
          <w:rFonts w:eastAsia="Dotum"/>
        </w:rPr>
        <w:t xml:space="preserve"> Saint-Louis, Tambacounda et Kaolack ont reçu les membres de </w:t>
      </w:r>
      <w:r w:rsidR="009768AF" w:rsidRPr="005B2566">
        <w:rPr>
          <w:rFonts w:eastAsia="Dotum"/>
        </w:rPr>
        <w:t>l</w:t>
      </w:r>
      <w:r w:rsidRPr="005B2566">
        <w:rPr>
          <w:rFonts w:eastAsia="Dotum"/>
        </w:rPr>
        <w:t>’ONLPL et la formation a été ainsi progressivement dispensée à un total de 53</w:t>
      </w:r>
      <w:r w:rsidR="004E14D1" w:rsidRPr="005B2566">
        <w:rPr>
          <w:rFonts w:eastAsia="Dotum"/>
        </w:rPr>
        <w:t> </w:t>
      </w:r>
      <w:r w:rsidRPr="005B2566">
        <w:rPr>
          <w:rFonts w:eastAsia="Dotum"/>
        </w:rPr>
        <w:t>magistrats, 55</w:t>
      </w:r>
      <w:r w:rsidR="004E14D1" w:rsidRPr="005B2566">
        <w:rPr>
          <w:rFonts w:eastAsia="Dotum"/>
        </w:rPr>
        <w:t> </w:t>
      </w:r>
      <w:r w:rsidRPr="005B2566">
        <w:rPr>
          <w:rFonts w:eastAsia="Dotum"/>
        </w:rPr>
        <w:t>gendarmes, 18</w:t>
      </w:r>
      <w:r w:rsidR="004E14D1" w:rsidRPr="005B2566">
        <w:rPr>
          <w:rFonts w:eastAsia="Dotum"/>
        </w:rPr>
        <w:t> </w:t>
      </w:r>
      <w:r w:rsidRPr="005B2566">
        <w:rPr>
          <w:rFonts w:eastAsia="Dotum"/>
        </w:rPr>
        <w:t>policiers, 25</w:t>
      </w:r>
      <w:r w:rsidR="004E14D1" w:rsidRPr="005B2566">
        <w:rPr>
          <w:rFonts w:eastAsia="Dotum"/>
        </w:rPr>
        <w:t> </w:t>
      </w:r>
      <w:r w:rsidRPr="005B2566">
        <w:rPr>
          <w:rFonts w:eastAsia="Dotum"/>
        </w:rPr>
        <w:t>agents de l’administration pénitentiaire, soit au total 151</w:t>
      </w:r>
      <w:r w:rsidR="00324AAB" w:rsidRPr="005B2566">
        <w:rPr>
          <w:rFonts w:eastAsia="Dotum"/>
        </w:rPr>
        <w:t xml:space="preserve"> </w:t>
      </w:r>
      <w:r w:rsidRPr="005B2566">
        <w:rPr>
          <w:rFonts w:eastAsia="Dotum"/>
        </w:rPr>
        <w:t>qui travaillent dans 11</w:t>
      </w:r>
      <w:r w:rsidR="004E14D1" w:rsidRPr="005B2566">
        <w:rPr>
          <w:rFonts w:eastAsia="Dotum"/>
        </w:rPr>
        <w:t> </w:t>
      </w:r>
      <w:r w:rsidRPr="005B2566">
        <w:rPr>
          <w:rFonts w:eastAsia="Dotum"/>
        </w:rPr>
        <w:t>régions administratives sur les 14 que compte le Sénégal.</w:t>
      </w:r>
    </w:p>
    <w:p w:rsidR="00D81982" w:rsidRPr="005B2566" w:rsidRDefault="00D81982" w:rsidP="005B3BA8">
      <w:pPr>
        <w:pStyle w:val="SingleTxtG"/>
        <w:numPr>
          <w:ilvl w:val="2"/>
          <w:numId w:val="11"/>
        </w:numPr>
        <w:rPr>
          <w:rFonts w:eastAsia="Dotum"/>
        </w:rPr>
      </w:pPr>
      <w:r w:rsidRPr="005B2566">
        <w:rPr>
          <w:rFonts w:eastAsia="Dotum"/>
        </w:rPr>
        <w:t>Par la même occasion, les établissements pénitentiaires, les brigades de gendarmerie</w:t>
      </w:r>
      <w:r w:rsidR="00324AAB" w:rsidRPr="005B2566">
        <w:rPr>
          <w:rFonts w:eastAsia="Dotum"/>
        </w:rPr>
        <w:t>,</w:t>
      </w:r>
      <w:r w:rsidRPr="005B2566">
        <w:rPr>
          <w:rFonts w:eastAsia="Dotum"/>
        </w:rPr>
        <w:t xml:space="preserve"> les commissariats de police et un hôpital psychiatrique ont été visités et ont fait l’objet de rapports envoyés aux autorités</w:t>
      </w:r>
      <w:r w:rsidR="00324AAB" w:rsidRPr="005B2566">
        <w:rPr>
          <w:rFonts w:eastAsia="Dotum"/>
        </w:rPr>
        <w:t xml:space="preserve"> </w:t>
      </w:r>
      <w:r w:rsidRPr="005B2566">
        <w:rPr>
          <w:rFonts w:eastAsia="Dotum"/>
        </w:rPr>
        <w:t xml:space="preserve">compétentes avec des recommandations pertinentes relatives aux mesures à prendre pour une amélioration des conditions de séjour des personnes privées de liberté. </w:t>
      </w:r>
    </w:p>
    <w:p w:rsidR="00D81982" w:rsidRPr="005B2566" w:rsidRDefault="00D81982" w:rsidP="0028041D">
      <w:pPr>
        <w:pStyle w:val="SingleTxtG"/>
        <w:numPr>
          <w:ilvl w:val="2"/>
          <w:numId w:val="11"/>
        </w:numPr>
        <w:rPr>
          <w:rFonts w:eastAsia="Dotum"/>
        </w:rPr>
      </w:pPr>
      <w:r w:rsidRPr="005B2566">
        <w:rPr>
          <w:rFonts w:eastAsia="Dotum"/>
        </w:rPr>
        <w:t>De même</w:t>
      </w:r>
      <w:r w:rsidR="0028041D" w:rsidRPr="005B2566">
        <w:rPr>
          <w:rFonts w:eastAsia="Dotum"/>
        </w:rPr>
        <w:t>,</w:t>
      </w:r>
      <w:r w:rsidRPr="005B2566">
        <w:rPr>
          <w:rFonts w:eastAsia="Dotum"/>
        </w:rPr>
        <w:t xml:space="preserve"> du 9 au 13</w:t>
      </w:r>
      <w:r w:rsidR="005B3BA8" w:rsidRPr="005B2566">
        <w:rPr>
          <w:rFonts w:eastAsia="Dotum"/>
        </w:rPr>
        <w:t> </w:t>
      </w:r>
      <w:r w:rsidRPr="005B2566">
        <w:rPr>
          <w:rFonts w:eastAsia="Dotum"/>
        </w:rPr>
        <w:t>septembre</w:t>
      </w:r>
      <w:r w:rsidR="0028041D" w:rsidRPr="005B2566">
        <w:rPr>
          <w:rFonts w:eastAsia="Dotum"/>
        </w:rPr>
        <w:t xml:space="preserve"> </w:t>
      </w:r>
      <w:r w:rsidRPr="005B2566">
        <w:rPr>
          <w:rFonts w:eastAsia="Dotum"/>
        </w:rPr>
        <w:t>2013, un séminaire a été organisé à</w:t>
      </w:r>
      <w:r w:rsidR="00324AAB" w:rsidRPr="005B2566">
        <w:rPr>
          <w:rFonts w:eastAsia="Dotum"/>
        </w:rPr>
        <w:t xml:space="preserve"> </w:t>
      </w:r>
      <w:r w:rsidR="0028041D" w:rsidRPr="005B2566">
        <w:rPr>
          <w:rFonts w:eastAsia="Dotum"/>
        </w:rPr>
        <w:t xml:space="preserve">l’École nationale de police </w:t>
      </w:r>
      <w:r w:rsidRPr="005B2566">
        <w:rPr>
          <w:rFonts w:eastAsia="Dotum"/>
        </w:rPr>
        <w:t>au profit de la 40</w:t>
      </w:r>
      <w:r w:rsidRPr="005B2566">
        <w:rPr>
          <w:rFonts w:eastAsia="Dotum"/>
          <w:vertAlign w:val="superscript"/>
        </w:rPr>
        <w:t>e</w:t>
      </w:r>
      <w:r w:rsidR="004E14D1" w:rsidRPr="005B2566">
        <w:rPr>
          <w:rFonts w:eastAsia="Dotum"/>
        </w:rPr>
        <w:t> </w:t>
      </w:r>
      <w:r w:rsidRPr="005B2566">
        <w:rPr>
          <w:rFonts w:eastAsia="Dotum"/>
        </w:rPr>
        <w:t>promotion soit 374</w:t>
      </w:r>
      <w:r w:rsidR="004E14D1" w:rsidRPr="005B2566">
        <w:rPr>
          <w:rFonts w:eastAsia="Dotum"/>
        </w:rPr>
        <w:t> </w:t>
      </w:r>
      <w:r w:rsidRPr="005B2566">
        <w:rPr>
          <w:rFonts w:eastAsia="Dotum"/>
        </w:rPr>
        <w:t xml:space="preserve">élèves policiers et cette formation sera dispensée aux élèves gendarmes de </w:t>
      </w:r>
      <w:r w:rsidR="0028041D" w:rsidRPr="005B2566">
        <w:rPr>
          <w:rFonts w:eastAsia="Dotum"/>
        </w:rPr>
        <w:t xml:space="preserve">l’École </w:t>
      </w:r>
      <w:r w:rsidRPr="005B2566">
        <w:rPr>
          <w:rFonts w:eastAsia="Dotum"/>
        </w:rPr>
        <w:t xml:space="preserve">de formation de la Gendarmerie </w:t>
      </w:r>
      <w:r w:rsidR="0028041D" w:rsidRPr="005B2566">
        <w:rPr>
          <w:rFonts w:eastAsia="Dotum"/>
        </w:rPr>
        <w:t xml:space="preserve">nationale </w:t>
      </w:r>
      <w:r w:rsidRPr="005B2566">
        <w:rPr>
          <w:rFonts w:eastAsia="Dotum"/>
        </w:rPr>
        <w:t>courant</w:t>
      </w:r>
      <w:r w:rsidR="005B3BA8" w:rsidRPr="005B2566">
        <w:rPr>
          <w:rFonts w:eastAsia="Dotum"/>
        </w:rPr>
        <w:t> </w:t>
      </w:r>
      <w:r w:rsidRPr="005B2566">
        <w:rPr>
          <w:rFonts w:eastAsia="Dotum"/>
        </w:rPr>
        <w:t>2014.</w:t>
      </w:r>
    </w:p>
    <w:p w:rsidR="00D81982" w:rsidRPr="005B2566" w:rsidRDefault="00D81982" w:rsidP="005B3BA8">
      <w:pPr>
        <w:pStyle w:val="SingleTxtG"/>
        <w:numPr>
          <w:ilvl w:val="2"/>
          <w:numId w:val="11"/>
        </w:numPr>
        <w:rPr>
          <w:rFonts w:eastAsia="Dotum"/>
        </w:rPr>
      </w:pPr>
      <w:r w:rsidRPr="005B2566">
        <w:rPr>
          <w:rFonts w:eastAsia="Dotum"/>
        </w:rPr>
        <w:t xml:space="preserve">Il convient de signaler que le Comité de veille mis en place et comprenant des représentants des </w:t>
      </w:r>
      <w:r w:rsidR="0028041D" w:rsidRPr="005B2566">
        <w:rPr>
          <w:rFonts w:eastAsia="Dotum"/>
        </w:rPr>
        <w:t xml:space="preserve">organisations non gouvernementales </w:t>
      </w:r>
      <w:r w:rsidRPr="005B2566">
        <w:rPr>
          <w:rFonts w:eastAsia="Dotum"/>
        </w:rPr>
        <w:t xml:space="preserve">et de la société civile les plus représentatives a déjà entamé ses réunions sous la présidence du Secrétaire </w:t>
      </w:r>
      <w:r w:rsidR="0028041D" w:rsidRPr="005B2566">
        <w:rPr>
          <w:rFonts w:eastAsia="Dotum"/>
        </w:rPr>
        <w:t xml:space="preserve">général </w:t>
      </w:r>
      <w:r w:rsidRPr="005B2566">
        <w:rPr>
          <w:rFonts w:eastAsia="Dotum"/>
        </w:rPr>
        <w:t>de l’Observateur pour donner des orientations nécessaires au bon</w:t>
      </w:r>
      <w:r w:rsidR="00324AAB" w:rsidRPr="005B2566">
        <w:rPr>
          <w:rFonts w:eastAsia="Dotum"/>
        </w:rPr>
        <w:t xml:space="preserve"> </w:t>
      </w:r>
      <w:r w:rsidRPr="005B2566">
        <w:rPr>
          <w:rFonts w:eastAsia="Dotum"/>
        </w:rPr>
        <w:t>fonctionnement de l’Institution.</w:t>
      </w:r>
    </w:p>
    <w:p w:rsidR="00D81982" w:rsidRPr="005B2566" w:rsidRDefault="00D81982" w:rsidP="005B3BA8">
      <w:pPr>
        <w:pStyle w:val="SingleTxtG"/>
        <w:numPr>
          <w:ilvl w:val="2"/>
          <w:numId w:val="11"/>
        </w:numPr>
        <w:rPr>
          <w:rFonts w:eastAsia="Dotum"/>
        </w:rPr>
      </w:pPr>
      <w:r w:rsidRPr="005B2566">
        <w:rPr>
          <w:rFonts w:eastAsia="Dotum"/>
        </w:rPr>
        <w:t>Un partenariat</w:t>
      </w:r>
      <w:r w:rsidR="00324AAB" w:rsidRPr="005B2566">
        <w:rPr>
          <w:rFonts w:eastAsia="Dotum"/>
        </w:rPr>
        <w:t xml:space="preserve"> </w:t>
      </w:r>
      <w:r w:rsidRPr="005B2566">
        <w:rPr>
          <w:rFonts w:eastAsia="Dotum"/>
        </w:rPr>
        <w:t xml:space="preserve">dynamique a été engagé avec Amnesty International et le </w:t>
      </w:r>
      <w:r w:rsidR="0088016A" w:rsidRPr="005B2566">
        <w:rPr>
          <w:rFonts w:eastAsia="Dotum"/>
        </w:rPr>
        <w:t>Haut</w:t>
      </w:r>
      <w:r w:rsidR="005B3BA8" w:rsidRPr="005B2566">
        <w:rPr>
          <w:rFonts w:eastAsia="Dotum"/>
        </w:rPr>
        <w:noBreakHyphen/>
      </w:r>
      <w:r w:rsidR="0088016A" w:rsidRPr="005B2566">
        <w:rPr>
          <w:rFonts w:eastAsia="Dotum"/>
        </w:rPr>
        <w:t>Commissariat</w:t>
      </w:r>
      <w:r w:rsidRPr="005B2566">
        <w:rPr>
          <w:rFonts w:eastAsia="Dotum"/>
        </w:rPr>
        <w:t xml:space="preserve"> des </w:t>
      </w:r>
      <w:r w:rsidR="0028041D" w:rsidRPr="005B2566">
        <w:rPr>
          <w:rFonts w:eastAsia="Dotum"/>
        </w:rPr>
        <w:t xml:space="preserve">Nations Unies aux </w:t>
      </w:r>
      <w:r w:rsidRPr="005B2566">
        <w:rPr>
          <w:rFonts w:eastAsia="Dotum"/>
        </w:rPr>
        <w:t>droits de l’homme pour la formation des agents d’exécution des</w:t>
      </w:r>
      <w:r w:rsidR="005B3BA8" w:rsidRPr="005B2566">
        <w:rPr>
          <w:rFonts w:eastAsia="Dotum"/>
        </w:rPr>
        <w:t> </w:t>
      </w:r>
      <w:r w:rsidRPr="005B2566">
        <w:rPr>
          <w:rFonts w:eastAsia="Dotum"/>
        </w:rPr>
        <w:t>lois.</w:t>
      </w:r>
    </w:p>
    <w:p w:rsidR="00D81982" w:rsidRPr="005B2566" w:rsidRDefault="00D81982" w:rsidP="008C13F8">
      <w:pPr>
        <w:pStyle w:val="SingleTxtG"/>
        <w:numPr>
          <w:ilvl w:val="2"/>
          <w:numId w:val="11"/>
        </w:numPr>
        <w:rPr>
          <w:rFonts w:eastAsia="Dotum"/>
        </w:rPr>
      </w:pPr>
      <w:r w:rsidRPr="005B2566">
        <w:rPr>
          <w:rFonts w:eastAsia="Dotum"/>
        </w:rPr>
        <w:t>Les 13 et 14</w:t>
      </w:r>
      <w:r w:rsidR="005B3BA8" w:rsidRPr="005B2566">
        <w:rPr>
          <w:rFonts w:eastAsia="Dotum"/>
        </w:rPr>
        <w:t> </w:t>
      </w:r>
      <w:r w:rsidRPr="005B2566">
        <w:rPr>
          <w:rFonts w:eastAsia="Dotum"/>
        </w:rPr>
        <w:t>décembre 2013, une concertation nationa</w:t>
      </w:r>
      <w:r w:rsidRPr="00C60829">
        <w:rPr>
          <w:rFonts w:eastAsia="Dotum"/>
        </w:rPr>
        <w:t>le sera o</w:t>
      </w:r>
      <w:r w:rsidRPr="005B2566">
        <w:rPr>
          <w:rFonts w:eastAsia="Dotum"/>
        </w:rPr>
        <w:t>rganisée sous forme d’atelier par</w:t>
      </w:r>
      <w:r w:rsidR="00324AAB" w:rsidRPr="005B2566">
        <w:rPr>
          <w:rFonts w:eastAsia="Dotum"/>
        </w:rPr>
        <w:t xml:space="preserve"> </w:t>
      </w:r>
      <w:r w:rsidRPr="005B2566">
        <w:rPr>
          <w:rFonts w:eastAsia="Dotum"/>
        </w:rPr>
        <w:t xml:space="preserve">l’ONLPL en partenariat avec le Bureau </w:t>
      </w:r>
      <w:r w:rsidR="008C13F8" w:rsidRPr="005B2566">
        <w:rPr>
          <w:rFonts w:eastAsia="Dotum"/>
        </w:rPr>
        <w:t xml:space="preserve">régional </w:t>
      </w:r>
      <w:r w:rsidRPr="005B2566">
        <w:rPr>
          <w:rFonts w:eastAsia="Dotum"/>
        </w:rPr>
        <w:t xml:space="preserve">du Comité </w:t>
      </w:r>
      <w:r w:rsidR="008C13F8" w:rsidRPr="005B2566">
        <w:rPr>
          <w:rFonts w:eastAsia="Dotum"/>
        </w:rPr>
        <w:t>i</w:t>
      </w:r>
      <w:r w:rsidRPr="005B2566">
        <w:rPr>
          <w:rFonts w:eastAsia="Dotum"/>
        </w:rPr>
        <w:t>nternational de la Croix</w:t>
      </w:r>
      <w:r w:rsidR="008C13F8" w:rsidRPr="005B2566">
        <w:rPr>
          <w:rFonts w:eastAsia="Dotum"/>
        </w:rPr>
        <w:t>-</w:t>
      </w:r>
      <w:r w:rsidRPr="005B2566">
        <w:rPr>
          <w:rFonts w:eastAsia="Dotum"/>
        </w:rPr>
        <w:t>Rouge (CICR) sous le thème de «L</w:t>
      </w:r>
      <w:r w:rsidR="005B3BA8" w:rsidRPr="005B2566">
        <w:rPr>
          <w:rFonts w:eastAsia="Dotum"/>
        </w:rPr>
        <w:t>a situation carcérale au Sénégal</w:t>
      </w:r>
      <w:r w:rsidRPr="005B2566">
        <w:rPr>
          <w:rFonts w:eastAsia="Dotum"/>
        </w:rPr>
        <w:t>».</w:t>
      </w:r>
    </w:p>
    <w:p w:rsidR="001E0549" w:rsidRPr="005B2566" w:rsidRDefault="00D81982" w:rsidP="005B3BA8">
      <w:pPr>
        <w:pStyle w:val="SingleTxtG"/>
        <w:numPr>
          <w:ilvl w:val="2"/>
          <w:numId w:val="11"/>
        </w:numPr>
        <w:rPr>
          <w:rFonts w:eastAsia="Dotum"/>
        </w:rPr>
      </w:pPr>
      <w:r w:rsidRPr="005B2566">
        <w:rPr>
          <w:rFonts w:eastAsia="Dotum"/>
        </w:rPr>
        <w:t xml:space="preserve">Cet atelier va regrouper tous les acteurs de la justice, les forces de sécurité de la </w:t>
      </w:r>
      <w:r w:rsidR="008C13F8" w:rsidRPr="005B2566">
        <w:rPr>
          <w:rFonts w:eastAsia="Dotum"/>
        </w:rPr>
        <w:t>police et de la gendarmerie et l’administration pénit</w:t>
      </w:r>
      <w:r w:rsidRPr="005B2566">
        <w:rPr>
          <w:rFonts w:eastAsia="Dotum"/>
        </w:rPr>
        <w:t>entiaire</w:t>
      </w:r>
      <w:r w:rsidR="00324AAB" w:rsidRPr="005B2566">
        <w:rPr>
          <w:rFonts w:eastAsia="Dotum"/>
        </w:rPr>
        <w:t>;</w:t>
      </w:r>
      <w:r w:rsidRPr="005B2566">
        <w:rPr>
          <w:rFonts w:eastAsia="Dotum"/>
        </w:rPr>
        <w:t xml:space="preserve"> il est placé sous l’égide du Ministre de la justice.</w:t>
      </w:r>
    </w:p>
    <w:p w:rsidR="00D81982" w:rsidRPr="005B2566" w:rsidRDefault="00D81982" w:rsidP="005B3BA8">
      <w:pPr>
        <w:pStyle w:val="SingleTxtG"/>
        <w:numPr>
          <w:ilvl w:val="2"/>
          <w:numId w:val="11"/>
        </w:numPr>
        <w:rPr>
          <w:rFonts w:eastAsia="Dotum"/>
          <w:bCs/>
        </w:rPr>
      </w:pPr>
      <w:r w:rsidRPr="005B2566">
        <w:rPr>
          <w:rFonts w:eastAsia="Dotum"/>
          <w:bCs/>
        </w:rPr>
        <w:t>L’ensemble des activités énumérées ci-dessus vont faire l’objet d’un rapport annuel adressé à Monsieur le Président de la République. Ce rapport sera publ</w:t>
      </w:r>
      <w:r w:rsidR="001E0549" w:rsidRPr="005B2566">
        <w:rPr>
          <w:rFonts w:eastAsia="Dotum"/>
          <w:bCs/>
        </w:rPr>
        <w:t>ié</w:t>
      </w:r>
      <w:r w:rsidR="00B15D6B" w:rsidRPr="005B2566">
        <w:rPr>
          <w:rFonts w:eastAsia="Dotum"/>
          <w:bCs/>
        </w:rPr>
        <w:t>.</w:t>
      </w:r>
    </w:p>
    <w:p w:rsidR="00D81982" w:rsidRPr="005B2566" w:rsidRDefault="00D81982" w:rsidP="008C13F8">
      <w:pPr>
        <w:pStyle w:val="SingleTxtG"/>
        <w:numPr>
          <w:ilvl w:val="2"/>
          <w:numId w:val="11"/>
        </w:numPr>
        <w:rPr>
          <w:rFonts w:eastAsia="Dotum"/>
        </w:rPr>
      </w:pPr>
      <w:r w:rsidRPr="005B2566">
        <w:rPr>
          <w:rFonts w:eastAsia="Dotum"/>
        </w:rPr>
        <w:t>Le programme de visites 2014 déjà élaboré prév</w:t>
      </w:r>
      <w:r w:rsidR="008C13F8" w:rsidRPr="005B2566">
        <w:rPr>
          <w:rFonts w:eastAsia="Dotum"/>
        </w:rPr>
        <w:t>oit</w:t>
      </w:r>
      <w:r w:rsidRPr="005B2566">
        <w:rPr>
          <w:rFonts w:eastAsia="Dotum"/>
        </w:rPr>
        <w:t xml:space="preserve"> des visites de suivi des lieux de privation déjà observés ainsi que des visites thématiques concernant les mineurs en détention, la santé mentale dans les prisons, la situation des femmes détenues avec leurs enfants en bas âge,</w:t>
      </w:r>
      <w:r w:rsidR="005B3BA8" w:rsidRPr="005B2566">
        <w:rPr>
          <w:rFonts w:eastAsia="Dotum"/>
        </w:rPr>
        <w:t> </w:t>
      </w:r>
      <w:r w:rsidRPr="005B2566">
        <w:rPr>
          <w:rFonts w:eastAsia="Dotum"/>
        </w:rPr>
        <w:t>etc.</w:t>
      </w:r>
    </w:p>
    <w:p w:rsidR="00D81982" w:rsidRPr="005B2566" w:rsidRDefault="00D81982" w:rsidP="005B3BA8">
      <w:pPr>
        <w:pStyle w:val="SingleTxtG"/>
        <w:numPr>
          <w:ilvl w:val="2"/>
          <w:numId w:val="11"/>
        </w:numPr>
        <w:rPr>
          <w:rFonts w:eastAsia="Dotum"/>
        </w:rPr>
      </w:pPr>
      <w:r w:rsidRPr="005B2566">
        <w:rPr>
          <w:rFonts w:eastAsia="Dotum"/>
        </w:rPr>
        <w:t>Les centres de détention des camps militaires seront aussi visités.</w:t>
      </w:r>
    </w:p>
    <w:p w:rsidR="00D81982" w:rsidRPr="005B2566" w:rsidRDefault="001E0549" w:rsidP="001E0549">
      <w:pPr>
        <w:pStyle w:val="HChG"/>
        <w:rPr>
          <w:rFonts w:eastAsia="Dotum"/>
        </w:rPr>
      </w:pPr>
      <w:r w:rsidRPr="005B2566">
        <w:rPr>
          <w:rFonts w:eastAsia="Dotum"/>
        </w:rPr>
        <w:tab/>
        <w:t>III.</w:t>
      </w:r>
      <w:r w:rsidRPr="005B2566">
        <w:rPr>
          <w:rFonts w:eastAsia="Dotum"/>
        </w:rPr>
        <w:tab/>
      </w:r>
      <w:r w:rsidR="00D81982" w:rsidRPr="005B2566">
        <w:rPr>
          <w:rFonts w:eastAsia="Dotum"/>
        </w:rPr>
        <w:t>R</w:t>
      </w:r>
      <w:r w:rsidR="00C60829">
        <w:rPr>
          <w:rFonts w:eastAsia="Dotum"/>
        </w:rPr>
        <w:t>éponses aux r</w:t>
      </w:r>
      <w:r w:rsidR="00D81982" w:rsidRPr="005B2566">
        <w:rPr>
          <w:rFonts w:eastAsia="Dotum"/>
        </w:rPr>
        <w:t>ecommandations d’ordre méthodologique</w:t>
      </w:r>
    </w:p>
    <w:p w:rsidR="00D81982" w:rsidRPr="005B2566" w:rsidRDefault="00D81982" w:rsidP="005B3BA8">
      <w:pPr>
        <w:pStyle w:val="SingleTxtG"/>
        <w:numPr>
          <w:ilvl w:val="2"/>
          <w:numId w:val="11"/>
        </w:numPr>
        <w:rPr>
          <w:rFonts w:eastAsia="Dotum"/>
        </w:rPr>
      </w:pPr>
      <w:r w:rsidRPr="005B2566">
        <w:rPr>
          <w:rFonts w:eastAsia="Dotum"/>
        </w:rPr>
        <w:t>Pour la visite des lieux de privation de liberté, l’Observateur a inséré dans son guide pratique la procédure réglementaire concernant les interrogatoires et la tenue des registres ainsi que le déroulement de l’arrestation et l’arrivée au lieu de détention.</w:t>
      </w:r>
    </w:p>
    <w:p w:rsidR="00D81982" w:rsidRPr="005B2566" w:rsidRDefault="0028041D" w:rsidP="005B3BA8">
      <w:pPr>
        <w:pStyle w:val="SingleTxtG"/>
        <w:numPr>
          <w:ilvl w:val="2"/>
          <w:numId w:val="11"/>
        </w:numPr>
        <w:rPr>
          <w:rFonts w:eastAsia="Dotum"/>
        </w:rPr>
      </w:pPr>
      <w:r w:rsidRPr="005B2566">
        <w:rPr>
          <w:rFonts w:eastAsia="Dotum"/>
        </w:rPr>
        <w:t xml:space="preserve">À </w:t>
      </w:r>
      <w:r w:rsidR="00D81982" w:rsidRPr="005B2566">
        <w:rPr>
          <w:rFonts w:eastAsia="Dotum"/>
        </w:rPr>
        <w:t xml:space="preserve">l’heure actuelle, l’Observateur détient la liste exhaustive de tous les lieux de privation de liberté. </w:t>
      </w:r>
    </w:p>
    <w:p w:rsidR="00D81982" w:rsidRPr="005B2566" w:rsidRDefault="00D81982" w:rsidP="00605EA8">
      <w:pPr>
        <w:pStyle w:val="SingleTxtG"/>
        <w:numPr>
          <w:ilvl w:val="2"/>
          <w:numId w:val="11"/>
        </w:numPr>
        <w:rPr>
          <w:rFonts w:eastAsia="Dotum"/>
        </w:rPr>
      </w:pPr>
      <w:r w:rsidRPr="005B2566">
        <w:rPr>
          <w:rFonts w:eastAsia="Dotum"/>
        </w:rPr>
        <w:t>En résumé, pour tout ce qui concerne les autres recommandations d’ordre méthodologique</w:t>
      </w:r>
      <w:r w:rsidR="00324AAB" w:rsidRPr="005B2566">
        <w:rPr>
          <w:rFonts w:eastAsia="Dotum"/>
        </w:rPr>
        <w:t xml:space="preserve"> </w:t>
      </w:r>
      <w:r w:rsidRPr="005B2566">
        <w:rPr>
          <w:rFonts w:eastAsia="Dotum"/>
        </w:rPr>
        <w:t xml:space="preserve">contenues dans le rapport de visite du </w:t>
      </w:r>
      <w:r w:rsidR="00605EA8" w:rsidRPr="00605EA8">
        <w:rPr>
          <w:rFonts w:eastAsia="Dotum"/>
        </w:rPr>
        <w:t xml:space="preserve">Sous-Comité pour la prévention de la torture </w:t>
      </w:r>
      <w:r w:rsidRPr="005B2566">
        <w:rPr>
          <w:rFonts w:eastAsia="Dotum"/>
        </w:rPr>
        <w:t>relatives aux visites inopinées, à la durée des visites dans certaines prisons, à l’entretien individuel ou collectif avec les détenus, aux relations entre le personnel carcéral et les détenus et à tous les autres points, l’Observateur a pris bonne note et fait siennes toutes observations y mentionnées et les inclura dans le nouveau guide pratique qui sera actualisé début 2014.</w:t>
      </w:r>
    </w:p>
    <w:p w:rsidR="00D81982" w:rsidRPr="005B2566" w:rsidRDefault="001E0549" w:rsidP="001E0549">
      <w:pPr>
        <w:pStyle w:val="HChG"/>
        <w:rPr>
          <w:rFonts w:eastAsia="Dotum"/>
        </w:rPr>
      </w:pPr>
      <w:r w:rsidRPr="005B2566">
        <w:rPr>
          <w:rFonts w:eastAsia="Dotum"/>
        </w:rPr>
        <w:tab/>
        <w:t>IV.</w:t>
      </w:r>
      <w:r w:rsidRPr="005B2566">
        <w:rPr>
          <w:rFonts w:eastAsia="Dotum"/>
        </w:rPr>
        <w:tab/>
      </w:r>
      <w:r w:rsidR="00D81982" w:rsidRPr="005B2566">
        <w:rPr>
          <w:rFonts w:eastAsia="Dotum"/>
        </w:rPr>
        <w:t>R</w:t>
      </w:r>
      <w:r w:rsidR="00C60829">
        <w:rPr>
          <w:rFonts w:eastAsia="Dotum"/>
        </w:rPr>
        <w:t>éponses aux r</w:t>
      </w:r>
      <w:r w:rsidR="00D81982" w:rsidRPr="005B2566">
        <w:rPr>
          <w:rFonts w:eastAsia="Dotum"/>
        </w:rPr>
        <w:t>ecommandations finales</w:t>
      </w:r>
    </w:p>
    <w:p w:rsidR="00D81982" w:rsidRPr="005B2566" w:rsidRDefault="00D81982" w:rsidP="00A2146B">
      <w:pPr>
        <w:pStyle w:val="SingleTxtG"/>
        <w:numPr>
          <w:ilvl w:val="2"/>
          <w:numId w:val="11"/>
        </w:numPr>
        <w:rPr>
          <w:rFonts w:eastAsia="Dotum"/>
        </w:rPr>
      </w:pPr>
      <w:r w:rsidRPr="005B2566">
        <w:rPr>
          <w:rFonts w:eastAsia="Dotum"/>
        </w:rPr>
        <w:t xml:space="preserve">L’Observateur </w:t>
      </w:r>
      <w:r w:rsidR="00A2146B" w:rsidRPr="005B2566">
        <w:rPr>
          <w:rFonts w:eastAsia="Dotum"/>
        </w:rPr>
        <w:t xml:space="preserve">national </w:t>
      </w:r>
      <w:r w:rsidRPr="005B2566">
        <w:rPr>
          <w:rFonts w:eastAsia="Dotum"/>
        </w:rPr>
        <w:t xml:space="preserve">examinera ses méthodes de travail de manière régulière et suivra les formations afin de renforcer sa capacité de s’acquitter de ses responsabilités conformément au </w:t>
      </w:r>
      <w:r w:rsidR="00A2146B" w:rsidRPr="005B2566">
        <w:rPr>
          <w:rFonts w:eastAsia="Dotum"/>
        </w:rPr>
        <w:t>P</w:t>
      </w:r>
      <w:r w:rsidRPr="005B2566">
        <w:rPr>
          <w:rFonts w:eastAsia="Dotum"/>
        </w:rPr>
        <w:t>rotocole facultatif.</w:t>
      </w:r>
    </w:p>
    <w:p w:rsidR="00D81982" w:rsidRPr="005B2566" w:rsidRDefault="0028041D" w:rsidP="005B3BA8">
      <w:pPr>
        <w:pStyle w:val="SingleTxtG"/>
        <w:numPr>
          <w:ilvl w:val="2"/>
          <w:numId w:val="11"/>
        </w:numPr>
        <w:rPr>
          <w:rFonts w:eastAsia="Dotum"/>
          <w:bCs/>
        </w:rPr>
      </w:pPr>
      <w:r w:rsidRPr="005B2566">
        <w:rPr>
          <w:rFonts w:eastAsia="Dotum"/>
          <w:bCs/>
        </w:rPr>
        <w:t>À</w:t>
      </w:r>
      <w:r w:rsidR="00D81982" w:rsidRPr="005B2566">
        <w:rPr>
          <w:rFonts w:eastAsia="Dotum"/>
          <w:bCs/>
        </w:rPr>
        <w:t xml:space="preserve"> ce sujet, il y a lieu de noter que l’Observateur </w:t>
      </w:r>
      <w:r w:rsidR="00A2146B" w:rsidRPr="005B2566">
        <w:rPr>
          <w:rFonts w:eastAsia="Dotum"/>
          <w:bCs/>
        </w:rPr>
        <w:t xml:space="preserve">national </w:t>
      </w:r>
      <w:r w:rsidR="00D81982" w:rsidRPr="005B2566">
        <w:rPr>
          <w:rFonts w:eastAsia="Dotum"/>
          <w:bCs/>
        </w:rPr>
        <w:t>a effectué des visites de travail à Paris et à Genève auprès de ses homologues.</w:t>
      </w:r>
    </w:p>
    <w:p w:rsidR="00D81982" w:rsidRPr="005B2566" w:rsidRDefault="00D81982" w:rsidP="005B3BA8">
      <w:pPr>
        <w:pStyle w:val="SingleTxtG"/>
        <w:numPr>
          <w:ilvl w:val="2"/>
          <w:numId w:val="11"/>
        </w:numPr>
        <w:rPr>
          <w:rFonts w:eastAsia="Dotum"/>
          <w:b/>
        </w:rPr>
      </w:pPr>
      <w:r w:rsidRPr="005B2566">
        <w:rPr>
          <w:rFonts w:eastAsia="Dotum"/>
          <w:bCs/>
        </w:rPr>
        <w:t xml:space="preserve">L’Observateur </w:t>
      </w:r>
      <w:r w:rsidR="00A2146B" w:rsidRPr="005B2566">
        <w:rPr>
          <w:rFonts w:eastAsia="Dotum"/>
          <w:bCs/>
        </w:rPr>
        <w:t xml:space="preserve">national </w:t>
      </w:r>
      <w:r w:rsidRPr="005B2566">
        <w:rPr>
          <w:rFonts w:eastAsia="Dotum"/>
          <w:bCs/>
        </w:rPr>
        <w:t xml:space="preserve">entretient d’excellentes relations avec le Bureau </w:t>
      </w:r>
      <w:r w:rsidR="00A2146B" w:rsidRPr="005B2566">
        <w:rPr>
          <w:rFonts w:eastAsia="Dotum"/>
          <w:bCs/>
        </w:rPr>
        <w:t xml:space="preserve">régional </w:t>
      </w:r>
      <w:r w:rsidRPr="005B2566">
        <w:rPr>
          <w:rFonts w:eastAsia="Dotum"/>
          <w:bCs/>
        </w:rPr>
        <w:t xml:space="preserve">du </w:t>
      </w:r>
      <w:r w:rsidR="001E0549" w:rsidRPr="005B2566">
        <w:rPr>
          <w:rFonts w:eastAsia="Dotum"/>
          <w:bCs/>
        </w:rPr>
        <w:t>Haut</w:t>
      </w:r>
      <w:r w:rsidR="005B3BA8" w:rsidRPr="005B2566">
        <w:rPr>
          <w:rFonts w:eastAsia="Dotum"/>
          <w:bCs/>
        </w:rPr>
        <w:noBreakHyphen/>
      </w:r>
      <w:r w:rsidR="001E0549" w:rsidRPr="005B2566">
        <w:rPr>
          <w:rFonts w:eastAsia="Dotum"/>
          <w:bCs/>
        </w:rPr>
        <w:t>Commissariat</w:t>
      </w:r>
      <w:r w:rsidRPr="005B2566">
        <w:rPr>
          <w:rFonts w:eastAsia="Dotum"/>
          <w:bCs/>
        </w:rPr>
        <w:t xml:space="preserve"> des Nations Unies aux droits de l’homme.</w:t>
      </w:r>
    </w:p>
    <w:p w:rsidR="00D81982" w:rsidRPr="005B2566" w:rsidRDefault="00D81982" w:rsidP="00605EA8">
      <w:pPr>
        <w:pStyle w:val="SingleTxtG"/>
        <w:numPr>
          <w:ilvl w:val="2"/>
          <w:numId w:val="11"/>
        </w:numPr>
        <w:rPr>
          <w:rFonts w:eastAsia="Dotum"/>
        </w:rPr>
      </w:pPr>
      <w:r w:rsidRPr="005B2566">
        <w:rPr>
          <w:rFonts w:eastAsia="Dotum"/>
        </w:rPr>
        <w:t xml:space="preserve">L’Observateur </w:t>
      </w:r>
      <w:r w:rsidR="00A2146B" w:rsidRPr="005B2566">
        <w:rPr>
          <w:rFonts w:eastAsia="Dotum"/>
        </w:rPr>
        <w:t xml:space="preserve">national </w:t>
      </w:r>
      <w:r w:rsidRPr="005B2566">
        <w:rPr>
          <w:rFonts w:eastAsia="Dotum"/>
        </w:rPr>
        <w:t xml:space="preserve">remercie le </w:t>
      </w:r>
      <w:r w:rsidR="00605EA8" w:rsidRPr="00605EA8">
        <w:rPr>
          <w:rFonts w:eastAsia="Dotum"/>
        </w:rPr>
        <w:t>Sous-Comité pour la prévention de la torture</w:t>
      </w:r>
      <w:r w:rsidRPr="005B2566">
        <w:rPr>
          <w:rFonts w:eastAsia="Dotum"/>
        </w:rPr>
        <w:t xml:space="preserve"> pour ses encouragements et s’engage à améliorer ses méthodes de travail. Il assure le </w:t>
      </w:r>
      <w:r w:rsidR="00605EA8" w:rsidRPr="00605EA8">
        <w:rPr>
          <w:rFonts w:eastAsia="Dotum"/>
        </w:rPr>
        <w:t xml:space="preserve">Sous-Comité pour la prévention de la torture </w:t>
      </w:r>
      <w:r w:rsidRPr="005B2566">
        <w:rPr>
          <w:rFonts w:eastAsia="Dotum"/>
        </w:rPr>
        <w:t>de sa volonté de lui transmettre tous ses rapports annuels</w:t>
      </w:r>
      <w:r w:rsidR="005B3BA8" w:rsidRPr="005B2566">
        <w:rPr>
          <w:rFonts w:eastAsia="Dotum"/>
        </w:rPr>
        <w:t xml:space="preserve"> </w:t>
      </w:r>
      <w:r w:rsidRPr="005B2566">
        <w:rPr>
          <w:rFonts w:eastAsia="Dotum"/>
        </w:rPr>
        <w:t xml:space="preserve">afin de bénéficier de son assistance, en vue de la réalisation de l’objectif commun, </w:t>
      </w:r>
      <w:r w:rsidR="00A2146B" w:rsidRPr="005B2566">
        <w:rPr>
          <w:rFonts w:eastAsia="Dotum"/>
        </w:rPr>
        <w:t xml:space="preserve">à savoir </w:t>
      </w:r>
      <w:r w:rsidRPr="005B2566">
        <w:rPr>
          <w:rFonts w:eastAsia="Dotum"/>
        </w:rPr>
        <w:t>la prévention de la torture et des mauvais traitements pour traduire les engagements pris en actions concrètes.</w:t>
      </w:r>
    </w:p>
    <w:p w:rsidR="001E0549" w:rsidRPr="005B2566" w:rsidRDefault="001E0549" w:rsidP="001E0549">
      <w:pPr>
        <w:pStyle w:val="SingleTxtG"/>
        <w:spacing w:before="240" w:after="0"/>
        <w:jc w:val="center"/>
        <w:rPr>
          <w:rFonts w:eastAsia="Dotum"/>
          <w:u w:val="single"/>
        </w:rPr>
      </w:pPr>
      <w:r w:rsidRPr="005B2566">
        <w:rPr>
          <w:rFonts w:eastAsia="Dotum"/>
          <w:u w:val="single"/>
        </w:rPr>
        <w:tab/>
      </w:r>
      <w:r w:rsidRPr="005B2566">
        <w:rPr>
          <w:rFonts w:eastAsia="Dotum"/>
          <w:u w:val="single"/>
        </w:rPr>
        <w:tab/>
      </w:r>
      <w:r w:rsidRPr="005B2566">
        <w:rPr>
          <w:rFonts w:eastAsia="Dotum"/>
          <w:u w:val="single"/>
        </w:rPr>
        <w:tab/>
      </w:r>
    </w:p>
    <w:sectPr w:rsidR="001E0549" w:rsidRPr="005B2566" w:rsidSect="00CC44E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47" w:rsidRDefault="005E4147"/>
  </w:endnote>
  <w:endnote w:type="continuationSeparator" w:id="0">
    <w:p w:rsidR="005E4147" w:rsidRDefault="005E4147"/>
  </w:endnote>
  <w:endnote w:type="continuationNotice" w:id="1">
    <w:p w:rsidR="005E4147" w:rsidRDefault="005E41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A9" w:rsidRPr="00CC44E3" w:rsidRDefault="001238A9" w:rsidP="00CC44E3">
    <w:pPr>
      <w:pStyle w:val="Footer"/>
      <w:tabs>
        <w:tab w:val="right" w:pos="9638"/>
      </w:tabs>
    </w:pPr>
    <w:r w:rsidRPr="00CC44E3">
      <w:rPr>
        <w:b/>
        <w:sz w:val="18"/>
      </w:rPr>
      <w:fldChar w:fldCharType="begin"/>
    </w:r>
    <w:r w:rsidRPr="00CC44E3">
      <w:rPr>
        <w:b/>
        <w:sz w:val="18"/>
      </w:rPr>
      <w:instrText xml:space="preserve"> PAGE  \* MERGEFORMAT </w:instrText>
    </w:r>
    <w:r w:rsidRPr="00CC44E3">
      <w:rPr>
        <w:b/>
        <w:sz w:val="18"/>
      </w:rPr>
      <w:fldChar w:fldCharType="separate"/>
    </w:r>
    <w:r w:rsidR="000060DB">
      <w:rPr>
        <w:b/>
        <w:noProof/>
        <w:sz w:val="18"/>
      </w:rPr>
      <w:t>4</w:t>
    </w:r>
    <w:r w:rsidRPr="00CC44E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A9" w:rsidRPr="00CC44E3" w:rsidRDefault="001238A9" w:rsidP="00CC44E3">
    <w:pPr>
      <w:pStyle w:val="Footer"/>
      <w:tabs>
        <w:tab w:val="right" w:pos="9638"/>
      </w:tabs>
      <w:rPr>
        <w:b/>
        <w:sz w:val="18"/>
      </w:rPr>
    </w:pPr>
    <w:r>
      <w:tab/>
    </w:r>
    <w:r w:rsidRPr="00CC44E3">
      <w:rPr>
        <w:b/>
        <w:sz w:val="18"/>
      </w:rPr>
      <w:fldChar w:fldCharType="begin"/>
    </w:r>
    <w:r w:rsidRPr="00CC44E3">
      <w:rPr>
        <w:b/>
        <w:sz w:val="18"/>
      </w:rPr>
      <w:instrText xml:space="preserve"> PAGE  \* MERGEFORMAT </w:instrText>
    </w:r>
    <w:r w:rsidRPr="00CC44E3">
      <w:rPr>
        <w:b/>
        <w:sz w:val="18"/>
      </w:rPr>
      <w:fldChar w:fldCharType="separate"/>
    </w:r>
    <w:r w:rsidR="000060DB">
      <w:rPr>
        <w:b/>
        <w:noProof/>
        <w:sz w:val="18"/>
      </w:rPr>
      <w:t>3</w:t>
    </w:r>
    <w:r w:rsidRPr="00CC44E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A9" w:rsidRPr="00CC44E3" w:rsidRDefault="001238A9" w:rsidP="002E1385">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GE.14-40539  (F)    </w:t>
    </w:r>
    <w:r>
      <w:rPr>
        <w:sz w:val="20"/>
      </w:rPr>
      <w:br/>
    </w:r>
    <w:r w:rsidRPr="002E1385">
      <w:rPr>
        <w:rFonts w:ascii="C39T30Lfz" w:hAnsi="C39T30Lfz"/>
        <w:sz w:val="56"/>
      </w:rPr>
      <w:t></w:t>
    </w:r>
    <w:r w:rsidRPr="002E1385">
      <w:rPr>
        <w:rFonts w:ascii="C39T30Lfz" w:hAnsi="C39T30Lfz"/>
        <w:sz w:val="56"/>
      </w:rPr>
      <w:t></w:t>
    </w:r>
    <w:r w:rsidRPr="002E1385">
      <w:rPr>
        <w:rFonts w:ascii="C39T30Lfz" w:hAnsi="C39T30Lfz"/>
        <w:sz w:val="56"/>
      </w:rPr>
      <w:t></w:t>
    </w:r>
    <w:r w:rsidRPr="002E1385">
      <w:rPr>
        <w:rFonts w:ascii="C39T30Lfz" w:hAnsi="C39T30Lfz"/>
        <w:sz w:val="56"/>
      </w:rPr>
      <w:t></w:t>
    </w:r>
    <w:r w:rsidRPr="002E1385">
      <w:rPr>
        <w:rFonts w:ascii="C39T30Lfz" w:hAnsi="C39T30Lfz"/>
        <w:sz w:val="56"/>
      </w:rPr>
      <w:t></w:t>
    </w:r>
    <w:r w:rsidRPr="002E1385">
      <w:rPr>
        <w:rFonts w:ascii="C39T30Lfz" w:hAnsi="C39T30Lfz"/>
        <w:sz w:val="56"/>
      </w:rPr>
      <w:t></w:t>
    </w:r>
    <w:r w:rsidRPr="002E1385">
      <w:rPr>
        <w:rFonts w:ascii="C39T30Lfz" w:hAnsi="C39T30Lfz"/>
        <w:sz w:val="56"/>
      </w:rPr>
      <w:t></w:t>
    </w:r>
    <w:r w:rsidRPr="002E1385">
      <w:rPr>
        <w:rFonts w:ascii="C39T30Lfz" w:hAnsi="C39T30Lfz"/>
        <w:sz w:val="56"/>
      </w:rPr>
      <w:t></w:t>
    </w:r>
    <w:r w:rsidRPr="002E1385">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47" w:rsidRPr="00D27D5E" w:rsidRDefault="005E4147" w:rsidP="00D27D5E">
      <w:pPr>
        <w:tabs>
          <w:tab w:val="right" w:pos="2155"/>
        </w:tabs>
        <w:spacing w:after="80"/>
        <w:ind w:left="680"/>
        <w:rPr>
          <w:u w:val="single"/>
        </w:rPr>
      </w:pPr>
      <w:r>
        <w:rPr>
          <w:u w:val="single"/>
        </w:rPr>
        <w:tab/>
      </w:r>
    </w:p>
  </w:footnote>
  <w:footnote w:type="continuationSeparator" w:id="0">
    <w:p w:rsidR="005E4147" w:rsidRPr="00433A7F" w:rsidRDefault="005E4147" w:rsidP="00433A7F">
      <w:pPr>
        <w:tabs>
          <w:tab w:val="right" w:pos="2155"/>
        </w:tabs>
        <w:spacing w:after="80"/>
        <w:ind w:left="680"/>
        <w:rPr>
          <w:u w:val="single"/>
        </w:rPr>
      </w:pPr>
      <w:r w:rsidRPr="00433A7F">
        <w:rPr>
          <w:u w:val="single"/>
        </w:rPr>
        <w:tab/>
      </w:r>
    </w:p>
  </w:footnote>
  <w:footnote w:type="continuationNotice" w:id="1">
    <w:p w:rsidR="005E4147" w:rsidRDefault="005E4147"/>
  </w:footnote>
  <w:footnote w:id="2">
    <w:p w:rsidR="001238A9" w:rsidRPr="002B6FF3" w:rsidRDefault="001238A9" w:rsidP="00C60829">
      <w:pPr>
        <w:pStyle w:val="FootnoteText"/>
      </w:pPr>
      <w:r>
        <w:tab/>
      </w:r>
      <w:r w:rsidRPr="00224C8D">
        <w:rPr>
          <w:rStyle w:val="FootnoteReference"/>
          <w:sz w:val="16"/>
          <w:szCs w:val="16"/>
          <w:vertAlign w:val="baseline"/>
        </w:rPr>
        <w:t>*</w:t>
      </w:r>
      <w:r>
        <w:rPr>
          <w:sz w:val="20"/>
        </w:rPr>
        <w:tab/>
      </w:r>
      <w:r w:rsidRPr="00966F39">
        <w:rPr>
          <w:szCs w:val="18"/>
          <w:lang w:val="fr-FR"/>
        </w:rPr>
        <w:t xml:space="preserve">Les annexes peuvent être consultées sur demande auprès du secrétariat du </w:t>
      </w:r>
      <w:r w:rsidRPr="00B1332E">
        <w:rPr>
          <w:szCs w:val="18"/>
          <w:lang w:val="fr-FR"/>
        </w:rPr>
        <w:t>Sous</w:t>
      </w:r>
      <w:r w:rsidRPr="00B1332E">
        <w:rPr>
          <w:szCs w:val="18"/>
          <w:lang w:val="fr-FR"/>
        </w:rPr>
        <w:noBreakHyphen/>
        <w:t>Comité p</w:t>
      </w:r>
      <w:r>
        <w:rPr>
          <w:szCs w:val="18"/>
          <w:lang w:val="fr-FR"/>
        </w:rPr>
        <w:t>our la prévention de la torture</w:t>
      </w:r>
      <w:r w:rsidRPr="00966F39">
        <w:rPr>
          <w:szCs w:val="18"/>
          <w:lang w:val="fr-FR"/>
        </w:rPr>
        <w:t>.</w:t>
      </w:r>
    </w:p>
  </w:footnote>
  <w:footnote w:id="3">
    <w:p w:rsidR="001238A9" w:rsidRPr="002B6FF3" w:rsidRDefault="001238A9" w:rsidP="008A04D7">
      <w:pPr>
        <w:pStyle w:val="FootnoteText"/>
      </w:pPr>
      <w:r>
        <w:tab/>
      </w:r>
      <w:r w:rsidRPr="00224C8D">
        <w:rPr>
          <w:rStyle w:val="FootnoteReference"/>
          <w:sz w:val="16"/>
          <w:szCs w:val="16"/>
          <w:vertAlign w:val="baseline"/>
        </w:rPr>
        <w:t>**</w:t>
      </w:r>
      <w:r>
        <w:rPr>
          <w:sz w:val="20"/>
        </w:rPr>
        <w:tab/>
      </w:r>
      <w:r w:rsidRPr="00966F39">
        <w:rPr>
          <w:szCs w:val="18"/>
          <w:lang w:val="fr-FR"/>
        </w:rPr>
        <w:t>Le présent document n’a pas été revu par les services d’édition</w:t>
      </w:r>
      <w:r>
        <w:rPr>
          <w:szCs w:val="18"/>
          <w:lang w:val="fr-FR"/>
        </w:rPr>
        <w:t>.</w:t>
      </w:r>
      <w:r w:rsidRPr="00966F39">
        <w:rPr>
          <w:szCs w:val="18"/>
          <w:lang w:val="fr-FR"/>
        </w:rPr>
        <w:t xml:space="preserve"> </w:t>
      </w:r>
    </w:p>
  </w:footnote>
  <w:footnote w:id="4">
    <w:p w:rsidR="001238A9" w:rsidRPr="002B6FF3" w:rsidRDefault="001238A9" w:rsidP="00824004">
      <w:pPr>
        <w:pStyle w:val="FootnoteText"/>
      </w:pPr>
      <w:r>
        <w:tab/>
      </w:r>
      <w:r w:rsidRPr="00224C8D">
        <w:rPr>
          <w:rStyle w:val="FootnoteReference"/>
          <w:sz w:val="16"/>
          <w:szCs w:val="16"/>
          <w:vertAlign w:val="baseline"/>
        </w:rPr>
        <w:t>***</w:t>
      </w:r>
      <w:r>
        <w:rPr>
          <w:sz w:val="20"/>
        </w:rPr>
        <w:tab/>
      </w:r>
      <w:r w:rsidRPr="00966F39">
        <w:rPr>
          <w:szCs w:val="18"/>
          <w:lang w:val="fr-FR"/>
        </w:rPr>
        <w:t>Le 22</w:t>
      </w:r>
      <w:r>
        <w:rPr>
          <w:szCs w:val="18"/>
          <w:lang w:val="fr-FR"/>
        </w:rPr>
        <w:t> </w:t>
      </w:r>
      <w:r w:rsidRPr="00966F39">
        <w:rPr>
          <w:szCs w:val="18"/>
          <w:lang w:val="fr-FR"/>
        </w:rPr>
        <w:t>janvier 2014, le mécanisme national de prévention</w:t>
      </w:r>
      <w:r>
        <w:rPr>
          <w:szCs w:val="18"/>
          <w:lang w:val="fr-FR"/>
        </w:rPr>
        <w:t xml:space="preserve"> </w:t>
      </w:r>
      <w:r w:rsidRPr="00966F39">
        <w:rPr>
          <w:szCs w:val="18"/>
          <w:lang w:val="fr-FR"/>
        </w:rPr>
        <w:t xml:space="preserve">a fait part de sa décision de transmettre et de rendre </w:t>
      </w:r>
      <w:r w:rsidRPr="002B6AA4">
        <w:rPr>
          <w:szCs w:val="18"/>
          <w:lang w:val="fr-FR"/>
        </w:rPr>
        <w:t>publiques s</w:t>
      </w:r>
      <w:r w:rsidRPr="00966F39">
        <w:rPr>
          <w:szCs w:val="18"/>
          <w:lang w:val="fr-FR"/>
        </w:rPr>
        <w:t xml:space="preserve">es réponses au rapport du </w:t>
      </w:r>
      <w:r w:rsidRPr="00B1332E">
        <w:rPr>
          <w:szCs w:val="18"/>
          <w:lang w:val="fr-FR"/>
        </w:rPr>
        <w:t>Sous-Comité</w:t>
      </w:r>
      <w:r>
        <w:rPr>
          <w:szCs w:val="18"/>
          <w:lang w:val="fr-FR"/>
        </w:rPr>
        <w:t xml:space="preserve"> pour la prévention de la torture </w:t>
      </w:r>
      <w:r w:rsidRPr="00966F39">
        <w:rPr>
          <w:szCs w:val="18"/>
          <w:lang w:val="fr-FR"/>
        </w:rPr>
        <w:t>sur sa visite de conseil. Le présent document est rendu public conformément au paragraphe</w:t>
      </w:r>
      <w:r>
        <w:rPr>
          <w:szCs w:val="18"/>
          <w:lang w:val="fr-FR"/>
        </w:rPr>
        <w:t> </w:t>
      </w:r>
      <w:r w:rsidRPr="00966F39">
        <w:rPr>
          <w:szCs w:val="18"/>
          <w:lang w:val="fr-FR"/>
        </w:rPr>
        <w:t>2 de l’article</w:t>
      </w:r>
      <w:r>
        <w:rPr>
          <w:szCs w:val="18"/>
          <w:lang w:val="fr-FR"/>
        </w:rPr>
        <w:t> </w:t>
      </w:r>
      <w:r w:rsidRPr="00966F39">
        <w:rPr>
          <w:szCs w:val="18"/>
          <w:lang w:val="fr-FR"/>
        </w:rPr>
        <w:t>16 du Protocole facultatif</w:t>
      </w:r>
      <w:r>
        <w:rPr>
          <w:szCs w:val="18"/>
          <w:lang w:val="fr-FR"/>
        </w:rPr>
        <w:t xml:space="preserve"> se rapportant à la Convention</w:t>
      </w:r>
      <w:r w:rsidRPr="00966F39">
        <w:rPr>
          <w:szCs w:val="18"/>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A9" w:rsidRPr="00CC44E3" w:rsidRDefault="001238A9">
    <w:pPr>
      <w:pStyle w:val="Header"/>
    </w:pPr>
    <w:r>
      <w:t>CAT/OP/SEN/2/Add.1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A9" w:rsidRPr="00CC44E3" w:rsidRDefault="001238A9" w:rsidP="00CC44E3">
    <w:pPr>
      <w:pStyle w:val="Header"/>
      <w:jc w:val="right"/>
    </w:pPr>
    <w:r>
      <w:t>CAT/OP/SEN/2/Add.1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3A7B"/>
    <w:multiLevelType w:val="hybridMultilevel"/>
    <w:tmpl w:val="11A066D2"/>
    <w:lvl w:ilvl="0" w:tplc="A14A27F0">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197ADFDE">
      <w:start w:val="1"/>
      <w:numFmt w:val="decimal"/>
      <w:lvlText w:val="%3."/>
      <w:lvlJc w:val="left"/>
      <w:pPr>
        <w:tabs>
          <w:tab w:val="num" w:pos="1701"/>
        </w:tabs>
        <w:ind w:left="1134" w:firstLine="0"/>
      </w:pPr>
      <w:rPr>
        <w:rFonts w:hint="default"/>
        <w:b w:val="0"/>
        <w:bCs/>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
    <w:nsid w:val="3A103E58"/>
    <w:multiLevelType w:val="hybridMultilevel"/>
    <w:tmpl w:val="E1C24D72"/>
    <w:lvl w:ilvl="0" w:tplc="AC0CEEE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433A4D4B"/>
    <w:multiLevelType w:val="hybridMultilevel"/>
    <w:tmpl w:val="DD9075D0"/>
    <w:lvl w:ilvl="0" w:tplc="3030044E">
      <w:start w:val="1"/>
      <w:numFmt w:val="lowerLetter"/>
      <w:lvlText w:val="%1)"/>
      <w:lvlJc w:val="left"/>
      <w:pPr>
        <w:tabs>
          <w:tab w:val="num" w:pos="810"/>
        </w:tabs>
        <w:ind w:left="810" w:hanging="450"/>
      </w:pPr>
      <w:rPr>
        <w:rFonts w:hint="default"/>
        <w:b/>
      </w:rPr>
    </w:lvl>
    <w:lvl w:ilvl="1" w:tplc="B97C51CA">
      <w:numFmt w:val="bullet"/>
      <w:lvlText w:val="*"/>
      <w:lvlJc w:val="left"/>
      <w:pPr>
        <w:tabs>
          <w:tab w:val="num" w:pos="1440"/>
        </w:tabs>
        <w:ind w:left="1440" w:hanging="360"/>
      </w:pPr>
      <w:rPr>
        <w:rFonts w:ascii="Cambria" w:eastAsia="Times New Roman" w:hAnsi="Cambria" w:cs="Times New Roman"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74029E5"/>
    <w:multiLevelType w:val="hybridMultilevel"/>
    <w:tmpl w:val="2078F89A"/>
    <w:lvl w:ilvl="0" w:tplc="9BD49D80">
      <w:start w:val="1"/>
      <w:numFmt w:val="lowerLetter"/>
      <w:lvlText w:val="%1."/>
      <w:lvlJc w:val="left"/>
      <w:pPr>
        <w:tabs>
          <w:tab w:val="num" w:pos="720"/>
        </w:tabs>
        <w:ind w:left="720" w:hanging="360"/>
      </w:pPr>
      <w:rPr>
        <w:rFonts w:hint="default"/>
        <w:b/>
      </w:rPr>
    </w:lvl>
    <w:lvl w:ilvl="1" w:tplc="B97C51CA">
      <w:numFmt w:val="bullet"/>
      <w:lvlText w:val="*"/>
      <w:lvlJc w:val="left"/>
      <w:pPr>
        <w:tabs>
          <w:tab w:val="num" w:pos="1440"/>
        </w:tabs>
        <w:ind w:left="1440" w:hanging="360"/>
      </w:pPr>
      <w:rPr>
        <w:rFonts w:ascii="Cambria" w:eastAsia="Times New Roman" w:hAnsi="Cambria" w:cs="Times New Roman"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03C4E3B"/>
    <w:multiLevelType w:val="hybridMultilevel"/>
    <w:tmpl w:val="5164F270"/>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60881340"/>
    <w:multiLevelType w:val="hybridMultilevel"/>
    <w:tmpl w:val="F648DE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7F6410"/>
    <w:multiLevelType w:val="hybridMultilevel"/>
    <w:tmpl w:val="6D3E80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73C65218"/>
    <w:multiLevelType w:val="hybridMultilevel"/>
    <w:tmpl w:val="AA78445A"/>
    <w:lvl w:ilvl="0" w:tplc="9FB0A83C">
      <w:start w:val="1"/>
      <w:numFmt w:val="lowerLetter"/>
      <w:lvlText w:val="%1."/>
      <w:lvlJc w:val="left"/>
      <w:pPr>
        <w:tabs>
          <w:tab w:val="num" w:pos="825"/>
        </w:tabs>
        <w:ind w:left="825" w:hanging="465"/>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5EA56D4"/>
    <w:multiLevelType w:val="multilevel"/>
    <w:tmpl w:val="80D636FA"/>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1">
    <w:nsid w:val="7BA536FE"/>
    <w:multiLevelType w:val="hybridMultilevel"/>
    <w:tmpl w:val="18306ADA"/>
    <w:lvl w:ilvl="0" w:tplc="E31095CE">
      <w:start w:val="1"/>
      <w:numFmt w:val="decimal"/>
      <w:lvlText w:val="%1."/>
      <w:lvlJc w:val="left"/>
      <w:pPr>
        <w:tabs>
          <w:tab w:val="num" w:pos="720"/>
        </w:tabs>
        <w:ind w:left="720" w:hanging="360"/>
      </w:pPr>
      <w:rPr>
        <w:rFonts w:hint="default"/>
        <w:b/>
      </w:rPr>
    </w:lvl>
    <w:lvl w:ilvl="1" w:tplc="19844B90">
      <w:numFmt w:val="bullet"/>
      <w:lvlText w:val="*"/>
      <w:lvlJc w:val="left"/>
      <w:pPr>
        <w:tabs>
          <w:tab w:val="num" w:pos="1440"/>
        </w:tabs>
        <w:ind w:left="1440" w:hanging="360"/>
      </w:pPr>
      <w:rPr>
        <w:rFonts w:ascii="Cambria" w:eastAsia="Times New Roman" w:hAnsi="Cambria" w:cs="Times New Roman" w:hint="default"/>
      </w:rPr>
    </w:lvl>
    <w:lvl w:ilvl="2" w:tplc="9FC6EAA6">
      <w:start w:val="1"/>
      <w:numFmt w:val="decimal"/>
      <w:lvlText w:val="%3.)"/>
      <w:lvlJc w:val="left"/>
      <w:pPr>
        <w:tabs>
          <w:tab w:val="num" w:pos="2280"/>
        </w:tabs>
        <w:ind w:left="2280" w:hanging="1200"/>
      </w:pPr>
      <w:rPr>
        <w:rFonts w:ascii="Bookman Old Style" w:eastAsia="Times New Roman" w:hAnsi="Bookman Old Style" w:cs="Times New Roman"/>
        <w:b/>
      </w:rPr>
    </w:lvl>
    <w:lvl w:ilvl="3" w:tplc="F6A6EFA2">
      <w:start w:val="1"/>
      <w:numFmt w:val="lowerLetter"/>
      <w:lvlText w:val="%4-"/>
      <w:lvlJc w:val="left"/>
      <w:pPr>
        <w:tabs>
          <w:tab w:val="num" w:pos="2625"/>
        </w:tabs>
        <w:ind w:left="2625" w:hanging="465"/>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9"/>
  </w:num>
  <w:num w:numId="5">
    <w:abstractNumId w:val="4"/>
  </w:num>
  <w:num w:numId="6">
    <w:abstractNumId w:val="1"/>
  </w:num>
  <w:num w:numId="7">
    <w:abstractNumId w:val="5"/>
  </w:num>
  <w:num w:numId="8">
    <w:abstractNumId w:val="3"/>
  </w:num>
  <w:num w:numId="9">
    <w:abstractNumId w:val="6"/>
  </w:num>
  <w:num w:numId="10">
    <w:abstractNumId w:val="7"/>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44E3"/>
    <w:rsid w:val="00000A87"/>
    <w:rsid w:val="00005EFB"/>
    <w:rsid w:val="000060DB"/>
    <w:rsid w:val="0001574D"/>
    <w:rsid w:val="00016AC5"/>
    <w:rsid w:val="0004264E"/>
    <w:rsid w:val="000515C8"/>
    <w:rsid w:val="00055CB6"/>
    <w:rsid w:val="00065CFF"/>
    <w:rsid w:val="000703D7"/>
    <w:rsid w:val="0008133E"/>
    <w:rsid w:val="00082D79"/>
    <w:rsid w:val="00093668"/>
    <w:rsid w:val="000A1158"/>
    <w:rsid w:val="000F15C1"/>
    <w:rsid w:val="000F41F2"/>
    <w:rsid w:val="000F77C6"/>
    <w:rsid w:val="00100A97"/>
    <w:rsid w:val="00100C33"/>
    <w:rsid w:val="0010395A"/>
    <w:rsid w:val="0010627E"/>
    <w:rsid w:val="001238A9"/>
    <w:rsid w:val="00152AC2"/>
    <w:rsid w:val="001551D2"/>
    <w:rsid w:val="00160540"/>
    <w:rsid w:val="001643BB"/>
    <w:rsid w:val="00192EEB"/>
    <w:rsid w:val="001959C0"/>
    <w:rsid w:val="001A20FB"/>
    <w:rsid w:val="001A732C"/>
    <w:rsid w:val="001C5861"/>
    <w:rsid w:val="001D5C84"/>
    <w:rsid w:val="001D7F8A"/>
    <w:rsid w:val="001E0549"/>
    <w:rsid w:val="001E1F4E"/>
    <w:rsid w:val="001E3FEB"/>
    <w:rsid w:val="001E4A02"/>
    <w:rsid w:val="001E5D81"/>
    <w:rsid w:val="00202BED"/>
    <w:rsid w:val="00212641"/>
    <w:rsid w:val="00224C8D"/>
    <w:rsid w:val="00225A8C"/>
    <w:rsid w:val="00260315"/>
    <w:rsid w:val="00262DFC"/>
    <w:rsid w:val="002659F1"/>
    <w:rsid w:val="0028041D"/>
    <w:rsid w:val="00287E79"/>
    <w:rsid w:val="002928F9"/>
    <w:rsid w:val="002A5D07"/>
    <w:rsid w:val="002B6AA4"/>
    <w:rsid w:val="002B6FF3"/>
    <w:rsid w:val="002C4145"/>
    <w:rsid w:val="002D6A54"/>
    <w:rsid w:val="002E1385"/>
    <w:rsid w:val="002E35A5"/>
    <w:rsid w:val="002E7AD6"/>
    <w:rsid w:val="003016B7"/>
    <w:rsid w:val="00324AAB"/>
    <w:rsid w:val="00327FFA"/>
    <w:rsid w:val="00340B12"/>
    <w:rsid w:val="003515AA"/>
    <w:rsid w:val="00374106"/>
    <w:rsid w:val="003875C9"/>
    <w:rsid w:val="003875F1"/>
    <w:rsid w:val="003976D5"/>
    <w:rsid w:val="003A026F"/>
    <w:rsid w:val="003A4201"/>
    <w:rsid w:val="003D6C68"/>
    <w:rsid w:val="003F0697"/>
    <w:rsid w:val="003F21BF"/>
    <w:rsid w:val="004159D0"/>
    <w:rsid w:val="00433A7F"/>
    <w:rsid w:val="004742E1"/>
    <w:rsid w:val="004861E3"/>
    <w:rsid w:val="00486EFA"/>
    <w:rsid w:val="004B3D18"/>
    <w:rsid w:val="004D7D30"/>
    <w:rsid w:val="004E14D1"/>
    <w:rsid w:val="00500513"/>
    <w:rsid w:val="00501814"/>
    <w:rsid w:val="00506972"/>
    <w:rsid w:val="00514AFE"/>
    <w:rsid w:val="00530EDA"/>
    <w:rsid w:val="00535115"/>
    <w:rsid w:val="00542244"/>
    <w:rsid w:val="00543D5E"/>
    <w:rsid w:val="005447BD"/>
    <w:rsid w:val="00551137"/>
    <w:rsid w:val="00571F41"/>
    <w:rsid w:val="0058335D"/>
    <w:rsid w:val="00594CCF"/>
    <w:rsid w:val="005B2566"/>
    <w:rsid w:val="005B2CE5"/>
    <w:rsid w:val="005B3BA8"/>
    <w:rsid w:val="005C5234"/>
    <w:rsid w:val="005D46CA"/>
    <w:rsid w:val="005E4147"/>
    <w:rsid w:val="005E4C30"/>
    <w:rsid w:val="005E5D1F"/>
    <w:rsid w:val="00605EA8"/>
    <w:rsid w:val="00611D43"/>
    <w:rsid w:val="00612D48"/>
    <w:rsid w:val="0061416C"/>
    <w:rsid w:val="00616B45"/>
    <w:rsid w:val="00630D9B"/>
    <w:rsid w:val="00631953"/>
    <w:rsid w:val="006439EC"/>
    <w:rsid w:val="00644A3D"/>
    <w:rsid w:val="006613CB"/>
    <w:rsid w:val="00683E5B"/>
    <w:rsid w:val="006A21A3"/>
    <w:rsid w:val="006B2848"/>
    <w:rsid w:val="006B4590"/>
    <w:rsid w:val="006B52F6"/>
    <w:rsid w:val="006C340C"/>
    <w:rsid w:val="006C6563"/>
    <w:rsid w:val="006D66C4"/>
    <w:rsid w:val="006F326C"/>
    <w:rsid w:val="006F59FA"/>
    <w:rsid w:val="0070347C"/>
    <w:rsid w:val="007064BD"/>
    <w:rsid w:val="007176C1"/>
    <w:rsid w:val="0072458B"/>
    <w:rsid w:val="00733CB8"/>
    <w:rsid w:val="00744F47"/>
    <w:rsid w:val="00761C04"/>
    <w:rsid w:val="007632AC"/>
    <w:rsid w:val="0076443D"/>
    <w:rsid w:val="00770D64"/>
    <w:rsid w:val="00784747"/>
    <w:rsid w:val="007857B6"/>
    <w:rsid w:val="007859EF"/>
    <w:rsid w:val="007973D4"/>
    <w:rsid w:val="007B5913"/>
    <w:rsid w:val="007C057A"/>
    <w:rsid w:val="007E0AC2"/>
    <w:rsid w:val="007E4AF6"/>
    <w:rsid w:val="007F55CB"/>
    <w:rsid w:val="007F6341"/>
    <w:rsid w:val="00822CC2"/>
    <w:rsid w:val="00824004"/>
    <w:rsid w:val="008327B6"/>
    <w:rsid w:val="00844750"/>
    <w:rsid w:val="00873ED5"/>
    <w:rsid w:val="0088016A"/>
    <w:rsid w:val="00890931"/>
    <w:rsid w:val="008A04D7"/>
    <w:rsid w:val="008A2AB1"/>
    <w:rsid w:val="008B44C4"/>
    <w:rsid w:val="008B4E82"/>
    <w:rsid w:val="008C13F8"/>
    <w:rsid w:val="008E0029"/>
    <w:rsid w:val="008E7FAE"/>
    <w:rsid w:val="008F19CD"/>
    <w:rsid w:val="00911BF7"/>
    <w:rsid w:val="00920824"/>
    <w:rsid w:val="009261F5"/>
    <w:rsid w:val="00953431"/>
    <w:rsid w:val="00966F39"/>
    <w:rsid w:val="00972F9F"/>
    <w:rsid w:val="009768AF"/>
    <w:rsid w:val="00977EC8"/>
    <w:rsid w:val="009B3453"/>
    <w:rsid w:val="009C40A5"/>
    <w:rsid w:val="009D3A8C"/>
    <w:rsid w:val="009D75D0"/>
    <w:rsid w:val="009E7227"/>
    <w:rsid w:val="009E7956"/>
    <w:rsid w:val="00A046D1"/>
    <w:rsid w:val="00A2146B"/>
    <w:rsid w:val="00A2492E"/>
    <w:rsid w:val="00A2719A"/>
    <w:rsid w:val="00A337A3"/>
    <w:rsid w:val="00A40D90"/>
    <w:rsid w:val="00A82D9D"/>
    <w:rsid w:val="00A94AFE"/>
    <w:rsid w:val="00A95060"/>
    <w:rsid w:val="00A96406"/>
    <w:rsid w:val="00A97FF5"/>
    <w:rsid w:val="00AC2729"/>
    <w:rsid w:val="00AC67A1"/>
    <w:rsid w:val="00AC7977"/>
    <w:rsid w:val="00AD25F2"/>
    <w:rsid w:val="00AE04EF"/>
    <w:rsid w:val="00AE25D9"/>
    <w:rsid w:val="00AE2CE2"/>
    <w:rsid w:val="00AE352C"/>
    <w:rsid w:val="00AE79C8"/>
    <w:rsid w:val="00AF182E"/>
    <w:rsid w:val="00B11973"/>
    <w:rsid w:val="00B12783"/>
    <w:rsid w:val="00B1332E"/>
    <w:rsid w:val="00B15D6B"/>
    <w:rsid w:val="00B32E2D"/>
    <w:rsid w:val="00B34580"/>
    <w:rsid w:val="00B61990"/>
    <w:rsid w:val="00B85E83"/>
    <w:rsid w:val="00BC7521"/>
    <w:rsid w:val="00BF0556"/>
    <w:rsid w:val="00BF2ACA"/>
    <w:rsid w:val="00C261F8"/>
    <w:rsid w:val="00C26B4D"/>
    <w:rsid w:val="00C33100"/>
    <w:rsid w:val="00C33E7E"/>
    <w:rsid w:val="00C56FE9"/>
    <w:rsid w:val="00C60829"/>
    <w:rsid w:val="00C802D4"/>
    <w:rsid w:val="00CA35E8"/>
    <w:rsid w:val="00CB5A00"/>
    <w:rsid w:val="00CB6384"/>
    <w:rsid w:val="00CB643D"/>
    <w:rsid w:val="00CC44E3"/>
    <w:rsid w:val="00CD196F"/>
    <w:rsid w:val="00CD1A71"/>
    <w:rsid w:val="00CD1FBB"/>
    <w:rsid w:val="00D016B5"/>
    <w:rsid w:val="00D034F1"/>
    <w:rsid w:val="00D15A8C"/>
    <w:rsid w:val="00D27D5E"/>
    <w:rsid w:val="00D51BB0"/>
    <w:rsid w:val="00D55E98"/>
    <w:rsid w:val="00D57758"/>
    <w:rsid w:val="00D81982"/>
    <w:rsid w:val="00DA4278"/>
    <w:rsid w:val="00DA74D6"/>
    <w:rsid w:val="00DC7A3B"/>
    <w:rsid w:val="00DE6D90"/>
    <w:rsid w:val="00DF002F"/>
    <w:rsid w:val="00E010A2"/>
    <w:rsid w:val="00E0244D"/>
    <w:rsid w:val="00E04D35"/>
    <w:rsid w:val="00E129C1"/>
    <w:rsid w:val="00E177C3"/>
    <w:rsid w:val="00E42C29"/>
    <w:rsid w:val="00E6092B"/>
    <w:rsid w:val="00E81E94"/>
    <w:rsid w:val="00E82607"/>
    <w:rsid w:val="00E9216E"/>
    <w:rsid w:val="00E92EFF"/>
    <w:rsid w:val="00EA0139"/>
    <w:rsid w:val="00EB0608"/>
    <w:rsid w:val="00EC3F49"/>
    <w:rsid w:val="00EE30A0"/>
    <w:rsid w:val="00EF283B"/>
    <w:rsid w:val="00F23C8D"/>
    <w:rsid w:val="00F32709"/>
    <w:rsid w:val="00F53070"/>
    <w:rsid w:val="00F94D7D"/>
    <w:rsid w:val="00F97AAD"/>
    <w:rsid w:val="00FA38B0"/>
    <w:rsid w:val="00FA5758"/>
    <w:rsid w:val="00FA5A79"/>
    <w:rsid w:val="00FA5B5E"/>
    <w:rsid w:val="00FB0BFE"/>
    <w:rsid w:val="00FB4C51"/>
    <w:rsid w:val="00FD3E2D"/>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val="fr-CH"/>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link w:val="HMGChar"/>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semiHidden/>
    <w:rsid w:val="003F0697"/>
    <w:rPr>
      <w:color w:val="auto"/>
      <w:u w:val="none"/>
    </w:rPr>
  </w:style>
  <w:style w:type="character" w:styleId="FollowedHyperlink">
    <w:name w:val="FollowedHyperlink"/>
    <w:semiHidden/>
    <w:rsid w:val="003F0697"/>
    <w:rPr>
      <w:color w:val="auto"/>
      <w:u w:val="none"/>
    </w:rPr>
  </w:style>
  <w:style w:type="character" w:customStyle="1" w:styleId="SingleTxtGChar">
    <w:name w:val="_ Single Txt_G Char"/>
    <w:link w:val="SingleTxtG"/>
    <w:rsid w:val="00262DFC"/>
    <w:rPr>
      <w:lang w:val="fr-CH" w:eastAsia="en-US" w:bidi="ar-SA"/>
    </w:rPr>
  </w:style>
  <w:style w:type="table" w:styleId="TableGrid">
    <w:name w:val="Table Grid"/>
    <w:basedOn w:val="TableNormal"/>
    <w:semiHidden/>
    <w:rsid w:val="007F634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23GChar">
    <w:name w:val="_ H_2/3_G Char"/>
    <w:link w:val="H23G"/>
    <w:rsid w:val="0001574D"/>
    <w:rPr>
      <w:b/>
      <w:lang w:val="fr-CH" w:eastAsia="en-US" w:bidi="ar-SA"/>
    </w:rPr>
  </w:style>
  <w:style w:type="paragraph" w:styleId="BalloonText">
    <w:name w:val="Balloon Text"/>
    <w:basedOn w:val="Normal"/>
    <w:semiHidden/>
    <w:rsid w:val="001A732C"/>
    <w:rPr>
      <w:rFonts w:ascii="Tahoma" w:hAnsi="Tahoma" w:cs="Tahoma"/>
      <w:sz w:val="16"/>
      <w:szCs w:val="16"/>
    </w:rPr>
  </w:style>
  <w:style w:type="character" w:customStyle="1" w:styleId="HMGChar">
    <w:name w:val="_ H __M_G Char"/>
    <w:link w:val="HMG"/>
    <w:rsid w:val="001A732C"/>
    <w:rPr>
      <w:b/>
      <w:sz w:val="3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temp\CATOP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CATOP_F.dot</Template>
  <TotalTime>0</TotalTime>
  <Pages>1</Pages>
  <Words>1440</Words>
  <Characters>7837</Characters>
  <Application>Microsoft Office Outlook</Application>
  <DocSecurity>4</DocSecurity>
  <Lines>145</Lines>
  <Paragraphs>56</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valdivia de fyfe</dc:creator>
  <cp:keywords/>
  <cp:lastModifiedBy>Lamy</cp:lastModifiedBy>
  <cp:revision>4</cp:revision>
  <cp:lastPrinted>2014-01-30T13:00:00Z</cp:lastPrinted>
  <dcterms:created xsi:type="dcterms:W3CDTF">2014-02-05T07:17:00Z</dcterms:created>
  <dcterms:modified xsi:type="dcterms:W3CDTF">2014-02-05T07:19:00Z</dcterms:modified>
</cp:coreProperties>
</file>