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3260"/>
        <w:gridCol w:w="141"/>
        <w:gridCol w:w="2127"/>
        <w:gridCol w:w="2835"/>
      </w:tblGrid>
      <w:tr w:rsidR="0084613B" w:rsidTr="00D76358">
        <w:trPr>
          <w:cantSplit/>
          <w:trHeight w:hRule="exact" w:val="851"/>
        </w:trPr>
        <w:tc>
          <w:tcPr>
            <w:tcW w:w="4536" w:type="dxa"/>
            <w:gridSpan w:val="2"/>
            <w:tcBorders>
              <w:bottom w:val="single" w:sz="4" w:space="0" w:color="auto"/>
            </w:tcBorders>
            <w:vAlign w:val="bottom"/>
          </w:tcPr>
          <w:p w:rsidR="0084613B" w:rsidRPr="00B97172" w:rsidRDefault="0084613B" w:rsidP="00D76358">
            <w:pPr>
              <w:spacing w:after="80" w:line="300" w:lineRule="exact"/>
              <w:rPr>
                <w:b/>
                <w:sz w:val="24"/>
                <w:szCs w:val="24"/>
              </w:rPr>
            </w:pPr>
            <w:r>
              <w:rPr>
                <w:sz w:val="28"/>
              </w:rPr>
              <w:t>Организация Объединенных Наций</w:t>
            </w:r>
          </w:p>
        </w:tc>
        <w:tc>
          <w:tcPr>
            <w:tcW w:w="141" w:type="dxa"/>
            <w:tcBorders>
              <w:bottom w:val="single" w:sz="4" w:space="0" w:color="auto"/>
            </w:tcBorders>
            <w:vAlign w:val="bottom"/>
          </w:tcPr>
          <w:p w:rsidR="0084613B" w:rsidRPr="00EA2819" w:rsidRDefault="0084613B" w:rsidP="00D76358">
            <w:pPr>
              <w:spacing w:after="80" w:line="240" w:lineRule="auto"/>
              <w:jc w:val="right"/>
            </w:pPr>
          </w:p>
        </w:tc>
        <w:tc>
          <w:tcPr>
            <w:tcW w:w="4962" w:type="dxa"/>
            <w:gridSpan w:val="2"/>
            <w:tcBorders>
              <w:left w:val="nil"/>
              <w:bottom w:val="single" w:sz="4" w:space="0" w:color="auto"/>
            </w:tcBorders>
            <w:vAlign w:val="bottom"/>
          </w:tcPr>
          <w:p w:rsidR="0084613B" w:rsidRPr="00414448" w:rsidRDefault="0084613B" w:rsidP="00D76358">
            <w:pPr>
              <w:spacing w:after="80"/>
              <w:jc w:val="right"/>
              <w:rPr>
                <w:lang w:val="en-US"/>
              </w:rPr>
            </w:pPr>
            <w:r w:rsidRPr="000B4B07">
              <w:rPr>
                <w:sz w:val="40"/>
                <w:szCs w:val="40"/>
                <w:lang w:val="en-US"/>
              </w:rPr>
              <w:t>CCPR</w:t>
            </w:r>
            <w:r>
              <w:rPr>
                <w:lang w:val="en-US"/>
              </w:rPr>
              <w:t>/</w:t>
            </w:r>
            <w:fldSimple w:instr=" FILLIN  &quot;Введите часть символа после CCPR/&quot;  \* MERGEFORMAT ">
              <w:r w:rsidR="00C965D2">
                <w:t>C/SR.2830</w:t>
              </w:r>
            </w:fldSimple>
          </w:p>
        </w:tc>
      </w:tr>
      <w:tr w:rsidR="0084613B" w:rsidRPr="002C048B" w:rsidTr="00D76358">
        <w:trPr>
          <w:cantSplit/>
          <w:trHeight w:hRule="exact" w:val="2835"/>
        </w:trPr>
        <w:tc>
          <w:tcPr>
            <w:tcW w:w="1276" w:type="dxa"/>
            <w:tcBorders>
              <w:top w:val="single" w:sz="4" w:space="0" w:color="auto"/>
              <w:bottom w:val="single" w:sz="12" w:space="0" w:color="auto"/>
            </w:tcBorders>
          </w:tcPr>
          <w:p w:rsidR="0084613B" w:rsidRDefault="0084613B" w:rsidP="00D7635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3"/>
            <w:tcBorders>
              <w:top w:val="single" w:sz="4" w:space="0" w:color="auto"/>
              <w:bottom w:val="single" w:sz="12" w:space="0" w:color="auto"/>
            </w:tcBorders>
          </w:tcPr>
          <w:p w:rsidR="0084613B" w:rsidRPr="0084613B" w:rsidRDefault="0084613B" w:rsidP="00D76358">
            <w:pPr>
              <w:spacing w:before="120" w:line="380" w:lineRule="exact"/>
              <w:rPr>
                <w:spacing w:val="-4"/>
                <w:w w:val="100"/>
                <w:sz w:val="34"/>
                <w:szCs w:val="34"/>
              </w:rPr>
            </w:pPr>
            <w:r w:rsidRPr="0084613B">
              <w:rPr>
                <w:b/>
                <w:spacing w:val="-4"/>
                <w:w w:val="100"/>
                <w:sz w:val="34"/>
                <w:szCs w:val="34"/>
              </w:rPr>
              <w:t xml:space="preserve">Международный пакт </w:t>
            </w:r>
            <w:r w:rsidRPr="0084613B">
              <w:rPr>
                <w:b/>
                <w:spacing w:val="-4"/>
                <w:w w:val="100"/>
                <w:sz w:val="34"/>
                <w:szCs w:val="34"/>
              </w:rPr>
              <w:br/>
              <w:t>о гражданских и политических правах</w:t>
            </w:r>
          </w:p>
        </w:tc>
        <w:tc>
          <w:tcPr>
            <w:tcW w:w="2835" w:type="dxa"/>
            <w:tcBorders>
              <w:top w:val="single" w:sz="4" w:space="0" w:color="auto"/>
              <w:bottom w:val="single" w:sz="12" w:space="0" w:color="auto"/>
            </w:tcBorders>
          </w:tcPr>
          <w:p w:rsidR="0084613B" w:rsidRPr="00C62DD8" w:rsidRDefault="0084613B" w:rsidP="00D76358">
            <w:pPr>
              <w:spacing w:before="240"/>
            </w:pPr>
            <w:r>
              <w:rPr>
                <w:lang w:val="en-US"/>
              </w:rPr>
              <w:t>Distr</w:t>
            </w:r>
            <w:r>
              <w:t>.:</w:t>
            </w:r>
            <w:r w:rsidRPr="00C62DD8">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sidRPr="00C62DD8">
              <w:instrText xml:space="preserve"> </w:instrText>
            </w:r>
            <w:r>
              <w:rPr>
                <w:lang w:val="en-US"/>
              </w:rPr>
              <w:instrText>FORMDROPDOWN</w:instrText>
            </w:r>
            <w:r w:rsidRPr="00C62DD8">
              <w:instrText xml:space="preserve"> </w:instrText>
            </w:r>
            <w:r>
              <w:fldChar w:fldCharType="end"/>
            </w:r>
            <w:bookmarkEnd w:id="0"/>
          </w:p>
          <w:p w:rsidR="0084613B" w:rsidRPr="00C62DD8" w:rsidRDefault="0084613B" w:rsidP="00D76358">
            <w:r>
              <w:rPr>
                <w:lang w:val="en-US"/>
              </w:rPr>
              <w:fldChar w:fldCharType="begin"/>
            </w:r>
            <w:r w:rsidRPr="00C62DD8">
              <w:instrText xml:space="preserve"> </w:instrText>
            </w:r>
            <w:r>
              <w:rPr>
                <w:lang w:val="en-US"/>
              </w:rPr>
              <w:instrText>FILLIN</w:instrText>
            </w:r>
            <w:r w:rsidRPr="00C62DD8">
              <w:instrText xml:space="preserve">  "Введите дату документа" \* </w:instrText>
            </w:r>
            <w:r>
              <w:rPr>
                <w:lang w:val="en-US"/>
              </w:rPr>
              <w:instrText>MERGEFORMAT</w:instrText>
            </w:r>
            <w:r w:rsidRPr="00C62DD8">
              <w:instrText xml:space="preserve"> </w:instrText>
            </w:r>
            <w:r w:rsidR="00C965D2">
              <w:rPr>
                <w:lang w:val="en-US"/>
              </w:rPr>
              <w:fldChar w:fldCharType="separate"/>
            </w:r>
            <w:r w:rsidR="00985771">
              <w:t>6</w:t>
            </w:r>
            <w:r w:rsidR="00C965D2" w:rsidRPr="00C62DD8">
              <w:t xml:space="preserve"> </w:t>
            </w:r>
            <w:r w:rsidR="00C965D2">
              <w:rPr>
                <w:lang w:val="en-US"/>
              </w:rPr>
              <w:t>December</w:t>
            </w:r>
            <w:r w:rsidR="00C965D2" w:rsidRPr="00C62DD8">
              <w:t xml:space="preserve"> 201</w:t>
            </w:r>
            <w:r w:rsidR="00C62DD8">
              <w:t>2</w:t>
            </w:r>
            <w:r>
              <w:rPr>
                <w:lang w:val="en-US"/>
              </w:rPr>
              <w:fldChar w:fldCharType="end"/>
            </w:r>
          </w:p>
          <w:p w:rsidR="0084613B" w:rsidRDefault="0084613B" w:rsidP="00D76358">
            <w:r>
              <w:rPr>
                <w:lang w:val="en-US"/>
              </w:rPr>
              <w:t>Russian</w:t>
            </w:r>
          </w:p>
          <w:p w:rsidR="0084613B" w:rsidRDefault="0084613B" w:rsidP="00D76358">
            <w:r>
              <w:rPr>
                <w:lang w:val="en-US"/>
              </w:rPr>
              <w:t>Original</w:t>
            </w:r>
            <w:r>
              <w:t xml:space="preserve">: </w:t>
            </w:r>
            <w:bookmarkStart w:id="1" w:name="ПолеСоСписком2"/>
            <w:r>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C62DD8">
              <w:instrText xml:space="preserve"> </w:instrText>
            </w:r>
            <w:r>
              <w:rPr>
                <w:lang w:val="en-US"/>
              </w:rPr>
              <w:instrText>FORMDROPDOWN</w:instrText>
            </w:r>
            <w:r w:rsidRPr="00C62DD8">
              <w:instrText xml:space="preserve"> </w:instrText>
            </w:r>
            <w:r>
              <w:fldChar w:fldCharType="end"/>
            </w:r>
            <w:bookmarkEnd w:id="1"/>
          </w:p>
          <w:p w:rsidR="0084613B" w:rsidRPr="002C048B" w:rsidRDefault="0084613B" w:rsidP="00D76358"/>
        </w:tc>
      </w:tr>
    </w:tbl>
    <w:p w:rsidR="00C965D2" w:rsidRPr="00DC7AB5" w:rsidRDefault="00C965D2" w:rsidP="00DC7AB5">
      <w:pPr>
        <w:spacing w:before="120"/>
        <w:rPr>
          <w:b/>
          <w:sz w:val="24"/>
          <w:szCs w:val="24"/>
        </w:rPr>
      </w:pPr>
      <w:r w:rsidRPr="00DC7AB5">
        <w:rPr>
          <w:b/>
          <w:sz w:val="24"/>
          <w:szCs w:val="24"/>
        </w:rPr>
        <w:t>Комитет по правам человека</w:t>
      </w:r>
    </w:p>
    <w:p w:rsidR="00C965D2" w:rsidRPr="00C965D2" w:rsidRDefault="00C965D2" w:rsidP="00C965D2">
      <w:pPr>
        <w:rPr>
          <w:b/>
        </w:rPr>
      </w:pPr>
      <w:r w:rsidRPr="00C965D2">
        <w:rPr>
          <w:b/>
        </w:rPr>
        <w:t>Сто вторая сессия</w:t>
      </w:r>
    </w:p>
    <w:p w:rsidR="00C965D2" w:rsidRPr="00C965D2" w:rsidRDefault="00C965D2" w:rsidP="00DC7AB5">
      <w:pPr>
        <w:spacing w:before="120"/>
        <w:rPr>
          <w:b/>
        </w:rPr>
      </w:pPr>
      <w:r w:rsidRPr="00C965D2">
        <w:rPr>
          <w:b/>
        </w:rPr>
        <w:t>Краткий отчет о 2830-м заседании,</w:t>
      </w:r>
    </w:p>
    <w:p w:rsidR="00C965D2" w:rsidRPr="00C965D2" w:rsidRDefault="00C965D2" w:rsidP="00C965D2">
      <w:r w:rsidRPr="00C965D2">
        <w:t xml:space="preserve">состоявшемся во Дворце Вильсона в Женеве </w:t>
      </w:r>
    </w:p>
    <w:p w:rsidR="00C965D2" w:rsidRPr="00C965D2" w:rsidRDefault="00C965D2" w:rsidP="00C965D2">
      <w:r w:rsidRPr="00C965D2">
        <w:t>в четверг, 28 июля 2011 года, в 15 ч. 00 м.</w:t>
      </w:r>
    </w:p>
    <w:p w:rsidR="00C965D2" w:rsidRPr="00C965D2" w:rsidRDefault="00C965D2" w:rsidP="00DC7AB5">
      <w:pPr>
        <w:spacing w:before="120"/>
      </w:pPr>
      <w:r w:rsidRPr="00C965D2">
        <w:rPr>
          <w:i/>
        </w:rPr>
        <w:t>Председатель</w:t>
      </w:r>
      <w:r w:rsidRPr="00C965D2">
        <w:t>:</w:t>
      </w:r>
      <w:r w:rsidR="00DC7AB5" w:rsidRPr="00DC7AB5">
        <w:tab/>
      </w:r>
      <w:r w:rsidRPr="00C965D2">
        <w:t>г-н Ивасава (заместитель Председателя)</w:t>
      </w:r>
    </w:p>
    <w:p w:rsidR="00C965D2" w:rsidRPr="00C965D2" w:rsidRDefault="00DC7AB5" w:rsidP="00985771">
      <w:pPr>
        <w:spacing w:before="120"/>
      </w:pPr>
      <w:r w:rsidRPr="00DC7AB5">
        <w:rPr>
          <w:i/>
        </w:rPr>
        <w:tab/>
      </w:r>
      <w:r w:rsidR="005F50B5">
        <w:rPr>
          <w:i/>
        </w:rPr>
        <w:t xml:space="preserve"> </w:t>
      </w:r>
      <w:r w:rsidR="00C965D2" w:rsidRPr="00C965D2">
        <w:rPr>
          <w:i/>
        </w:rPr>
        <w:t>затем</w:t>
      </w:r>
      <w:r w:rsidR="00C965D2" w:rsidRPr="00C965D2">
        <w:t>:</w:t>
      </w:r>
      <w:r w:rsidRPr="00DC7AB5">
        <w:tab/>
      </w:r>
      <w:r w:rsidR="00C965D2" w:rsidRPr="00C965D2">
        <w:t>г-жа Майодина (Председатель)</w:t>
      </w:r>
    </w:p>
    <w:p w:rsidR="00DC7AB5" w:rsidRDefault="00DC7AB5" w:rsidP="00DC7AB5">
      <w:pPr>
        <w:suppressAutoHyphens/>
        <w:spacing w:before="360" w:after="240"/>
        <w:rPr>
          <w:sz w:val="28"/>
        </w:rPr>
      </w:pPr>
      <w:r>
        <w:rPr>
          <w:sz w:val="28"/>
        </w:rPr>
        <w:t>Содержание</w:t>
      </w:r>
    </w:p>
    <w:p w:rsidR="00C965D2" w:rsidRPr="00C965D2" w:rsidRDefault="00C965D2" w:rsidP="00F55EA7">
      <w:pPr>
        <w:pStyle w:val="SingleTxtGR"/>
      </w:pPr>
      <w:r w:rsidRPr="00C965D2">
        <w:t>Утверждение ежегодного доклада Генеральной Ассамблее</w:t>
      </w:r>
    </w:p>
    <w:p w:rsidR="00C965D2" w:rsidRPr="00C965D2" w:rsidRDefault="00C965D2" w:rsidP="004F2DDB">
      <w:pPr>
        <w:pStyle w:val="SingleTxtGR"/>
        <w:jc w:val="left"/>
      </w:pPr>
      <w:r w:rsidRPr="00C965D2">
        <w:t xml:space="preserve">Организационные и другие вопросы, включая доклад Рабочей группы </w:t>
      </w:r>
      <w:r w:rsidR="004F2DDB">
        <w:br/>
      </w:r>
      <w:r w:rsidRPr="00C965D2">
        <w:t>по соо</w:t>
      </w:r>
      <w:r w:rsidRPr="00C965D2">
        <w:t>б</w:t>
      </w:r>
      <w:r w:rsidRPr="00C965D2">
        <w:t>щениям</w:t>
      </w:r>
    </w:p>
    <w:p w:rsidR="00F55EA7" w:rsidRDefault="00F55EA7" w:rsidP="00F55EA7">
      <w:pPr>
        <w:pStyle w:val="SingleTxtGR"/>
        <w:jc w:val="left"/>
        <w:rPr>
          <w:lang w:val="en-US"/>
        </w:rPr>
      </w:pPr>
      <w:r w:rsidRPr="004F2DDB">
        <w:rPr>
          <w:i/>
        </w:rPr>
        <w:tab/>
      </w:r>
      <w:r w:rsidR="00C965D2" w:rsidRPr="00C965D2">
        <w:rPr>
          <w:i/>
        </w:rPr>
        <w:t>Следующее замечание общего порядка Комитета</w:t>
      </w:r>
    </w:p>
    <w:p w:rsidR="00C965D2" w:rsidRPr="00C965D2" w:rsidRDefault="00C965D2" w:rsidP="00F55EA7">
      <w:pPr>
        <w:pStyle w:val="SingleTxtGR"/>
        <w:jc w:val="left"/>
        <w:rPr>
          <w:i/>
        </w:rPr>
      </w:pPr>
      <w:r w:rsidRPr="00C965D2">
        <w:br w:type="page"/>
      </w:r>
      <w:r w:rsidRPr="00C965D2">
        <w:rPr>
          <w:i/>
        </w:rPr>
        <w:t>Заседание открывается в 15 ч. 00 м.</w:t>
      </w:r>
    </w:p>
    <w:p w:rsidR="00C965D2" w:rsidRPr="00C965D2" w:rsidRDefault="00496BF3" w:rsidP="00496BF3">
      <w:pPr>
        <w:pStyle w:val="H23GR"/>
      </w:pPr>
      <w:r>
        <w:rPr>
          <w:lang w:val="en-US"/>
        </w:rPr>
        <w:tab/>
      </w:r>
      <w:r>
        <w:rPr>
          <w:lang w:val="en-US"/>
        </w:rPr>
        <w:tab/>
      </w:r>
      <w:r w:rsidR="00C965D2" w:rsidRPr="00C965D2">
        <w:t>Утверждение ежегодного доклада Генеральной Ассамблее</w:t>
      </w:r>
    </w:p>
    <w:p w:rsidR="00C965D2" w:rsidRPr="005814E2" w:rsidRDefault="005814E2" w:rsidP="005814E2">
      <w:pPr>
        <w:pStyle w:val="H4GR"/>
        <w:ind w:left="1134" w:hanging="1134"/>
        <w:rPr>
          <w:i w:val="0"/>
        </w:rPr>
      </w:pPr>
      <w:r>
        <w:tab/>
      </w:r>
      <w:r>
        <w:tab/>
      </w:r>
      <w:r w:rsidR="00C965D2" w:rsidRPr="00C965D2">
        <w:t xml:space="preserve">Проект доклада Комитета по правам человека Генеральной Ассамблее </w:t>
      </w:r>
      <w:r>
        <w:br/>
      </w:r>
      <w:r w:rsidR="00C965D2" w:rsidRPr="00C965D2">
        <w:t>на ее шестьдесят шестой сессии</w:t>
      </w:r>
      <w:r w:rsidR="00C965D2" w:rsidRPr="005814E2">
        <w:rPr>
          <w:i w:val="0"/>
        </w:rPr>
        <w:t xml:space="preserve"> (</w:t>
      </w:r>
      <w:r w:rsidR="00C965D2" w:rsidRPr="005814E2">
        <w:rPr>
          <w:i w:val="0"/>
          <w:lang w:val="en-GB"/>
        </w:rPr>
        <w:t>CCPR</w:t>
      </w:r>
      <w:r w:rsidR="00C965D2" w:rsidRPr="005814E2">
        <w:rPr>
          <w:i w:val="0"/>
        </w:rPr>
        <w:t>/</w:t>
      </w:r>
      <w:r w:rsidR="00C965D2" w:rsidRPr="005814E2">
        <w:rPr>
          <w:i w:val="0"/>
          <w:lang w:val="en-GB"/>
        </w:rPr>
        <w:t>C</w:t>
      </w:r>
      <w:r w:rsidR="00C965D2" w:rsidRPr="005814E2">
        <w:rPr>
          <w:i w:val="0"/>
        </w:rPr>
        <w:t>/102/</w:t>
      </w:r>
      <w:r w:rsidR="00C965D2" w:rsidRPr="005814E2">
        <w:rPr>
          <w:i w:val="0"/>
          <w:lang w:val="en-GB"/>
        </w:rPr>
        <w:t>CRP</w:t>
      </w:r>
      <w:r w:rsidR="00C965D2" w:rsidRPr="005814E2">
        <w:rPr>
          <w:i w:val="0"/>
        </w:rPr>
        <w:t xml:space="preserve">.1 и </w:t>
      </w:r>
      <w:r w:rsidR="00C965D2" w:rsidRPr="005814E2">
        <w:rPr>
          <w:i w:val="0"/>
          <w:lang w:val="en-GB"/>
        </w:rPr>
        <w:t>Add</w:t>
      </w:r>
      <w:r w:rsidR="00C965D2" w:rsidRPr="005814E2">
        <w:rPr>
          <w:i w:val="0"/>
        </w:rPr>
        <w:t xml:space="preserve">.1-7; </w:t>
      </w:r>
      <w:r w:rsidRPr="005814E2">
        <w:rPr>
          <w:i w:val="0"/>
        </w:rPr>
        <w:br/>
      </w:r>
      <w:r w:rsidR="00C965D2" w:rsidRPr="005814E2">
        <w:rPr>
          <w:i w:val="0"/>
          <w:lang w:val="en-GB"/>
        </w:rPr>
        <w:t>CCPR</w:t>
      </w:r>
      <w:r w:rsidR="00C965D2" w:rsidRPr="005814E2">
        <w:rPr>
          <w:i w:val="0"/>
        </w:rPr>
        <w:t>/</w:t>
      </w:r>
      <w:r w:rsidR="00C965D2" w:rsidRPr="005814E2">
        <w:rPr>
          <w:i w:val="0"/>
          <w:lang w:val="en-GB"/>
        </w:rPr>
        <w:t>C</w:t>
      </w:r>
      <w:r w:rsidR="00C965D2" w:rsidRPr="005814E2">
        <w:rPr>
          <w:i w:val="0"/>
        </w:rPr>
        <w:t>/102/</w:t>
      </w:r>
      <w:r w:rsidR="00C965D2" w:rsidRPr="005814E2">
        <w:rPr>
          <w:i w:val="0"/>
          <w:lang w:val="en-GB"/>
        </w:rPr>
        <w:t>CRP</w:t>
      </w:r>
      <w:r w:rsidR="00C965D2" w:rsidRPr="005814E2">
        <w:rPr>
          <w:i w:val="0"/>
        </w:rPr>
        <w:t xml:space="preserve">.2 и </w:t>
      </w:r>
      <w:r w:rsidR="00C965D2" w:rsidRPr="005814E2">
        <w:rPr>
          <w:i w:val="0"/>
          <w:lang w:val="en-GB"/>
        </w:rPr>
        <w:t>Add</w:t>
      </w:r>
      <w:r w:rsidR="00C965D2" w:rsidRPr="005814E2">
        <w:rPr>
          <w:i w:val="0"/>
        </w:rPr>
        <w:t>.1-3)</w:t>
      </w:r>
    </w:p>
    <w:p w:rsidR="00C965D2" w:rsidRPr="00C965D2" w:rsidRDefault="00C965D2" w:rsidP="00F55EA7">
      <w:pPr>
        <w:pStyle w:val="SingleTxtGR"/>
      </w:pPr>
      <w:r w:rsidRPr="00C965D2">
        <w:t>1.</w:t>
      </w:r>
      <w:r w:rsidRPr="00C965D2">
        <w:tab/>
      </w:r>
      <w:r w:rsidRPr="00C965D2">
        <w:rPr>
          <w:b/>
        </w:rPr>
        <w:t>Председатель</w:t>
      </w:r>
      <w:r w:rsidRPr="00C965D2">
        <w:t xml:space="preserve"> предлагает Докладчику представить проект ежегодного доклада Комитета, прежде чем приступить к его рассмотрению глава за главой.</w:t>
      </w:r>
    </w:p>
    <w:p w:rsidR="00C965D2" w:rsidRPr="00C965D2" w:rsidRDefault="00C965D2" w:rsidP="00F55EA7">
      <w:pPr>
        <w:pStyle w:val="SingleTxtGR"/>
      </w:pPr>
      <w:r w:rsidRPr="00C965D2">
        <w:t>2.</w:t>
      </w:r>
      <w:r w:rsidRPr="00C965D2">
        <w:tab/>
      </w:r>
      <w:r w:rsidRPr="00C965D2">
        <w:rPr>
          <w:b/>
        </w:rPr>
        <w:t>Г-жа Келлер</w:t>
      </w:r>
      <w:r w:rsidRPr="00C965D2">
        <w:t xml:space="preserve"> (Докладчик) говорит, что проект был подготовлен, следуя обычной структуре, которая уже не будет использоваться при подготовке посл</w:t>
      </w:r>
      <w:r w:rsidRPr="00C965D2">
        <w:t>е</w:t>
      </w:r>
      <w:r w:rsidRPr="00C965D2">
        <w:t>дующих докладов в связи с новыми правилами в отношении объема докуме</w:t>
      </w:r>
      <w:r w:rsidRPr="00C965D2">
        <w:t>н</w:t>
      </w:r>
      <w:r w:rsidRPr="00C965D2">
        <w:t>тов. Проект был подготовлен за несколько месяцев до сессии, чтобы обесп</w:t>
      </w:r>
      <w:r w:rsidRPr="00C965D2">
        <w:t>е</w:t>
      </w:r>
      <w:r w:rsidRPr="00C965D2">
        <w:t>чить его перевод на все рабочие языки Комитета. Поэтому он еще не в полной мере обновлен, однако он будет полностью</w:t>
      </w:r>
      <w:r w:rsidR="00496BF3">
        <w:t xml:space="preserve"> завершен</w:t>
      </w:r>
      <w:r w:rsidRPr="00C965D2">
        <w:t xml:space="preserve"> к концу сессии. Внимание чл</w:t>
      </w:r>
      <w:r w:rsidRPr="00C965D2">
        <w:t>е</w:t>
      </w:r>
      <w:r w:rsidRPr="00C965D2">
        <w:t xml:space="preserve">нов Комитета обращается, в частности, на пункты 20 и 21 (глава </w:t>
      </w:r>
      <w:r w:rsidRPr="00C965D2">
        <w:rPr>
          <w:lang w:val="en-GB"/>
        </w:rPr>
        <w:t>I</w:t>
      </w:r>
      <w:r w:rsidRPr="00C965D2">
        <w:t xml:space="preserve">), касающиеся мнений Комитета, направленных в Комиссию международного права (КМП) в отношении руководящих положений об оговорках, которые Бюро предлагает расширить, а также на пункт 47 (глава </w:t>
      </w:r>
      <w:r w:rsidRPr="00C965D2">
        <w:rPr>
          <w:lang w:val="en-GB"/>
        </w:rPr>
        <w:t>II</w:t>
      </w:r>
      <w:r w:rsidRPr="00C965D2">
        <w:t xml:space="preserve">) о </w:t>
      </w:r>
      <w:r w:rsidR="00496BF3">
        <w:t>встрече</w:t>
      </w:r>
      <w:r w:rsidRPr="00C965D2">
        <w:t xml:space="preserve"> с НПО и национальными правозащитными учреждениями, состоявше</w:t>
      </w:r>
      <w:r w:rsidR="00496BF3">
        <w:t>й</w:t>
      </w:r>
      <w:r w:rsidRPr="00C965D2">
        <w:t>ся в ходе текущей се</w:t>
      </w:r>
      <w:r w:rsidRPr="00C965D2">
        <w:t>с</w:t>
      </w:r>
      <w:r w:rsidRPr="00C965D2">
        <w:t xml:space="preserve">сии, и на пункт 64 (глава </w:t>
      </w:r>
      <w:r w:rsidRPr="00C965D2">
        <w:rPr>
          <w:lang w:val="en-GB"/>
        </w:rPr>
        <w:t>III</w:t>
      </w:r>
      <w:r w:rsidRPr="00C965D2">
        <w:t>) о диалоге, ведущемся с Сейшельскими Островами; все эти пункты подлежат обновлению</w:t>
      </w:r>
      <w:r w:rsidR="00496BF3">
        <w:t xml:space="preserve"> с учетом</w:t>
      </w:r>
      <w:r w:rsidRPr="00C965D2">
        <w:t xml:space="preserve"> решений и новых установок, прин</w:t>
      </w:r>
      <w:r w:rsidRPr="00C965D2">
        <w:t>я</w:t>
      </w:r>
      <w:r w:rsidRPr="00C965D2">
        <w:t>тых в ходе текущей сессии.</w:t>
      </w:r>
    </w:p>
    <w:p w:rsidR="00C965D2" w:rsidRPr="00C965D2" w:rsidRDefault="00C965D2" w:rsidP="00F55EA7">
      <w:pPr>
        <w:pStyle w:val="SingleTxtGR"/>
      </w:pPr>
      <w:r w:rsidRPr="00C965D2">
        <w:t>3.</w:t>
      </w:r>
      <w:r w:rsidRPr="00C965D2">
        <w:tab/>
      </w:r>
      <w:r w:rsidRPr="00C965D2">
        <w:rPr>
          <w:b/>
        </w:rPr>
        <w:t>Г-н Телин</w:t>
      </w:r>
      <w:r w:rsidRPr="00C965D2">
        <w:t xml:space="preserve"> говорит, что он не получил печатной копии предыдущего еж</w:t>
      </w:r>
      <w:r w:rsidRPr="00C965D2">
        <w:t>е</w:t>
      </w:r>
      <w:r w:rsidRPr="00C965D2">
        <w:t xml:space="preserve">годного доклада Комитета; </w:t>
      </w:r>
      <w:r w:rsidR="005E6250" w:rsidRPr="00C965D2">
        <w:t xml:space="preserve">каждый член Комитета </w:t>
      </w:r>
      <w:r w:rsidRPr="00C965D2">
        <w:t>должен всегда иметь в св</w:t>
      </w:r>
      <w:r w:rsidRPr="00C965D2">
        <w:t>о</w:t>
      </w:r>
      <w:r w:rsidRPr="00C965D2">
        <w:t>ем распоряжении ежегодный доклад</w:t>
      </w:r>
      <w:r w:rsidR="005E6250">
        <w:t>, с тем чтобы иметь возможность навести н</w:t>
      </w:r>
      <w:r w:rsidR="005E6250">
        <w:t>е</w:t>
      </w:r>
      <w:r w:rsidR="005E6250">
        <w:t>обходимую справку</w:t>
      </w:r>
      <w:r w:rsidRPr="00C965D2">
        <w:t>. Копии доклада должны систематически рассылаться всем членам Комитета.</w:t>
      </w:r>
    </w:p>
    <w:p w:rsidR="00C965D2" w:rsidRPr="00C965D2" w:rsidRDefault="00C965D2" w:rsidP="00F55EA7">
      <w:pPr>
        <w:pStyle w:val="SingleTxtGR"/>
      </w:pPr>
      <w:r w:rsidRPr="00C965D2">
        <w:t>4.</w:t>
      </w:r>
      <w:r w:rsidRPr="00C965D2">
        <w:tab/>
      </w:r>
      <w:r w:rsidRPr="00C965D2">
        <w:rPr>
          <w:b/>
        </w:rPr>
        <w:t>Г-н О’Флаэрти</w:t>
      </w:r>
      <w:r w:rsidRPr="00C965D2">
        <w:t xml:space="preserve"> просит обеспечить, чтобы каждому члену Комитета на сессии в октябре 2011 года был предоставлен экземпляр ежегодного доклада, охватывающего работу сотой, сто первой и сто второй сессий Комитета.</w:t>
      </w:r>
    </w:p>
    <w:p w:rsidR="00C965D2" w:rsidRPr="00C965D2" w:rsidRDefault="00C965D2" w:rsidP="00F55EA7">
      <w:pPr>
        <w:pStyle w:val="SingleTxtGR"/>
      </w:pPr>
      <w:r w:rsidRPr="00C965D2">
        <w:t>5.</w:t>
      </w:r>
      <w:r w:rsidRPr="00C965D2">
        <w:tab/>
      </w:r>
      <w:r w:rsidRPr="00C965D2">
        <w:rPr>
          <w:b/>
        </w:rPr>
        <w:t>Г-н Сальвиоли</w:t>
      </w:r>
      <w:r w:rsidRPr="00C965D2">
        <w:t xml:space="preserve"> отмечает, что предыдущий ежегодный доклад до сих пор не размещен на странице Комитета по правам человека вебсайта Управления Верховного комиссара. Если Комитет желает, чтобы его наработки получали известность и принимались во внимание, информация о них должна быть ле</w:t>
      </w:r>
      <w:r w:rsidRPr="00C965D2">
        <w:t>г</w:t>
      </w:r>
      <w:r w:rsidRPr="00C965D2">
        <w:t>кодоступной, в том числе для лиц вне системы Организации Объединенных Наций.</w:t>
      </w:r>
    </w:p>
    <w:p w:rsidR="00C965D2" w:rsidRPr="00C965D2" w:rsidRDefault="00C965D2" w:rsidP="00F55EA7">
      <w:pPr>
        <w:pStyle w:val="SingleTxtGR"/>
      </w:pPr>
      <w:r w:rsidRPr="00C965D2">
        <w:t>6.</w:t>
      </w:r>
      <w:r w:rsidRPr="00C965D2">
        <w:tab/>
      </w:r>
      <w:r w:rsidRPr="00C965D2">
        <w:rPr>
          <w:b/>
        </w:rPr>
        <w:t>Г-н Нойман</w:t>
      </w:r>
      <w:r w:rsidRPr="00C965D2">
        <w:t xml:space="preserve"> говорит, что с учетом того, что следующие ежегодные до</w:t>
      </w:r>
      <w:r w:rsidRPr="00C965D2">
        <w:t>к</w:t>
      </w:r>
      <w:r w:rsidRPr="00C965D2">
        <w:t>лады не смогут быть таки</w:t>
      </w:r>
      <w:r w:rsidR="005814E2">
        <w:t xml:space="preserve">ми подробными, какими </w:t>
      </w:r>
      <w:r w:rsidRPr="00C965D2">
        <w:t>они были до настоящего времени, ввиду ограничений по объему документов, становится еще более ва</w:t>
      </w:r>
      <w:r w:rsidRPr="00C965D2">
        <w:t>ж</w:t>
      </w:r>
      <w:r w:rsidRPr="00C965D2">
        <w:t>ным, чтобы с результатами работы Комитета, в частности с его заключител</w:t>
      </w:r>
      <w:r w:rsidRPr="00C965D2">
        <w:t>ь</w:t>
      </w:r>
      <w:r w:rsidRPr="00C965D2">
        <w:t>ными замечаниями и с его мнениями, можно было ознакомиться на вебсайте.</w:t>
      </w:r>
    </w:p>
    <w:p w:rsidR="00C965D2" w:rsidRPr="00C965D2" w:rsidRDefault="00C965D2" w:rsidP="00F55EA7">
      <w:pPr>
        <w:pStyle w:val="SingleTxtGR"/>
      </w:pPr>
      <w:r w:rsidRPr="00C965D2">
        <w:t>7.</w:t>
      </w:r>
      <w:r w:rsidRPr="00C965D2">
        <w:tab/>
      </w:r>
      <w:r w:rsidRPr="00C965D2">
        <w:rPr>
          <w:b/>
        </w:rPr>
        <w:t>Г-жа Шане</w:t>
      </w:r>
      <w:r w:rsidRPr="00C965D2">
        <w:t xml:space="preserve"> предлагает, чтобы озабоченность, выраженная членами К</w:t>
      </w:r>
      <w:r w:rsidRPr="00C965D2">
        <w:t>о</w:t>
      </w:r>
      <w:r w:rsidRPr="00C965D2">
        <w:t>митета в связи с необход</w:t>
      </w:r>
      <w:r w:rsidRPr="00C965D2">
        <w:t>и</w:t>
      </w:r>
      <w:r w:rsidRPr="00C965D2">
        <w:t xml:space="preserve">мостью обеспечить размещение ежегодного доклада, а также другой соответствующей информации о работе Комитета на вебсайте, была отражена в разделе </w:t>
      </w:r>
      <w:r w:rsidRPr="00C965D2">
        <w:rPr>
          <w:lang w:val="en-GB"/>
        </w:rPr>
        <w:t>J</w:t>
      </w:r>
      <w:r w:rsidRPr="00C965D2">
        <w:t xml:space="preserve"> главы </w:t>
      </w:r>
      <w:r w:rsidRPr="00C965D2">
        <w:rPr>
          <w:lang w:val="en-GB"/>
        </w:rPr>
        <w:t>I</w:t>
      </w:r>
      <w:r w:rsidRPr="00C965D2">
        <w:t xml:space="preserve"> об освещении работы Комитета.</w:t>
      </w:r>
    </w:p>
    <w:p w:rsidR="00C965D2" w:rsidRPr="00C965D2" w:rsidRDefault="00C965D2" w:rsidP="00F55EA7">
      <w:pPr>
        <w:pStyle w:val="SingleTxtGR"/>
        <w:rPr>
          <w:i/>
        </w:rPr>
      </w:pPr>
      <w:r w:rsidRPr="00C965D2">
        <w:t>8.</w:t>
      </w:r>
      <w:r w:rsidRPr="00C965D2">
        <w:tab/>
      </w:r>
      <w:r w:rsidRPr="00C965D2">
        <w:rPr>
          <w:i/>
        </w:rPr>
        <w:t>Предложение принимается.</w:t>
      </w:r>
    </w:p>
    <w:p w:rsidR="00C965D2" w:rsidRPr="00C965D2" w:rsidRDefault="00C965D2" w:rsidP="00F55EA7">
      <w:pPr>
        <w:pStyle w:val="SingleTxtGR"/>
      </w:pPr>
      <w:r w:rsidRPr="00C965D2">
        <w:t>9.</w:t>
      </w:r>
      <w:r w:rsidRPr="00C965D2">
        <w:tab/>
      </w:r>
      <w:r w:rsidRPr="00C965D2">
        <w:rPr>
          <w:b/>
        </w:rPr>
        <w:t>Председатель</w:t>
      </w:r>
      <w:r w:rsidRPr="00C965D2">
        <w:t xml:space="preserve"> предлагает членам Комитета рассмотреть главы </w:t>
      </w:r>
      <w:r w:rsidRPr="00C965D2">
        <w:rPr>
          <w:lang w:val="en-GB"/>
        </w:rPr>
        <w:t>I</w:t>
      </w:r>
      <w:r w:rsidR="004233CF">
        <w:t>−</w:t>
      </w:r>
      <w:r w:rsidRPr="00C965D2">
        <w:rPr>
          <w:lang w:val="en-GB"/>
        </w:rPr>
        <w:t>VII</w:t>
      </w:r>
      <w:r w:rsidRPr="00C965D2">
        <w:t xml:space="preserve"> (</w:t>
      </w:r>
      <w:r w:rsidRPr="00C965D2">
        <w:rPr>
          <w:lang w:val="en-GB"/>
        </w:rPr>
        <w:t>CCPR</w:t>
      </w:r>
      <w:r w:rsidRPr="00C965D2">
        <w:t>/</w:t>
      </w:r>
      <w:r w:rsidRPr="00C965D2">
        <w:rPr>
          <w:lang w:val="en-GB"/>
        </w:rPr>
        <w:t>C</w:t>
      </w:r>
      <w:r w:rsidRPr="00C965D2">
        <w:t>/102/</w:t>
      </w:r>
      <w:r w:rsidRPr="00C965D2">
        <w:rPr>
          <w:lang w:val="en-GB"/>
        </w:rPr>
        <w:t>CRP</w:t>
      </w:r>
      <w:r w:rsidRPr="00C965D2">
        <w:t>.1/</w:t>
      </w:r>
      <w:r w:rsidRPr="00C965D2">
        <w:rPr>
          <w:lang w:val="en-GB"/>
        </w:rPr>
        <w:t>Add</w:t>
      </w:r>
      <w:r w:rsidRPr="00C965D2">
        <w:t>.1-7) и приложения (</w:t>
      </w:r>
      <w:r w:rsidRPr="00C965D2">
        <w:rPr>
          <w:lang w:val="en-GB"/>
        </w:rPr>
        <w:t>CCPR</w:t>
      </w:r>
      <w:r w:rsidRPr="00C965D2">
        <w:t>/</w:t>
      </w:r>
      <w:r w:rsidRPr="00C965D2">
        <w:rPr>
          <w:lang w:val="en-GB"/>
        </w:rPr>
        <w:t>C</w:t>
      </w:r>
      <w:r w:rsidRPr="00C965D2">
        <w:t>/102/</w:t>
      </w:r>
      <w:r w:rsidRPr="00C965D2">
        <w:rPr>
          <w:lang w:val="en-GB"/>
        </w:rPr>
        <w:t>CRP</w:t>
      </w:r>
      <w:r w:rsidRPr="00C965D2">
        <w:t xml:space="preserve">.2 и </w:t>
      </w:r>
      <w:r w:rsidRPr="00C965D2">
        <w:rPr>
          <w:lang w:val="en-GB"/>
        </w:rPr>
        <w:t>Add</w:t>
      </w:r>
      <w:r w:rsidRPr="00C965D2">
        <w:t>.1-3) пр</w:t>
      </w:r>
      <w:r w:rsidRPr="00C965D2">
        <w:t>о</w:t>
      </w:r>
      <w:r w:rsidRPr="00C965D2">
        <w:t>екта доклада. Содержание и резюме (</w:t>
      </w:r>
      <w:r w:rsidRPr="00C965D2">
        <w:rPr>
          <w:lang w:val="en-GB"/>
        </w:rPr>
        <w:t>CCPR</w:t>
      </w:r>
      <w:r w:rsidRPr="00C965D2">
        <w:t>/</w:t>
      </w:r>
      <w:r w:rsidRPr="00C965D2">
        <w:rPr>
          <w:lang w:val="en-GB"/>
        </w:rPr>
        <w:t>C</w:t>
      </w:r>
      <w:r w:rsidRPr="00C965D2">
        <w:t>/102/</w:t>
      </w:r>
      <w:r w:rsidRPr="00C965D2">
        <w:rPr>
          <w:lang w:val="en-GB"/>
        </w:rPr>
        <w:t>CRP</w:t>
      </w:r>
      <w:r w:rsidRPr="00C965D2">
        <w:t>.1) будут рассмотрены в последнюю очередь.</w:t>
      </w:r>
    </w:p>
    <w:p w:rsidR="00D766B0" w:rsidRDefault="000C323F" w:rsidP="000C323F">
      <w:pPr>
        <w:pStyle w:val="H4GR"/>
        <w:ind w:left="1134" w:hanging="1134"/>
      </w:pPr>
      <w:r>
        <w:tab/>
      </w:r>
      <w:r>
        <w:tab/>
      </w:r>
      <w:r w:rsidR="00C965D2" w:rsidRPr="00C965D2">
        <w:t xml:space="preserve">Глава </w:t>
      </w:r>
      <w:r w:rsidR="00985771">
        <w:rPr>
          <w:lang w:val="en-US"/>
        </w:rPr>
        <w:t>I</w:t>
      </w:r>
    </w:p>
    <w:p w:rsidR="00C965D2" w:rsidRPr="00C965D2" w:rsidRDefault="00D766B0" w:rsidP="000C323F">
      <w:pPr>
        <w:pStyle w:val="H4GR"/>
        <w:ind w:left="1134" w:hanging="1134"/>
      </w:pPr>
      <w:r>
        <w:tab/>
      </w:r>
      <w:r>
        <w:tab/>
      </w:r>
      <w:r w:rsidR="00C965D2" w:rsidRPr="00C965D2">
        <w:t>Юрисдикция и деятельность</w:t>
      </w:r>
      <w:r w:rsidR="00C965D2" w:rsidRPr="00E61BE9">
        <w:rPr>
          <w:i w:val="0"/>
        </w:rPr>
        <w:t xml:space="preserve"> (</w:t>
      </w:r>
      <w:r w:rsidR="00C965D2" w:rsidRPr="00E61BE9">
        <w:rPr>
          <w:i w:val="0"/>
          <w:lang w:val="en-GB"/>
        </w:rPr>
        <w:t>CCP</w:t>
      </w:r>
      <w:r w:rsidR="00985771" w:rsidRPr="00E61BE9">
        <w:rPr>
          <w:i w:val="0"/>
          <w:lang w:val="en-GB"/>
        </w:rPr>
        <w:t>R</w:t>
      </w:r>
      <w:r w:rsidR="00C965D2" w:rsidRPr="00E61BE9">
        <w:rPr>
          <w:i w:val="0"/>
        </w:rPr>
        <w:t>/</w:t>
      </w:r>
      <w:r w:rsidR="00C965D2" w:rsidRPr="00E61BE9">
        <w:rPr>
          <w:i w:val="0"/>
          <w:lang w:val="en-GB"/>
        </w:rPr>
        <w:t>C</w:t>
      </w:r>
      <w:r w:rsidR="00C965D2" w:rsidRPr="00E61BE9">
        <w:rPr>
          <w:i w:val="0"/>
        </w:rPr>
        <w:t>/102/</w:t>
      </w:r>
      <w:r w:rsidR="00C965D2" w:rsidRPr="00E61BE9">
        <w:rPr>
          <w:i w:val="0"/>
          <w:lang w:val="en-GB"/>
        </w:rPr>
        <w:t>CRP</w:t>
      </w:r>
      <w:r w:rsidR="00C965D2" w:rsidRPr="00E61BE9">
        <w:rPr>
          <w:i w:val="0"/>
        </w:rPr>
        <w:t>.1/</w:t>
      </w:r>
      <w:r w:rsidR="00C965D2" w:rsidRPr="00E61BE9">
        <w:rPr>
          <w:i w:val="0"/>
          <w:lang w:val="en-GB"/>
        </w:rPr>
        <w:t>Add</w:t>
      </w:r>
      <w:r w:rsidR="00C965D2" w:rsidRPr="00E61BE9">
        <w:rPr>
          <w:i w:val="0"/>
        </w:rPr>
        <w:t>.1)</w:t>
      </w:r>
    </w:p>
    <w:p w:rsidR="00C965D2" w:rsidRPr="00C965D2" w:rsidRDefault="00C965D2" w:rsidP="00F55EA7">
      <w:pPr>
        <w:pStyle w:val="SingleTxtGR"/>
      </w:pPr>
      <w:r w:rsidRPr="00C965D2">
        <w:t>10.</w:t>
      </w:r>
      <w:r w:rsidRPr="00C965D2">
        <w:tab/>
      </w:r>
      <w:r w:rsidRPr="00C965D2">
        <w:rPr>
          <w:b/>
        </w:rPr>
        <w:t>Председатель</w:t>
      </w:r>
      <w:r w:rsidRPr="00C965D2">
        <w:t>, выступая в качестве члена Комитета, вносит уточнения по предложению Бюро расширить пункты 20 и 21 доклада. В Комиссию междун</w:t>
      </w:r>
      <w:r w:rsidRPr="00C965D2">
        <w:t>а</w:t>
      </w:r>
      <w:r w:rsidRPr="00C965D2">
        <w:t>родного права (КМП) было направлено два письма, первое – в июле 2010 года и второе – в апреле 2011 года, выражающие озабоченность Комитета ее проектом в отношении руководящих положений об оговорках. Окончательный проект п</w:t>
      </w:r>
      <w:r w:rsidRPr="00C965D2">
        <w:t>о</w:t>
      </w:r>
      <w:r w:rsidRPr="00C965D2">
        <w:t>ложений об оговорках, который КМП должна будет принять на своей шестьд</w:t>
      </w:r>
      <w:r w:rsidRPr="00C965D2">
        <w:t>е</w:t>
      </w:r>
      <w:r w:rsidRPr="00C965D2">
        <w:t>сят третьей сессии и т</w:t>
      </w:r>
      <w:r w:rsidR="00376524">
        <w:t>екст которого выложен на ее веб</w:t>
      </w:r>
      <w:r w:rsidRPr="00C965D2">
        <w:t>сайте, свидетельствует о том, что целый ряд изменений, рекомендованных Комитетом, был принят во внимание. Поэтому Бюро предлагает, чтобы об этом было четко упомянуто в ежегодном докладе и чтобы полный текст двух писем, направленных КМП, был воспроизведен в пунктах 20 и 21.</w:t>
      </w:r>
    </w:p>
    <w:p w:rsidR="00C965D2" w:rsidRPr="00C965D2" w:rsidRDefault="00C965D2" w:rsidP="00F55EA7">
      <w:pPr>
        <w:pStyle w:val="SingleTxtGR"/>
      </w:pPr>
      <w:r w:rsidRPr="00C965D2">
        <w:t>11.</w:t>
      </w:r>
      <w:r w:rsidRPr="00C965D2">
        <w:tab/>
      </w:r>
      <w:r w:rsidRPr="00C965D2">
        <w:rPr>
          <w:b/>
        </w:rPr>
        <w:t>Г-жа Шане</w:t>
      </w:r>
      <w:r w:rsidRPr="00C965D2">
        <w:t xml:space="preserve"> говорит, что было бы полезно распространить среди членов Комитета текст окончательного проекта руководящих положений, в который были включены отдельные рекомендации Комитета. Что касается тех элеме</w:t>
      </w:r>
      <w:r w:rsidRPr="00C965D2">
        <w:t>н</w:t>
      </w:r>
      <w:r w:rsidRPr="00C965D2">
        <w:t>тов, которые следует включить в доклад, то действительно необходимо разъя</w:t>
      </w:r>
      <w:r w:rsidRPr="00C965D2">
        <w:t>с</w:t>
      </w:r>
      <w:r w:rsidRPr="00C965D2">
        <w:t xml:space="preserve">нить причину выраженной Комитетом </w:t>
      </w:r>
      <w:r w:rsidR="00376524">
        <w:t xml:space="preserve">озабоченности </w:t>
      </w:r>
      <w:r w:rsidRPr="00C965D2">
        <w:t>в отношении некоторых руководящих положений. Однако</w:t>
      </w:r>
      <w:r w:rsidR="00985771">
        <w:t>,</w:t>
      </w:r>
      <w:r w:rsidRPr="00C965D2">
        <w:t xml:space="preserve"> </w:t>
      </w:r>
      <w:r w:rsidR="00985771">
        <w:t>до тех пор</w:t>
      </w:r>
      <w:r w:rsidR="00376524">
        <w:t xml:space="preserve"> </w:t>
      </w:r>
      <w:r w:rsidRPr="00C965D2">
        <w:t>пока КМП не приняла окончател</w:t>
      </w:r>
      <w:r w:rsidRPr="00C965D2">
        <w:t>ь</w:t>
      </w:r>
      <w:r w:rsidRPr="00C965D2">
        <w:t>ный текст руководящих положений, нельзя утверждать, что она учла рекоме</w:t>
      </w:r>
      <w:r w:rsidRPr="00C965D2">
        <w:t>н</w:t>
      </w:r>
      <w:r w:rsidRPr="00C965D2">
        <w:t>дации, направленные ей Комитетом, поэтому предпочтительно использовать более осторожную формулировку, упомянув, что, как представляется, озаб</w:t>
      </w:r>
      <w:r w:rsidRPr="00C965D2">
        <w:t>о</w:t>
      </w:r>
      <w:r w:rsidRPr="00C965D2">
        <w:t>ченность Комитета б</w:t>
      </w:r>
      <w:r w:rsidRPr="00C965D2">
        <w:t>ы</w:t>
      </w:r>
      <w:r w:rsidRPr="00C965D2">
        <w:t>ла принята во внимание.</w:t>
      </w:r>
    </w:p>
    <w:p w:rsidR="00C965D2" w:rsidRPr="00C965D2" w:rsidRDefault="00C965D2" w:rsidP="00F55EA7">
      <w:pPr>
        <w:pStyle w:val="SingleTxtGR"/>
      </w:pPr>
      <w:r w:rsidRPr="00C965D2">
        <w:t>12.</w:t>
      </w:r>
      <w:r w:rsidRPr="00C965D2">
        <w:tab/>
      </w:r>
      <w:r w:rsidRPr="00C965D2">
        <w:rPr>
          <w:b/>
        </w:rPr>
        <w:t>Председатель</w:t>
      </w:r>
      <w:r w:rsidRPr="00C965D2">
        <w:t xml:space="preserve"> соглашается с замечанием г-жи Шане.</w:t>
      </w:r>
    </w:p>
    <w:p w:rsidR="00C965D2" w:rsidRPr="00C965D2" w:rsidRDefault="00C965D2" w:rsidP="00F55EA7">
      <w:pPr>
        <w:pStyle w:val="SingleTxtGR"/>
      </w:pPr>
      <w:r w:rsidRPr="00C965D2">
        <w:t>13.</w:t>
      </w:r>
      <w:r w:rsidRPr="00C965D2">
        <w:tab/>
      </w:r>
      <w:r w:rsidRPr="00C965D2">
        <w:rPr>
          <w:b/>
        </w:rPr>
        <w:t>Г-н Нойман</w:t>
      </w:r>
      <w:r w:rsidRPr="00C965D2">
        <w:t xml:space="preserve"> говорит, что </w:t>
      </w:r>
      <w:r w:rsidR="00376524">
        <w:t>необходима</w:t>
      </w:r>
      <w:r w:rsidRPr="00C965D2">
        <w:t xml:space="preserve"> уверенность в том, что письма К</w:t>
      </w:r>
      <w:r w:rsidRPr="00C965D2">
        <w:t>о</w:t>
      </w:r>
      <w:r w:rsidRPr="00C965D2">
        <w:t>митета в КМП являются достаточно ясными, чтобы читател</w:t>
      </w:r>
      <w:r w:rsidR="00376524">
        <w:t>ю было понятно,</w:t>
      </w:r>
      <w:r w:rsidRPr="00C965D2">
        <w:t xml:space="preserve"> какие руководящие указания оспаривает Комитет и по какой причине. Во изб</w:t>
      </w:r>
      <w:r w:rsidRPr="00C965D2">
        <w:t>е</w:t>
      </w:r>
      <w:r w:rsidRPr="00C965D2">
        <w:t xml:space="preserve">жание </w:t>
      </w:r>
      <w:r w:rsidR="00376524">
        <w:t xml:space="preserve">какой бы то ни было </w:t>
      </w:r>
      <w:r w:rsidRPr="00C965D2">
        <w:t>путаницы из дополненных пунктов 20 и 21 должно быть ясно, что Комитет ведет речь о проектах руководящих положений, оконч</w:t>
      </w:r>
      <w:r w:rsidRPr="00C965D2">
        <w:t>а</w:t>
      </w:r>
      <w:r w:rsidRPr="00C965D2">
        <w:t>тельный текст которых еще не был принят КМП.</w:t>
      </w:r>
    </w:p>
    <w:p w:rsidR="00C965D2" w:rsidRPr="00C965D2" w:rsidRDefault="00C965D2" w:rsidP="00F55EA7">
      <w:pPr>
        <w:pStyle w:val="SingleTxtGR"/>
      </w:pPr>
      <w:r w:rsidRPr="00C965D2">
        <w:t>14.</w:t>
      </w:r>
      <w:r w:rsidRPr="00C965D2">
        <w:tab/>
      </w:r>
      <w:r w:rsidRPr="00C965D2">
        <w:rPr>
          <w:b/>
        </w:rPr>
        <w:t>Г-н Лаллах</w:t>
      </w:r>
      <w:r w:rsidRPr="00C965D2">
        <w:t xml:space="preserve"> говорит, что предпочтительно поместить текст двух писем Комитета в КМП в приложении, добавив необходимую ссылку в соответству</w:t>
      </w:r>
      <w:r w:rsidRPr="00C965D2">
        <w:t>ю</w:t>
      </w:r>
      <w:r w:rsidRPr="00C965D2">
        <w:t>щих пунктах.</w:t>
      </w:r>
    </w:p>
    <w:p w:rsidR="00C965D2" w:rsidRPr="00C965D2" w:rsidRDefault="00C965D2" w:rsidP="00F55EA7">
      <w:pPr>
        <w:pStyle w:val="SingleTxtGR"/>
      </w:pPr>
      <w:r w:rsidRPr="00C965D2">
        <w:t>15.</w:t>
      </w:r>
      <w:r w:rsidRPr="00C965D2">
        <w:tab/>
      </w:r>
      <w:r w:rsidRPr="00C965D2">
        <w:rPr>
          <w:b/>
        </w:rPr>
        <w:t>Председатель</w:t>
      </w:r>
      <w:r w:rsidRPr="00C965D2">
        <w:t xml:space="preserve"> говорит, что, </w:t>
      </w:r>
      <w:r w:rsidR="00376524">
        <w:t>по всей видимости</w:t>
      </w:r>
      <w:r w:rsidRPr="00C965D2">
        <w:t>, Комитет пришел к ко</w:t>
      </w:r>
      <w:r w:rsidRPr="00C965D2">
        <w:t>н</w:t>
      </w:r>
      <w:r w:rsidRPr="00C965D2">
        <w:t xml:space="preserve">сенсусу в отношении предложения о включении писем Комитета, направленных в КМП. Он предлагает оставить на усмотрение Докладчика и секретариата </w:t>
      </w:r>
      <w:r w:rsidR="005A7B4A">
        <w:t>в</w:t>
      </w:r>
      <w:r w:rsidR="005A7B4A">
        <w:t>о</w:t>
      </w:r>
      <w:r w:rsidR="005A7B4A">
        <w:t>прос о том</w:t>
      </w:r>
      <w:r w:rsidRPr="00C965D2">
        <w:t>, каким образом это лучше сделать.</w:t>
      </w:r>
    </w:p>
    <w:p w:rsidR="00C965D2" w:rsidRPr="00C965D2" w:rsidRDefault="00C965D2" w:rsidP="00F55EA7">
      <w:pPr>
        <w:pStyle w:val="SingleTxtGR"/>
      </w:pPr>
      <w:r w:rsidRPr="00C965D2">
        <w:t>16.</w:t>
      </w:r>
      <w:r w:rsidRPr="00C965D2">
        <w:tab/>
      </w:r>
      <w:r w:rsidRPr="00C965D2">
        <w:rPr>
          <w:i/>
        </w:rPr>
        <w:t>Предложение принимается.</w:t>
      </w:r>
    </w:p>
    <w:p w:rsidR="00C965D2" w:rsidRPr="00C965D2" w:rsidRDefault="00C965D2" w:rsidP="00F55EA7">
      <w:pPr>
        <w:pStyle w:val="SingleTxtGR"/>
      </w:pPr>
      <w:r w:rsidRPr="00C965D2">
        <w:t>17.</w:t>
      </w:r>
      <w:r w:rsidRPr="00C965D2">
        <w:tab/>
      </w:r>
      <w:r w:rsidRPr="00C965D2">
        <w:rPr>
          <w:b/>
        </w:rPr>
        <w:t>Г-н О’Флаэрти</w:t>
      </w:r>
      <w:r w:rsidRPr="00C965D2">
        <w:t xml:space="preserve"> говорит, что было бы полезн</w:t>
      </w:r>
      <w:r w:rsidR="005A7B4A">
        <w:t>о</w:t>
      </w:r>
      <w:r w:rsidRPr="00C965D2">
        <w:t xml:space="preserve"> перечислить в пункте 1 г</w:t>
      </w:r>
      <w:r w:rsidRPr="00C965D2">
        <w:t>о</w:t>
      </w:r>
      <w:r w:rsidRPr="00C965D2">
        <w:t>сударства, которые стали участниками Пакта и его первого Факультативного протокола в течение периода, охватываемого до</w:t>
      </w:r>
      <w:r w:rsidRPr="00C965D2">
        <w:t>к</w:t>
      </w:r>
      <w:r w:rsidR="00985771">
        <w:t>ладом. Он отмечает, что пункт </w:t>
      </w:r>
      <w:r w:rsidRPr="00C965D2">
        <w:t>26, где указывается, что проект замечания общего порядка по статье 19 был принят на сто второй сессии, не содержит ссылки на сам текст, и он хотел бы услышать подтверждение тому, что замечание общего порядка по статье 19 действительно прилагается к докладу.</w:t>
      </w:r>
    </w:p>
    <w:p w:rsidR="00C965D2" w:rsidRPr="00C965D2" w:rsidRDefault="00C965D2" w:rsidP="00F55EA7">
      <w:pPr>
        <w:pStyle w:val="SingleTxtGR"/>
        <w:rPr>
          <w:lang w:val="en-GB"/>
        </w:rPr>
      </w:pPr>
      <w:r w:rsidRPr="00C965D2">
        <w:t>18.</w:t>
      </w:r>
      <w:r w:rsidRPr="00C965D2">
        <w:tab/>
      </w:r>
      <w:r w:rsidRPr="00C965D2">
        <w:rPr>
          <w:b/>
        </w:rPr>
        <w:t>Г-н Телин</w:t>
      </w:r>
      <w:r w:rsidRPr="00C965D2">
        <w:t xml:space="preserve"> предлагает указать в предложении пункта 26, начинающе</w:t>
      </w:r>
      <w:r w:rsidR="005A7B4A">
        <w:t>м</w:t>
      </w:r>
      <w:r w:rsidRPr="00C965D2">
        <w:t xml:space="preserve">ся словами: </w:t>
      </w:r>
      <w:r w:rsidR="005A7B4A">
        <w:t>"</w:t>
      </w:r>
      <w:r w:rsidRPr="00C965D2">
        <w:t>Значительное число комментариев было получено</w:t>
      </w:r>
      <w:r w:rsidR="005A7B4A">
        <w:t>…"</w:t>
      </w:r>
      <w:r w:rsidRPr="00C965D2">
        <w:t xml:space="preserve"> (</w:t>
      </w:r>
      <w:r w:rsidR="005A7B4A">
        <w:t>"</w:t>
      </w:r>
      <w:r w:rsidRPr="00C965D2">
        <w:rPr>
          <w:lang w:val="en-GB"/>
        </w:rPr>
        <w:t>A</w:t>
      </w:r>
      <w:r w:rsidRPr="00C965D2">
        <w:t xml:space="preserve"> </w:t>
      </w:r>
      <w:r w:rsidRPr="00C965D2">
        <w:rPr>
          <w:lang w:val="en-GB"/>
        </w:rPr>
        <w:t>significant</w:t>
      </w:r>
      <w:r w:rsidRPr="00C965D2">
        <w:t xml:space="preserve"> </w:t>
      </w:r>
      <w:r w:rsidRPr="00C965D2">
        <w:rPr>
          <w:lang w:val="en-GB"/>
        </w:rPr>
        <w:t>number</w:t>
      </w:r>
      <w:r w:rsidRPr="00C965D2">
        <w:t xml:space="preserve"> </w:t>
      </w:r>
      <w:r w:rsidRPr="00C965D2">
        <w:rPr>
          <w:lang w:val="en-GB"/>
        </w:rPr>
        <w:t>of</w:t>
      </w:r>
      <w:r w:rsidRPr="00C965D2">
        <w:t xml:space="preserve"> </w:t>
      </w:r>
      <w:r w:rsidRPr="00C965D2">
        <w:rPr>
          <w:lang w:val="en-GB"/>
        </w:rPr>
        <w:t>comments</w:t>
      </w:r>
      <w:r w:rsidRPr="00C965D2">
        <w:t xml:space="preserve"> </w:t>
      </w:r>
      <w:r w:rsidRPr="00C965D2">
        <w:rPr>
          <w:lang w:val="en-GB"/>
        </w:rPr>
        <w:t>were</w:t>
      </w:r>
      <w:r w:rsidRPr="00C965D2">
        <w:t xml:space="preserve"> </w:t>
      </w:r>
      <w:r w:rsidRPr="00C965D2">
        <w:rPr>
          <w:lang w:val="en-GB"/>
        </w:rPr>
        <w:t>received</w:t>
      </w:r>
      <w:r w:rsidRPr="00C965D2">
        <w:t>…</w:t>
      </w:r>
      <w:r w:rsidR="005A7B4A">
        <w:t>"</w:t>
      </w:r>
      <w:r w:rsidRPr="00C965D2">
        <w:t>), точное количество государств-участников, национальных правозащитных учреждений, НПО и представителей научных кругов, направивших свои комментарии в Комитет, чтобы лучше отр</w:t>
      </w:r>
      <w:r w:rsidRPr="00C965D2">
        <w:t>а</w:t>
      </w:r>
      <w:r w:rsidRPr="00C965D2">
        <w:t xml:space="preserve">зить тот большой интерес, который вызвал проект замечания общего порядка Комитета по статье 19. Он также предлагает добавить следующее предложение в начале пункта 27: </w:t>
      </w:r>
      <w:r w:rsidR="005A7B4A">
        <w:t>"</w:t>
      </w:r>
      <w:r w:rsidRPr="00C965D2">
        <w:t>В соответствии со статьей 36 Пакта Генеральный секр</w:t>
      </w:r>
      <w:r w:rsidRPr="00C965D2">
        <w:t>е</w:t>
      </w:r>
      <w:r w:rsidRPr="00C965D2">
        <w:t>тарь Организации Объединенных Наций обязан предоставить Комитету необх</w:t>
      </w:r>
      <w:r w:rsidRPr="00C965D2">
        <w:t>о</w:t>
      </w:r>
      <w:r w:rsidRPr="00C965D2">
        <w:t>димый персонал и материальные средства</w:t>
      </w:r>
      <w:r w:rsidR="005A7B4A">
        <w:t>"</w:t>
      </w:r>
      <w:r w:rsidRPr="00C965D2">
        <w:t xml:space="preserve"> (</w:t>
      </w:r>
      <w:r w:rsidR="005A7B4A">
        <w:t>"</w:t>
      </w:r>
      <w:r w:rsidRPr="00C965D2">
        <w:rPr>
          <w:lang w:val="en-GB"/>
        </w:rPr>
        <w:t>According</w:t>
      </w:r>
      <w:r w:rsidRPr="00C965D2">
        <w:t xml:space="preserve"> </w:t>
      </w:r>
      <w:r w:rsidRPr="00C965D2">
        <w:rPr>
          <w:lang w:val="en-GB"/>
        </w:rPr>
        <w:t>to</w:t>
      </w:r>
      <w:r w:rsidRPr="00C965D2">
        <w:t xml:space="preserve"> </w:t>
      </w:r>
      <w:r w:rsidRPr="00C965D2">
        <w:rPr>
          <w:lang w:val="en-GB"/>
        </w:rPr>
        <w:t>article</w:t>
      </w:r>
      <w:r w:rsidRPr="00C965D2">
        <w:t xml:space="preserve"> 36 </w:t>
      </w:r>
      <w:r w:rsidRPr="00C965D2">
        <w:rPr>
          <w:lang w:val="en-GB"/>
        </w:rPr>
        <w:t>of</w:t>
      </w:r>
      <w:r w:rsidRPr="00C965D2">
        <w:t xml:space="preserve"> </w:t>
      </w:r>
      <w:r w:rsidRPr="00C965D2">
        <w:rPr>
          <w:lang w:val="en-GB"/>
        </w:rPr>
        <w:t>the</w:t>
      </w:r>
      <w:r w:rsidRPr="00C965D2">
        <w:t xml:space="preserve"> </w:t>
      </w:r>
      <w:r w:rsidRPr="00C965D2">
        <w:rPr>
          <w:lang w:val="en-GB"/>
        </w:rPr>
        <w:t>Cov</w:t>
      </w:r>
      <w:r w:rsidRPr="00C965D2">
        <w:rPr>
          <w:lang w:val="en-GB"/>
        </w:rPr>
        <w:t>e</w:t>
      </w:r>
      <w:r w:rsidRPr="00C965D2">
        <w:rPr>
          <w:lang w:val="en-GB"/>
        </w:rPr>
        <w:t>nant</w:t>
      </w:r>
      <w:r w:rsidRPr="00C965D2">
        <w:t xml:space="preserve">, </w:t>
      </w:r>
      <w:r w:rsidRPr="00C965D2">
        <w:rPr>
          <w:lang w:val="en-GB"/>
        </w:rPr>
        <w:t>the</w:t>
      </w:r>
      <w:r w:rsidRPr="00C965D2">
        <w:t xml:space="preserve"> </w:t>
      </w:r>
      <w:r w:rsidRPr="00C965D2">
        <w:rPr>
          <w:lang w:val="en-GB"/>
        </w:rPr>
        <w:t>Secretary</w:t>
      </w:r>
      <w:r w:rsidRPr="00C965D2">
        <w:t>-</w:t>
      </w:r>
      <w:r w:rsidRPr="00C965D2">
        <w:rPr>
          <w:lang w:val="en-GB"/>
        </w:rPr>
        <w:t>General</w:t>
      </w:r>
      <w:r w:rsidRPr="00C965D2">
        <w:t xml:space="preserve"> </w:t>
      </w:r>
      <w:r w:rsidRPr="00C965D2">
        <w:rPr>
          <w:lang w:val="en-GB"/>
        </w:rPr>
        <w:t>of</w:t>
      </w:r>
      <w:r w:rsidRPr="00C965D2">
        <w:t xml:space="preserve"> </w:t>
      </w:r>
      <w:r w:rsidRPr="00C965D2">
        <w:rPr>
          <w:lang w:val="en-GB"/>
        </w:rPr>
        <w:t>the</w:t>
      </w:r>
      <w:r w:rsidRPr="00C965D2">
        <w:t xml:space="preserve"> </w:t>
      </w:r>
      <w:r w:rsidRPr="00C965D2">
        <w:rPr>
          <w:lang w:val="en-GB"/>
        </w:rPr>
        <w:t>United</w:t>
      </w:r>
      <w:r w:rsidRPr="00C965D2">
        <w:t xml:space="preserve"> </w:t>
      </w:r>
      <w:r w:rsidRPr="00C965D2">
        <w:rPr>
          <w:lang w:val="en-GB"/>
        </w:rPr>
        <w:t>Nations</w:t>
      </w:r>
      <w:r w:rsidRPr="00C965D2">
        <w:t xml:space="preserve"> </w:t>
      </w:r>
      <w:r w:rsidRPr="00C965D2">
        <w:rPr>
          <w:lang w:val="en-GB"/>
        </w:rPr>
        <w:t>is</w:t>
      </w:r>
      <w:r w:rsidRPr="00C965D2">
        <w:t xml:space="preserve"> </w:t>
      </w:r>
      <w:r w:rsidRPr="00C965D2">
        <w:rPr>
          <w:lang w:val="en-GB"/>
        </w:rPr>
        <w:t>obliged</w:t>
      </w:r>
      <w:r w:rsidRPr="00C965D2">
        <w:t xml:space="preserve"> </w:t>
      </w:r>
      <w:r w:rsidRPr="00C965D2">
        <w:rPr>
          <w:lang w:val="en-GB"/>
        </w:rPr>
        <w:t>to</w:t>
      </w:r>
      <w:r w:rsidRPr="00C965D2">
        <w:t xml:space="preserve"> </w:t>
      </w:r>
      <w:r w:rsidRPr="00C965D2">
        <w:rPr>
          <w:lang w:val="en-GB"/>
        </w:rPr>
        <w:t>provide</w:t>
      </w:r>
      <w:r w:rsidRPr="00C965D2">
        <w:t xml:space="preserve"> </w:t>
      </w:r>
      <w:r w:rsidRPr="00C965D2">
        <w:rPr>
          <w:lang w:val="en-GB"/>
        </w:rPr>
        <w:t>the</w:t>
      </w:r>
      <w:r w:rsidRPr="00C965D2">
        <w:t xml:space="preserve"> </w:t>
      </w:r>
      <w:r w:rsidRPr="00C965D2">
        <w:rPr>
          <w:lang w:val="en-GB"/>
        </w:rPr>
        <w:t>Commi</w:t>
      </w:r>
      <w:r w:rsidRPr="00C965D2">
        <w:rPr>
          <w:lang w:val="en-GB"/>
        </w:rPr>
        <w:t>t</w:t>
      </w:r>
      <w:r w:rsidRPr="00C965D2">
        <w:rPr>
          <w:lang w:val="en-GB"/>
        </w:rPr>
        <w:t>tee</w:t>
      </w:r>
      <w:r w:rsidRPr="00C965D2">
        <w:t xml:space="preserve"> </w:t>
      </w:r>
      <w:r w:rsidRPr="00C965D2">
        <w:rPr>
          <w:lang w:val="en-GB"/>
        </w:rPr>
        <w:t>with</w:t>
      </w:r>
      <w:r w:rsidRPr="00C965D2">
        <w:t xml:space="preserve"> </w:t>
      </w:r>
      <w:r w:rsidRPr="00C965D2">
        <w:rPr>
          <w:lang w:val="en-GB"/>
        </w:rPr>
        <w:t>the</w:t>
      </w:r>
      <w:r w:rsidRPr="00C965D2">
        <w:t xml:space="preserve"> </w:t>
      </w:r>
      <w:r w:rsidRPr="00C965D2">
        <w:rPr>
          <w:lang w:val="en-GB"/>
        </w:rPr>
        <w:t>necessary</w:t>
      </w:r>
      <w:r w:rsidRPr="00C965D2">
        <w:t xml:space="preserve"> </w:t>
      </w:r>
      <w:r w:rsidRPr="00C965D2">
        <w:rPr>
          <w:lang w:val="en-GB"/>
        </w:rPr>
        <w:t>staff</w:t>
      </w:r>
      <w:r w:rsidRPr="00C965D2">
        <w:t xml:space="preserve"> </w:t>
      </w:r>
      <w:r w:rsidRPr="00C965D2">
        <w:rPr>
          <w:lang w:val="en-GB"/>
        </w:rPr>
        <w:t>and</w:t>
      </w:r>
      <w:r w:rsidRPr="00C965D2">
        <w:t xml:space="preserve"> </w:t>
      </w:r>
      <w:r w:rsidRPr="00C965D2">
        <w:rPr>
          <w:lang w:val="en-GB"/>
        </w:rPr>
        <w:t>facilities</w:t>
      </w:r>
      <w:r w:rsidR="005A7B4A">
        <w:t>"</w:t>
      </w:r>
      <w:r w:rsidRPr="00C965D2">
        <w:t xml:space="preserve">). Озабоченность, выраженная в первом предложении этого пункта, могла бы быть квалифицирована как </w:t>
      </w:r>
      <w:r w:rsidR="00F9749B">
        <w:t>"</w:t>
      </w:r>
      <w:r w:rsidRPr="00C965D2">
        <w:t>серьезная</w:t>
      </w:r>
      <w:r w:rsidR="00F9749B">
        <w:t>"</w:t>
      </w:r>
      <w:r w:rsidRPr="00C965D2">
        <w:t xml:space="preserve"> (</w:t>
      </w:r>
      <w:r w:rsidR="005A7B4A">
        <w:t>"</w:t>
      </w:r>
      <w:r w:rsidRPr="00C965D2">
        <w:rPr>
          <w:lang w:val="en-GB"/>
        </w:rPr>
        <w:t>The</w:t>
      </w:r>
      <w:r w:rsidRPr="00C965D2">
        <w:t xml:space="preserve"> </w:t>
      </w:r>
      <w:r w:rsidRPr="00C965D2">
        <w:rPr>
          <w:lang w:val="en-GB"/>
        </w:rPr>
        <w:t>Committee</w:t>
      </w:r>
      <w:r w:rsidRPr="00C965D2">
        <w:t xml:space="preserve"> </w:t>
      </w:r>
      <w:r w:rsidRPr="00C965D2">
        <w:rPr>
          <w:lang w:val="en-GB"/>
        </w:rPr>
        <w:t>reaffirms</w:t>
      </w:r>
      <w:r w:rsidRPr="00C965D2">
        <w:t xml:space="preserve"> </w:t>
      </w:r>
      <w:r w:rsidRPr="00C965D2">
        <w:rPr>
          <w:lang w:val="en-GB"/>
        </w:rPr>
        <w:t>its</w:t>
      </w:r>
      <w:r w:rsidRPr="00C965D2">
        <w:t xml:space="preserve"> </w:t>
      </w:r>
      <w:r w:rsidRPr="00C965D2">
        <w:rPr>
          <w:u w:val="single"/>
          <w:lang w:val="en-GB"/>
        </w:rPr>
        <w:t>grave</w:t>
      </w:r>
      <w:r w:rsidRPr="00C965D2">
        <w:t xml:space="preserve"> </w:t>
      </w:r>
      <w:r w:rsidRPr="00C965D2">
        <w:rPr>
          <w:lang w:val="en-GB"/>
        </w:rPr>
        <w:t>concern</w:t>
      </w:r>
      <w:r w:rsidRPr="00C965D2">
        <w:t>…</w:t>
      </w:r>
      <w:r w:rsidR="00F9749B">
        <w:t>"</w:t>
      </w:r>
      <w:r w:rsidRPr="00C965D2">
        <w:t>). Во втором предложении след</w:t>
      </w:r>
      <w:r w:rsidRPr="00C965D2">
        <w:t>у</w:t>
      </w:r>
      <w:r w:rsidRPr="00C965D2">
        <w:t xml:space="preserve">ет уточнить: </w:t>
      </w:r>
      <w:r w:rsidR="005A7B4A">
        <w:t>"</w:t>
      </w:r>
      <w:r w:rsidRPr="00C965D2">
        <w:t xml:space="preserve">общие правила </w:t>
      </w:r>
      <w:r w:rsidRPr="00C965D2">
        <w:rPr>
          <w:u w:val="single"/>
        </w:rPr>
        <w:t>в рамках Организации Объединенных Наций</w:t>
      </w:r>
      <w:r w:rsidRPr="00C965D2">
        <w:t>…</w:t>
      </w:r>
      <w:r w:rsidR="00F9749B">
        <w:t>"</w:t>
      </w:r>
      <w:r w:rsidRPr="00C965D2">
        <w:t xml:space="preserve"> (</w:t>
      </w:r>
      <w:r w:rsidR="005A7B4A">
        <w:t>"</w:t>
      </w:r>
      <w:r w:rsidRPr="00C965D2">
        <w:rPr>
          <w:lang w:val="en-GB"/>
        </w:rPr>
        <w:t>the</w:t>
      </w:r>
      <w:r w:rsidR="00780662">
        <w:t> </w:t>
      </w:r>
      <w:r w:rsidRPr="00C965D2">
        <w:rPr>
          <w:lang w:val="en-GB"/>
        </w:rPr>
        <w:t>general</w:t>
      </w:r>
      <w:r w:rsidRPr="00C965D2">
        <w:t xml:space="preserve"> </w:t>
      </w:r>
      <w:r w:rsidRPr="00C965D2">
        <w:rPr>
          <w:lang w:val="en-GB"/>
        </w:rPr>
        <w:t>rules</w:t>
      </w:r>
      <w:r w:rsidRPr="00C965D2">
        <w:t xml:space="preserve"> </w:t>
      </w:r>
      <w:r w:rsidRPr="00C965D2">
        <w:rPr>
          <w:u w:val="single"/>
          <w:lang w:val="en-GB"/>
        </w:rPr>
        <w:t>within</w:t>
      </w:r>
      <w:r w:rsidRPr="00C965D2">
        <w:rPr>
          <w:u w:val="single"/>
        </w:rPr>
        <w:t xml:space="preserve"> </w:t>
      </w:r>
      <w:r w:rsidRPr="00C965D2">
        <w:rPr>
          <w:u w:val="single"/>
          <w:lang w:val="en-GB"/>
        </w:rPr>
        <w:t>the</w:t>
      </w:r>
      <w:r w:rsidRPr="00C965D2">
        <w:rPr>
          <w:u w:val="single"/>
        </w:rPr>
        <w:t xml:space="preserve"> </w:t>
      </w:r>
      <w:r w:rsidRPr="00C965D2">
        <w:rPr>
          <w:u w:val="single"/>
          <w:lang w:val="en-GB"/>
        </w:rPr>
        <w:t>UN</w:t>
      </w:r>
      <w:r w:rsidRPr="00C965D2">
        <w:t>…</w:t>
      </w:r>
      <w:r w:rsidR="00F9749B">
        <w:t>"</w:t>
      </w:r>
      <w:r w:rsidRPr="00C965D2">
        <w:t xml:space="preserve">). Последнее предложение пункта 28 может быть изменено следующим образом: </w:t>
      </w:r>
      <w:r w:rsidR="005A7B4A">
        <w:t>"</w:t>
      </w:r>
      <w:r w:rsidRPr="00C965D2">
        <w:t>…отмечает, что в рассматриваемый пер</w:t>
      </w:r>
      <w:r w:rsidRPr="00C965D2">
        <w:t>и</w:t>
      </w:r>
      <w:r w:rsidRPr="00C965D2">
        <w:t>од ему вновь пришлось столкнуться с теми же трудностями, в частности с пр</w:t>
      </w:r>
      <w:r w:rsidRPr="00C965D2">
        <w:t>о</w:t>
      </w:r>
      <w:r w:rsidRPr="00C965D2">
        <w:t xml:space="preserve">блемой обеспечения государств-участников ответами на перечни вопросов, </w:t>
      </w:r>
      <w:r w:rsidRPr="00C965D2">
        <w:rPr>
          <w:u w:val="single"/>
        </w:rPr>
        <w:t>к</w:t>
      </w:r>
      <w:r w:rsidRPr="00C965D2">
        <w:rPr>
          <w:u w:val="single"/>
        </w:rPr>
        <w:t>о</w:t>
      </w:r>
      <w:r w:rsidRPr="00C965D2">
        <w:rPr>
          <w:u w:val="single"/>
        </w:rPr>
        <w:t xml:space="preserve">торые в настоящее время не рассматриваются как </w:t>
      </w:r>
      <w:r w:rsidR="005A7B4A">
        <w:rPr>
          <w:u w:val="single"/>
        </w:rPr>
        <w:t>"</w:t>
      </w:r>
      <w:r w:rsidRPr="00C965D2">
        <w:rPr>
          <w:u w:val="single"/>
        </w:rPr>
        <w:t>часть мандата</w:t>
      </w:r>
      <w:r w:rsidR="00F9749B">
        <w:rPr>
          <w:u w:val="single"/>
        </w:rPr>
        <w:t>"</w:t>
      </w:r>
      <w:r w:rsidRPr="00C965D2">
        <w:t>, переведе</w:t>
      </w:r>
      <w:r w:rsidRPr="00C965D2">
        <w:t>н</w:t>
      </w:r>
      <w:r w:rsidRPr="00C965D2">
        <w:t xml:space="preserve">ными на три рабочих языка Комитета, </w:t>
      </w:r>
      <w:r w:rsidRPr="00C965D2">
        <w:rPr>
          <w:u w:val="single"/>
        </w:rPr>
        <w:t>и просит заняться этой проблемой в н</w:t>
      </w:r>
      <w:r w:rsidRPr="00C965D2">
        <w:rPr>
          <w:u w:val="single"/>
        </w:rPr>
        <w:t>е</w:t>
      </w:r>
      <w:r w:rsidRPr="00C965D2">
        <w:rPr>
          <w:u w:val="single"/>
        </w:rPr>
        <w:t>отложном порядке</w:t>
      </w:r>
      <w:r w:rsidRPr="00F306CA">
        <w:t>.</w:t>
      </w:r>
      <w:r w:rsidR="00F9749B" w:rsidRPr="00F306CA">
        <w:t>"</w:t>
      </w:r>
      <w:r w:rsidRPr="00C965D2">
        <w:t xml:space="preserve"> </w:t>
      </w:r>
      <w:r w:rsidRPr="00C965D2">
        <w:rPr>
          <w:lang w:val="en-GB"/>
        </w:rPr>
        <w:t>(</w:t>
      </w:r>
      <w:r w:rsidR="005A7B4A">
        <w:rPr>
          <w:lang w:val="en-GB"/>
        </w:rPr>
        <w:t>"</w:t>
      </w:r>
      <w:r w:rsidRPr="00C965D2">
        <w:rPr>
          <w:lang w:val="en-GB"/>
        </w:rPr>
        <w:t>…notes that there remains a particular problem with hav</w:t>
      </w:r>
      <w:r w:rsidR="00F306CA">
        <w:rPr>
          <w:lang w:val="en-GB"/>
        </w:rPr>
        <w:t>ing States pa</w:t>
      </w:r>
      <w:r w:rsidR="00F306CA">
        <w:rPr>
          <w:lang w:val="en-GB"/>
        </w:rPr>
        <w:t>r</w:t>
      </w:r>
      <w:r w:rsidR="00F306CA">
        <w:rPr>
          <w:lang w:val="en-GB"/>
        </w:rPr>
        <w:t>ties’</w:t>
      </w:r>
      <w:r w:rsidR="005F50B5">
        <w:rPr>
          <w:lang w:val="en-US"/>
        </w:rPr>
        <w:t xml:space="preserve"> </w:t>
      </w:r>
      <w:r w:rsidRPr="00C965D2">
        <w:rPr>
          <w:lang w:val="en-GB"/>
        </w:rPr>
        <w:t>replies to lists of issues</w:t>
      </w:r>
      <w:r w:rsidRPr="00C965D2">
        <w:rPr>
          <w:u w:val="single"/>
          <w:lang w:val="en-GB"/>
        </w:rPr>
        <w:t xml:space="preserve">, presently not considered as </w:t>
      </w:r>
      <w:r w:rsidR="00F306CA" w:rsidRPr="00F306CA">
        <w:rPr>
          <w:u w:val="single"/>
          <w:lang w:val="en-US"/>
        </w:rPr>
        <w:t>"</w:t>
      </w:r>
      <w:r w:rsidRPr="00C965D2">
        <w:rPr>
          <w:u w:val="single"/>
          <w:lang w:val="en-GB"/>
        </w:rPr>
        <w:t>mandated</w:t>
      </w:r>
      <w:r w:rsidR="00F306CA" w:rsidRPr="00F306CA">
        <w:rPr>
          <w:u w:val="single"/>
          <w:lang w:val="en-US"/>
        </w:rPr>
        <w:t>"</w:t>
      </w:r>
      <w:r w:rsidRPr="00C965D2">
        <w:rPr>
          <w:u w:val="single"/>
          <w:lang w:val="en-GB"/>
        </w:rPr>
        <w:t xml:space="preserve">, </w:t>
      </w:r>
      <w:r w:rsidRPr="00C965D2">
        <w:rPr>
          <w:lang w:val="en-GB"/>
        </w:rPr>
        <w:t xml:space="preserve">translated into its three working languages, </w:t>
      </w:r>
      <w:r w:rsidRPr="00C965D2">
        <w:rPr>
          <w:u w:val="single"/>
          <w:lang w:val="en-GB"/>
        </w:rPr>
        <w:t>and requests that this problem be a</w:t>
      </w:r>
      <w:r w:rsidRPr="00C965D2">
        <w:rPr>
          <w:u w:val="single"/>
          <w:lang w:val="en-GB"/>
        </w:rPr>
        <w:t>d</w:t>
      </w:r>
      <w:r w:rsidRPr="00C965D2">
        <w:rPr>
          <w:u w:val="single"/>
          <w:lang w:val="en-GB"/>
        </w:rPr>
        <w:t>dressed as a matter of urgency</w:t>
      </w:r>
      <w:r w:rsidRPr="008407CF">
        <w:rPr>
          <w:lang w:val="en-GB"/>
        </w:rPr>
        <w:t>.</w:t>
      </w:r>
      <w:r w:rsidR="005A7B4A" w:rsidRPr="008407CF">
        <w:rPr>
          <w:lang w:val="en-US"/>
        </w:rPr>
        <w:t>"</w:t>
      </w:r>
      <w:r w:rsidRPr="00C965D2">
        <w:rPr>
          <w:lang w:val="en-GB"/>
        </w:rPr>
        <w:t xml:space="preserve">). </w:t>
      </w:r>
      <w:r w:rsidR="008407CF">
        <w:t>Н</w:t>
      </w:r>
      <w:r w:rsidRPr="00C965D2">
        <w:t>аконец, г-н Телин предлагает добавить сл</w:t>
      </w:r>
      <w:r w:rsidRPr="00C965D2">
        <w:t>е</w:t>
      </w:r>
      <w:r w:rsidRPr="00C965D2">
        <w:t>дующую фразу в конце пункта 30, касающегося трудностей в доступе предст</w:t>
      </w:r>
      <w:r w:rsidRPr="00C965D2">
        <w:t>а</w:t>
      </w:r>
      <w:r w:rsidRPr="00C965D2">
        <w:t>вителей общественности к открытым заседаниям Комитета в ходе сессий, пр</w:t>
      </w:r>
      <w:r w:rsidRPr="00C965D2">
        <w:t>о</w:t>
      </w:r>
      <w:r w:rsidRPr="00C965D2">
        <w:t xml:space="preserve">водимых в Центральных учреждениях: </w:t>
      </w:r>
      <w:r w:rsidR="005A7B4A">
        <w:t>"</w:t>
      </w:r>
      <w:r w:rsidRPr="00C965D2">
        <w:t>…и настоятельно призывает ответс</w:t>
      </w:r>
      <w:r w:rsidRPr="00C965D2">
        <w:t>т</w:t>
      </w:r>
      <w:r w:rsidRPr="00C965D2">
        <w:t>венных должностных лиц в Нью-Йорке решить этот вопрос.</w:t>
      </w:r>
      <w:r w:rsidR="005A7B4A">
        <w:t>"</w:t>
      </w:r>
      <w:r w:rsidRPr="00C965D2">
        <w:t xml:space="preserve"> </w:t>
      </w:r>
      <w:r w:rsidRPr="00C965D2">
        <w:rPr>
          <w:lang w:val="en-GB"/>
        </w:rPr>
        <w:t>(</w:t>
      </w:r>
      <w:r w:rsidR="005A7B4A">
        <w:rPr>
          <w:lang w:val="en-GB"/>
        </w:rPr>
        <w:t>"</w:t>
      </w:r>
      <w:r w:rsidRPr="00C965D2">
        <w:rPr>
          <w:lang w:val="en-GB"/>
        </w:rPr>
        <w:t>…and urges those responsible in New York to resolve the issue.</w:t>
      </w:r>
      <w:r w:rsidR="005A7B4A">
        <w:rPr>
          <w:lang w:val="en-GB"/>
        </w:rPr>
        <w:t>"</w:t>
      </w:r>
      <w:r w:rsidR="008407CF" w:rsidRPr="008407CF">
        <w:rPr>
          <w:lang w:val="en-US"/>
        </w:rPr>
        <w:t>)</w:t>
      </w:r>
      <w:r w:rsidRPr="00C965D2">
        <w:rPr>
          <w:lang w:val="en-GB"/>
        </w:rPr>
        <w:t>.</w:t>
      </w:r>
    </w:p>
    <w:p w:rsidR="00C965D2" w:rsidRPr="00C965D2" w:rsidRDefault="00C965D2" w:rsidP="00F55EA7">
      <w:pPr>
        <w:pStyle w:val="SingleTxtGR"/>
      </w:pPr>
      <w:r w:rsidRPr="00C965D2">
        <w:t>19.</w:t>
      </w:r>
      <w:r w:rsidRPr="00C965D2">
        <w:tab/>
      </w:r>
      <w:r w:rsidRPr="00C965D2">
        <w:rPr>
          <w:b/>
        </w:rPr>
        <w:t>Г-н Флинтерман</w:t>
      </w:r>
      <w:r w:rsidRPr="00C965D2">
        <w:t xml:space="preserve"> предлагает добавить в раздел </w:t>
      </w:r>
      <w:r w:rsidRPr="00C965D2">
        <w:rPr>
          <w:lang w:val="en-GB"/>
        </w:rPr>
        <w:t>J</w:t>
      </w:r>
      <w:r w:rsidRPr="00C965D2">
        <w:t xml:space="preserve"> об освещении работы Комитета пункт о новых мерах, принятых на сто второй сессии, которые допу</w:t>
      </w:r>
      <w:r w:rsidRPr="00C965D2">
        <w:t>с</w:t>
      </w:r>
      <w:r w:rsidRPr="00C965D2">
        <w:t>кают видеосъемку и трансляцию через Интернет всех открытых заседаний К</w:t>
      </w:r>
      <w:r w:rsidRPr="00C965D2">
        <w:t>о</w:t>
      </w:r>
      <w:r w:rsidRPr="00C965D2">
        <w:t>митета.</w:t>
      </w:r>
    </w:p>
    <w:p w:rsidR="00C965D2" w:rsidRPr="00C965D2" w:rsidRDefault="00C965D2" w:rsidP="00F55EA7">
      <w:pPr>
        <w:pStyle w:val="SingleTxtGR"/>
      </w:pPr>
      <w:r w:rsidRPr="00C965D2">
        <w:t>20.</w:t>
      </w:r>
      <w:r w:rsidRPr="00C965D2">
        <w:tab/>
      </w:r>
      <w:r w:rsidRPr="00C965D2">
        <w:rPr>
          <w:b/>
        </w:rPr>
        <w:t>Г-жа Шане</w:t>
      </w:r>
      <w:r w:rsidRPr="00C965D2">
        <w:t xml:space="preserve"> отмечает, что вторая часть первого предложения пункта 29 </w:t>
      </w:r>
      <w:r w:rsidRPr="00C965D2">
        <w:rPr>
          <w:lang w:val="en-GB"/>
        </w:rPr>
        <w:t>h</w:t>
      </w:r>
      <w:r w:rsidRPr="00C965D2">
        <w:t xml:space="preserve">) создает впечатление о том, что некоторые сессии Комитета могут не вызывать достаточного интереса, чтобы оправдывать проведение пресс-конференции по ее окончании, и поэтому эта фраза должна быть исключена. Можно </w:t>
      </w:r>
      <w:r w:rsidR="008407CF">
        <w:t>огран</w:t>
      </w:r>
      <w:r w:rsidR="008407CF">
        <w:t>и</w:t>
      </w:r>
      <w:r w:rsidR="008407CF">
        <w:t xml:space="preserve">читься </w:t>
      </w:r>
      <w:r w:rsidRPr="00C965D2">
        <w:t>следующ</w:t>
      </w:r>
      <w:r w:rsidR="008407CF">
        <w:t>им текстом</w:t>
      </w:r>
      <w:r w:rsidRPr="00C965D2">
        <w:t xml:space="preserve">: </w:t>
      </w:r>
      <w:r w:rsidR="005A7B4A">
        <w:t>"</w:t>
      </w:r>
      <w:r w:rsidRPr="00C965D2">
        <w:t>Следует сохранить практику проведения традиц</w:t>
      </w:r>
      <w:r w:rsidRPr="00C965D2">
        <w:t>и</w:t>
      </w:r>
      <w:r w:rsidRPr="00C965D2">
        <w:t xml:space="preserve">онных заключительных пресс-конференций, </w:t>
      </w:r>
      <w:r w:rsidRPr="00C965D2">
        <w:rPr>
          <w:u w:val="single"/>
        </w:rPr>
        <w:t>за исключением нерядовых случ</w:t>
      </w:r>
      <w:r w:rsidRPr="00C965D2">
        <w:rPr>
          <w:u w:val="single"/>
        </w:rPr>
        <w:t>а</w:t>
      </w:r>
      <w:r w:rsidRPr="00C965D2">
        <w:rPr>
          <w:u w:val="single"/>
        </w:rPr>
        <w:t>ев</w:t>
      </w:r>
      <w:r w:rsidRPr="00C965D2">
        <w:t>.</w:t>
      </w:r>
      <w:r w:rsidR="005A7B4A">
        <w:t>"</w:t>
      </w:r>
      <w:r w:rsidRPr="00C965D2">
        <w:t>.</w:t>
      </w:r>
    </w:p>
    <w:p w:rsidR="00C965D2" w:rsidRPr="00C965D2" w:rsidRDefault="00C965D2" w:rsidP="00F55EA7">
      <w:pPr>
        <w:pStyle w:val="SingleTxtGR"/>
      </w:pPr>
      <w:r w:rsidRPr="00C965D2">
        <w:t>21.</w:t>
      </w:r>
      <w:r w:rsidRPr="00C965D2">
        <w:tab/>
      </w:r>
      <w:r w:rsidRPr="00C965D2">
        <w:rPr>
          <w:b/>
        </w:rPr>
        <w:t>Г-н Амор</w:t>
      </w:r>
      <w:r w:rsidRPr="00C965D2">
        <w:t xml:space="preserve"> обращает внимание Комитета на </w:t>
      </w:r>
      <w:r w:rsidR="00034580">
        <w:t>ситуацию, когда</w:t>
      </w:r>
      <w:r w:rsidRPr="00C965D2">
        <w:t xml:space="preserve"> Тунис после своей революции ратифицировал первый Факультативный протокол к Пакту, документ о ратификации которого был сдан на хранение 29 июня 2011 года. Х</w:t>
      </w:r>
      <w:r w:rsidRPr="00C965D2">
        <w:t>о</w:t>
      </w:r>
      <w:r w:rsidRPr="00C965D2">
        <w:t xml:space="preserve">тя Факультативный протокол </w:t>
      </w:r>
      <w:r w:rsidR="00034580">
        <w:t>пока</w:t>
      </w:r>
      <w:r w:rsidRPr="00C965D2">
        <w:t xml:space="preserve"> не вступил в силу </w:t>
      </w:r>
      <w:r w:rsidR="00034580">
        <w:t>для Туниса</w:t>
      </w:r>
      <w:r w:rsidRPr="00C965D2">
        <w:t>, с юридич</w:t>
      </w:r>
      <w:r w:rsidRPr="00C965D2">
        <w:t>е</w:t>
      </w:r>
      <w:r w:rsidRPr="00C965D2">
        <w:t xml:space="preserve">ской точки зрения Тунис является стороной Факультативного протокола и, </w:t>
      </w:r>
      <w:r w:rsidR="00034580">
        <w:t>таким о</w:t>
      </w:r>
      <w:r w:rsidR="00034580">
        <w:t>б</w:t>
      </w:r>
      <w:r w:rsidR="00034580">
        <w:t>разом</w:t>
      </w:r>
      <w:r w:rsidRPr="00C965D2">
        <w:t>, 114-м государством</w:t>
      </w:r>
      <w:r w:rsidR="00780662">
        <w:t xml:space="preserve"> − </w:t>
      </w:r>
      <w:r w:rsidRPr="00C965D2">
        <w:t>участником этого документа. Следует отметить этот факт в рассматриваемой главе и в соответствующем приложении к ежего</w:t>
      </w:r>
      <w:r w:rsidRPr="00C965D2">
        <w:t>д</w:t>
      </w:r>
      <w:r w:rsidRPr="00C965D2">
        <w:t>ному докладу.</w:t>
      </w:r>
    </w:p>
    <w:p w:rsidR="00C965D2" w:rsidRPr="00C965D2" w:rsidRDefault="00C965D2" w:rsidP="00F55EA7">
      <w:pPr>
        <w:pStyle w:val="SingleTxtGR"/>
      </w:pPr>
      <w:r w:rsidRPr="00C965D2">
        <w:t>22.</w:t>
      </w:r>
      <w:r w:rsidRPr="00C965D2">
        <w:tab/>
        <w:t>Г-н Амор отмечает, что в проекте доклада не упоминается вопрос о во</w:t>
      </w:r>
      <w:r w:rsidRPr="00C965D2">
        <w:t>з</w:t>
      </w:r>
      <w:r w:rsidRPr="00C965D2">
        <w:t>награждении членов Комитетов. Даже если упоминание этого вопроса, вероя</w:t>
      </w:r>
      <w:r w:rsidRPr="00C965D2">
        <w:t>т</w:t>
      </w:r>
      <w:r w:rsidRPr="00C965D2">
        <w:t>но, не будет иметь никакого воздействия, важно напомнить, что решение, пр</w:t>
      </w:r>
      <w:r w:rsidRPr="00C965D2">
        <w:t>и</w:t>
      </w:r>
      <w:r w:rsidRPr="00C965D2">
        <w:t>нятое в этой связи, представляет собой нарушение Пакта.</w:t>
      </w:r>
    </w:p>
    <w:p w:rsidR="00C965D2" w:rsidRPr="00C965D2" w:rsidRDefault="00C965D2" w:rsidP="00F55EA7">
      <w:pPr>
        <w:pStyle w:val="SingleTxtGR"/>
      </w:pPr>
      <w:r w:rsidRPr="00C965D2">
        <w:t>23.</w:t>
      </w:r>
      <w:r w:rsidRPr="00C965D2">
        <w:tab/>
      </w:r>
      <w:r w:rsidRPr="00C965D2">
        <w:rPr>
          <w:b/>
        </w:rPr>
        <w:t>Председатель</w:t>
      </w:r>
      <w:r w:rsidRPr="00C965D2">
        <w:t xml:space="preserve"> говорит, что вопрос о вознаграждении будет затронут в этом ежегодном докладе</w:t>
      </w:r>
      <w:r w:rsidR="000C323F">
        <w:t xml:space="preserve"> с</w:t>
      </w:r>
      <w:r w:rsidRPr="00C965D2">
        <w:t xml:space="preserve"> использ</w:t>
      </w:r>
      <w:r w:rsidR="000C323F">
        <w:t>ованием формулировок, схожих</w:t>
      </w:r>
      <w:r w:rsidRPr="00C965D2">
        <w:t xml:space="preserve"> с теми, что использовались в предыдущем ежегодном докладе.</w:t>
      </w:r>
    </w:p>
    <w:p w:rsidR="00C965D2" w:rsidRPr="00C965D2" w:rsidRDefault="00C965D2" w:rsidP="00F55EA7">
      <w:pPr>
        <w:pStyle w:val="SingleTxtGR"/>
      </w:pPr>
      <w:r w:rsidRPr="00C965D2">
        <w:t>24.</w:t>
      </w:r>
      <w:r w:rsidRPr="00C965D2">
        <w:tab/>
      </w:r>
      <w:r w:rsidRPr="00C965D2">
        <w:rPr>
          <w:b/>
        </w:rPr>
        <w:t>Г-жа Фокс</w:t>
      </w:r>
      <w:r w:rsidRPr="00C965D2">
        <w:t xml:space="preserve"> (секретарь Комитета) напоминает, что </w:t>
      </w:r>
      <w:r w:rsidR="000C323F">
        <w:t>ситуация</w:t>
      </w:r>
      <w:r w:rsidRPr="00C965D2">
        <w:t xml:space="preserve"> в о</w:t>
      </w:r>
      <w:r w:rsidRPr="00C965D2">
        <w:t>т</w:t>
      </w:r>
      <w:r w:rsidRPr="00C965D2">
        <w:t xml:space="preserve">ношении </w:t>
      </w:r>
      <w:r w:rsidR="00780662">
        <w:t xml:space="preserve">Туниса </w:t>
      </w:r>
      <w:r w:rsidR="000C323F">
        <w:t>похожа на ту, которая</w:t>
      </w:r>
      <w:r w:rsidRPr="00C965D2">
        <w:t xml:space="preserve"> возник</w:t>
      </w:r>
      <w:r w:rsidR="000C323F">
        <w:t>ла</w:t>
      </w:r>
      <w:r w:rsidRPr="00C965D2">
        <w:t xml:space="preserve"> во время присоединения к Пакту</w:t>
      </w:r>
      <w:r w:rsidR="000C323F">
        <w:t xml:space="preserve"> Пак</w:t>
      </w:r>
      <w:r w:rsidR="000C323F">
        <w:t>и</w:t>
      </w:r>
      <w:r w:rsidR="000C323F">
        <w:t>стана</w:t>
      </w:r>
      <w:r w:rsidRPr="00C965D2">
        <w:t>. Комитет указал тогда в сноске соответствующего приложения к док</w:t>
      </w:r>
      <w:r w:rsidR="00780662">
        <w:t xml:space="preserve">ладу, что количество государств − </w:t>
      </w:r>
      <w:r w:rsidRPr="00C965D2">
        <w:t xml:space="preserve">участников Пакта составляло 166 на 25 сентября </w:t>
      </w:r>
      <w:r w:rsidR="002501AA">
        <w:br/>
      </w:r>
      <w:r w:rsidRPr="00C965D2">
        <w:t>2010 года после вступления Пакта в силу для Пакистана, который сдал на хр</w:t>
      </w:r>
      <w:r w:rsidRPr="00C965D2">
        <w:t>а</w:t>
      </w:r>
      <w:r w:rsidRPr="00C965D2">
        <w:t>нение документ о ратификации 25 июня 2010 года. То же самое будет сделано в отношении Тун</w:t>
      </w:r>
      <w:r w:rsidRPr="00C965D2">
        <w:t>и</w:t>
      </w:r>
      <w:r w:rsidRPr="00C965D2">
        <w:t>са.</w:t>
      </w:r>
    </w:p>
    <w:p w:rsidR="00C965D2" w:rsidRPr="00C965D2" w:rsidRDefault="00C965D2" w:rsidP="00F55EA7">
      <w:pPr>
        <w:pStyle w:val="SingleTxtGR"/>
      </w:pPr>
      <w:r w:rsidRPr="00C965D2">
        <w:t>25.</w:t>
      </w:r>
      <w:r w:rsidRPr="00C965D2">
        <w:tab/>
      </w:r>
      <w:r w:rsidRPr="00C965D2">
        <w:rPr>
          <w:b/>
        </w:rPr>
        <w:t>Г-жа Келлер</w:t>
      </w:r>
      <w:r w:rsidRPr="00C965D2">
        <w:t xml:space="preserve"> (Докладчик) говорит, что глава </w:t>
      </w:r>
      <w:r w:rsidRPr="00C965D2">
        <w:rPr>
          <w:lang w:val="en-GB"/>
        </w:rPr>
        <w:t>I</w:t>
      </w:r>
      <w:r w:rsidRPr="00C965D2">
        <w:t xml:space="preserve"> будет дополнена и измен</w:t>
      </w:r>
      <w:r w:rsidRPr="00C965D2">
        <w:t>е</w:t>
      </w:r>
      <w:r w:rsidRPr="00C965D2">
        <w:t>на в соответствии с п</w:t>
      </w:r>
      <w:r w:rsidR="000C323F">
        <w:t>редложениями членов Комитета и в рамках</w:t>
      </w:r>
      <w:r w:rsidRPr="00C965D2">
        <w:t xml:space="preserve"> обычной р</w:t>
      </w:r>
      <w:r w:rsidRPr="00C965D2">
        <w:t>е</w:t>
      </w:r>
      <w:r w:rsidRPr="00C965D2">
        <w:t>дак</w:t>
      </w:r>
      <w:r w:rsidR="000C323F">
        <w:t>ционной</w:t>
      </w:r>
      <w:r w:rsidRPr="00C965D2">
        <w:t xml:space="preserve"> процедуры.</w:t>
      </w:r>
    </w:p>
    <w:p w:rsidR="00C965D2" w:rsidRPr="00C965D2" w:rsidRDefault="00C965D2" w:rsidP="00F55EA7">
      <w:pPr>
        <w:pStyle w:val="SingleTxtGR"/>
      </w:pPr>
      <w:r w:rsidRPr="00C965D2">
        <w:t>26.</w:t>
      </w:r>
      <w:r w:rsidRPr="00C965D2">
        <w:tab/>
      </w:r>
      <w:r w:rsidRPr="00C965D2">
        <w:rPr>
          <w:i/>
        </w:rPr>
        <w:t xml:space="preserve">Глава </w:t>
      </w:r>
      <w:r w:rsidRPr="00C965D2">
        <w:rPr>
          <w:i/>
          <w:lang w:val="en-GB"/>
        </w:rPr>
        <w:t>I</w:t>
      </w:r>
      <w:r w:rsidRPr="00C965D2">
        <w:rPr>
          <w:i/>
        </w:rPr>
        <w:t xml:space="preserve"> с внесенными в нее изменениями принимается.</w:t>
      </w:r>
    </w:p>
    <w:p w:rsidR="00E61BE9" w:rsidRDefault="000C323F" w:rsidP="000C323F">
      <w:pPr>
        <w:pStyle w:val="H4GR"/>
        <w:ind w:left="1134" w:hanging="1134"/>
      </w:pPr>
      <w:r>
        <w:tab/>
      </w:r>
      <w:r>
        <w:tab/>
      </w:r>
      <w:r w:rsidR="00C965D2" w:rsidRPr="00C965D2">
        <w:t xml:space="preserve">Глава </w:t>
      </w:r>
      <w:r w:rsidR="00C965D2" w:rsidRPr="00C965D2">
        <w:rPr>
          <w:lang w:val="en-GB"/>
        </w:rPr>
        <w:t>II</w:t>
      </w:r>
    </w:p>
    <w:p w:rsidR="00C965D2" w:rsidRPr="00C965D2" w:rsidRDefault="00E61BE9" w:rsidP="000C323F">
      <w:pPr>
        <w:pStyle w:val="H4GR"/>
        <w:ind w:left="1134" w:hanging="1134"/>
      </w:pPr>
      <w:r>
        <w:tab/>
      </w:r>
      <w:r>
        <w:tab/>
      </w:r>
      <w:r w:rsidR="00C965D2" w:rsidRPr="00C965D2">
        <w:t>Методы работы Комитета в соответствии со статьей 40 Пакта и</w:t>
      </w:r>
      <w:r w:rsidR="000C323F">
        <w:br/>
      </w:r>
      <w:r w:rsidR="00C965D2" w:rsidRPr="00C965D2">
        <w:t xml:space="preserve">сотрудничество с другими органами Организации Объединенных Наций </w:t>
      </w:r>
      <w:r w:rsidR="00C965D2" w:rsidRPr="00E61BE9">
        <w:rPr>
          <w:i w:val="0"/>
        </w:rPr>
        <w:t>(</w:t>
      </w:r>
      <w:r w:rsidR="00C965D2" w:rsidRPr="00E61BE9">
        <w:rPr>
          <w:i w:val="0"/>
          <w:lang w:val="en-GB"/>
        </w:rPr>
        <w:t>CCPR</w:t>
      </w:r>
      <w:r w:rsidR="00C965D2" w:rsidRPr="00E61BE9">
        <w:rPr>
          <w:i w:val="0"/>
        </w:rPr>
        <w:t>/</w:t>
      </w:r>
      <w:r w:rsidR="00C965D2" w:rsidRPr="00E61BE9">
        <w:rPr>
          <w:i w:val="0"/>
          <w:lang w:val="en-GB"/>
        </w:rPr>
        <w:t>C</w:t>
      </w:r>
      <w:r w:rsidR="00C965D2" w:rsidRPr="00E61BE9">
        <w:rPr>
          <w:i w:val="0"/>
        </w:rPr>
        <w:t>/102/</w:t>
      </w:r>
      <w:r w:rsidR="00C965D2" w:rsidRPr="00E61BE9">
        <w:rPr>
          <w:i w:val="0"/>
          <w:lang w:val="en-GB"/>
        </w:rPr>
        <w:t>CRP</w:t>
      </w:r>
      <w:r w:rsidR="00C965D2" w:rsidRPr="00E61BE9">
        <w:rPr>
          <w:i w:val="0"/>
        </w:rPr>
        <w:t>.1/</w:t>
      </w:r>
      <w:r w:rsidR="00C965D2" w:rsidRPr="00E61BE9">
        <w:rPr>
          <w:i w:val="0"/>
          <w:lang w:val="en-GB"/>
        </w:rPr>
        <w:t>Add</w:t>
      </w:r>
      <w:r w:rsidR="00C965D2" w:rsidRPr="00E61BE9">
        <w:rPr>
          <w:i w:val="0"/>
        </w:rPr>
        <w:t>.2)</w:t>
      </w:r>
    </w:p>
    <w:p w:rsidR="00C965D2" w:rsidRPr="00C965D2" w:rsidRDefault="00C965D2" w:rsidP="00F55EA7">
      <w:pPr>
        <w:pStyle w:val="SingleTxtGR"/>
      </w:pPr>
      <w:r w:rsidRPr="00C965D2">
        <w:t>27.</w:t>
      </w:r>
      <w:r w:rsidRPr="00C965D2">
        <w:tab/>
      </w:r>
      <w:r w:rsidRPr="00C965D2">
        <w:rPr>
          <w:b/>
        </w:rPr>
        <w:t>Г-н Флинтерман</w:t>
      </w:r>
      <w:r w:rsidRPr="00C965D2">
        <w:t xml:space="preserve"> предлагает исключить пункт 56, поскольку упомянутое там совещание в период, охватываемый докладом, не проводилось.</w:t>
      </w:r>
    </w:p>
    <w:p w:rsidR="00C965D2" w:rsidRPr="00C965D2" w:rsidRDefault="00C965D2" w:rsidP="00F55EA7">
      <w:pPr>
        <w:pStyle w:val="SingleTxtGR"/>
      </w:pPr>
      <w:r w:rsidRPr="00C965D2">
        <w:t>28.</w:t>
      </w:r>
      <w:r w:rsidRPr="00C965D2">
        <w:tab/>
      </w:r>
      <w:r w:rsidRPr="00C965D2">
        <w:rPr>
          <w:b/>
        </w:rPr>
        <w:t>Г-н Телин</w:t>
      </w:r>
      <w:r w:rsidRPr="00C965D2">
        <w:t xml:space="preserve"> предлагает новый подзаголовок, предваряющий пун</w:t>
      </w:r>
      <w:r w:rsidRPr="00C965D2">
        <w:t>к</w:t>
      </w:r>
      <w:r w:rsidRPr="00C965D2">
        <w:t>ты</w:t>
      </w:r>
      <w:r w:rsidR="008B0AA6">
        <w:t> </w:t>
      </w:r>
      <w:r w:rsidRPr="00C965D2">
        <w:t>41</w:t>
      </w:r>
      <w:r w:rsidR="004F2DDB">
        <w:t>−</w:t>
      </w:r>
      <w:r w:rsidRPr="00C965D2">
        <w:t xml:space="preserve">46, </w:t>
      </w:r>
      <w:r w:rsidR="009248A9">
        <w:t>которые касаются</w:t>
      </w:r>
      <w:r w:rsidRPr="00C965D2">
        <w:t xml:space="preserve"> вопрос</w:t>
      </w:r>
      <w:r w:rsidR="009248A9">
        <w:t>а</w:t>
      </w:r>
      <w:r w:rsidRPr="00C965D2">
        <w:t xml:space="preserve"> об оговорке Пакистана к статье 40. </w:t>
      </w:r>
      <w:r w:rsidR="009248A9">
        <w:t>Н</w:t>
      </w:r>
      <w:r w:rsidRPr="00C965D2">
        <w:t>ак</w:t>
      </w:r>
      <w:r w:rsidRPr="00C965D2">
        <w:t>о</w:t>
      </w:r>
      <w:r w:rsidRPr="00C965D2">
        <w:t>нец, он предлагает упомянуть в докладе заявление в отнош</w:t>
      </w:r>
      <w:r w:rsidRPr="00C965D2">
        <w:t>е</w:t>
      </w:r>
      <w:r w:rsidRPr="00C965D2">
        <w:t>нии Беларуси.</w:t>
      </w:r>
    </w:p>
    <w:p w:rsidR="00C965D2" w:rsidRPr="00C965D2" w:rsidRDefault="00C965D2" w:rsidP="00F55EA7">
      <w:pPr>
        <w:pStyle w:val="SingleTxtGR"/>
      </w:pPr>
      <w:r w:rsidRPr="00C965D2">
        <w:t>29.</w:t>
      </w:r>
      <w:r w:rsidRPr="00C965D2">
        <w:tab/>
      </w:r>
      <w:r w:rsidRPr="00C965D2">
        <w:rPr>
          <w:i/>
        </w:rPr>
        <w:t>Предложения г-на Флинтермана и г-на Телина принимаются.</w:t>
      </w:r>
    </w:p>
    <w:p w:rsidR="005F50B5" w:rsidRDefault="00C965D2" w:rsidP="00F55EA7">
      <w:pPr>
        <w:pStyle w:val="SingleTxtGR"/>
        <w:rPr>
          <w:i/>
        </w:rPr>
      </w:pPr>
      <w:r w:rsidRPr="00C965D2">
        <w:t>30.</w:t>
      </w:r>
      <w:r w:rsidRPr="00C965D2">
        <w:tab/>
      </w:r>
      <w:r w:rsidRPr="00C965D2">
        <w:rPr>
          <w:i/>
        </w:rPr>
        <w:t xml:space="preserve">Глава </w:t>
      </w:r>
      <w:r w:rsidRPr="00C965D2">
        <w:rPr>
          <w:i/>
          <w:lang w:val="en-GB"/>
        </w:rPr>
        <w:t>II</w:t>
      </w:r>
      <w:r w:rsidRPr="00C965D2">
        <w:rPr>
          <w:i/>
        </w:rPr>
        <w:t xml:space="preserve"> с учетом изменений принимается при условии внесения в нее н</w:t>
      </w:r>
      <w:r w:rsidRPr="00C965D2">
        <w:rPr>
          <w:i/>
        </w:rPr>
        <w:t>е</w:t>
      </w:r>
      <w:r w:rsidRPr="00C965D2">
        <w:rPr>
          <w:i/>
        </w:rPr>
        <w:t>обходимых редакционных поправок.</w:t>
      </w:r>
    </w:p>
    <w:p w:rsidR="00E61BE9" w:rsidRDefault="008B0AA6" w:rsidP="008B0AA6">
      <w:pPr>
        <w:pStyle w:val="H4GR"/>
      </w:pPr>
      <w:r w:rsidRPr="0008057F">
        <w:tab/>
      </w:r>
      <w:r w:rsidRPr="0008057F">
        <w:tab/>
        <w:t xml:space="preserve">Глава </w:t>
      </w:r>
      <w:r w:rsidRPr="0008057F">
        <w:rPr>
          <w:lang w:val="en-GB"/>
        </w:rPr>
        <w:t>III</w:t>
      </w:r>
    </w:p>
    <w:p w:rsidR="008B0AA6" w:rsidRPr="007B0B70" w:rsidRDefault="008B0AA6" w:rsidP="008B0AA6">
      <w:pPr>
        <w:pStyle w:val="H4GR"/>
        <w:rPr>
          <w:i w:val="0"/>
        </w:rPr>
      </w:pPr>
      <w:r w:rsidRPr="0008057F">
        <w:tab/>
      </w:r>
      <w:r w:rsidRPr="0008057F">
        <w:tab/>
        <w:t xml:space="preserve">Представление докладов государствами-участниками в соответствии </w:t>
      </w:r>
      <w:r w:rsidRPr="00C45A44">
        <w:br/>
      </w:r>
      <w:r>
        <w:tab/>
      </w:r>
      <w:r>
        <w:tab/>
      </w:r>
      <w:r w:rsidRPr="0008057F">
        <w:t>со статьей 40 Пакта</w:t>
      </w:r>
      <w:r w:rsidRPr="007B0B70">
        <w:rPr>
          <w:i w:val="0"/>
        </w:rPr>
        <w:t xml:space="preserve"> (</w:t>
      </w:r>
      <w:r w:rsidRPr="007B0B70">
        <w:rPr>
          <w:i w:val="0"/>
          <w:lang w:val="en-GB"/>
        </w:rPr>
        <w:t>CCPR</w:t>
      </w:r>
      <w:r w:rsidRPr="007B0B70">
        <w:rPr>
          <w:i w:val="0"/>
        </w:rPr>
        <w:t>/</w:t>
      </w:r>
      <w:r w:rsidRPr="007B0B70">
        <w:rPr>
          <w:i w:val="0"/>
          <w:lang w:val="en-GB"/>
        </w:rPr>
        <w:t>C</w:t>
      </w:r>
      <w:r w:rsidRPr="007B0B70">
        <w:rPr>
          <w:i w:val="0"/>
        </w:rPr>
        <w:t>/102/</w:t>
      </w:r>
      <w:r w:rsidRPr="007B0B70">
        <w:rPr>
          <w:i w:val="0"/>
          <w:lang w:val="en-GB"/>
        </w:rPr>
        <w:t>CRP</w:t>
      </w:r>
      <w:r w:rsidRPr="007B0B70">
        <w:rPr>
          <w:i w:val="0"/>
        </w:rPr>
        <w:t>.1/</w:t>
      </w:r>
      <w:r w:rsidRPr="007B0B70">
        <w:rPr>
          <w:i w:val="0"/>
          <w:lang w:val="en-GB"/>
        </w:rPr>
        <w:t>Add</w:t>
      </w:r>
      <w:r w:rsidRPr="007B0B70">
        <w:rPr>
          <w:i w:val="0"/>
        </w:rPr>
        <w:t>.3)</w:t>
      </w:r>
    </w:p>
    <w:p w:rsidR="008B0AA6" w:rsidRPr="0008057F" w:rsidRDefault="008B0AA6" w:rsidP="008B0AA6">
      <w:pPr>
        <w:pStyle w:val="SingleTxtGR"/>
      </w:pPr>
      <w:r w:rsidRPr="0008057F">
        <w:t>31.</w:t>
      </w:r>
      <w:r w:rsidRPr="0008057F">
        <w:tab/>
      </w:r>
      <w:r w:rsidRPr="0008057F">
        <w:rPr>
          <w:b/>
        </w:rPr>
        <w:t>Г-н Телин</w:t>
      </w:r>
      <w:r w:rsidRPr="0008057F">
        <w:t xml:space="preserve"> предлагает добавить новый пункт после пункта 65, в котором </w:t>
      </w:r>
      <w:r>
        <w:t>буду</w:t>
      </w:r>
      <w:r w:rsidRPr="0008057F">
        <w:t xml:space="preserve">т </w:t>
      </w:r>
      <w:r>
        <w:t>указаны</w:t>
      </w:r>
      <w:r w:rsidRPr="0008057F">
        <w:t xml:space="preserve"> количество и </w:t>
      </w:r>
      <w:r>
        <w:t>названия</w:t>
      </w:r>
      <w:r w:rsidRPr="0008057F">
        <w:t xml:space="preserve"> государств-участников, положение в к</w:t>
      </w:r>
      <w:r w:rsidRPr="0008057F">
        <w:t>о</w:t>
      </w:r>
      <w:r w:rsidRPr="0008057F">
        <w:t>торых было рассмотрено в отсутствие доклада с момента введения этой проц</w:t>
      </w:r>
      <w:r w:rsidRPr="0008057F">
        <w:t>е</w:t>
      </w:r>
      <w:r w:rsidRPr="0008057F">
        <w:t xml:space="preserve">дуры. Также было бы полезно добавить новый раздел </w:t>
      </w:r>
      <w:r w:rsidRPr="0008057F">
        <w:rPr>
          <w:lang w:val="en-GB"/>
        </w:rPr>
        <w:t>C</w:t>
      </w:r>
      <w:r w:rsidRPr="0008057F">
        <w:t>, где будут указаны н</w:t>
      </w:r>
      <w:r w:rsidRPr="0008057F">
        <w:t>а</w:t>
      </w:r>
      <w:r w:rsidRPr="0008057F">
        <w:t>звания государств-участников, чьи доклады были рассмотрены, и даты пре</w:t>
      </w:r>
      <w:r w:rsidRPr="0008057F">
        <w:t>д</w:t>
      </w:r>
      <w:r w:rsidRPr="0008057F">
        <w:t xml:space="preserve">ставления их следующих докладов. Однако вместо того, чтобы перечислять их в порядке сессий Комитета, как </w:t>
      </w:r>
      <w:r>
        <w:t xml:space="preserve">это сделано </w:t>
      </w:r>
      <w:r w:rsidRPr="0008057F">
        <w:t>в глав</w:t>
      </w:r>
      <w:r>
        <w:t>е</w:t>
      </w:r>
      <w:r w:rsidRPr="0008057F">
        <w:t xml:space="preserve"> </w:t>
      </w:r>
      <w:r w:rsidRPr="0008057F">
        <w:rPr>
          <w:lang w:val="en-GB"/>
        </w:rPr>
        <w:t>IV</w:t>
      </w:r>
      <w:r w:rsidRPr="0008057F">
        <w:t>, их можно разбить на три группы в зависимости от срок</w:t>
      </w:r>
      <w:r>
        <w:t>ов, в которых</w:t>
      </w:r>
      <w:r w:rsidRPr="0008057F">
        <w:t xml:space="preserve"> ожидается </w:t>
      </w:r>
      <w:r>
        <w:t xml:space="preserve">представление </w:t>
      </w:r>
      <w:r w:rsidRPr="0008057F">
        <w:t>следу</w:t>
      </w:r>
      <w:r w:rsidRPr="0008057F">
        <w:t>ю</w:t>
      </w:r>
      <w:r w:rsidRPr="0008057F">
        <w:t>щ</w:t>
      </w:r>
      <w:r>
        <w:t>его</w:t>
      </w:r>
      <w:r w:rsidRPr="0008057F">
        <w:t xml:space="preserve"> доклад</w:t>
      </w:r>
      <w:r>
        <w:t>а</w:t>
      </w:r>
      <w:r w:rsidRPr="0008057F">
        <w:t xml:space="preserve"> (три, четыре или пять лет).</w:t>
      </w:r>
    </w:p>
    <w:p w:rsidR="008B0AA6" w:rsidRPr="0008057F" w:rsidRDefault="008B0AA6" w:rsidP="008B0AA6">
      <w:pPr>
        <w:pStyle w:val="SingleTxtGR"/>
      </w:pPr>
      <w:r w:rsidRPr="0008057F">
        <w:t>32.</w:t>
      </w:r>
      <w:r w:rsidRPr="0008057F">
        <w:tab/>
      </w:r>
      <w:r w:rsidRPr="0008057F">
        <w:rPr>
          <w:b/>
        </w:rPr>
        <w:t>Г-жа Шане</w:t>
      </w:r>
      <w:r w:rsidRPr="0008057F">
        <w:t xml:space="preserve"> считает, что, если указывать даты ожида</w:t>
      </w:r>
      <w:r>
        <w:t>емого представления докладов</w:t>
      </w:r>
      <w:r w:rsidRPr="0008057F">
        <w:t xml:space="preserve"> государств-участников без </w:t>
      </w:r>
      <w:r>
        <w:t>дополнительных</w:t>
      </w:r>
      <w:r w:rsidRPr="0008057F">
        <w:t xml:space="preserve"> разъяснений, читатели могут не понять, почему Комитет выбрал именно эту, а не другую дату. Похоже, что пока еще преждевременно принимать предложение</w:t>
      </w:r>
      <w:r>
        <w:t xml:space="preserve"> г-на Телина</w:t>
      </w:r>
      <w:r w:rsidRPr="0008057F">
        <w:t xml:space="preserve"> и Комитету следует </w:t>
      </w:r>
      <w:r>
        <w:t>вновь</w:t>
      </w:r>
      <w:r w:rsidRPr="0008057F">
        <w:t xml:space="preserve"> обдумать порядок представления такой информации.</w:t>
      </w:r>
    </w:p>
    <w:p w:rsidR="008B0AA6" w:rsidRPr="0008057F" w:rsidRDefault="008B0AA6" w:rsidP="008B0AA6">
      <w:pPr>
        <w:pStyle w:val="SingleTxtGR"/>
      </w:pPr>
      <w:r w:rsidRPr="0008057F">
        <w:t>33.</w:t>
      </w:r>
      <w:r w:rsidRPr="0008057F">
        <w:tab/>
        <w:t xml:space="preserve">После обмена мнениями, в котором участвуют </w:t>
      </w:r>
      <w:r w:rsidRPr="0008057F">
        <w:rPr>
          <w:b/>
        </w:rPr>
        <w:t xml:space="preserve">г-жа Келлер </w:t>
      </w:r>
      <w:r w:rsidRPr="0008057F">
        <w:t xml:space="preserve">(Докладчик), </w:t>
      </w:r>
      <w:r w:rsidRPr="0008057F">
        <w:rPr>
          <w:b/>
        </w:rPr>
        <w:t>г-н Нойман</w:t>
      </w:r>
      <w:r w:rsidRPr="0008057F">
        <w:t xml:space="preserve">, </w:t>
      </w:r>
      <w:r w:rsidRPr="0008057F">
        <w:rPr>
          <w:b/>
        </w:rPr>
        <w:t>г-н Флинтерман</w:t>
      </w:r>
      <w:r w:rsidRPr="0008057F">
        <w:t xml:space="preserve">, </w:t>
      </w:r>
      <w:r w:rsidRPr="0008057F">
        <w:rPr>
          <w:b/>
        </w:rPr>
        <w:t>г-н Ривас Посада</w:t>
      </w:r>
      <w:r w:rsidRPr="0008057F">
        <w:t xml:space="preserve">, </w:t>
      </w:r>
      <w:r w:rsidRPr="0008057F">
        <w:rPr>
          <w:b/>
        </w:rPr>
        <w:t>г-н Бузид</w:t>
      </w:r>
      <w:r w:rsidRPr="0008057F">
        <w:t xml:space="preserve">, </w:t>
      </w:r>
      <w:r w:rsidRPr="0008057F">
        <w:rPr>
          <w:b/>
        </w:rPr>
        <w:t>г-жа Шане</w:t>
      </w:r>
      <w:r w:rsidRPr="0008057F">
        <w:t xml:space="preserve">, </w:t>
      </w:r>
      <w:r>
        <w:br/>
      </w:r>
      <w:r w:rsidRPr="0008057F">
        <w:rPr>
          <w:b/>
        </w:rPr>
        <w:t xml:space="preserve">г-н Лаллах </w:t>
      </w:r>
      <w:r w:rsidRPr="0008057F">
        <w:t xml:space="preserve">и </w:t>
      </w:r>
      <w:r w:rsidRPr="0008057F">
        <w:rPr>
          <w:b/>
        </w:rPr>
        <w:t>г-н Телин</w:t>
      </w:r>
      <w:r w:rsidRPr="0008057F">
        <w:t xml:space="preserve">, </w:t>
      </w:r>
      <w:r w:rsidRPr="0008057F">
        <w:rPr>
          <w:b/>
        </w:rPr>
        <w:t>Председатель</w:t>
      </w:r>
      <w:r w:rsidRPr="0008057F">
        <w:t xml:space="preserve"> говорит, что сформировался консенсус в отношении принятия предложения г-на Телина добавить раздел, в котором б</w:t>
      </w:r>
      <w:r w:rsidRPr="0008057F">
        <w:t>у</w:t>
      </w:r>
      <w:r w:rsidRPr="0008057F">
        <w:t>дут указаны названия государств-участников, чьи доклады были рассмотрены в период, охватываемый ежегодным докладом, а также даты ожидаемого пре</w:t>
      </w:r>
      <w:r w:rsidRPr="0008057F">
        <w:t>д</w:t>
      </w:r>
      <w:r w:rsidRPr="0008057F">
        <w:t>ставления следующих периодических докладов. В начале списка будут указаны государства-участники, доклады которых должны быть представлены через пять лет, затем те, доклады которых ожидаются через четыре года, и, наконец, те, чьи доклады будут представлены через три года, при</w:t>
      </w:r>
      <w:r>
        <w:t>чем</w:t>
      </w:r>
      <w:r w:rsidRPr="0008057F">
        <w:t xml:space="preserve"> подразумевается, что сами сроки здесь указываться не будут.</w:t>
      </w:r>
    </w:p>
    <w:p w:rsidR="008B0AA6" w:rsidRPr="00FA77A6" w:rsidRDefault="008B0AA6" w:rsidP="008B0AA6">
      <w:pPr>
        <w:pStyle w:val="SingleTxtGR"/>
        <w:rPr>
          <w:i/>
        </w:rPr>
      </w:pPr>
      <w:r w:rsidRPr="0008057F">
        <w:t>34.</w:t>
      </w:r>
      <w:r w:rsidRPr="0008057F">
        <w:tab/>
      </w:r>
      <w:r w:rsidRPr="00FA77A6">
        <w:rPr>
          <w:i/>
        </w:rPr>
        <w:t xml:space="preserve">Глава </w:t>
      </w:r>
      <w:r w:rsidRPr="00FA77A6">
        <w:rPr>
          <w:i/>
          <w:lang w:val="en-GB"/>
        </w:rPr>
        <w:t>III</w:t>
      </w:r>
      <w:r w:rsidRPr="00FA77A6">
        <w:rPr>
          <w:i/>
        </w:rPr>
        <w:t xml:space="preserve"> принимается при условии внесения в нее необходимых редакц</w:t>
      </w:r>
      <w:r w:rsidRPr="00FA77A6">
        <w:rPr>
          <w:i/>
        </w:rPr>
        <w:t>и</w:t>
      </w:r>
      <w:r w:rsidRPr="00FA77A6">
        <w:rPr>
          <w:i/>
        </w:rPr>
        <w:t>онных поправок.</w:t>
      </w:r>
    </w:p>
    <w:p w:rsidR="00E61BE9" w:rsidRDefault="008B0AA6" w:rsidP="008B0AA6">
      <w:pPr>
        <w:pStyle w:val="H4GR"/>
      </w:pPr>
      <w:r w:rsidRPr="0008057F">
        <w:tab/>
      </w:r>
      <w:r w:rsidRPr="0008057F">
        <w:tab/>
        <w:t>Глава</w:t>
      </w:r>
      <w:r>
        <w:t xml:space="preserve"> </w:t>
      </w:r>
      <w:r w:rsidRPr="0008057F">
        <w:rPr>
          <w:lang w:val="en-GB"/>
        </w:rPr>
        <w:t>IV</w:t>
      </w:r>
    </w:p>
    <w:p w:rsidR="008B0AA6" w:rsidRPr="007B0B70" w:rsidRDefault="00E61BE9" w:rsidP="008B0AA6">
      <w:pPr>
        <w:pStyle w:val="H4GR"/>
        <w:rPr>
          <w:i w:val="0"/>
        </w:rPr>
      </w:pPr>
      <w:r>
        <w:tab/>
      </w:r>
      <w:r>
        <w:tab/>
      </w:r>
      <w:r w:rsidR="008B0AA6" w:rsidRPr="0008057F">
        <w:t>Рассмотрение докладов, представленных государствами-участниками</w:t>
      </w:r>
      <w:r w:rsidR="008B0AA6">
        <w:br/>
      </w:r>
      <w:r w:rsidR="00E320BE">
        <w:tab/>
      </w:r>
      <w:r w:rsidR="00E320BE">
        <w:tab/>
      </w:r>
      <w:r w:rsidR="008B0AA6" w:rsidRPr="0008057F">
        <w:t>в соответствии со статьей</w:t>
      </w:r>
      <w:r w:rsidR="008B0AA6">
        <w:t xml:space="preserve"> </w:t>
      </w:r>
      <w:r w:rsidR="008B0AA6" w:rsidRPr="0008057F">
        <w:t xml:space="preserve">40 Пакта </w:t>
      </w:r>
      <w:r w:rsidR="008B0AA6" w:rsidRPr="007B0B70">
        <w:rPr>
          <w:i w:val="0"/>
        </w:rPr>
        <w:t>(</w:t>
      </w:r>
      <w:r w:rsidR="008B0AA6" w:rsidRPr="007B0B70">
        <w:rPr>
          <w:i w:val="0"/>
          <w:lang w:val="en-GB"/>
        </w:rPr>
        <w:t>CCPR</w:t>
      </w:r>
      <w:r w:rsidR="008B0AA6" w:rsidRPr="007B0B70">
        <w:rPr>
          <w:i w:val="0"/>
        </w:rPr>
        <w:t>/</w:t>
      </w:r>
      <w:r w:rsidR="008B0AA6" w:rsidRPr="007B0B70">
        <w:rPr>
          <w:i w:val="0"/>
          <w:lang w:val="en-GB"/>
        </w:rPr>
        <w:t>C</w:t>
      </w:r>
      <w:r w:rsidR="008B0AA6" w:rsidRPr="007B0B70">
        <w:rPr>
          <w:i w:val="0"/>
        </w:rPr>
        <w:t>/102/</w:t>
      </w:r>
      <w:r w:rsidR="008B0AA6" w:rsidRPr="007B0B70">
        <w:rPr>
          <w:i w:val="0"/>
          <w:lang w:val="en-GB"/>
        </w:rPr>
        <w:t>CRP</w:t>
      </w:r>
      <w:r w:rsidR="008B0AA6" w:rsidRPr="007B0B70">
        <w:rPr>
          <w:i w:val="0"/>
        </w:rPr>
        <w:t>.1/</w:t>
      </w:r>
      <w:r w:rsidR="008B0AA6" w:rsidRPr="007B0B70">
        <w:rPr>
          <w:i w:val="0"/>
          <w:lang w:val="en-GB"/>
        </w:rPr>
        <w:t>Add</w:t>
      </w:r>
      <w:r w:rsidR="008B0AA6" w:rsidRPr="007B0B70">
        <w:rPr>
          <w:i w:val="0"/>
        </w:rPr>
        <w:t>.4)</w:t>
      </w:r>
    </w:p>
    <w:p w:rsidR="008B0AA6" w:rsidRPr="0008057F" w:rsidRDefault="008B0AA6" w:rsidP="008B0AA6">
      <w:pPr>
        <w:pStyle w:val="SingleTxtGR"/>
      </w:pPr>
      <w:r w:rsidRPr="0008057F">
        <w:t>35.</w:t>
      </w:r>
      <w:r w:rsidRPr="0008057F">
        <w:tab/>
      </w:r>
      <w:r w:rsidRPr="00C103FF">
        <w:rPr>
          <w:i/>
        </w:rPr>
        <w:t xml:space="preserve">Глава </w:t>
      </w:r>
      <w:r w:rsidRPr="00C103FF">
        <w:rPr>
          <w:i/>
          <w:lang w:val="en-GB"/>
        </w:rPr>
        <w:t>IV</w:t>
      </w:r>
      <w:r w:rsidRPr="00C103FF">
        <w:rPr>
          <w:i/>
        </w:rPr>
        <w:t xml:space="preserve"> принимается при условии внесения необходимых дополнений.</w:t>
      </w:r>
    </w:p>
    <w:p w:rsidR="00E61BE9" w:rsidRDefault="008B0AA6" w:rsidP="00E320BE">
      <w:pPr>
        <w:pStyle w:val="H4GR"/>
        <w:ind w:left="851" w:hanging="851"/>
      </w:pPr>
      <w:r w:rsidRPr="0008057F">
        <w:tab/>
      </w:r>
      <w:r w:rsidRPr="0008057F">
        <w:tab/>
        <w:t xml:space="preserve">Глава </w:t>
      </w:r>
      <w:r w:rsidRPr="0008057F">
        <w:rPr>
          <w:lang w:val="en-GB"/>
        </w:rPr>
        <w:t>V</w:t>
      </w:r>
    </w:p>
    <w:p w:rsidR="008B0AA6" w:rsidRPr="00FA77A6" w:rsidRDefault="00E61BE9" w:rsidP="00E320BE">
      <w:pPr>
        <w:pStyle w:val="H4GR"/>
        <w:ind w:left="851" w:hanging="851"/>
        <w:rPr>
          <w:i w:val="0"/>
        </w:rPr>
      </w:pPr>
      <w:r>
        <w:tab/>
      </w:r>
      <w:r>
        <w:tab/>
      </w:r>
      <w:r w:rsidR="008B0AA6" w:rsidRPr="0008057F">
        <w:t xml:space="preserve">Рассмотрение сообщений в соответствии с Факультативным протоколом </w:t>
      </w:r>
      <w:r w:rsidR="00E320BE">
        <w:tab/>
      </w:r>
      <w:r w:rsidR="008B0AA6" w:rsidRPr="00FA77A6">
        <w:rPr>
          <w:i w:val="0"/>
        </w:rPr>
        <w:t>(</w:t>
      </w:r>
      <w:r w:rsidR="008B0AA6" w:rsidRPr="00FA77A6">
        <w:rPr>
          <w:i w:val="0"/>
          <w:lang w:val="en-GB"/>
        </w:rPr>
        <w:t>CCPR</w:t>
      </w:r>
      <w:r w:rsidR="008B0AA6" w:rsidRPr="00FA77A6">
        <w:rPr>
          <w:i w:val="0"/>
        </w:rPr>
        <w:t>/</w:t>
      </w:r>
      <w:r w:rsidR="008B0AA6" w:rsidRPr="00FA77A6">
        <w:rPr>
          <w:i w:val="0"/>
          <w:lang w:val="en-GB"/>
        </w:rPr>
        <w:t>C</w:t>
      </w:r>
      <w:r w:rsidR="008B0AA6" w:rsidRPr="00FA77A6">
        <w:rPr>
          <w:i w:val="0"/>
        </w:rPr>
        <w:t>/102/</w:t>
      </w:r>
      <w:r w:rsidR="008B0AA6" w:rsidRPr="00FA77A6">
        <w:rPr>
          <w:i w:val="0"/>
          <w:lang w:val="en-GB"/>
        </w:rPr>
        <w:t>CRP</w:t>
      </w:r>
      <w:r w:rsidR="008B0AA6" w:rsidRPr="00FA77A6">
        <w:rPr>
          <w:i w:val="0"/>
        </w:rPr>
        <w:t>.1/</w:t>
      </w:r>
      <w:r w:rsidR="008B0AA6" w:rsidRPr="00FA77A6">
        <w:rPr>
          <w:i w:val="0"/>
          <w:lang w:val="en-GB"/>
        </w:rPr>
        <w:t>Add</w:t>
      </w:r>
      <w:r w:rsidR="008B0AA6" w:rsidRPr="00FA77A6">
        <w:rPr>
          <w:i w:val="0"/>
        </w:rPr>
        <w:t>.5)</w:t>
      </w:r>
    </w:p>
    <w:p w:rsidR="008B0AA6" w:rsidRPr="0008057F" w:rsidRDefault="008B0AA6" w:rsidP="008B0AA6">
      <w:pPr>
        <w:pStyle w:val="SingleTxtGR"/>
      </w:pPr>
      <w:r w:rsidRPr="0008057F">
        <w:t>36.</w:t>
      </w:r>
      <w:r w:rsidRPr="0008057F">
        <w:tab/>
      </w:r>
      <w:r w:rsidRPr="0008057F">
        <w:rPr>
          <w:b/>
        </w:rPr>
        <w:t>Г-н Телин</w:t>
      </w:r>
      <w:r w:rsidRPr="0008057F">
        <w:t xml:space="preserve"> предлагает добавить сноску с указанием на замечание общего порядка № 33 Комитета в отношении обязательств государств-участников по Факультативному протоколу.</w:t>
      </w:r>
    </w:p>
    <w:p w:rsidR="008B0AA6" w:rsidRPr="0008057F" w:rsidRDefault="008B0AA6" w:rsidP="008B0AA6">
      <w:pPr>
        <w:pStyle w:val="SingleTxtGR"/>
      </w:pPr>
      <w:r w:rsidRPr="0008057F">
        <w:t>37.</w:t>
      </w:r>
      <w:r w:rsidRPr="0008057F">
        <w:tab/>
      </w:r>
      <w:r>
        <w:rPr>
          <w:b/>
        </w:rPr>
        <w:t>Г-н О</w:t>
      </w:r>
      <w:r w:rsidRPr="007B0B70">
        <w:rPr>
          <w:b/>
        </w:rPr>
        <w:t>'</w:t>
      </w:r>
      <w:r w:rsidRPr="0008057F">
        <w:rPr>
          <w:b/>
        </w:rPr>
        <w:t>Флаэрти</w:t>
      </w:r>
      <w:r w:rsidRPr="0008057F">
        <w:t xml:space="preserve"> поддерживает это предложение и считает, что ссылка на замечание общего порядка № 33 даже может стать предметом короткого о</w:t>
      </w:r>
      <w:r w:rsidRPr="0008057F">
        <w:t>т</w:t>
      </w:r>
      <w:r w:rsidRPr="0008057F">
        <w:t>дельного пункта. Кроме того, неплохо было бы упомянуть в этой главе пор</w:t>
      </w:r>
      <w:r w:rsidRPr="0008057F">
        <w:t>у</w:t>
      </w:r>
      <w:r w:rsidRPr="0008057F">
        <w:t>ченное г-ну Сальвиоли изучение вопроса о мерах по возмещению.</w:t>
      </w:r>
    </w:p>
    <w:p w:rsidR="008B0AA6" w:rsidRPr="00AA4D27" w:rsidRDefault="008B0AA6" w:rsidP="008B0AA6">
      <w:pPr>
        <w:pStyle w:val="SingleTxtGR"/>
        <w:rPr>
          <w:i/>
        </w:rPr>
      </w:pPr>
      <w:r w:rsidRPr="0008057F">
        <w:t>38.</w:t>
      </w:r>
      <w:r w:rsidRPr="0008057F">
        <w:tab/>
      </w:r>
      <w:r w:rsidRPr="00AA4D27">
        <w:rPr>
          <w:i/>
        </w:rPr>
        <w:t>Предложения г-на Телина и г-на</w:t>
      </w:r>
      <w:r w:rsidRPr="00AA4D27">
        <w:rPr>
          <w:b/>
          <w:i/>
        </w:rPr>
        <w:t xml:space="preserve"> </w:t>
      </w:r>
      <w:r w:rsidRPr="00AA4D27">
        <w:rPr>
          <w:i/>
        </w:rPr>
        <w:t>О'Флаэрти принимаются.</w:t>
      </w:r>
    </w:p>
    <w:p w:rsidR="008B0AA6" w:rsidRPr="00AA4D27" w:rsidRDefault="008B0AA6" w:rsidP="008B0AA6">
      <w:pPr>
        <w:pStyle w:val="SingleTxtGR"/>
        <w:rPr>
          <w:i/>
        </w:rPr>
      </w:pPr>
      <w:r w:rsidRPr="0008057F">
        <w:t>39.</w:t>
      </w:r>
      <w:r w:rsidRPr="0008057F">
        <w:tab/>
      </w:r>
      <w:r w:rsidRPr="00AA4D27">
        <w:rPr>
          <w:i/>
        </w:rPr>
        <w:t xml:space="preserve">Глава </w:t>
      </w:r>
      <w:r w:rsidRPr="00AA4D27">
        <w:rPr>
          <w:i/>
          <w:lang w:val="en-GB"/>
        </w:rPr>
        <w:t>V</w:t>
      </w:r>
      <w:r w:rsidRPr="00AA4D27">
        <w:rPr>
          <w:i/>
        </w:rPr>
        <w:t xml:space="preserve"> с внесенными в нее изменениями принимается.</w:t>
      </w:r>
    </w:p>
    <w:p w:rsidR="00E61BE9" w:rsidRDefault="008B0AA6" w:rsidP="008B0AA6">
      <w:pPr>
        <w:pStyle w:val="H4GR"/>
      </w:pPr>
      <w:r w:rsidRPr="0008057F">
        <w:tab/>
      </w:r>
      <w:r w:rsidRPr="0008057F">
        <w:tab/>
        <w:t xml:space="preserve">Глава </w:t>
      </w:r>
      <w:r w:rsidRPr="0008057F">
        <w:rPr>
          <w:lang w:val="en-GB"/>
        </w:rPr>
        <w:t>VI</w:t>
      </w:r>
    </w:p>
    <w:p w:rsidR="008B0AA6" w:rsidRPr="007B0B70" w:rsidRDefault="00E61BE9" w:rsidP="008B0AA6">
      <w:pPr>
        <w:pStyle w:val="H4GR"/>
        <w:rPr>
          <w:i w:val="0"/>
        </w:rPr>
      </w:pPr>
      <w:r>
        <w:tab/>
      </w:r>
      <w:r w:rsidR="008B0AA6" w:rsidRPr="0008057F">
        <w:tab/>
        <w:t xml:space="preserve">Последующая деятельность в связи с индивидуальными сообщениями </w:t>
      </w:r>
      <w:r w:rsidR="00E320BE">
        <w:br/>
      </w:r>
      <w:r w:rsidR="00E320BE">
        <w:tab/>
      </w:r>
      <w:r w:rsidR="00E320BE">
        <w:tab/>
      </w:r>
      <w:r w:rsidR="008B0AA6" w:rsidRPr="0008057F">
        <w:t>в соответствии с Факультативным протоколом</w:t>
      </w:r>
      <w:r w:rsidR="008B0AA6" w:rsidRPr="007B0B70">
        <w:rPr>
          <w:i w:val="0"/>
        </w:rPr>
        <w:t xml:space="preserve"> (</w:t>
      </w:r>
      <w:r w:rsidR="008B0AA6" w:rsidRPr="007B0B70">
        <w:rPr>
          <w:i w:val="0"/>
          <w:lang w:val="en-GB"/>
        </w:rPr>
        <w:t>CCPR</w:t>
      </w:r>
      <w:r w:rsidR="008B0AA6" w:rsidRPr="007B0B70">
        <w:rPr>
          <w:i w:val="0"/>
        </w:rPr>
        <w:t>/</w:t>
      </w:r>
      <w:r w:rsidR="008B0AA6" w:rsidRPr="007B0B70">
        <w:rPr>
          <w:i w:val="0"/>
          <w:lang w:val="en-GB"/>
        </w:rPr>
        <w:t>C</w:t>
      </w:r>
      <w:r w:rsidR="008B0AA6" w:rsidRPr="007B0B70">
        <w:rPr>
          <w:i w:val="0"/>
        </w:rPr>
        <w:t>/102/</w:t>
      </w:r>
      <w:r w:rsidR="008B0AA6" w:rsidRPr="007B0B70">
        <w:rPr>
          <w:i w:val="0"/>
          <w:lang w:val="en-GB"/>
        </w:rPr>
        <w:t>CRP</w:t>
      </w:r>
      <w:r w:rsidR="008B0AA6" w:rsidRPr="007B0B70">
        <w:rPr>
          <w:i w:val="0"/>
        </w:rPr>
        <w:t>.1/</w:t>
      </w:r>
      <w:r w:rsidR="008B0AA6" w:rsidRPr="007B0B70">
        <w:rPr>
          <w:i w:val="0"/>
          <w:lang w:val="en-GB"/>
        </w:rPr>
        <w:t>Add</w:t>
      </w:r>
      <w:r w:rsidR="008B0AA6" w:rsidRPr="007B0B70">
        <w:rPr>
          <w:i w:val="0"/>
        </w:rPr>
        <w:t>.6)</w:t>
      </w:r>
    </w:p>
    <w:p w:rsidR="008B0AA6" w:rsidRPr="0008057F" w:rsidRDefault="008B0AA6" w:rsidP="008B0AA6">
      <w:pPr>
        <w:pStyle w:val="SingleTxtGR"/>
      </w:pPr>
      <w:r w:rsidRPr="0008057F">
        <w:t>40.</w:t>
      </w:r>
      <w:r w:rsidRPr="0008057F">
        <w:tab/>
      </w:r>
      <w:r>
        <w:rPr>
          <w:b/>
        </w:rPr>
        <w:t>Г-н О</w:t>
      </w:r>
      <w:r w:rsidRPr="00AA4D27">
        <w:rPr>
          <w:b/>
        </w:rPr>
        <w:t>'</w:t>
      </w:r>
      <w:r w:rsidRPr="0008057F">
        <w:rPr>
          <w:b/>
        </w:rPr>
        <w:t>Флаэрти</w:t>
      </w:r>
      <w:r w:rsidRPr="0008057F">
        <w:t xml:space="preserve"> предлагает добавить небольшой пункт с </w:t>
      </w:r>
      <w:r>
        <w:t>раз</w:t>
      </w:r>
      <w:r w:rsidRPr="0008057F">
        <w:t>ъяснением процедуры наблюдения за последующей деятельностью и порядком ее осущ</w:t>
      </w:r>
      <w:r w:rsidRPr="0008057F">
        <w:t>е</w:t>
      </w:r>
      <w:r w:rsidRPr="0008057F">
        <w:t>ствления.</w:t>
      </w:r>
    </w:p>
    <w:p w:rsidR="008B0AA6" w:rsidRPr="0008057F" w:rsidRDefault="008B0AA6" w:rsidP="008B0AA6">
      <w:pPr>
        <w:pStyle w:val="SingleTxtGR"/>
      </w:pPr>
      <w:r w:rsidRPr="0008057F">
        <w:t>41.</w:t>
      </w:r>
      <w:r w:rsidRPr="0008057F">
        <w:tab/>
      </w:r>
      <w:r w:rsidRPr="0008057F">
        <w:rPr>
          <w:b/>
        </w:rPr>
        <w:t>Г-жа Келлер</w:t>
      </w:r>
      <w:r w:rsidRPr="0008057F">
        <w:t xml:space="preserve"> говорит, что, если в другой части проекта ежегодного до</w:t>
      </w:r>
      <w:r w:rsidRPr="0008057F">
        <w:t>к</w:t>
      </w:r>
      <w:r w:rsidRPr="0008057F">
        <w:t>лада нет пункта по этому вопросу, новый пункт будет добавлен к настоящей главе.</w:t>
      </w:r>
    </w:p>
    <w:p w:rsidR="008B0AA6" w:rsidRPr="00AA4D27" w:rsidRDefault="008B0AA6" w:rsidP="008B0AA6">
      <w:pPr>
        <w:pStyle w:val="SingleTxtGR"/>
        <w:rPr>
          <w:i/>
        </w:rPr>
      </w:pPr>
      <w:r w:rsidRPr="0008057F">
        <w:t>42.</w:t>
      </w:r>
      <w:r w:rsidRPr="0008057F">
        <w:tab/>
      </w:r>
      <w:r w:rsidRPr="00AA4D27">
        <w:rPr>
          <w:i/>
        </w:rPr>
        <w:t xml:space="preserve">Глава </w:t>
      </w:r>
      <w:r w:rsidRPr="00AA4D27">
        <w:rPr>
          <w:i/>
          <w:lang w:val="en-GB"/>
        </w:rPr>
        <w:t>VI</w:t>
      </w:r>
      <w:r w:rsidRPr="00AA4D27">
        <w:rPr>
          <w:i/>
        </w:rPr>
        <w:t xml:space="preserve"> с внесенными в нее изменениями принимается.</w:t>
      </w:r>
    </w:p>
    <w:p w:rsidR="00E61BE9" w:rsidRDefault="008B0AA6" w:rsidP="008B0AA6">
      <w:pPr>
        <w:pStyle w:val="H4GR"/>
      </w:pPr>
      <w:r w:rsidRPr="0008057F">
        <w:tab/>
      </w:r>
      <w:r w:rsidRPr="0008057F">
        <w:tab/>
        <w:t xml:space="preserve">Глава </w:t>
      </w:r>
      <w:r w:rsidRPr="0008057F">
        <w:rPr>
          <w:lang w:val="en-GB"/>
        </w:rPr>
        <w:t>VII</w:t>
      </w:r>
    </w:p>
    <w:p w:rsidR="008B0AA6" w:rsidRPr="0008057F" w:rsidRDefault="00E61BE9" w:rsidP="008B0AA6">
      <w:pPr>
        <w:pStyle w:val="H4GR"/>
      </w:pPr>
      <w:r>
        <w:tab/>
      </w:r>
      <w:r>
        <w:tab/>
      </w:r>
      <w:r w:rsidR="008B0AA6" w:rsidRPr="0008057F">
        <w:t>Проект доклада Комитета по правам человека Генеральной А</w:t>
      </w:r>
      <w:r w:rsidR="008B0AA6" w:rsidRPr="0008057F">
        <w:t>с</w:t>
      </w:r>
      <w:r w:rsidR="008B0AA6" w:rsidRPr="0008057F">
        <w:t xml:space="preserve">самблее </w:t>
      </w:r>
      <w:r w:rsidR="008B0AA6" w:rsidRPr="001E4A2C">
        <w:br/>
      </w:r>
      <w:r w:rsidR="00E320BE">
        <w:tab/>
      </w:r>
      <w:r w:rsidR="00E320BE">
        <w:tab/>
      </w:r>
      <w:r w:rsidR="008B0AA6" w:rsidRPr="0008057F">
        <w:t xml:space="preserve">на ее шестьдесят шестой сессии </w:t>
      </w:r>
    </w:p>
    <w:p w:rsidR="008B0AA6" w:rsidRPr="00AA4D27" w:rsidRDefault="008B0AA6" w:rsidP="008B0AA6">
      <w:pPr>
        <w:pStyle w:val="H4GR"/>
        <w:rPr>
          <w:i w:val="0"/>
        </w:rPr>
      </w:pPr>
      <w:r w:rsidRPr="0008057F">
        <w:tab/>
      </w:r>
      <w:r w:rsidRPr="0008057F">
        <w:tab/>
        <w:t xml:space="preserve">Последующая деятельность в связи с заключительными замечаниями </w:t>
      </w:r>
      <w:r w:rsidR="00E320BE">
        <w:tab/>
      </w:r>
      <w:r w:rsidR="00E320BE">
        <w:tab/>
      </w:r>
      <w:r w:rsidR="00E320BE">
        <w:tab/>
      </w:r>
      <w:r w:rsidR="00E320BE">
        <w:tab/>
      </w:r>
      <w:r w:rsidR="00E320BE">
        <w:tab/>
      </w:r>
      <w:r w:rsidRPr="00AA4D27">
        <w:rPr>
          <w:i w:val="0"/>
        </w:rPr>
        <w:t>(</w:t>
      </w:r>
      <w:r w:rsidRPr="00AA4D27">
        <w:rPr>
          <w:i w:val="0"/>
          <w:lang w:val="en-GB"/>
        </w:rPr>
        <w:t>CCPR</w:t>
      </w:r>
      <w:r w:rsidRPr="00AA4D27">
        <w:rPr>
          <w:i w:val="0"/>
        </w:rPr>
        <w:t>/</w:t>
      </w:r>
      <w:r w:rsidRPr="00AA4D27">
        <w:rPr>
          <w:i w:val="0"/>
          <w:lang w:val="en-GB"/>
        </w:rPr>
        <w:t>C</w:t>
      </w:r>
      <w:r w:rsidRPr="00AA4D27">
        <w:rPr>
          <w:i w:val="0"/>
        </w:rPr>
        <w:t>/102/</w:t>
      </w:r>
      <w:r w:rsidRPr="00AA4D27">
        <w:rPr>
          <w:i w:val="0"/>
          <w:lang w:val="en-GB"/>
        </w:rPr>
        <w:t>CRP</w:t>
      </w:r>
      <w:r w:rsidRPr="00AA4D27">
        <w:rPr>
          <w:i w:val="0"/>
        </w:rPr>
        <w:t>.1/</w:t>
      </w:r>
      <w:r w:rsidRPr="00AA4D27">
        <w:rPr>
          <w:i w:val="0"/>
          <w:lang w:val="en-GB"/>
        </w:rPr>
        <w:t>Add</w:t>
      </w:r>
      <w:r w:rsidRPr="00AA4D27">
        <w:rPr>
          <w:i w:val="0"/>
        </w:rPr>
        <w:t>.7)</w:t>
      </w:r>
    </w:p>
    <w:p w:rsidR="008B0AA6" w:rsidRPr="0008057F" w:rsidRDefault="008B0AA6" w:rsidP="008B0AA6">
      <w:pPr>
        <w:pStyle w:val="SingleTxtGR"/>
      </w:pPr>
      <w:r w:rsidRPr="0008057F">
        <w:t>43.</w:t>
      </w:r>
      <w:r w:rsidRPr="0008057F">
        <w:tab/>
      </w:r>
      <w:r w:rsidRPr="0008057F">
        <w:rPr>
          <w:b/>
        </w:rPr>
        <w:t>Г-жа Шане</w:t>
      </w:r>
      <w:r w:rsidRPr="0008057F">
        <w:t xml:space="preserve"> предлагает исключить прилагательные </w:t>
      </w:r>
      <w:r>
        <w:t>"</w:t>
      </w:r>
      <w:r w:rsidRPr="0008057F">
        <w:t>широкое</w:t>
      </w:r>
      <w:r>
        <w:t>"</w:t>
      </w:r>
      <w:r w:rsidRPr="0008057F">
        <w:t xml:space="preserve"> и </w:t>
      </w:r>
      <w:r>
        <w:t>"</w:t>
      </w:r>
      <w:r w:rsidRPr="0008057F">
        <w:t>акти</w:t>
      </w:r>
      <w:r w:rsidRPr="0008057F">
        <w:t>в</w:t>
      </w:r>
      <w:r w:rsidRPr="0008057F">
        <w:t>ное</w:t>
      </w:r>
      <w:r>
        <w:t>"</w:t>
      </w:r>
      <w:r w:rsidRPr="0008057F">
        <w:t>, которыми характер</w:t>
      </w:r>
      <w:r w:rsidRPr="0008057F">
        <w:t>и</w:t>
      </w:r>
      <w:r w:rsidRPr="0008057F">
        <w:t>зуется сотрудничество между государствами-участниками в пункте 205, а также отмечает, что в этом же пункте не упомин</w:t>
      </w:r>
      <w:r w:rsidRPr="0008057F">
        <w:t>а</w:t>
      </w:r>
      <w:r w:rsidRPr="0008057F">
        <w:t>ется МООНК, тогда как речь идет об администрации, на которую распростр</w:t>
      </w:r>
      <w:r w:rsidRPr="0008057F">
        <w:t>а</w:t>
      </w:r>
      <w:r w:rsidRPr="0008057F">
        <w:t>няется процедура осуществления последу</w:t>
      </w:r>
      <w:r>
        <w:t>ющей деятельности. Н</w:t>
      </w:r>
      <w:r w:rsidRPr="0008057F">
        <w:t xml:space="preserve">аконец, </w:t>
      </w:r>
      <w:r>
        <w:br/>
      </w:r>
      <w:r w:rsidRPr="0008057F">
        <w:t>г-жа Шане говорит, что она встретилась с представителем Ботсваны, который выразил полную готовность к сотрудничеству и заверил ее в том, что запраш</w:t>
      </w:r>
      <w:r w:rsidRPr="0008057F">
        <w:t>и</w:t>
      </w:r>
      <w:r w:rsidRPr="0008057F">
        <w:t>ваемая информация будет представлена. В связи с этим будет неправильно о</w:t>
      </w:r>
      <w:r w:rsidRPr="0008057F">
        <w:t>т</w:t>
      </w:r>
      <w:r w:rsidRPr="0008057F">
        <w:t>носить это государство к категории таки</w:t>
      </w:r>
      <w:r>
        <w:t>х</w:t>
      </w:r>
      <w:r w:rsidRPr="0008057F">
        <w:t xml:space="preserve"> стран, как Никарагуа или Панама, к</w:t>
      </w:r>
      <w:r w:rsidRPr="0008057F">
        <w:t>о</w:t>
      </w:r>
      <w:r w:rsidRPr="0008057F">
        <w:t>торые, несмотря на многочисленные напоминания</w:t>
      </w:r>
      <w:r>
        <w:t>,</w:t>
      </w:r>
      <w:r w:rsidRPr="0008057F">
        <w:t xml:space="preserve"> до сих пор не представили инфо</w:t>
      </w:r>
      <w:r w:rsidRPr="0008057F">
        <w:t>р</w:t>
      </w:r>
      <w:r w:rsidRPr="0008057F">
        <w:t>мацию, запрашиваемую в течение многих лет.</w:t>
      </w:r>
    </w:p>
    <w:p w:rsidR="008B0AA6" w:rsidRPr="0008057F" w:rsidRDefault="008B0AA6" w:rsidP="008B0AA6">
      <w:pPr>
        <w:pStyle w:val="SingleTxtGR"/>
      </w:pPr>
      <w:r w:rsidRPr="0008057F">
        <w:t>44.</w:t>
      </w:r>
      <w:r w:rsidRPr="0008057F">
        <w:tab/>
      </w:r>
      <w:r w:rsidRPr="0008057F">
        <w:rPr>
          <w:b/>
        </w:rPr>
        <w:t>Г-жа Келлер</w:t>
      </w:r>
      <w:r w:rsidRPr="0008057F">
        <w:t xml:space="preserve"> (Докладчик) говорит, что она внесет изменения в пункт 205 с учетом замечания г-жи Шане.</w:t>
      </w:r>
    </w:p>
    <w:p w:rsidR="008B0AA6" w:rsidRPr="0008057F" w:rsidRDefault="008B0AA6" w:rsidP="008B0AA6">
      <w:pPr>
        <w:pStyle w:val="SingleTxtGR"/>
      </w:pPr>
      <w:r w:rsidRPr="0008057F">
        <w:t>45.</w:t>
      </w:r>
      <w:r w:rsidRPr="0008057F">
        <w:tab/>
      </w:r>
      <w:r>
        <w:rPr>
          <w:b/>
        </w:rPr>
        <w:t>Г-н О</w:t>
      </w:r>
      <w:r w:rsidRPr="00A34DCF">
        <w:rPr>
          <w:b/>
        </w:rPr>
        <w:t>'</w:t>
      </w:r>
      <w:r w:rsidRPr="0008057F">
        <w:rPr>
          <w:b/>
        </w:rPr>
        <w:t>Флаэрти</w:t>
      </w:r>
      <w:r w:rsidRPr="0008057F">
        <w:t xml:space="preserve"> говорит, что четвертое предложение </w:t>
      </w:r>
      <w:r>
        <w:t>следует изменить</w:t>
      </w:r>
      <w:r w:rsidRPr="0008057F">
        <w:t xml:space="preserve">, так как оно может вносить неясность, </w:t>
      </w:r>
      <w:r>
        <w:t>создавая впечатление того</w:t>
      </w:r>
      <w:r w:rsidRPr="0008057F">
        <w:t>, что ни одно из упомянутых государств никогда не представляло информацию с момента введ</w:t>
      </w:r>
      <w:r w:rsidRPr="0008057F">
        <w:t>е</w:t>
      </w:r>
      <w:r w:rsidRPr="0008057F">
        <w:t>ния этой пр</w:t>
      </w:r>
      <w:r w:rsidRPr="0008057F">
        <w:t>о</w:t>
      </w:r>
      <w:r w:rsidRPr="0008057F">
        <w:t>цедуры в 2001 году, что неправильно.</w:t>
      </w:r>
    </w:p>
    <w:p w:rsidR="008B0AA6" w:rsidRPr="0008057F" w:rsidRDefault="008B0AA6" w:rsidP="008B0AA6">
      <w:pPr>
        <w:pStyle w:val="SingleTxtGR"/>
      </w:pPr>
      <w:r w:rsidRPr="0008057F">
        <w:t>46.</w:t>
      </w:r>
      <w:r w:rsidRPr="0008057F">
        <w:tab/>
      </w:r>
      <w:r w:rsidRPr="0008057F">
        <w:rPr>
          <w:b/>
        </w:rPr>
        <w:t>Председатель</w:t>
      </w:r>
      <w:r w:rsidRPr="0008057F">
        <w:t xml:space="preserve"> поручает Докладчику и секретариату пересмотреть реда</w:t>
      </w:r>
      <w:r w:rsidRPr="0008057F">
        <w:t>к</w:t>
      </w:r>
      <w:r w:rsidRPr="0008057F">
        <w:t>цию пункта 205 на всех трех рабочих языках, чтобы устранить любую возмо</w:t>
      </w:r>
      <w:r w:rsidRPr="0008057F">
        <w:t>ж</w:t>
      </w:r>
      <w:r w:rsidRPr="0008057F">
        <w:t>ную двусмысленность.</w:t>
      </w:r>
    </w:p>
    <w:p w:rsidR="008B0AA6" w:rsidRPr="00A210D5" w:rsidRDefault="008B0AA6" w:rsidP="008B0AA6">
      <w:pPr>
        <w:pStyle w:val="SingleTxtGR"/>
        <w:rPr>
          <w:i/>
        </w:rPr>
      </w:pPr>
      <w:r w:rsidRPr="0008057F">
        <w:t>47.</w:t>
      </w:r>
      <w:r w:rsidRPr="0008057F">
        <w:tab/>
      </w:r>
      <w:r w:rsidRPr="00A210D5">
        <w:rPr>
          <w:i/>
        </w:rPr>
        <w:t xml:space="preserve">Глава </w:t>
      </w:r>
      <w:r w:rsidRPr="00A210D5">
        <w:rPr>
          <w:i/>
          <w:lang w:val="en-GB"/>
        </w:rPr>
        <w:t>VII</w:t>
      </w:r>
      <w:r w:rsidRPr="00A210D5">
        <w:rPr>
          <w:i/>
        </w:rPr>
        <w:t xml:space="preserve"> с внесенными в нее изменениями принимается.</w:t>
      </w:r>
    </w:p>
    <w:p w:rsidR="008B0AA6" w:rsidRPr="0008057F" w:rsidRDefault="008B0AA6" w:rsidP="008B0AA6">
      <w:pPr>
        <w:pStyle w:val="H4GR"/>
      </w:pPr>
      <w:r w:rsidRPr="0008057F">
        <w:tab/>
      </w:r>
      <w:r w:rsidRPr="0008057F">
        <w:tab/>
        <w:t>Приложение</w:t>
      </w:r>
      <w:r>
        <w:t xml:space="preserve"> </w:t>
      </w:r>
      <w:r w:rsidRPr="0008057F">
        <w:rPr>
          <w:lang w:val="en-GB"/>
        </w:rPr>
        <w:t>I</w:t>
      </w:r>
    </w:p>
    <w:p w:rsidR="008B0AA6" w:rsidRPr="00A210D5" w:rsidRDefault="008B0AA6" w:rsidP="008B0AA6">
      <w:pPr>
        <w:pStyle w:val="H4GR"/>
        <w:rPr>
          <w:i w:val="0"/>
        </w:rPr>
      </w:pPr>
      <w:r w:rsidRPr="0008057F">
        <w:tab/>
      </w:r>
      <w:r w:rsidRPr="0008057F">
        <w:tab/>
        <w:t>Государства</w:t>
      </w:r>
      <w:r>
        <w:t xml:space="preserve"> − </w:t>
      </w:r>
      <w:r w:rsidRPr="0008057F">
        <w:t>участники Международного пакта о гражданских и политических</w:t>
      </w:r>
      <w:r w:rsidR="00D766B0">
        <w:br/>
      </w:r>
      <w:r w:rsidR="00D766B0">
        <w:tab/>
      </w:r>
      <w:r w:rsidR="00D766B0">
        <w:tab/>
      </w:r>
      <w:r w:rsidRPr="0008057F">
        <w:t>правах и Факультативных протоколов и государства, сделавшие заявление</w:t>
      </w:r>
      <w:r>
        <w:br/>
      </w:r>
      <w:r w:rsidR="00D766B0">
        <w:tab/>
      </w:r>
      <w:r w:rsidR="00D766B0">
        <w:tab/>
      </w:r>
      <w:r w:rsidRPr="0008057F">
        <w:t>в соответствии со статьей 41 Пакта, по состоянию на 29 июля 2011 года</w:t>
      </w:r>
      <w:r w:rsidR="00D766B0">
        <w:br/>
      </w:r>
      <w:r w:rsidR="00D766B0">
        <w:tab/>
      </w:r>
      <w:r w:rsidR="00D766B0">
        <w:tab/>
      </w:r>
      <w:r w:rsidRPr="00A210D5">
        <w:rPr>
          <w:i w:val="0"/>
        </w:rPr>
        <w:t>(</w:t>
      </w:r>
      <w:r w:rsidRPr="00A210D5">
        <w:rPr>
          <w:i w:val="0"/>
          <w:lang w:val="en-GB"/>
        </w:rPr>
        <w:t>CCPR</w:t>
      </w:r>
      <w:r w:rsidRPr="00A210D5">
        <w:rPr>
          <w:i w:val="0"/>
        </w:rPr>
        <w:t>/</w:t>
      </w:r>
      <w:r w:rsidRPr="00A210D5">
        <w:rPr>
          <w:i w:val="0"/>
          <w:lang w:val="en-GB"/>
        </w:rPr>
        <w:t>C</w:t>
      </w:r>
      <w:r w:rsidRPr="00A210D5">
        <w:rPr>
          <w:i w:val="0"/>
        </w:rPr>
        <w:t>/102/</w:t>
      </w:r>
      <w:r w:rsidRPr="00A210D5">
        <w:rPr>
          <w:i w:val="0"/>
          <w:lang w:val="en-GB"/>
        </w:rPr>
        <w:t>CRP</w:t>
      </w:r>
      <w:r w:rsidRPr="00A210D5">
        <w:rPr>
          <w:i w:val="0"/>
        </w:rPr>
        <w:t>.2)</w:t>
      </w:r>
    </w:p>
    <w:p w:rsidR="008B0AA6" w:rsidRPr="00A210D5" w:rsidRDefault="008B0AA6" w:rsidP="008B0AA6">
      <w:pPr>
        <w:pStyle w:val="SingleTxtGR"/>
        <w:rPr>
          <w:i/>
        </w:rPr>
      </w:pPr>
      <w:r w:rsidRPr="0008057F">
        <w:t>48.</w:t>
      </w:r>
      <w:r w:rsidRPr="0008057F">
        <w:tab/>
      </w:r>
      <w:r w:rsidRPr="00A210D5">
        <w:rPr>
          <w:i/>
        </w:rPr>
        <w:t xml:space="preserve">Приложение </w:t>
      </w:r>
      <w:r w:rsidRPr="00A210D5">
        <w:rPr>
          <w:i/>
          <w:lang w:val="en-GB"/>
        </w:rPr>
        <w:t>I</w:t>
      </w:r>
      <w:r w:rsidRPr="00A210D5">
        <w:rPr>
          <w:i/>
        </w:rPr>
        <w:t xml:space="preserve"> принимается при условии добавления в него даты всту</w:t>
      </w:r>
      <w:r w:rsidRPr="00A210D5">
        <w:rPr>
          <w:i/>
        </w:rPr>
        <w:t>п</w:t>
      </w:r>
      <w:r w:rsidRPr="00A210D5">
        <w:rPr>
          <w:i/>
        </w:rPr>
        <w:t>ления в силу Факультати</w:t>
      </w:r>
      <w:r w:rsidRPr="00A210D5">
        <w:rPr>
          <w:i/>
        </w:rPr>
        <w:t>в</w:t>
      </w:r>
      <w:r w:rsidRPr="00A210D5">
        <w:rPr>
          <w:i/>
        </w:rPr>
        <w:t>ного протокола для Хорватии.</w:t>
      </w:r>
    </w:p>
    <w:p w:rsidR="008B0AA6" w:rsidRPr="0008057F" w:rsidRDefault="008B0AA6" w:rsidP="008B0AA6">
      <w:pPr>
        <w:pStyle w:val="H4GR"/>
      </w:pPr>
      <w:r w:rsidRPr="0008057F">
        <w:tab/>
      </w:r>
      <w:r w:rsidRPr="0008057F">
        <w:tab/>
        <w:t xml:space="preserve">Приложение </w:t>
      </w:r>
      <w:r w:rsidRPr="0008057F">
        <w:rPr>
          <w:lang w:val="en-GB"/>
        </w:rPr>
        <w:t>II</w:t>
      </w:r>
    </w:p>
    <w:p w:rsidR="008B0AA6" w:rsidRPr="00A210D5" w:rsidRDefault="008B0AA6" w:rsidP="008B0AA6">
      <w:pPr>
        <w:pStyle w:val="H4GR"/>
        <w:rPr>
          <w:i w:val="0"/>
        </w:rPr>
      </w:pPr>
      <w:r w:rsidRPr="0008057F">
        <w:tab/>
      </w:r>
      <w:r w:rsidRPr="0008057F">
        <w:tab/>
        <w:t xml:space="preserve">Членский состав и должностные лица Комитета по правам человека, </w:t>
      </w:r>
      <w:r w:rsidR="00D766B0">
        <w:br/>
      </w:r>
      <w:r w:rsidR="00D766B0">
        <w:tab/>
      </w:r>
      <w:r w:rsidR="00D766B0">
        <w:tab/>
      </w:r>
      <w:r w:rsidRPr="0008057F">
        <w:t xml:space="preserve">2010−2011 годы </w:t>
      </w:r>
      <w:r w:rsidRPr="00A210D5">
        <w:rPr>
          <w:i w:val="0"/>
        </w:rPr>
        <w:t>(</w:t>
      </w:r>
      <w:r>
        <w:rPr>
          <w:i w:val="0"/>
          <w:lang w:val="en-GB"/>
        </w:rPr>
        <w:t>CC</w:t>
      </w:r>
      <w:r w:rsidRPr="00A210D5">
        <w:rPr>
          <w:i w:val="0"/>
          <w:lang w:val="en-GB"/>
        </w:rPr>
        <w:t>P</w:t>
      </w:r>
      <w:r>
        <w:rPr>
          <w:i w:val="0"/>
          <w:lang w:val="en-US"/>
        </w:rPr>
        <w:t>R</w:t>
      </w:r>
      <w:r w:rsidRPr="00A210D5">
        <w:rPr>
          <w:i w:val="0"/>
        </w:rPr>
        <w:t>/</w:t>
      </w:r>
      <w:r w:rsidRPr="00A210D5">
        <w:rPr>
          <w:i w:val="0"/>
          <w:lang w:val="en-GB"/>
        </w:rPr>
        <w:t>C</w:t>
      </w:r>
      <w:r w:rsidRPr="00A210D5">
        <w:rPr>
          <w:i w:val="0"/>
        </w:rPr>
        <w:t>/102/</w:t>
      </w:r>
      <w:r w:rsidRPr="00A210D5">
        <w:rPr>
          <w:i w:val="0"/>
          <w:lang w:val="en-GB"/>
        </w:rPr>
        <w:t>CRP</w:t>
      </w:r>
      <w:r w:rsidRPr="00A210D5">
        <w:rPr>
          <w:i w:val="0"/>
        </w:rPr>
        <w:t>.2/</w:t>
      </w:r>
      <w:r w:rsidRPr="00A210D5">
        <w:rPr>
          <w:i w:val="0"/>
          <w:lang w:val="en-GB"/>
        </w:rPr>
        <w:t>Add</w:t>
      </w:r>
      <w:r w:rsidRPr="00A210D5">
        <w:rPr>
          <w:i w:val="0"/>
        </w:rPr>
        <w:t>.1)</w:t>
      </w:r>
    </w:p>
    <w:p w:rsidR="008B0AA6" w:rsidRPr="0008057F" w:rsidRDefault="008B0AA6" w:rsidP="008B0AA6">
      <w:pPr>
        <w:pStyle w:val="SingleTxtGR"/>
      </w:pPr>
      <w:r w:rsidRPr="0008057F">
        <w:t>49.</w:t>
      </w:r>
      <w:r w:rsidRPr="0008057F">
        <w:tab/>
      </w:r>
      <w:r>
        <w:rPr>
          <w:b/>
        </w:rPr>
        <w:t>Г-н О</w:t>
      </w:r>
      <w:r w:rsidRPr="00A210D5">
        <w:rPr>
          <w:b/>
        </w:rPr>
        <w:t>'</w:t>
      </w:r>
      <w:r w:rsidRPr="0008057F">
        <w:rPr>
          <w:b/>
        </w:rPr>
        <w:t>Флаэрти</w:t>
      </w:r>
      <w:r w:rsidRPr="0008057F">
        <w:t xml:space="preserve"> хотел бы добавить над столбцом с перечислением стран происхождения членов Комитета слово </w:t>
      </w:r>
      <w:r>
        <w:t>"</w:t>
      </w:r>
      <w:r w:rsidRPr="0008057F">
        <w:t>Гражданство</w:t>
      </w:r>
      <w:r>
        <w:t>"</w:t>
      </w:r>
      <w:r w:rsidRPr="0008057F">
        <w:t>, чтобы было ясно, что члены Комитета являются гражданами, а не пре</w:t>
      </w:r>
      <w:r w:rsidRPr="0008057F">
        <w:t>д</w:t>
      </w:r>
      <w:r w:rsidRPr="0008057F">
        <w:t>ставителями этих стран.</w:t>
      </w:r>
    </w:p>
    <w:p w:rsidR="008B0AA6" w:rsidRPr="0008057F" w:rsidRDefault="008B0AA6" w:rsidP="008B0AA6">
      <w:pPr>
        <w:pStyle w:val="SingleTxtGR"/>
      </w:pPr>
      <w:r w:rsidRPr="0008057F">
        <w:t>50.</w:t>
      </w:r>
      <w:r w:rsidRPr="0008057F">
        <w:tab/>
      </w:r>
      <w:r w:rsidRPr="0008057F">
        <w:rPr>
          <w:b/>
        </w:rPr>
        <w:t>Г-н Флинтерман</w:t>
      </w:r>
      <w:r w:rsidRPr="0008057F">
        <w:t xml:space="preserve"> предлагает добавить также сноску со ссылкой на ст</w:t>
      </w:r>
      <w:r w:rsidRPr="0008057F">
        <w:t>а</w:t>
      </w:r>
      <w:r w:rsidRPr="0008057F">
        <w:t>тью 28 Пакта о том, что члены Комитета являются гражданами участвующих в Пакте государств и работаю</w:t>
      </w:r>
      <w:r>
        <w:t>т</w:t>
      </w:r>
      <w:r w:rsidRPr="0008057F">
        <w:t xml:space="preserve"> в личном качес</w:t>
      </w:r>
      <w:r w:rsidRPr="0008057F">
        <w:t>т</w:t>
      </w:r>
      <w:r w:rsidRPr="0008057F">
        <w:t>ве.</w:t>
      </w:r>
    </w:p>
    <w:p w:rsidR="008B0AA6" w:rsidRPr="0008057F" w:rsidRDefault="008B0AA6" w:rsidP="008B0AA6">
      <w:pPr>
        <w:pStyle w:val="SingleTxtGR"/>
      </w:pPr>
      <w:r w:rsidRPr="0008057F">
        <w:t>51.</w:t>
      </w:r>
      <w:r w:rsidRPr="0008057F">
        <w:tab/>
      </w:r>
      <w:r w:rsidRPr="00A36BE4">
        <w:rPr>
          <w:i/>
        </w:rPr>
        <w:t xml:space="preserve">Приложение </w:t>
      </w:r>
      <w:r w:rsidRPr="00A36BE4">
        <w:rPr>
          <w:i/>
          <w:lang w:val="en-GB"/>
        </w:rPr>
        <w:t>II</w:t>
      </w:r>
      <w:r w:rsidRPr="00A36BE4">
        <w:rPr>
          <w:i/>
        </w:rPr>
        <w:t xml:space="preserve"> с внесенными в него изменениями принимается.</w:t>
      </w:r>
    </w:p>
    <w:p w:rsidR="008B0AA6" w:rsidRPr="0008057F" w:rsidRDefault="008B0AA6" w:rsidP="008B0AA6">
      <w:pPr>
        <w:pStyle w:val="H4GR"/>
      </w:pPr>
      <w:r w:rsidRPr="0008057F">
        <w:tab/>
      </w:r>
      <w:r w:rsidRPr="0008057F">
        <w:tab/>
        <w:t xml:space="preserve">Приложение </w:t>
      </w:r>
      <w:r w:rsidRPr="0008057F">
        <w:rPr>
          <w:lang w:val="en-GB"/>
        </w:rPr>
        <w:t>III</w:t>
      </w:r>
    </w:p>
    <w:p w:rsidR="008B0AA6" w:rsidRPr="00A36BE4" w:rsidRDefault="008B0AA6" w:rsidP="008B0AA6">
      <w:pPr>
        <w:pStyle w:val="H4GR"/>
        <w:rPr>
          <w:i w:val="0"/>
        </w:rPr>
      </w:pPr>
      <w:r w:rsidRPr="0008057F">
        <w:tab/>
      </w:r>
      <w:r w:rsidRPr="0008057F">
        <w:tab/>
        <w:t xml:space="preserve">Представление докладов и дополнительной информации </w:t>
      </w:r>
      <w:r w:rsidR="00D766B0">
        <w:br/>
      </w:r>
      <w:r w:rsidR="00D766B0">
        <w:tab/>
      </w:r>
      <w:r w:rsidR="00D766B0">
        <w:tab/>
      </w:r>
      <w:r w:rsidRPr="0008057F">
        <w:t xml:space="preserve">государствами-участниками в соответствии со статьей 40 Пакта </w:t>
      </w:r>
      <w:r w:rsidR="00D766B0">
        <w:br/>
      </w:r>
      <w:r w:rsidR="00D766B0">
        <w:tab/>
      </w:r>
      <w:r w:rsidR="00D766B0">
        <w:tab/>
      </w:r>
      <w:r w:rsidRPr="0008057F">
        <w:t xml:space="preserve">(по состоянию на 29 июля 2011 года) </w:t>
      </w:r>
      <w:r w:rsidRPr="00A36BE4">
        <w:rPr>
          <w:i w:val="0"/>
        </w:rPr>
        <w:t>(</w:t>
      </w:r>
      <w:r w:rsidRPr="00A36BE4">
        <w:rPr>
          <w:i w:val="0"/>
          <w:lang w:val="en-GB"/>
        </w:rPr>
        <w:t>CCPR</w:t>
      </w:r>
      <w:r w:rsidRPr="00A36BE4">
        <w:rPr>
          <w:i w:val="0"/>
        </w:rPr>
        <w:t>/</w:t>
      </w:r>
      <w:r w:rsidRPr="00A36BE4">
        <w:rPr>
          <w:i w:val="0"/>
          <w:lang w:val="en-GB"/>
        </w:rPr>
        <w:t>C</w:t>
      </w:r>
      <w:r w:rsidRPr="00A36BE4">
        <w:rPr>
          <w:i w:val="0"/>
        </w:rPr>
        <w:t>/102/</w:t>
      </w:r>
      <w:r w:rsidRPr="00A36BE4">
        <w:rPr>
          <w:i w:val="0"/>
          <w:lang w:val="en-GB"/>
        </w:rPr>
        <w:t>CRP</w:t>
      </w:r>
      <w:r w:rsidRPr="00A36BE4">
        <w:rPr>
          <w:i w:val="0"/>
        </w:rPr>
        <w:t>.2/</w:t>
      </w:r>
      <w:r w:rsidRPr="00A36BE4">
        <w:rPr>
          <w:i w:val="0"/>
          <w:lang w:val="en-GB"/>
        </w:rPr>
        <w:t>Add</w:t>
      </w:r>
      <w:r w:rsidRPr="00A36BE4">
        <w:rPr>
          <w:i w:val="0"/>
        </w:rPr>
        <w:t>.2)</w:t>
      </w:r>
    </w:p>
    <w:p w:rsidR="008B0AA6" w:rsidRPr="0008057F" w:rsidRDefault="008B0AA6" w:rsidP="008B0AA6">
      <w:pPr>
        <w:pStyle w:val="SingleTxtGR"/>
      </w:pPr>
      <w:r w:rsidRPr="0008057F">
        <w:t>52.</w:t>
      </w:r>
      <w:r w:rsidRPr="0008057F">
        <w:tab/>
      </w:r>
      <w:r w:rsidRPr="0008057F">
        <w:rPr>
          <w:b/>
        </w:rPr>
        <w:t>Г-н Фатхалла</w:t>
      </w:r>
      <w:r w:rsidRPr="0008057F">
        <w:t xml:space="preserve"> предлагает добавить сноску с указанием того, что сущес</w:t>
      </w:r>
      <w:r w:rsidRPr="0008057F">
        <w:t>т</w:t>
      </w:r>
      <w:r w:rsidRPr="0008057F">
        <w:t>вует правило, согласно которому, если государство-участник не представит доклад по истечении определенного количества лет, то положение в стране м</w:t>
      </w:r>
      <w:r w:rsidRPr="0008057F">
        <w:t>о</w:t>
      </w:r>
      <w:r w:rsidRPr="0008057F">
        <w:t>жет быть рассмотрено в отсутствие доклада.</w:t>
      </w:r>
    </w:p>
    <w:p w:rsidR="008B0AA6" w:rsidRPr="0008057F" w:rsidRDefault="008B0AA6" w:rsidP="008B0AA6">
      <w:pPr>
        <w:pStyle w:val="SingleTxtGR"/>
      </w:pPr>
      <w:r w:rsidRPr="0008057F">
        <w:t>53.</w:t>
      </w:r>
      <w:r w:rsidRPr="0008057F">
        <w:tab/>
      </w:r>
      <w:r w:rsidRPr="0008057F">
        <w:rPr>
          <w:b/>
        </w:rPr>
        <w:t>Г-н Амор</w:t>
      </w:r>
      <w:r w:rsidRPr="0008057F">
        <w:t xml:space="preserve"> говорит, что довольно рискованно ссылаться на подобное пр</w:t>
      </w:r>
      <w:r w:rsidRPr="0008057F">
        <w:t>а</w:t>
      </w:r>
      <w:r w:rsidRPr="0008057F">
        <w:t xml:space="preserve">вило с учетом того, что Комитет может </w:t>
      </w:r>
      <w:r>
        <w:t>оказаться не в состоянии</w:t>
      </w:r>
      <w:r w:rsidRPr="0008057F">
        <w:t xml:space="preserve"> его выпо</w:t>
      </w:r>
      <w:r w:rsidRPr="0008057F">
        <w:t>л</w:t>
      </w:r>
      <w:r w:rsidRPr="0008057F">
        <w:t>нить.</w:t>
      </w:r>
    </w:p>
    <w:p w:rsidR="008B0AA6" w:rsidRPr="0008057F" w:rsidRDefault="008B0AA6" w:rsidP="008B0AA6">
      <w:pPr>
        <w:pStyle w:val="SingleTxtGR"/>
      </w:pPr>
      <w:r w:rsidRPr="0008057F">
        <w:t>54.</w:t>
      </w:r>
      <w:r w:rsidRPr="0008057F">
        <w:tab/>
      </w:r>
      <w:r w:rsidRPr="0008057F">
        <w:rPr>
          <w:b/>
        </w:rPr>
        <w:t>Г-н Телин</w:t>
      </w:r>
      <w:r w:rsidRPr="0008057F">
        <w:t xml:space="preserve"> говорит, что можно добавить ссылку на правило 70 правил процедуры Комитета, не упоминая о том, что Комитет будет систематически рассматривать положение в соответствующих государствах-участниках в отсу</w:t>
      </w:r>
      <w:r w:rsidRPr="0008057F">
        <w:t>т</w:t>
      </w:r>
      <w:r w:rsidRPr="0008057F">
        <w:t>ствие доклада.</w:t>
      </w:r>
    </w:p>
    <w:p w:rsidR="008B0AA6" w:rsidRPr="0008057F" w:rsidRDefault="008B0AA6" w:rsidP="008B0AA6">
      <w:pPr>
        <w:pStyle w:val="SingleTxtGR"/>
      </w:pPr>
      <w:r w:rsidRPr="0008057F">
        <w:t>55.</w:t>
      </w:r>
      <w:r w:rsidRPr="0008057F">
        <w:tab/>
      </w:r>
      <w:r w:rsidRPr="0008057F">
        <w:rPr>
          <w:b/>
        </w:rPr>
        <w:t>Председатель</w:t>
      </w:r>
      <w:r w:rsidRPr="0008057F">
        <w:t xml:space="preserve"> говорит, что, насколько он понимает, члены Комитета не возражают против идеи включения ссылки на процедуру, применяемую Ком</w:t>
      </w:r>
      <w:r w:rsidRPr="0008057F">
        <w:t>и</w:t>
      </w:r>
      <w:r w:rsidRPr="0008057F">
        <w:t>тетом в отсутствие доклада государства-участника, и поручает Докладчику п</w:t>
      </w:r>
      <w:r w:rsidRPr="0008057F">
        <w:t>о</w:t>
      </w:r>
      <w:r w:rsidRPr="0008057F">
        <w:t>добрать соответствующую формулировку и ее место в тексте.</w:t>
      </w:r>
    </w:p>
    <w:p w:rsidR="008B0AA6" w:rsidRPr="0008057F" w:rsidRDefault="008B0AA6" w:rsidP="008B0AA6">
      <w:pPr>
        <w:pStyle w:val="SingleTxtGR"/>
      </w:pPr>
      <w:r w:rsidRPr="0008057F">
        <w:t>56.</w:t>
      </w:r>
      <w:r w:rsidRPr="0008057F">
        <w:tab/>
      </w:r>
      <w:r w:rsidRPr="0008057F">
        <w:rPr>
          <w:b/>
        </w:rPr>
        <w:t>Г-н Фатхалла</w:t>
      </w:r>
      <w:r w:rsidRPr="0008057F">
        <w:t xml:space="preserve"> говорит, что следует добавить сноску № 6 в конце док</w:t>
      </w:r>
      <w:r w:rsidRPr="0008057F">
        <w:t>у</w:t>
      </w:r>
      <w:r w:rsidRPr="0008057F">
        <w:t>мента с указанием того, что было решено отправить письмо с напоминанием Сирийской Арабской Республике.</w:t>
      </w:r>
    </w:p>
    <w:p w:rsidR="008B0AA6" w:rsidRPr="00A36BE4" w:rsidRDefault="008B0AA6" w:rsidP="008B0AA6">
      <w:pPr>
        <w:pStyle w:val="SingleTxtGR"/>
        <w:rPr>
          <w:i/>
        </w:rPr>
      </w:pPr>
      <w:r w:rsidRPr="0008057F">
        <w:t>57.</w:t>
      </w:r>
      <w:r w:rsidRPr="0008057F">
        <w:tab/>
      </w:r>
      <w:r w:rsidRPr="00A36BE4">
        <w:rPr>
          <w:i/>
        </w:rPr>
        <w:t xml:space="preserve">Приложение </w:t>
      </w:r>
      <w:r w:rsidRPr="00A36BE4">
        <w:rPr>
          <w:i/>
          <w:lang w:val="en-GB"/>
        </w:rPr>
        <w:t>III</w:t>
      </w:r>
      <w:r w:rsidRPr="00A36BE4">
        <w:rPr>
          <w:i/>
        </w:rPr>
        <w:t xml:space="preserve"> с внесенными в него изменениями принимается.</w:t>
      </w:r>
    </w:p>
    <w:p w:rsidR="008B0AA6" w:rsidRPr="0008057F" w:rsidRDefault="008B0AA6" w:rsidP="008B0AA6">
      <w:pPr>
        <w:pStyle w:val="H4GR"/>
      </w:pPr>
      <w:r w:rsidRPr="0008057F">
        <w:tab/>
      </w:r>
      <w:r w:rsidRPr="0008057F">
        <w:tab/>
        <w:t xml:space="preserve">Приложение </w:t>
      </w:r>
      <w:r w:rsidRPr="0008057F">
        <w:rPr>
          <w:lang w:val="en-GB"/>
        </w:rPr>
        <w:t>IV</w:t>
      </w:r>
    </w:p>
    <w:p w:rsidR="008B0AA6" w:rsidRPr="00A36BE4" w:rsidRDefault="008B0AA6" w:rsidP="008B0AA6">
      <w:pPr>
        <w:pStyle w:val="H4GR"/>
        <w:rPr>
          <w:i w:val="0"/>
        </w:rPr>
      </w:pPr>
      <w:r w:rsidRPr="0008057F">
        <w:tab/>
      </w:r>
      <w:r w:rsidRPr="0008057F">
        <w:tab/>
        <w:t>Состояние докладов и ситуаций, рассмотренных за отчетный период,</w:t>
      </w:r>
      <w:r w:rsidRPr="001E4A2C">
        <w:br/>
      </w:r>
      <w:r w:rsidRPr="0008057F">
        <w:t xml:space="preserve"> </w:t>
      </w:r>
      <w:r w:rsidR="00D766B0">
        <w:tab/>
      </w:r>
      <w:r w:rsidR="00D766B0">
        <w:tab/>
      </w:r>
      <w:r w:rsidRPr="0008057F">
        <w:t>и докладов, которые еще предстоит рассмотреть Комитету</w:t>
      </w:r>
      <w:r w:rsidR="00D766B0">
        <w:br/>
      </w:r>
      <w:r w:rsidR="00D766B0">
        <w:tab/>
      </w:r>
      <w:r w:rsidR="00D766B0">
        <w:tab/>
      </w:r>
      <w:r w:rsidRPr="00A36BE4">
        <w:rPr>
          <w:i w:val="0"/>
        </w:rPr>
        <w:t>(</w:t>
      </w:r>
      <w:r w:rsidRPr="00A36BE4">
        <w:rPr>
          <w:i w:val="0"/>
          <w:lang w:val="en-GB"/>
        </w:rPr>
        <w:t>CCPR</w:t>
      </w:r>
      <w:r w:rsidRPr="00A36BE4">
        <w:rPr>
          <w:i w:val="0"/>
        </w:rPr>
        <w:t>/</w:t>
      </w:r>
      <w:r w:rsidRPr="00A36BE4">
        <w:rPr>
          <w:i w:val="0"/>
          <w:lang w:val="en-GB"/>
        </w:rPr>
        <w:t>C</w:t>
      </w:r>
      <w:r w:rsidRPr="00A36BE4">
        <w:rPr>
          <w:i w:val="0"/>
        </w:rPr>
        <w:t>/102/</w:t>
      </w:r>
      <w:r w:rsidRPr="00A36BE4">
        <w:rPr>
          <w:i w:val="0"/>
          <w:lang w:val="en-GB"/>
        </w:rPr>
        <w:t>CRP</w:t>
      </w:r>
      <w:r w:rsidRPr="00A36BE4">
        <w:rPr>
          <w:i w:val="0"/>
        </w:rPr>
        <w:t>.2/</w:t>
      </w:r>
      <w:r w:rsidRPr="00A36BE4">
        <w:rPr>
          <w:i w:val="0"/>
          <w:lang w:val="en-GB"/>
        </w:rPr>
        <w:t>Add</w:t>
      </w:r>
      <w:r w:rsidRPr="00A36BE4">
        <w:rPr>
          <w:i w:val="0"/>
        </w:rPr>
        <w:t>.3)</w:t>
      </w:r>
    </w:p>
    <w:p w:rsidR="008B0AA6" w:rsidRPr="00A36BE4" w:rsidRDefault="008B0AA6" w:rsidP="008B0AA6">
      <w:pPr>
        <w:pStyle w:val="SingleTxtGR"/>
        <w:rPr>
          <w:i/>
        </w:rPr>
      </w:pPr>
      <w:r w:rsidRPr="0008057F">
        <w:t>58.</w:t>
      </w:r>
      <w:r w:rsidRPr="0008057F">
        <w:tab/>
      </w:r>
      <w:r w:rsidRPr="00A36BE4">
        <w:rPr>
          <w:i/>
        </w:rPr>
        <w:t xml:space="preserve">Приложение </w:t>
      </w:r>
      <w:r w:rsidRPr="00A36BE4">
        <w:rPr>
          <w:i/>
          <w:lang w:val="en-GB"/>
        </w:rPr>
        <w:t>IV</w:t>
      </w:r>
      <w:r w:rsidRPr="00A36BE4">
        <w:rPr>
          <w:i/>
        </w:rPr>
        <w:t xml:space="preserve"> принимается.</w:t>
      </w:r>
    </w:p>
    <w:p w:rsidR="008B0AA6" w:rsidRPr="00A36BE4" w:rsidRDefault="008B0AA6" w:rsidP="008B0AA6">
      <w:pPr>
        <w:pStyle w:val="H4GR"/>
        <w:rPr>
          <w:i w:val="0"/>
        </w:rPr>
      </w:pPr>
      <w:r w:rsidRPr="0008057F">
        <w:tab/>
      </w:r>
      <w:r w:rsidRPr="0008057F">
        <w:tab/>
        <w:t xml:space="preserve">Резюме и содержание </w:t>
      </w:r>
      <w:r w:rsidRPr="00A36BE4">
        <w:rPr>
          <w:i w:val="0"/>
        </w:rPr>
        <w:t>(</w:t>
      </w:r>
      <w:r w:rsidRPr="00A36BE4">
        <w:rPr>
          <w:i w:val="0"/>
          <w:lang w:val="en-GB"/>
        </w:rPr>
        <w:t>CCPR</w:t>
      </w:r>
      <w:r w:rsidRPr="00A36BE4">
        <w:rPr>
          <w:i w:val="0"/>
        </w:rPr>
        <w:t>/</w:t>
      </w:r>
      <w:r w:rsidRPr="00A36BE4">
        <w:rPr>
          <w:i w:val="0"/>
          <w:lang w:val="en-GB"/>
        </w:rPr>
        <w:t>C</w:t>
      </w:r>
      <w:r w:rsidRPr="00A36BE4">
        <w:rPr>
          <w:i w:val="0"/>
        </w:rPr>
        <w:t>/102/</w:t>
      </w:r>
      <w:r w:rsidRPr="00A36BE4">
        <w:rPr>
          <w:i w:val="0"/>
          <w:lang w:val="en-GB"/>
        </w:rPr>
        <w:t>CRP</w:t>
      </w:r>
      <w:r w:rsidRPr="00A36BE4">
        <w:rPr>
          <w:i w:val="0"/>
        </w:rPr>
        <w:t>.1)</w:t>
      </w:r>
    </w:p>
    <w:p w:rsidR="008B0AA6" w:rsidRPr="0008057F" w:rsidRDefault="008B0AA6" w:rsidP="008B0AA6">
      <w:pPr>
        <w:pStyle w:val="SingleTxtGR"/>
      </w:pPr>
      <w:r w:rsidRPr="0008057F">
        <w:t>59.</w:t>
      </w:r>
      <w:r w:rsidRPr="0008057F">
        <w:tab/>
      </w:r>
      <w:r w:rsidRPr="0008057F">
        <w:rPr>
          <w:b/>
        </w:rPr>
        <w:t>Г-н Телин</w:t>
      </w:r>
      <w:r w:rsidRPr="0008057F">
        <w:t xml:space="preserve"> предлагает внести в первое предложение пятого абзаца сл</w:t>
      </w:r>
      <w:r w:rsidRPr="0008057F">
        <w:t>е</w:t>
      </w:r>
      <w:r>
        <w:t xml:space="preserve">дующее </w:t>
      </w:r>
      <w:r w:rsidRPr="0008057F">
        <w:t xml:space="preserve">уточнение: </w:t>
      </w:r>
      <w:r>
        <w:t>"</w:t>
      </w:r>
      <w:r w:rsidRPr="0008057F">
        <w:t>Комитет вновь выражает сожаление в связи с тем, что зн</w:t>
      </w:r>
      <w:r w:rsidRPr="0008057F">
        <w:t>а</w:t>
      </w:r>
      <w:r w:rsidRPr="0008057F">
        <w:t xml:space="preserve">чительное число государств-участников, </w:t>
      </w:r>
      <w:r w:rsidRPr="00E612ED">
        <w:rPr>
          <w:i/>
        </w:rPr>
        <w:t>в настоящее время 55, которые з</w:t>
      </w:r>
      <w:r w:rsidRPr="00E612ED">
        <w:rPr>
          <w:i/>
        </w:rPr>
        <w:t>а</w:t>
      </w:r>
      <w:r w:rsidRPr="00E612ED">
        <w:rPr>
          <w:i/>
        </w:rPr>
        <w:t>держивают доклады на пять и более лет</w:t>
      </w:r>
      <w:r w:rsidRPr="0008057F">
        <w:t>, не выполняют своих обязательств по представлению докладов в с</w:t>
      </w:r>
      <w:r>
        <w:t>оответствии со статьей 40 Пакта"</w:t>
      </w:r>
      <w:r w:rsidRPr="0008057F">
        <w:t>. Он также пре</w:t>
      </w:r>
      <w:r w:rsidRPr="0008057F">
        <w:t>д</w:t>
      </w:r>
      <w:r w:rsidRPr="0008057F">
        <w:t xml:space="preserve">лагает изменить начало первого предложения в последнем абзаце следующим образом: </w:t>
      </w:r>
      <w:r>
        <w:t>"</w:t>
      </w:r>
      <w:r w:rsidRPr="0008057F">
        <w:t xml:space="preserve">В заключение, </w:t>
      </w:r>
      <w:r w:rsidRPr="00E612ED">
        <w:rPr>
          <w:i/>
        </w:rPr>
        <w:t>напоминая об обязательстве Генерального секретаря Организации Объединенных Наций по статье 36 Пакта</w:t>
      </w:r>
      <w:r w:rsidRPr="0008057F">
        <w:t>, Комитет вновь по</w:t>
      </w:r>
      <w:r w:rsidRPr="0008057F">
        <w:t>д</w:t>
      </w:r>
      <w:r w:rsidRPr="0008057F">
        <w:t xml:space="preserve">тверждает свою </w:t>
      </w:r>
      <w:r w:rsidRPr="00FA77A6">
        <w:rPr>
          <w:i/>
        </w:rPr>
        <w:t>серьезную</w:t>
      </w:r>
      <w:r w:rsidRPr="0008057F">
        <w:t xml:space="preserve"> обеспокоенность нехваткой достаточных кадровых ресурсов […]</w:t>
      </w:r>
      <w:r>
        <w:t>"</w:t>
      </w:r>
      <w:r w:rsidRPr="0008057F">
        <w:t>.</w:t>
      </w:r>
    </w:p>
    <w:p w:rsidR="008B0AA6" w:rsidRPr="0008057F" w:rsidRDefault="008B0AA6" w:rsidP="008B0AA6">
      <w:pPr>
        <w:pStyle w:val="SingleTxtGR"/>
      </w:pPr>
      <w:r w:rsidRPr="0008057F">
        <w:t>60.</w:t>
      </w:r>
      <w:r w:rsidRPr="0008057F">
        <w:tab/>
      </w:r>
      <w:r>
        <w:rPr>
          <w:b/>
        </w:rPr>
        <w:t>Г-н О</w:t>
      </w:r>
      <w:r w:rsidRPr="00E612ED">
        <w:rPr>
          <w:b/>
        </w:rPr>
        <w:t>'</w:t>
      </w:r>
      <w:r w:rsidRPr="0008057F">
        <w:rPr>
          <w:b/>
        </w:rPr>
        <w:t>Флаэрти</w:t>
      </w:r>
      <w:r w:rsidRPr="0008057F">
        <w:t xml:space="preserve"> хотел бы, чтобы в резюме было упомянуто замечание общего порядка по статье 19.</w:t>
      </w:r>
    </w:p>
    <w:p w:rsidR="008B0AA6" w:rsidRPr="0008057F" w:rsidRDefault="008B0AA6" w:rsidP="008B0AA6">
      <w:pPr>
        <w:pStyle w:val="SingleTxtGR"/>
      </w:pPr>
      <w:r w:rsidRPr="0008057F">
        <w:t>61.</w:t>
      </w:r>
      <w:r w:rsidRPr="0008057F">
        <w:tab/>
      </w:r>
      <w:r w:rsidRPr="0008057F">
        <w:rPr>
          <w:b/>
        </w:rPr>
        <w:t>Г-жа Майодина</w:t>
      </w:r>
      <w:r w:rsidRPr="0008057F">
        <w:t xml:space="preserve"> говорит, что ее имя должно быть удалено из предп</w:t>
      </w:r>
      <w:r w:rsidRPr="0008057F">
        <w:t>о</w:t>
      </w:r>
      <w:r w:rsidRPr="0008057F">
        <w:t>следнего абзаца резюме, поскольку она не смогла участвовать в двенадцатом межкомитетском совещании.</w:t>
      </w:r>
    </w:p>
    <w:p w:rsidR="008B0AA6" w:rsidRPr="0008057F" w:rsidRDefault="008B0AA6" w:rsidP="008B0AA6">
      <w:pPr>
        <w:pStyle w:val="SingleTxtGR"/>
      </w:pPr>
      <w:r w:rsidRPr="0008057F">
        <w:t>62.</w:t>
      </w:r>
      <w:r w:rsidRPr="0008057F">
        <w:tab/>
      </w:r>
      <w:r>
        <w:rPr>
          <w:b/>
        </w:rPr>
        <w:t>Г-н О</w:t>
      </w:r>
      <w:r w:rsidRPr="00E612ED">
        <w:rPr>
          <w:b/>
        </w:rPr>
        <w:t>'</w:t>
      </w:r>
      <w:r w:rsidRPr="0008057F">
        <w:rPr>
          <w:b/>
        </w:rPr>
        <w:t>Флаэрти</w:t>
      </w:r>
      <w:r w:rsidRPr="0008057F">
        <w:t xml:space="preserve"> говорит, что до сих пор существовала практика упом</w:t>
      </w:r>
      <w:r w:rsidRPr="0008057F">
        <w:t>и</w:t>
      </w:r>
      <w:r w:rsidRPr="0008057F">
        <w:t>нать в резюме вопрос о вознаграждении членов Комитета. Вместо такого уп</w:t>
      </w:r>
      <w:r w:rsidRPr="0008057F">
        <w:t>о</w:t>
      </w:r>
      <w:r w:rsidRPr="0008057F">
        <w:t>минания может быть дана ссылка на статью 35 Пакта, посвященную этому в</w:t>
      </w:r>
      <w:r w:rsidRPr="0008057F">
        <w:t>о</w:t>
      </w:r>
      <w:r w:rsidRPr="0008057F">
        <w:t>просу, например путем добавления в последний абзац, сразу после ссылки на статью 36, предложенную г-ном Телиным, следующей фразы:</w:t>
      </w:r>
      <w:r>
        <w:t xml:space="preserve"> "</w:t>
      </w:r>
      <w:r w:rsidRPr="0008057F">
        <w:t>[…], а также в отнош</w:t>
      </w:r>
      <w:r w:rsidRPr="0008057F">
        <w:t>е</w:t>
      </w:r>
      <w:r w:rsidRPr="0008057F">
        <w:t>нии положений статьи 35</w:t>
      </w:r>
      <w:r>
        <w:t>"</w:t>
      </w:r>
      <w:r w:rsidRPr="0008057F">
        <w:t>, без указания подробностей.</w:t>
      </w:r>
    </w:p>
    <w:p w:rsidR="008B0AA6" w:rsidRPr="00E612ED" w:rsidRDefault="008B0AA6" w:rsidP="008B0AA6">
      <w:pPr>
        <w:pStyle w:val="SingleTxtGR"/>
        <w:rPr>
          <w:i/>
        </w:rPr>
      </w:pPr>
      <w:r w:rsidRPr="0008057F">
        <w:t>63.</w:t>
      </w:r>
      <w:r w:rsidRPr="0008057F">
        <w:tab/>
      </w:r>
      <w:r w:rsidRPr="00E612ED">
        <w:rPr>
          <w:i/>
        </w:rPr>
        <w:t>Резюме с внесенными в него изменениями принимается.</w:t>
      </w:r>
    </w:p>
    <w:p w:rsidR="008B0AA6" w:rsidRPr="00E612ED" w:rsidRDefault="008B0AA6" w:rsidP="008B0AA6">
      <w:pPr>
        <w:pStyle w:val="SingleTxtGR"/>
        <w:rPr>
          <w:i/>
        </w:rPr>
      </w:pPr>
      <w:r w:rsidRPr="0008057F">
        <w:t>64.</w:t>
      </w:r>
      <w:r w:rsidRPr="0008057F">
        <w:tab/>
      </w:r>
      <w:r w:rsidRPr="00E612ED">
        <w:rPr>
          <w:i/>
        </w:rPr>
        <w:t>Проект ежегодного доклада Комитета (</w:t>
      </w:r>
      <w:r w:rsidRPr="00E612ED">
        <w:rPr>
          <w:i/>
          <w:lang w:val="en-GB"/>
        </w:rPr>
        <w:t>CCPR</w:t>
      </w:r>
      <w:r w:rsidRPr="00E612ED">
        <w:rPr>
          <w:i/>
        </w:rPr>
        <w:t>/</w:t>
      </w:r>
      <w:r w:rsidRPr="00E612ED">
        <w:rPr>
          <w:i/>
          <w:lang w:val="en-GB"/>
        </w:rPr>
        <w:t>C</w:t>
      </w:r>
      <w:r w:rsidRPr="00E612ED">
        <w:rPr>
          <w:i/>
        </w:rPr>
        <w:t>/102/</w:t>
      </w:r>
      <w:r w:rsidRPr="00E612ED">
        <w:rPr>
          <w:i/>
          <w:lang w:val="en-GB"/>
        </w:rPr>
        <w:t>CRP</w:t>
      </w:r>
      <w:r w:rsidRPr="00E612ED">
        <w:rPr>
          <w:i/>
        </w:rPr>
        <w:t xml:space="preserve">.1 и </w:t>
      </w:r>
      <w:r w:rsidRPr="00E612ED">
        <w:rPr>
          <w:i/>
          <w:lang w:val="en-GB"/>
        </w:rPr>
        <w:t>Add</w:t>
      </w:r>
      <w:r>
        <w:rPr>
          <w:i/>
        </w:rPr>
        <w:t>.1</w:t>
      </w:r>
      <w:r w:rsidRPr="00A34DCF">
        <w:rPr>
          <w:i/>
        </w:rPr>
        <w:t>−</w:t>
      </w:r>
      <w:r w:rsidRPr="00E612ED">
        <w:rPr>
          <w:i/>
        </w:rPr>
        <w:t xml:space="preserve">7; </w:t>
      </w:r>
      <w:r w:rsidRPr="00E612ED">
        <w:rPr>
          <w:i/>
          <w:lang w:val="en-GB"/>
        </w:rPr>
        <w:t>CCPR</w:t>
      </w:r>
      <w:r w:rsidRPr="00E612ED">
        <w:rPr>
          <w:i/>
        </w:rPr>
        <w:t>/</w:t>
      </w:r>
      <w:r w:rsidRPr="00E612ED">
        <w:rPr>
          <w:i/>
          <w:lang w:val="en-GB"/>
        </w:rPr>
        <w:t>C</w:t>
      </w:r>
      <w:r w:rsidRPr="00E612ED">
        <w:rPr>
          <w:i/>
        </w:rPr>
        <w:t>/102/</w:t>
      </w:r>
      <w:r w:rsidRPr="00E612ED">
        <w:rPr>
          <w:i/>
          <w:lang w:val="en-GB"/>
        </w:rPr>
        <w:t>CRP</w:t>
      </w:r>
      <w:r w:rsidRPr="00E612ED">
        <w:rPr>
          <w:i/>
        </w:rPr>
        <w:t xml:space="preserve">.2 и </w:t>
      </w:r>
      <w:r w:rsidRPr="00E612ED">
        <w:rPr>
          <w:i/>
          <w:lang w:val="en-GB"/>
        </w:rPr>
        <w:t>Add</w:t>
      </w:r>
      <w:r>
        <w:rPr>
          <w:i/>
        </w:rPr>
        <w:t>. 1</w:t>
      </w:r>
      <w:r w:rsidRPr="00A34DCF">
        <w:rPr>
          <w:i/>
        </w:rPr>
        <w:t>−</w:t>
      </w:r>
      <w:r w:rsidRPr="00E612ED">
        <w:rPr>
          <w:i/>
        </w:rPr>
        <w:t>3) принимается в целом с учетом устных поправок и при условии внесения в него редакционных изм</w:t>
      </w:r>
      <w:r w:rsidRPr="00E612ED">
        <w:rPr>
          <w:i/>
        </w:rPr>
        <w:t>е</w:t>
      </w:r>
      <w:r w:rsidRPr="00E612ED">
        <w:rPr>
          <w:i/>
        </w:rPr>
        <w:t>нений секретариатом.</w:t>
      </w:r>
    </w:p>
    <w:p w:rsidR="008B0AA6" w:rsidRPr="006D092C" w:rsidRDefault="008B0AA6" w:rsidP="008B0AA6">
      <w:pPr>
        <w:pStyle w:val="SingleTxtGR"/>
        <w:rPr>
          <w:i/>
        </w:rPr>
      </w:pPr>
      <w:r w:rsidRPr="006D092C">
        <w:rPr>
          <w:i/>
        </w:rPr>
        <w:t>Заседание прерывается в 16 ч. 40 м. и возобновляется в 16 ч. 55 м.</w:t>
      </w:r>
    </w:p>
    <w:p w:rsidR="008B0AA6" w:rsidRPr="006D092C" w:rsidRDefault="008B0AA6" w:rsidP="008B0AA6">
      <w:pPr>
        <w:pStyle w:val="SingleTxtGR"/>
        <w:rPr>
          <w:i/>
        </w:rPr>
      </w:pPr>
      <w:r w:rsidRPr="0008057F">
        <w:t>65.</w:t>
      </w:r>
      <w:r w:rsidRPr="0008057F">
        <w:tab/>
      </w:r>
      <w:r w:rsidRPr="006D092C">
        <w:rPr>
          <w:i/>
        </w:rPr>
        <w:t>Г-жа Майодина занимает место Председателя.</w:t>
      </w:r>
    </w:p>
    <w:p w:rsidR="008B0AA6" w:rsidRPr="0008057F" w:rsidRDefault="008B0AA6" w:rsidP="008B0AA6">
      <w:pPr>
        <w:pStyle w:val="H23GR"/>
      </w:pPr>
      <w:r>
        <w:tab/>
      </w:r>
      <w:r>
        <w:tab/>
      </w:r>
      <w:r w:rsidRPr="0008057F">
        <w:t>Организационные и другие вопросы, включая доклад Рабочей группы по сообщениям</w:t>
      </w:r>
    </w:p>
    <w:p w:rsidR="008B0AA6" w:rsidRPr="0008057F" w:rsidRDefault="008B0AA6" w:rsidP="008B0AA6">
      <w:pPr>
        <w:pStyle w:val="H4GR"/>
      </w:pPr>
      <w:r w:rsidRPr="0008057F">
        <w:rPr>
          <w:b/>
        </w:rPr>
        <w:tab/>
      </w:r>
      <w:r w:rsidRPr="0008057F">
        <w:rPr>
          <w:b/>
        </w:rPr>
        <w:tab/>
      </w:r>
      <w:r w:rsidRPr="0008057F">
        <w:t>Следующее замечание общего порядка Комитета</w:t>
      </w:r>
    </w:p>
    <w:p w:rsidR="008B0AA6" w:rsidRPr="0008057F" w:rsidRDefault="008B0AA6" w:rsidP="008B0AA6">
      <w:pPr>
        <w:pStyle w:val="SingleTxtGR"/>
      </w:pPr>
      <w:r w:rsidRPr="0008057F">
        <w:t>66.</w:t>
      </w:r>
      <w:r w:rsidRPr="0008057F">
        <w:tab/>
      </w:r>
      <w:r w:rsidRPr="0008057F">
        <w:rPr>
          <w:b/>
        </w:rPr>
        <w:t>Председатель</w:t>
      </w:r>
      <w:r w:rsidRPr="0008057F">
        <w:t xml:space="preserve"> предлагает членам Комитета представить их предвар</w:t>
      </w:r>
      <w:r w:rsidRPr="0008057F">
        <w:t>и</w:t>
      </w:r>
      <w:r w:rsidRPr="0008057F">
        <w:t>тельные соображения и предложения о том, что может стать следующим зам</w:t>
      </w:r>
      <w:r w:rsidRPr="0008057F">
        <w:t>е</w:t>
      </w:r>
      <w:r w:rsidRPr="0008057F">
        <w:t>чанием общего порядка.</w:t>
      </w:r>
    </w:p>
    <w:p w:rsidR="008B0AA6" w:rsidRDefault="008B0AA6" w:rsidP="008B0AA6">
      <w:pPr>
        <w:pStyle w:val="SingleTxtGR"/>
      </w:pPr>
      <w:r w:rsidRPr="0008057F">
        <w:t>67.</w:t>
      </w:r>
      <w:r w:rsidRPr="0008057F">
        <w:tab/>
      </w:r>
      <w:r w:rsidRPr="0008057F">
        <w:rPr>
          <w:b/>
        </w:rPr>
        <w:t>Г-жа Келлер</w:t>
      </w:r>
      <w:r w:rsidRPr="0008057F">
        <w:t xml:space="preserve"> предлагает статьи 2 и 26 Пакта, </w:t>
      </w:r>
      <w:r>
        <w:t>касающиеся</w:t>
      </w:r>
      <w:r w:rsidRPr="0008057F">
        <w:t xml:space="preserve"> равенств</w:t>
      </w:r>
      <w:r>
        <w:t>а</w:t>
      </w:r>
      <w:r w:rsidRPr="0008057F">
        <w:t xml:space="preserve"> и недискриминации.</w:t>
      </w:r>
    </w:p>
    <w:p w:rsidR="00E61BE9" w:rsidRPr="00CF785B" w:rsidRDefault="00E61BE9" w:rsidP="00E61BE9">
      <w:pPr>
        <w:pStyle w:val="SingleTxtGR"/>
      </w:pPr>
      <w:r w:rsidRPr="00CF785B">
        <w:t>68.</w:t>
      </w:r>
      <w:r w:rsidRPr="00CF785B">
        <w:tab/>
      </w:r>
      <w:r w:rsidRPr="00E95A91">
        <w:rPr>
          <w:b/>
        </w:rPr>
        <w:t>Г-н О’Флаэрти</w:t>
      </w:r>
      <w:r w:rsidRPr="00CF785B">
        <w:t xml:space="preserve"> говорит, что замечание общего порядка по статье 26 мо</w:t>
      </w:r>
      <w:r w:rsidRPr="00CF785B">
        <w:t>г</w:t>
      </w:r>
      <w:r w:rsidRPr="00CF785B">
        <w:t xml:space="preserve">ло бы быть особенно полезным, поскольку рассмотрение сообщений </w:t>
      </w:r>
      <w:r>
        <w:t>свидетел</w:t>
      </w:r>
      <w:r>
        <w:t>ь</w:t>
      </w:r>
      <w:r>
        <w:t xml:space="preserve">ствует о заметных расхождениях </w:t>
      </w:r>
      <w:r w:rsidRPr="00CF785B">
        <w:t>в подходах к статье 26. Оно позволило бы в</w:t>
      </w:r>
      <w:r w:rsidRPr="00CF785B">
        <w:t>ы</w:t>
      </w:r>
      <w:r w:rsidRPr="00CF785B">
        <w:t xml:space="preserve">явить общие позиции и обменяться опытом, </w:t>
      </w:r>
      <w:r>
        <w:t>методами и правовой практикой</w:t>
      </w:r>
      <w:r w:rsidRPr="00CF785B">
        <w:t>.</w:t>
      </w:r>
    </w:p>
    <w:p w:rsidR="00E61BE9" w:rsidRPr="00CF785B" w:rsidRDefault="00E61BE9" w:rsidP="00E61BE9">
      <w:pPr>
        <w:pStyle w:val="SingleTxtGR"/>
      </w:pPr>
      <w:r w:rsidRPr="00CF785B">
        <w:t>69.</w:t>
      </w:r>
      <w:r w:rsidRPr="00CF785B">
        <w:tab/>
      </w:r>
      <w:r w:rsidRPr="00E95A91">
        <w:rPr>
          <w:b/>
        </w:rPr>
        <w:t>Г-н Сальвиоли</w:t>
      </w:r>
      <w:r w:rsidRPr="00CF785B">
        <w:t xml:space="preserve"> говорит, что предложение г-жи Келлер в отношении з</w:t>
      </w:r>
      <w:r w:rsidRPr="00CF785B">
        <w:t>а</w:t>
      </w:r>
      <w:r w:rsidRPr="00CF785B">
        <w:t xml:space="preserve">мечания общего порядка по статьям 2 и 26 является </w:t>
      </w:r>
      <w:r>
        <w:t xml:space="preserve">весьма </w:t>
      </w:r>
      <w:r w:rsidRPr="00CF785B">
        <w:t>интересным. Дейс</w:t>
      </w:r>
      <w:r w:rsidRPr="00CF785B">
        <w:t>т</w:t>
      </w:r>
      <w:r w:rsidRPr="00CF785B">
        <w:t xml:space="preserve">вительно, обе эти статьи представляют собой </w:t>
      </w:r>
      <w:r>
        <w:t xml:space="preserve">прекрасную </w:t>
      </w:r>
      <w:r w:rsidRPr="00CF785B">
        <w:t>основу для более глубокого анализа не только вопросов равенства и недискриминации, но также и концепции неделимости прав человека.</w:t>
      </w:r>
    </w:p>
    <w:p w:rsidR="00E61BE9" w:rsidRPr="00CF785B" w:rsidRDefault="00E61BE9" w:rsidP="00E61BE9">
      <w:pPr>
        <w:pStyle w:val="SingleTxtGR"/>
      </w:pPr>
      <w:r w:rsidRPr="00CF785B">
        <w:t>70.</w:t>
      </w:r>
      <w:r w:rsidRPr="00CF785B">
        <w:tab/>
      </w:r>
      <w:r w:rsidRPr="001E281E">
        <w:rPr>
          <w:b/>
        </w:rPr>
        <w:t>Сэр Найджел Родли</w:t>
      </w:r>
      <w:r w:rsidRPr="00CF785B">
        <w:t xml:space="preserve"> напоминает, что давно настало время для пересмо</w:t>
      </w:r>
      <w:r w:rsidRPr="00CF785B">
        <w:t>т</w:t>
      </w:r>
      <w:r w:rsidRPr="00CF785B">
        <w:t>ра замечания общего порядка № 8 по статье 9 (право на свободу и личную н</w:t>
      </w:r>
      <w:r w:rsidRPr="00CF785B">
        <w:t>е</w:t>
      </w:r>
      <w:r w:rsidRPr="00CF785B">
        <w:t xml:space="preserve">прикосновенность). Вопрос о произвольных арестах и задержаниях занимает центральное место в работе Комитета как в рамках рассмотрения сообщений, так и в плане проведения диалога с государствами-участниками, и замечание общего порядка № 8 требует </w:t>
      </w:r>
      <w:r>
        <w:t xml:space="preserve">серьезного </w:t>
      </w:r>
      <w:r w:rsidRPr="00CF785B">
        <w:t>пересмотра в свете опыта, накопленн</w:t>
      </w:r>
      <w:r w:rsidRPr="00CF785B">
        <w:t>о</w:t>
      </w:r>
      <w:r w:rsidRPr="00CF785B">
        <w:t>го более чем за четверть века. То же самое верно и в отношении замечания о</w:t>
      </w:r>
      <w:r w:rsidRPr="00CF785B">
        <w:t>б</w:t>
      </w:r>
      <w:r w:rsidRPr="00CF785B">
        <w:t>щего порядка № 6 по статье 6 (право на жизнь), которое было принято приме</w:t>
      </w:r>
      <w:r w:rsidRPr="00CF785B">
        <w:t>р</w:t>
      </w:r>
      <w:r w:rsidRPr="00CF785B">
        <w:t>но в ту же эпоху. Тем не менее сэр Найджел Родли отдал бы предпочтение раб</w:t>
      </w:r>
      <w:r w:rsidRPr="00CF785B">
        <w:t>о</w:t>
      </w:r>
      <w:r w:rsidRPr="00CF785B">
        <w:t>те над статьей 9, в частности, потому, что за последнее десятилетие был пр</w:t>
      </w:r>
      <w:r w:rsidRPr="00CF785B">
        <w:t>и</w:t>
      </w:r>
      <w:r w:rsidRPr="00CF785B">
        <w:t xml:space="preserve">нят целый ряд мер </w:t>
      </w:r>
      <w:r>
        <w:t xml:space="preserve">по борьбе </w:t>
      </w:r>
      <w:r w:rsidRPr="00CF785B">
        <w:t>с терроризмом.</w:t>
      </w:r>
    </w:p>
    <w:p w:rsidR="00E61BE9" w:rsidRPr="00CF785B" w:rsidRDefault="00E61BE9" w:rsidP="00E61BE9">
      <w:pPr>
        <w:pStyle w:val="SingleTxtGR"/>
      </w:pPr>
      <w:r w:rsidRPr="00CF785B">
        <w:t>71.</w:t>
      </w:r>
      <w:r w:rsidRPr="00CF785B">
        <w:tab/>
      </w:r>
      <w:r w:rsidRPr="001E281E">
        <w:rPr>
          <w:b/>
        </w:rPr>
        <w:t>Г-н Амор</w:t>
      </w:r>
      <w:r w:rsidRPr="00CF785B">
        <w:t xml:space="preserve"> считает общее обсуждение весьма полезным, но пока еще рано принимать какое-либо решение. Он вполне разделяет предложение сэра На</w:t>
      </w:r>
      <w:r w:rsidRPr="00CF785B">
        <w:t>й</w:t>
      </w:r>
      <w:r w:rsidRPr="00CF785B">
        <w:t>джела Родли в отношении статьи 9 в особенности потому, что эта статья имеет широкое практическое применение, и соответствующ</w:t>
      </w:r>
      <w:r>
        <w:t>ий</w:t>
      </w:r>
      <w:r w:rsidRPr="00CF785B">
        <w:t xml:space="preserve"> </w:t>
      </w:r>
      <w:r>
        <w:t xml:space="preserve">правовой опыт должен </w:t>
      </w:r>
      <w:r w:rsidRPr="00CF785B">
        <w:t>получить дальнейш</w:t>
      </w:r>
      <w:r>
        <w:t>ее</w:t>
      </w:r>
      <w:r w:rsidRPr="00CF785B">
        <w:t xml:space="preserve"> раз</w:t>
      </w:r>
      <w:r>
        <w:t>витие</w:t>
      </w:r>
      <w:r w:rsidRPr="00CF785B">
        <w:t>.</w:t>
      </w:r>
    </w:p>
    <w:p w:rsidR="00E61BE9" w:rsidRPr="00CF785B" w:rsidRDefault="00E61BE9" w:rsidP="00E61BE9">
      <w:pPr>
        <w:pStyle w:val="SingleTxtGR"/>
      </w:pPr>
      <w:r w:rsidRPr="00CF785B">
        <w:t>72.</w:t>
      </w:r>
      <w:r w:rsidRPr="00CF785B">
        <w:tab/>
      </w:r>
      <w:r w:rsidRPr="00BA2263">
        <w:rPr>
          <w:b/>
        </w:rPr>
        <w:t>Г-н Телин</w:t>
      </w:r>
      <w:r w:rsidRPr="00CF785B">
        <w:t xml:space="preserve"> также положительно относится к вопросу о пересмотре зам</w:t>
      </w:r>
      <w:r w:rsidRPr="00CF785B">
        <w:t>е</w:t>
      </w:r>
      <w:r w:rsidRPr="00CF785B">
        <w:t>чания общего порядка № 8 по статье 9.</w:t>
      </w:r>
    </w:p>
    <w:p w:rsidR="00E61BE9" w:rsidRPr="00CF785B" w:rsidRDefault="00E61BE9" w:rsidP="00E61BE9">
      <w:pPr>
        <w:pStyle w:val="SingleTxtGR"/>
      </w:pPr>
      <w:r w:rsidRPr="00CF785B">
        <w:t>73.</w:t>
      </w:r>
      <w:r w:rsidRPr="00CF785B">
        <w:tab/>
      </w:r>
      <w:r w:rsidRPr="00BA2263">
        <w:rPr>
          <w:b/>
        </w:rPr>
        <w:t>Г-н Сальвиоли</w:t>
      </w:r>
      <w:r w:rsidRPr="00CF785B">
        <w:t xml:space="preserve"> также полагает, что на данном этапе еще рано принимать решение и что обсуждение может быть продолжено на сессии в октябре 2011</w:t>
      </w:r>
      <w:r>
        <w:t> </w:t>
      </w:r>
      <w:r w:rsidRPr="00CF785B">
        <w:t>года. Подготовка замечания общего порядка не ограничивается по</w:t>
      </w:r>
      <w:r>
        <w:t>д</w:t>
      </w:r>
      <w:r w:rsidRPr="00CF785B">
        <w:t>бором соот</w:t>
      </w:r>
      <w:r>
        <w:t>ветствующих решений</w:t>
      </w:r>
      <w:r w:rsidRPr="00CF785B">
        <w:t xml:space="preserve">; она также предполагает изучение ситуаций </w:t>
      </w:r>
      <w:r>
        <w:t>в о</w:t>
      </w:r>
      <w:r>
        <w:t>б</w:t>
      </w:r>
      <w:r>
        <w:t xml:space="preserve">ласти </w:t>
      </w:r>
      <w:r w:rsidRPr="00CF785B">
        <w:t>прав</w:t>
      </w:r>
      <w:r>
        <w:t xml:space="preserve"> </w:t>
      </w:r>
      <w:r w:rsidRPr="00CF785B">
        <w:t>человека, к</w:t>
      </w:r>
      <w:r>
        <w:t xml:space="preserve">оторые </w:t>
      </w:r>
      <w:r w:rsidRPr="00CF785B">
        <w:t>вызывают проблем</w:t>
      </w:r>
      <w:r>
        <w:t>ы</w:t>
      </w:r>
      <w:r w:rsidRPr="00CF785B">
        <w:t xml:space="preserve"> с точки зрения статей Пакта, даже при отсутствии </w:t>
      </w:r>
      <w:r>
        <w:t xml:space="preserve">вынесенных </w:t>
      </w:r>
      <w:r w:rsidRPr="00CF785B">
        <w:t>Комитет</w:t>
      </w:r>
      <w:r>
        <w:t>ом решений</w:t>
      </w:r>
      <w:r w:rsidRPr="00CF785B">
        <w:t>. Например, он отметил определенную сдержанность при обсуждении вопроса о новых технологиях во вр</w:t>
      </w:r>
      <w:r w:rsidRPr="00CF785B">
        <w:t>е</w:t>
      </w:r>
      <w:r w:rsidRPr="00CF785B">
        <w:t>мя рассмотрения замечания общего порядка № 34 в отношении свободы мнений и их выражения, и будет очень жаль, если в замечании не будет затр</w:t>
      </w:r>
      <w:r w:rsidRPr="00CF785B">
        <w:t>о</w:t>
      </w:r>
      <w:r w:rsidRPr="00CF785B">
        <w:t xml:space="preserve">нут этот вопрос только потому, что Комитет не обладает </w:t>
      </w:r>
      <w:r>
        <w:t xml:space="preserve">правовой практикой </w:t>
      </w:r>
      <w:r w:rsidRPr="00CF785B">
        <w:t>в этой обла</w:t>
      </w:r>
      <w:r w:rsidRPr="00CF785B">
        <w:t>с</w:t>
      </w:r>
      <w:r w:rsidRPr="00CF785B">
        <w:t>ти.</w:t>
      </w:r>
    </w:p>
    <w:p w:rsidR="00E61BE9" w:rsidRPr="00CF785B" w:rsidRDefault="00E61BE9" w:rsidP="00E61BE9">
      <w:pPr>
        <w:pStyle w:val="SingleTxtGR"/>
      </w:pPr>
      <w:r w:rsidRPr="00CF785B">
        <w:t>74.</w:t>
      </w:r>
      <w:r w:rsidRPr="00CF785B">
        <w:tab/>
      </w:r>
      <w:r w:rsidRPr="00BA2263">
        <w:rPr>
          <w:b/>
        </w:rPr>
        <w:t>Г-н Нойман</w:t>
      </w:r>
      <w:r w:rsidRPr="00CF785B">
        <w:t xml:space="preserve"> говорит, что существуют различные критерии определения тем для замечаний общего порядка. Так, критерием может быть наличие сущ</w:t>
      </w:r>
      <w:r w:rsidRPr="00CF785B">
        <w:t>е</w:t>
      </w:r>
      <w:r w:rsidRPr="00CF785B">
        <w:t xml:space="preserve">ственных различий или пробелов в </w:t>
      </w:r>
      <w:r>
        <w:t xml:space="preserve">правовой практике </w:t>
      </w:r>
      <w:r w:rsidRPr="00CF785B">
        <w:t>по определенному в</w:t>
      </w:r>
      <w:r w:rsidRPr="00CF785B">
        <w:t>о</w:t>
      </w:r>
      <w:r w:rsidRPr="00CF785B">
        <w:t>просу, требующих обсуждения и поиска решений, что как раз относится к ст</w:t>
      </w:r>
      <w:r w:rsidRPr="00CF785B">
        <w:t>а</w:t>
      </w:r>
      <w:r w:rsidRPr="00CF785B">
        <w:t>тье 26. Другим критерием может быть возникновение новых ситуаций – катег</w:t>
      </w:r>
      <w:r w:rsidRPr="00CF785B">
        <w:t>о</w:t>
      </w:r>
      <w:r w:rsidRPr="00CF785B">
        <w:t>ри</w:t>
      </w:r>
      <w:r>
        <w:t>я</w:t>
      </w:r>
      <w:r w:rsidRPr="00CF785B">
        <w:t>, к</w:t>
      </w:r>
      <w:r w:rsidRPr="00CF785B">
        <w:t>о</w:t>
      </w:r>
      <w:r w:rsidRPr="00CF785B">
        <w:t>торая подходит для замечания общего порядка по статье 9.</w:t>
      </w:r>
    </w:p>
    <w:p w:rsidR="00E61BE9" w:rsidRPr="00CF785B" w:rsidRDefault="00E61BE9" w:rsidP="00E61BE9">
      <w:pPr>
        <w:pStyle w:val="SingleTxtGR"/>
      </w:pPr>
      <w:r w:rsidRPr="00CF785B">
        <w:t>75.</w:t>
      </w:r>
      <w:r w:rsidRPr="00CF785B">
        <w:tab/>
      </w:r>
      <w:r w:rsidRPr="00BA2263">
        <w:rPr>
          <w:b/>
        </w:rPr>
        <w:t>Г-н О’Флаэрти</w:t>
      </w:r>
      <w:r w:rsidRPr="00CF785B">
        <w:t xml:space="preserve"> говорит, что Бюро могло бы подготовить предложение к сессии в октябре 2011 года на основе предложений, сделанных на текущем з</w:t>
      </w:r>
      <w:r w:rsidRPr="00CF785B">
        <w:t>а</w:t>
      </w:r>
      <w:r w:rsidRPr="00CF785B">
        <w:t>седании.</w:t>
      </w:r>
    </w:p>
    <w:p w:rsidR="00E61BE9" w:rsidRPr="00CF785B" w:rsidRDefault="00E61BE9" w:rsidP="00E61BE9">
      <w:pPr>
        <w:pStyle w:val="SingleTxtGR"/>
      </w:pPr>
      <w:r w:rsidRPr="00CF785B">
        <w:t>76.</w:t>
      </w:r>
      <w:r w:rsidRPr="00CF785B">
        <w:tab/>
      </w:r>
      <w:r w:rsidRPr="00BA2263">
        <w:rPr>
          <w:b/>
        </w:rPr>
        <w:t>Сэр Найджел Родли</w:t>
      </w:r>
      <w:r w:rsidRPr="00CF785B">
        <w:t xml:space="preserve"> соглашается с г-ном Амором и г-ном О’Флаэрти в том, что </w:t>
      </w:r>
      <w:r>
        <w:t xml:space="preserve">принимать решение пока </w:t>
      </w:r>
      <w:r w:rsidRPr="00CF785B">
        <w:t xml:space="preserve">преждевременно. Бюро Комитета могло </w:t>
      </w:r>
      <w:r>
        <w:t xml:space="preserve">бы приступить к </w:t>
      </w:r>
      <w:r w:rsidRPr="00CF785B">
        <w:t>изучени</w:t>
      </w:r>
      <w:r>
        <w:t>ю</w:t>
      </w:r>
      <w:r w:rsidRPr="00CF785B">
        <w:t xml:space="preserve"> этого вопроса, памятуя о сессии в октябре и опираясь на варианты и критерии, затронутые в ходе нынешнего обс</w:t>
      </w:r>
      <w:r w:rsidRPr="00CF785B">
        <w:t>у</w:t>
      </w:r>
      <w:r w:rsidRPr="00CF785B">
        <w:t>ждения.</w:t>
      </w:r>
    </w:p>
    <w:p w:rsidR="00E61BE9" w:rsidRPr="00CF785B" w:rsidRDefault="00E61BE9" w:rsidP="00E61BE9">
      <w:pPr>
        <w:pStyle w:val="SingleTxtGR"/>
      </w:pPr>
      <w:r w:rsidRPr="00CF785B">
        <w:t>77.</w:t>
      </w:r>
      <w:r w:rsidRPr="00CF785B">
        <w:tab/>
      </w:r>
      <w:r w:rsidRPr="00E92426">
        <w:rPr>
          <w:b/>
        </w:rPr>
        <w:t>Г-н Амор</w:t>
      </w:r>
      <w:r w:rsidRPr="00CF785B">
        <w:t xml:space="preserve"> говорит, что даже если Бюро и предложит определенное число критериев для следу</w:t>
      </w:r>
      <w:r w:rsidRPr="00CF785B">
        <w:t>ю</w:t>
      </w:r>
      <w:r w:rsidRPr="00CF785B">
        <w:t>щей сессии, Комитету следует вернуться к этому вопросу на пленарном заседании.</w:t>
      </w:r>
    </w:p>
    <w:p w:rsidR="00E61BE9" w:rsidRPr="00CF785B" w:rsidRDefault="00E61BE9" w:rsidP="00E61BE9">
      <w:pPr>
        <w:pStyle w:val="SingleTxtGR"/>
      </w:pPr>
      <w:r w:rsidRPr="00CF785B">
        <w:t>78.</w:t>
      </w:r>
      <w:r w:rsidRPr="00CF785B">
        <w:tab/>
      </w:r>
      <w:r w:rsidRPr="00E92426">
        <w:rPr>
          <w:b/>
        </w:rPr>
        <w:t>Г-н Ривас Посада</w:t>
      </w:r>
      <w:r w:rsidRPr="00CF785B">
        <w:t xml:space="preserve"> также считает, что следует подождать с принятием решения, в частности, из-за сложности факторов, которые следует учитывать: важность темы, наличие достаточной </w:t>
      </w:r>
      <w:r>
        <w:t xml:space="preserve">правовой практики </w:t>
      </w:r>
      <w:r w:rsidRPr="00CF785B">
        <w:t>Комитета или, с др</w:t>
      </w:r>
      <w:r w:rsidRPr="00CF785B">
        <w:t>у</w:t>
      </w:r>
      <w:r w:rsidRPr="00CF785B">
        <w:t>гой стороны, необходимость толкования сферы, характера и условий примен</w:t>
      </w:r>
      <w:r w:rsidRPr="00CF785B">
        <w:t>е</w:t>
      </w:r>
      <w:r w:rsidRPr="00CF785B">
        <w:t xml:space="preserve">ния данной статьи при отсутствии </w:t>
      </w:r>
      <w:r>
        <w:t>соответствующих решений</w:t>
      </w:r>
      <w:r w:rsidRPr="00CF785B">
        <w:t>. Опыт показыв</w:t>
      </w:r>
      <w:r w:rsidRPr="00CF785B">
        <w:t>а</w:t>
      </w:r>
      <w:r w:rsidRPr="00CF785B">
        <w:t>ет, что подготовка замечания общего порядка может занять не меньше двух лет</w:t>
      </w:r>
      <w:r>
        <w:t xml:space="preserve">: важным аспектом также является </w:t>
      </w:r>
      <w:r w:rsidRPr="00CF785B">
        <w:t>нали</w:t>
      </w:r>
      <w:r>
        <w:t>чие д</w:t>
      </w:r>
      <w:r w:rsidRPr="00CF785B">
        <w:t xml:space="preserve">окладчика на </w:t>
      </w:r>
      <w:r>
        <w:t xml:space="preserve">достаточно </w:t>
      </w:r>
      <w:r w:rsidRPr="00CF785B">
        <w:t>длител</w:t>
      </w:r>
      <w:r w:rsidRPr="00CF785B">
        <w:t>ь</w:t>
      </w:r>
      <w:r w:rsidRPr="00CF785B">
        <w:t>ный период.</w:t>
      </w:r>
    </w:p>
    <w:p w:rsidR="00E61BE9" w:rsidRPr="00CF785B" w:rsidRDefault="00E61BE9" w:rsidP="00E61BE9">
      <w:pPr>
        <w:pStyle w:val="SingleTxtGR"/>
      </w:pPr>
      <w:r w:rsidRPr="00CF785B">
        <w:t>79.</w:t>
      </w:r>
      <w:r w:rsidRPr="00CF785B">
        <w:tab/>
      </w:r>
      <w:r w:rsidRPr="00DC1688">
        <w:rPr>
          <w:b/>
        </w:rPr>
        <w:t>Г-н Ивасава</w:t>
      </w:r>
      <w:r w:rsidRPr="00CF785B">
        <w:t xml:space="preserve"> напоминает, что подготовка замечаний общего порядка пр</w:t>
      </w:r>
      <w:r w:rsidRPr="00CF785B">
        <w:t>е</w:t>
      </w:r>
      <w:r w:rsidRPr="00CF785B">
        <w:t>дусмотрена пунктом 4 ст</w:t>
      </w:r>
      <w:r w:rsidRPr="00CF785B">
        <w:t>а</w:t>
      </w:r>
      <w:r w:rsidRPr="00CF785B">
        <w:t>тьи 40 Пакта, в ко</w:t>
      </w:r>
      <w:r>
        <w:t>тором указывается, что Комитет "</w:t>
      </w:r>
      <w:r w:rsidRPr="00CF785B">
        <w:t>препровождает государствам-участникам свои доклады и такие замечания о</w:t>
      </w:r>
      <w:r w:rsidRPr="00CF785B">
        <w:t>б</w:t>
      </w:r>
      <w:r w:rsidRPr="00CF785B">
        <w:t>щего порядка, которые он сочтет целесообразными</w:t>
      </w:r>
      <w:r>
        <w:t>"</w:t>
      </w:r>
      <w:r w:rsidRPr="00CF785B">
        <w:t xml:space="preserve">. </w:t>
      </w:r>
      <w:r>
        <w:t>Л</w:t>
      </w:r>
      <w:r w:rsidRPr="00CF785B">
        <w:t>ишь в начале 1990-х г</w:t>
      </w:r>
      <w:r w:rsidRPr="00CF785B">
        <w:t>о</w:t>
      </w:r>
      <w:r w:rsidRPr="00CF785B">
        <w:t>дов Комитет, помимо замечаний общего порядка, начал готовить еще и закл</w:t>
      </w:r>
      <w:r w:rsidRPr="00CF785B">
        <w:t>ю</w:t>
      </w:r>
      <w:r w:rsidRPr="00CF785B">
        <w:t>чительные зам</w:t>
      </w:r>
      <w:r w:rsidRPr="00CF785B">
        <w:t>е</w:t>
      </w:r>
      <w:r w:rsidRPr="00CF785B">
        <w:t>чания для государств-участников.</w:t>
      </w:r>
    </w:p>
    <w:p w:rsidR="00E61BE9" w:rsidRPr="00CF785B" w:rsidRDefault="00E61BE9" w:rsidP="00E61BE9">
      <w:pPr>
        <w:pStyle w:val="SingleTxtGR"/>
      </w:pPr>
      <w:r w:rsidRPr="00CF785B">
        <w:t>80.</w:t>
      </w:r>
      <w:r w:rsidRPr="00CF785B">
        <w:tab/>
      </w:r>
      <w:r w:rsidRPr="00DC1688">
        <w:rPr>
          <w:b/>
        </w:rPr>
        <w:t>Г-н Лаллах</w:t>
      </w:r>
      <w:r w:rsidRPr="00CF785B">
        <w:t xml:space="preserve"> считает, что член</w:t>
      </w:r>
      <w:r>
        <w:t>ам</w:t>
      </w:r>
      <w:r w:rsidRPr="00CF785B">
        <w:t xml:space="preserve"> Комитета </w:t>
      </w:r>
      <w:r>
        <w:t xml:space="preserve">было бы полезно </w:t>
      </w:r>
      <w:r w:rsidRPr="00CF785B">
        <w:t>ознакоми</w:t>
      </w:r>
      <w:r>
        <w:t xml:space="preserve">ться </w:t>
      </w:r>
      <w:r w:rsidRPr="00CF785B">
        <w:t>с историей вопроса, особенно с краткими отчетами заседаний, в ходе которых в</w:t>
      </w:r>
      <w:r>
        <w:t xml:space="preserve">первые </w:t>
      </w:r>
      <w:r w:rsidRPr="00CF785B">
        <w:t>обсуждался вопрос о подготовке замечаний общего порядка и о прав</w:t>
      </w:r>
      <w:r w:rsidRPr="00CF785B">
        <w:t>о</w:t>
      </w:r>
      <w:r w:rsidRPr="00CF785B">
        <w:t>вой основе такой подготовки</w:t>
      </w:r>
      <w:r>
        <w:t xml:space="preserve"> почти сразу же </w:t>
      </w:r>
      <w:r w:rsidRPr="00CF785B">
        <w:t>после создания Комитета. В теч</w:t>
      </w:r>
      <w:r w:rsidRPr="00CF785B">
        <w:t>е</w:t>
      </w:r>
      <w:r w:rsidRPr="00CF785B">
        <w:t xml:space="preserve">ние 35 лет отдельные государства-участники ставят под </w:t>
      </w:r>
      <w:r>
        <w:t xml:space="preserve">сомнение </w:t>
      </w:r>
      <w:r w:rsidRPr="00CF785B">
        <w:t>мнения, в</w:t>
      </w:r>
      <w:r w:rsidRPr="00CF785B">
        <w:t>ы</w:t>
      </w:r>
      <w:r w:rsidRPr="00CF785B">
        <w:t>раженные в замечаниях общего порядка Комитета, однако за долгие годы его компетенция по их подготовке не оспаривалась. И только недавно гос</w:t>
      </w:r>
      <w:r w:rsidRPr="00CF785B">
        <w:t>у</w:t>
      </w:r>
      <w:r w:rsidRPr="00CF785B">
        <w:t>дарства-участники начали ставить под сомнение правовую основу замечаний общего порядка.</w:t>
      </w:r>
    </w:p>
    <w:p w:rsidR="00E61BE9" w:rsidRPr="00CF785B" w:rsidRDefault="00E61BE9" w:rsidP="00E61BE9">
      <w:pPr>
        <w:pStyle w:val="SingleTxtGR"/>
      </w:pPr>
      <w:r w:rsidRPr="00CF785B">
        <w:t>81.</w:t>
      </w:r>
      <w:r w:rsidRPr="00CF785B">
        <w:tab/>
      </w:r>
      <w:r w:rsidRPr="00E20428">
        <w:rPr>
          <w:b/>
        </w:rPr>
        <w:t>Сэр Найджел Родли</w:t>
      </w:r>
      <w:r w:rsidRPr="00CF785B">
        <w:t xml:space="preserve"> говорит, что первоначально Комитет действительно обсуждал вопрос о </w:t>
      </w:r>
      <w:r>
        <w:t xml:space="preserve">правомерности </w:t>
      </w:r>
      <w:r w:rsidRPr="00CF785B">
        <w:t>применения пункта 4 статьи 40 к оценке до</w:t>
      </w:r>
      <w:r w:rsidRPr="00CF785B">
        <w:t>к</w:t>
      </w:r>
      <w:r w:rsidRPr="00CF785B">
        <w:t>ладов государств-участников. Затем Комитет принял 34 замечания общего п</w:t>
      </w:r>
      <w:r w:rsidRPr="00CF785B">
        <w:t>о</w:t>
      </w:r>
      <w:r w:rsidRPr="00CF785B">
        <w:t>рядка, к которым НПО, государства-участники и научные круги отнеслись со всей серьезностью, а другие договорные органы последовали его примеру. Он соглашается с г-ном Лаллахом в том, что было бы интересно в</w:t>
      </w:r>
      <w:r>
        <w:t xml:space="preserve">ернуться </w:t>
      </w:r>
      <w:r w:rsidRPr="00CF785B">
        <w:t>к ист</w:t>
      </w:r>
      <w:r w:rsidRPr="00CF785B">
        <w:t>о</w:t>
      </w:r>
      <w:r w:rsidRPr="00CF785B">
        <w:t>кам этого вопроса, н</w:t>
      </w:r>
      <w:r>
        <w:t xml:space="preserve">е возобновляя </w:t>
      </w:r>
      <w:r w:rsidRPr="00CF785B">
        <w:t>дискусси</w:t>
      </w:r>
      <w:r>
        <w:t>ю на текущем заседании.</w:t>
      </w:r>
    </w:p>
    <w:p w:rsidR="00E61BE9" w:rsidRPr="00CF785B" w:rsidRDefault="00E61BE9" w:rsidP="00E61BE9">
      <w:pPr>
        <w:pStyle w:val="SingleTxtGR"/>
      </w:pPr>
      <w:r w:rsidRPr="00CF785B">
        <w:t>82.</w:t>
      </w:r>
      <w:r w:rsidRPr="00CF785B">
        <w:tab/>
      </w:r>
      <w:r w:rsidRPr="00E20428">
        <w:rPr>
          <w:b/>
        </w:rPr>
        <w:t>Г-н О’Флаэрти</w:t>
      </w:r>
      <w:r w:rsidRPr="00CF785B">
        <w:t xml:space="preserve"> говорит, что не имеет смысла вновь подтверждать прав</w:t>
      </w:r>
      <w:r w:rsidRPr="00CF785B">
        <w:t>о</w:t>
      </w:r>
      <w:r w:rsidRPr="00CF785B">
        <w:t>вую основу подготовки замечаний общего порядка, учитывая наличие офиц</w:t>
      </w:r>
      <w:r w:rsidRPr="00CF785B">
        <w:t>и</w:t>
      </w:r>
      <w:r w:rsidRPr="00CF785B">
        <w:t>ального краткого отчета о заседании, где это обсуждалось, а также того факта, что этот вопрос в течение ряда лет регулярно поднимался на Генеральной А</w:t>
      </w:r>
      <w:r w:rsidRPr="00CF785B">
        <w:t>с</w:t>
      </w:r>
      <w:r w:rsidRPr="00CF785B">
        <w:t>самблее в рамках обсуждений резолюций, касающихся прав человека. Он по</w:t>
      </w:r>
      <w:r w:rsidRPr="00CF785B">
        <w:t>д</w:t>
      </w:r>
      <w:r w:rsidRPr="00CF785B">
        <w:t>черкивает, что 23 государства-участника представили предложения по подг</w:t>
      </w:r>
      <w:r w:rsidRPr="00CF785B">
        <w:t>о</w:t>
      </w:r>
      <w:r w:rsidRPr="00CF785B">
        <w:t>товке замечания общего порядка № 34, ни раз</w:t>
      </w:r>
      <w:r>
        <w:t>у не поставив под сомнение его правомерность</w:t>
      </w:r>
      <w:r w:rsidRPr="00CF785B">
        <w:t>.</w:t>
      </w:r>
    </w:p>
    <w:p w:rsidR="00E61BE9" w:rsidRPr="00CF785B" w:rsidRDefault="00E61BE9" w:rsidP="00E61BE9">
      <w:pPr>
        <w:pStyle w:val="SingleTxtGR"/>
      </w:pPr>
      <w:r w:rsidRPr="00CF785B">
        <w:t>83.</w:t>
      </w:r>
      <w:r w:rsidRPr="00CF785B">
        <w:tab/>
      </w:r>
      <w:r w:rsidRPr="00E20428">
        <w:rPr>
          <w:b/>
        </w:rPr>
        <w:t>Г-н Флинтерман</w:t>
      </w:r>
      <w:r w:rsidRPr="00CF785B">
        <w:t xml:space="preserve"> говорит, что пункт 4 статьи 40 Пакта служит основой для аналогичных, но более конкретных положений, содержащихся в междун</w:t>
      </w:r>
      <w:r w:rsidRPr="00CF785B">
        <w:t>а</w:t>
      </w:r>
      <w:r w:rsidRPr="00CF785B">
        <w:t>родных до</w:t>
      </w:r>
      <w:r>
        <w:t xml:space="preserve">говорах </w:t>
      </w:r>
      <w:r w:rsidRPr="00CF785B">
        <w:t xml:space="preserve">по правам человека, принятых впоследствии, которые </w:t>
      </w:r>
      <w:r>
        <w:t>недв</w:t>
      </w:r>
      <w:r>
        <w:t>у</w:t>
      </w:r>
      <w:r>
        <w:t>смысленно наделяют соответствующие</w:t>
      </w:r>
      <w:r w:rsidRPr="00CF785B">
        <w:t xml:space="preserve"> договорны</w:t>
      </w:r>
      <w:r>
        <w:t>е</w:t>
      </w:r>
      <w:r w:rsidRPr="00CF785B">
        <w:t xml:space="preserve"> орган</w:t>
      </w:r>
      <w:r>
        <w:t>ы</w:t>
      </w:r>
      <w:r w:rsidRPr="00CF785B">
        <w:t xml:space="preserve"> по</w:t>
      </w:r>
      <w:r>
        <w:t xml:space="preserve">лномочиями по подготовке </w:t>
      </w:r>
      <w:r w:rsidRPr="00CF785B">
        <w:t>рекомендаций и замечаний общего порядка. Этот факт подтверждает толкование, которое было дано данному пункту.</w:t>
      </w:r>
    </w:p>
    <w:p w:rsidR="00E61BE9" w:rsidRPr="00CF785B" w:rsidRDefault="00E61BE9" w:rsidP="00E61BE9">
      <w:pPr>
        <w:pStyle w:val="SingleTxtGR"/>
      </w:pPr>
      <w:r w:rsidRPr="00CF785B">
        <w:t>84.</w:t>
      </w:r>
      <w:r w:rsidRPr="00CF785B">
        <w:tab/>
      </w:r>
      <w:r w:rsidRPr="00804FCB">
        <w:rPr>
          <w:b/>
        </w:rPr>
        <w:t>Г-н Сальвиоли</w:t>
      </w:r>
      <w:r w:rsidRPr="00CF785B">
        <w:t xml:space="preserve"> говорит, что в качестве самого простого обоснования з</w:t>
      </w:r>
      <w:r w:rsidRPr="00CF785B">
        <w:t>а</w:t>
      </w:r>
      <w:r w:rsidRPr="00CF785B">
        <w:t>мечаний общего порядка можно напомнить то</w:t>
      </w:r>
      <w:r>
        <w:t xml:space="preserve">т факт, </w:t>
      </w:r>
      <w:r w:rsidRPr="00CF785B">
        <w:t>что Комитет был создан для применения и толкования Пакта.</w:t>
      </w:r>
    </w:p>
    <w:p w:rsidR="00E61BE9" w:rsidRPr="00CF785B" w:rsidRDefault="00E61BE9" w:rsidP="00E61BE9">
      <w:pPr>
        <w:pStyle w:val="SingleTxtGR"/>
      </w:pPr>
      <w:r w:rsidRPr="00CF785B">
        <w:t>85.</w:t>
      </w:r>
      <w:r w:rsidRPr="00CF785B">
        <w:tab/>
      </w:r>
      <w:r w:rsidRPr="00804FCB">
        <w:rPr>
          <w:b/>
        </w:rPr>
        <w:t>Председатель</w:t>
      </w:r>
      <w:r w:rsidRPr="00CF785B">
        <w:t xml:space="preserve"> говорит, что Комитет продолжит обсуждение вопроса о выборе статьи Пакта для подготовки следующего замечания общего порядка и на</w:t>
      </w:r>
      <w:r>
        <w:t>значении д</w:t>
      </w:r>
      <w:r w:rsidRPr="00CF785B">
        <w:t>окладчика на предстоящей сессии, и предлагает членам Комитета обсудить другие вопросы, связанные с организацией работы.</w:t>
      </w:r>
    </w:p>
    <w:p w:rsidR="00E61BE9" w:rsidRPr="00CF785B" w:rsidRDefault="00E61BE9" w:rsidP="00E61BE9">
      <w:pPr>
        <w:pStyle w:val="SingleTxtGR"/>
      </w:pPr>
      <w:r w:rsidRPr="00CF785B">
        <w:t>86.</w:t>
      </w:r>
      <w:r w:rsidRPr="00CF785B">
        <w:tab/>
      </w:r>
      <w:r w:rsidRPr="00804FCB">
        <w:rPr>
          <w:b/>
        </w:rPr>
        <w:t>Г-н Ивасава</w:t>
      </w:r>
      <w:r w:rsidRPr="00CF785B">
        <w:t xml:space="preserve"> спрашивает, располагает ли секретариат дополнительной информ</w:t>
      </w:r>
      <w:r>
        <w:t>ацией о воздействии инициативы "</w:t>
      </w:r>
      <w:r w:rsidRPr="00CF785B">
        <w:t>Экологизация Организации Объед</w:t>
      </w:r>
      <w:r w:rsidRPr="00CF785B">
        <w:t>и</w:t>
      </w:r>
      <w:r w:rsidRPr="00CF785B">
        <w:t>ненных Наций</w:t>
      </w:r>
      <w:r>
        <w:t>"</w:t>
      </w:r>
      <w:r w:rsidRPr="00CF785B">
        <w:t xml:space="preserve"> на работу Комитета.</w:t>
      </w:r>
    </w:p>
    <w:p w:rsidR="00E61BE9" w:rsidRPr="00CF785B" w:rsidRDefault="00E61BE9" w:rsidP="00E61BE9">
      <w:pPr>
        <w:pStyle w:val="SingleTxtGR"/>
      </w:pPr>
      <w:r w:rsidRPr="00CF785B">
        <w:t>87.</w:t>
      </w:r>
      <w:r w:rsidRPr="00CF785B">
        <w:tab/>
      </w:r>
      <w:r w:rsidRPr="00804FCB">
        <w:rPr>
          <w:b/>
        </w:rPr>
        <w:t>Г-жа Фокс</w:t>
      </w:r>
      <w:r>
        <w:t xml:space="preserve"> (С</w:t>
      </w:r>
      <w:r w:rsidRPr="00CF785B">
        <w:t>екретарь Ком</w:t>
      </w:r>
      <w:r>
        <w:t>итета) говорит, что инициатива "</w:t>
      </w:r>
      <w:r w:rsidRPr="00CF785B">
        <w:t>Экологизация Организации Объединенных Наций</w:t>
      </w:r>
      <w:r>
        <w:t>"</w:t>
      </w:r>
      <w:r w:rsidRPr="00CF785B">
        <w:t xml:space="preserve"> направлена в основном на сокращение п</w:t>
      </w:r>
      <w:r w:rsidRPr="00CF785B">
        <w:t>о</w:t>
      </w:r>
      <w:r w:rsidRPr="00CF785B">
        <w:t xml:space="preserve">требления бумаги </w:t>
      </w:r>
      <w:r>
        <w:t xml:space="preserve">во всей </w:t>
      </w:r>
      <w:r w:rsidRPr="00CF785B">
        <w:t>системе Организации Объединенных Наций за счет прекращения дальнейшей распечатки некоторых документов или публикаций. Тем не менее, как об этом просил Комитет, его доклад Генеральной Ассамблее на ее шестьдесят шестой сессии будет распространен на октябрьской сессии. Некоторые договорные</w:t>
      </w:r>
      <w:r>
        <w:t xml:space="preserve"> органы уже с успехом проводят "</w:t>
      </w:r>
      <w:r w:rsidRPr="00CF785B">
        <w:t>безбумажные</w:t>
      </w:r>
      <w:r>
        <w:t>"</w:t>
      </w:r>
      <w:r w:rsidRPr="00CF785B">
        <w:t xml:space="preserve"> сессии, на которых информация распространяется в основном с использованием и</w:t>
      </w:r>
      <w:r w:rsidRPr="00CF785B">
        <w:t>н</w:t>
      </w:r>
      <w:r w:rsidRPr="00CF785B">
        <w:t>формационно-технических средств. В течение нескольких месяцев Ком</w:t>
      </w:r>
      <w:r w:rsidRPr="00CF785B">
        <w:t>и</w:t>
      </w:r>
      <w:r w:rsidRPr="00CF785B">
        <w:t>тет по пра</w:t>
      </w:r>
      <w:r>
        <w:t>вам человека имеет свой сайт в Э</w:t>
      </w:r>
      <w:r w:rsidRPr="00CF785B">
        <w:t xml:space="preserve">кстранете, о пользе которого имеется два разных мнения, </w:t>
      </w:r>
      <w:r>
        <w:t xml:space="preserve">высказанных </w:t>
      </w:r>
      <w:r w:rsidRPr="00CF785B">
        <w:t>г-жой Келлер, которая им удовл</w:t>
      </w:r>
      <w:r>
        <w:t>етв</w:t>
      </w:r>
      <w:r>
        <w:t>о</w:t>
      </w:r>
      <w:r>
        <w:t>рена, и г</w:t>
      </w:r>
      <w:r>
        <w:noBreakHyphen/>
      </w:r>
      <w:r w:rsidRPr="00CF785B">
        <w:t>ном</w:t>
      </w:r>
      <w:r>
        <w:t> </w:t>
      </w:r>
      <w:r w:rsidRPr="00CF785B">
        <w:t>Ивасава, который выразил некоторые сомнения. Любые меры по умен</w:t>
      </w:r>
      <w:r w:rsidRPr="00CF785B">
        <w:t>ь</w:t>
      </w:r>
      <w:r w:rsidRPr="00CF785B">
        <w:t>шению объема бумажной документации должны предварительно обсуждаться Комитетом.</w:t>
      </w:r>
    </w:p>
    <w:p w:rsidR="00E61BE9" w:rsidRPr="00CF785B" w:rsidRDefault="00E61BE9" w:rsidP="00E61BE9">
      <w:pPr>
        <w:pStyle w:val="SingleTxtGR"/>
      </w:pPr>
      <w:r w:rsidRPr="00CF785B">
        <w:t>88.</w:t>
      </w:r>
      <w:r w:rsidRPr="00CF785B">
        <w:tab/>
      </w:r>
      <w:r w:rsidRPr="002935FF">
        <w:rPr>
          <w:b/>
        </w:rPr>
        <w:t>Г-н О’Флаэрти</w:t>
      </w:r>
      <w:r w:rsidRPr="00CF785B">
        <w:t xml:space="preserve"> предлагает, чтобы полные комплекты докуме</w:t>
      </w:r>
      <w:r w:rsidRPr="00CF785B">
        <w:t>н</w:t>
      </w:r>
      <w:r w:rsidRPr="00CF785B">
        <w:t>тов по той или иной стране временно раздавались только членам целевых групп, ответс</w:t>
      </w:r>
      <w:r w:rsidRPr="00CF785B">
        <w:t>т</w:t>
      </w:r>
      <w:r w:rsidRPr="00CF785B">
        <w:t xml:space="preserve">венных за изучение доклада рассматриваемой страны, </w:t>
      </w:r>
      <w:r>
        <w:t xml:space="preserve">с тем чтобы </w:t>
      </w:r>
      <w:r w:rsidRPr="00CF785B">
        <w:t>избежать ненужных затрат. Другие члены будут получать лишь подборку базовых док</w:t>
      </w:r>
      <w:r w:rsidRPr="00CF785B">
        <w:t>у</w:t>
      </w:r>
      <w:r w:rsidRPr="00CF785B">
        <w:t>ментов Комитета, а что касается остальной документации, то при необходим</w:t>
      </w:r>
      <w:r w:rsidRPr="00CF785B">
        <w:t>о</w:t>
      </w:r>
      <w:r w:rsidRPr="00CF785B">
        <w:t>сти можно будет ознакомиться с единственным экземпляром досье в зале зас</w:t>
      </w:r>
      <w:r w:rsidRPr="00CF785B">
        <w:t>е</w:t>
      </w:r>
      <w:r w:rsidRPr="00CF785B">
        <w:t xml:space="preserve">даний. Он уточняет, что это предложение не предполагает </w:t>
      </w:r>
      <w:r>
        <w:t xml:space="preserve">отказ от </w:t>
      </w:r>
      <w:r w:rsidRPr="00CF785B">
        <w:t>использов</w:t>
      </w:r>
      <w:r w:rsidRPr="00CF785B">
        <w:t>а</w:t>
      </w:r>
      <w:r w:rsidRPr="00CF785B">
        <w:t>ния сайта Ком</w:t>
      </w:r>
      <w:r w:rsidRPr="00CF785B">
        <w:t>и</w:t>
      </w:r>
      <w:r>
        <w:t>тета в Э</w:t>
      </w:r>
      <w:r w:rsidRPr="00CF785B">
        <w:t>кстранете.</w:t>
      </w:r>
    </w:p>
    <w:p w:rsidR="00E61BE9" w:rsidRPr="00CF785B" w:rsidRDefault="00E61BE9" w:rsidP="00E61BE9">
      <w:pPr>
        <w:pStyle w:val="SingleTxtGR"/>
      </w:pPr>
      <w:r w:rsidRPr="00CF785B">
        <w:t>89.</w:t>
      </w:r>
      <w:r w:rsidRPr="00CF785B">
        <w:tab/>
      </w:r>
      <w:r w:rsidRPr="002935FF">
        <w:rPr>
          <w:b/>
        </w:rPr>
        <w:t>Г-н Телин</w:t>
      </w:r>
      <w:r w:rsidRPr="00CF785B">
        <w:t xml:space="preserve"> говорит, что он не может работать только с электронными ве</w:t>
      </w:r>
      <w:r w:rsidRPr="00CF785B">
        <w:t>р</w:t>
      </w:r>
      <w:r w:rsidRPr="00CF785B">
        <w:t>сиями документов, и считает, что политика Организации Объединенных Н</w:t>
      </w:r>
      <w:r w:rsidRPr="00CF785B">
        <w:t>а</w:t>
      </w:r>
      <w:r w:rsidRPr="00CF785B">
        <w:t>ций, цели которой достойны одобрения, фактически сводится к перекладыв</w:t>
      </w:r>
      <w:r w:rsidRPr="00CF785B">
        <w:t>а</w:t>
      </w:r>
      <w:r w:rsidRPr="00CF785B">
        <w:t>нию на других ответственности за расход бумаги, в особенности на членов Комитета, которые предпочитают сами распечатывать документы, полученные электро</w:t>
      </w:r>
      <w:r w:rsidRPr="00CF785B">
        <w:t>н</w:t>
      </w:r>
      <w:r w:rsidRPr="00CF785B">
        <w:t>ным путем.</w:t>
      </w:r>
    </w:p>
    <w:p w:rsidR="00E61BE9" w:rsidRPr="00CF785B" w:rsidRDefault="00E61BE9" w:rsidP="00E61BE9">
      <w:pPr>
        <w:pStyle w:val="SingleTxtGR"/>
      </w:pPr>
      <w:r w:rsidRPr="00CF785B">
        <w:t>90.</w:t>
      </w:r>
      <w:r w:rsidRPr="00CF785B">
        <w:tab/>
      </w:r>
      <w:r w:rsidRPr="003C1BC7">
        <w:rPr>
          <w:b/>
        </w:rPr>
        <w:t>Г-н Ивасава</w:t>
      </w:r>
      <w:r w:rsidRPr="00CF785B">
        <w:t xml:space="preserve"> говорит, что </w:t>
      </w:r>
      <w:r>
        <w:t>он просто хотел бы, чтобы сайт Э</w:t>
      </w:r>
      <w:r w:rsidRPr="00CF785B">
        <w:t>кстранета Комитета стал более удобным для пользователей, например, предоставляя во</w:t>
      </w:r>
      <w:r w:rsidRPr="00CF785B">
        <w:t>з</w:t>
      </w:r>
      <w:r w:rsidRPr="00CF785B">
        <w:t xml:space="preserve">можность одновременной загрузки всех документов. </w:t>
      </w:r>
    </w:p>
    <w:p w:rsidR="00E61BE9" w:rsidRPr="003C1BC7" w:rsidRDefault="00E61BE9" w:rsidP="00E61BE9">
      <w:pPr>
        <w:pStyle w:val="SingleTxtGR"/>
        <w:rPr>
          <w:i/>
        </w:rPr>
      </w:pPr>
      <w:r w:rsidRPr="003C1BC7">
        <w:rPr>
          <w:i/>
        </w:rPr>
        <w:t>Заседание закрывается в 18 ч. 00 м.</w:t>
      </w:r>
    </w:p>
    <w:p w:rsidR="00E61BE9" w:rsidRPr="00CF785B" w:rsidRDefault="00E61BE9" w:rsidP="00E61BE9">
      <w:pPr>
        <w:pStyle w:val="SingleTxtGR"/>
      </w:pPr>
    </w:p>
    <w:sectPr w:rsidR="00E61BE9" w:rsidRPr="00CF785B" w:rsidSect="0084613B">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01" w:rsidRDefault="00703A01">
      <w:r>
        <w:rPr>
          <w:lang w:val="en-US"/>
        </w:rPr>
        <w:tab/>
      </w:r>
      <w:r>
        <w:separator/>
      </w:r>
    </w:p>
  </w:endnote>
  <w:endnote w:type="continuationSeparator" w:id="0">
    <w:p w:rsidR="00703A01" w:rsidRDefault="0070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9" w:rsidRPr="005F0588" w:rsidRDefault="00E61BE9">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92477C">
      <w:rPr>
        <w:rStyle w:val="PageNumber"/>
        <w:noProof/>
      </w:rPr>
      <w:t>12</w:t>
    </w:r>
    <w:r>
      <w:rPr>
        <w:rStyle w:val="PageNumber"/>
      </w:rPr>
      <w:fldChar w:fldCharType="end"/>
    </w:r>
    <w:r>
      <w:rPr>
        <w:lang w:val="en-US"/>
      </w:rPr>
      <w:tab/>
      <w:t>GE.11-44369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9" w:rsidRPr="005F0588" w:rsidRDefault="00E61BE9">
    <w:pPr>
      <w:pStyle w:val="Footer"/>
      <w:rPr>
        <w:lang w:val="en-US"/>
      </w:rPr>
    </w:pPr>
    <w:r>
      <w:rPr>
        <w:lang w:val="en-US"/>
      </w:rPr>
      <w:t>GE.11-44369</w:t>
    </w:r>
    <w:r>
      <w:rPr>
        <w:lang w:val="en-US"/>
      </w:rPr>
      <w:tab/>
    </w:r>
    <w:r>
      <w:rPr>
        <w:rStyle w:val="PageNumber"/>
      </w:rPr>
      <w:fldChar w:fldCharType="begin"/>
    </w:r>
    <w:r>
      <w:rPr>
        <w:rStyle w:val="PageNumber"/>
      </w:rPr>
      <w:instrText xml:space="preserve"> PAGE </w:instrText>
    </w:r>
    <w:r>
      <w:rPr>
        <w:rStyle w:val="PageNumber"/>
      </w:rPr>
      <w:fldChar w:fldCharType="separate"/>
    </w:r>
    <w:r w:rsidR="0092477C">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9" w:rsidRDefault="00E61BE9" w:rsidP="00A17D6D">
    <w:pPr>
      <w:pStyle w:val="FootnoteText"/>
      <w:pBdr>
        <w:bottom w:val="single" w:sz="4" w:space="1" w:color="auto"/>
      </w:pBdr>
      <w:tabs>
        <w:tab w:val="clear" w:pos="1021"/>
      </w:tabs>
      <w:ind w:left="0" w:right="0" w:firstLine="0"/>
    </w:pPr>
  </w:p>
  <w:p w:rsidR="00E61BE9" w:rsidRPr="00255CAC" w:rsidRDefault="00E61BE9" w:rsidP="00A17D6D">
    <w:pPr>
      <w:pStyle w:val="SingleTxtGR"/>
      <w:suppressAutoHyphens/>
      <w:jc w:val="left"/>
      <w:rPr>
        <w:w w:val="100"/>
        <w:kern w:val="0"/>
        <w:sz w:val="18"/>
        <w:szCs w:val="18"/>
      </w:rPr>
    </w:pPr>
    <w:r w:rsidRPr="00255CAC">
      <w:rPr>
        <w:w w:val="100"/>
        <w:kern w:val="0"/>
        <w:sz w:val="18"/>
        <w:szCs w:val="18"/>
      </w:rPr>
      <w:t>В настоящий отчет могут вноситься поправки.</w:t>
    </w:r>
  </w:p>
  <w:p w:rsidR="00E61BE9" w:rsidRPr="00255CAC" w:rsidRDefault="00E61BE9" w:rsidP="00A17D6D">
    <w:pPr>
      <w:pStyle w:val="SingleTxtGR"/>
      <w:suppressAutoHyphens/>
      <w:jc w:val="left"/>
      <w:rPr>
        <w:w w:val="100"/>
        <w:kern w:val="0"/>
        <w:sz w:val="18"/>
        <w:szCs w:val="18"/>
      </w:rPr>
    </w:pPr>
    <w:r w:rsidRPr="00255CAC">
      <w:rPr>
        <w:w w:val="100"/>
        <w:kern w:val="0"/>
        <w:sz w:val="18"/>
        <w:szCs w:val="18"/>
      </w:rPr>
      <w:t xml:space="preserve">Поправки должны представляться на одном из рабочих языков. Они должны быть изложены в пояснительной записке, а также внесены в один из экземпляров отчета. Поправки должны направляться </w:t>
    </w:r>
    <w:r w:rsidRPr="00255CAC">
      <w:rPr>
        <w:i/>
        <w:w w:val="100"/>
        <w:kern w:val="0"/>
        <w:sz w:val="18"/>
        <w:szCs w:val="18"/>
      </w:rPr>
      <w:t>в течение одной недели с момента выпуска настоящего документа</w:t>
    </w:r>
    <w:r w:rsidRPr="00255CAC">
      <w:rPr>
        <w:w w:val="100"/>
        <w:kern w:val="0"/>
        <w:sz w:val="18"/>
        <w:szCs w:val="18"/>
      </w:rPr>
      <w:t xml:space="preserve"> в Группу редакционного контроля, комната Е.4108, Дв</w:t>
    </w:r>
    <w:r w:rsidRPr="00255CAC">
      <w:rPr>
        <w:w w:val="100"/>
        <w:kern w:val="0"/>
        <w:sz w:val="18"/>
        <w:szCs w:val="18"/>
      </w:rPr>
      <w:t>о</w:t>
    </w:r>
    <w:r w:rsidRPr="00255CAC">
      <w:rPr>
        <w:w w:val="100"/>
        <w:kern w:val="0"/>
        <w:sz w:val="18"/>
        <w:szCs w:val="18"/>
      </w:rPr>
      <w:t>рец Наций, Женева.</w:t>
    </w:r>
  </w:p>
  <w:p w:rsidR="00E61BE9" w:rsidRPr="00483341" w:rsidRDefault="00E61BE9" w:rsidP="00A17D6D">
    <w:pPr>
      <w:pStyle w:val="FootnoteText"/>
      <w:spacing w:after="240"/>
      <w:ind w:firstLine="0"/>
      <w:rPr>
        <w:lang w:val="ru-RU"/>
      </w:rPr>
    </w:pPr>
    <w:r w:rsidRPr="004354AE">
      <w:rPr>
        <w:szCs w:val="18"/>
        <w:lang w:val="ru-RU"/>
      </w:rPr>
      <w:t>Любые поправки к отчету об открытых заседаниях Комитета на этой сессии будут сведены в единое исправление, которое будет издано вскоре после окончания сессии</w:t>
    </w:r>
    <w:r w:rsidRPr="00483341">
      <w:rPr>
        <w:lang w:val="ru-RU"/>
      </w:rPr>
      <w:t>.</w:t>
    </w:r>
  </w:p>
  <w:p w:rsidR="00E61BE9" w:rsidRPr="007B2C3F" w:rsidRDefault="00E61BE9">
    <w:pPr>
      <w:pStyle w:val="Footer"/>
      <w:rPr>
        <w:sz w:val="20"/>
        <w:lang w:val="en-US"/>
      </w:rPr>
    </w:pPr>
    <w:r>
      <w:rPr>
        <w:sz w:val="20"/>
        <w:lang w:val="en-US"/>
      </w:rPr>
      <w:t>GE.11-</w:t>
    </w:r>
    <w:r>
      <w:rPr>
        <w:sz w:val="20"/>
        <w:lang w:val="ru-RU"/>
      </w:rPr>
      <w:t xml:space="preserve">44369 </w:t>
    </w:r>
    <w:r>
      <w:rPr>
        <w:sz w:val="20"/>
        <w:lang w:val="en-US"/>
      </w:rPr>
      <w:t xml:space="preserve"> (R)  </w:t>
    </w:r>
    <w:r>
      <w:rPr>
        <w:sz w:val="20"/>
        <w:lang w:val="ru-RU"/>
      </w:rPr>
      <w:t>291112  061212</w:t>
    </w:r>
    <w:r>
      <w:rPr>
        <w:sz w:val="20"/>
        <w:lang w:val="en-US"/>
      </w:rPr>
      <w:tab/>
    </w: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01" w:rsidRPr="00F71F63" w:rsidRDefault="00703A01"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703A01" w:rsidRPr="00F71F63" w:rsidRDefault="00703A01" w:rsidP="00635E86">
      <w:pPr>
        <w:tabs>
          <w:tab w:val="right" w:pos="2155"/>
        </w:tabs>
        <w:spacing w:after="80" w:line="240" w:lineRule="auto"/>
        <w:rPr>
          <w:u w:val="single"/>
          <w:lang w:val="en-US"/>
        </w:rPr>
      </w:pPr>
      <w:r w:rsidRPr="00F71F63">
        <w:rPr>
          <w:u w:val="single"/>
          <w:lang w:val="en-US"/>
        </w:rPr>
        <w:tab/>
      </w:r>
    </w:p>
    <w:p w:rsidR="00703A01" w:rsidRPr="00635E86" w:rsidRDefault="00703A01" w:rsidP="00635E8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9" w:rsidRPr="00A17D6D" w:rsidRDefault="00E61BE9">
    <w:pPr>
      <w:pStyle w:val="Header"/>
      <w:rPr>
        <w:lang w:val="en-US"/>
      </w:rPr>
    </w:pPr>
    <w:r>
      <w:rPr>
        <w:lang w:val="en-US"/>
      </w:rPr>
      <w:t>CCPR/C/SR.2830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9" w:rsidRPr="005F0588" w:rsidRDefault="00E61BE9">
    <w:pPr>
      <w:pStyle w:val="Header"/>
      <w:rPr>
        <w:lang w:val="en-US"/>
      </w:rPr>
    </w:pPr>
    <w:r>
      <w:rPr>
        <w:lang w:val="en-US"/>
      </w:rPr>
      <w:tab/>
      <w:t>CCPR/C/SR.2830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start w:val="1"/>
      <w:numFmt w:val="bullet"/>
      <w:pStyle w:val="Bullet2GR"/>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17">
    <w:nsid w:val="5BC90228"/>
    <w:multiLevelType w:val="hybridMultilevel"/>
    <w:tmpl w:val="E5464F8E"/>
    <w:lvl w:ilvl="0">
      <w:start w:val="1"/>
      <w:numFmt w:val="decimal"/>
      <w:pStyle w:val="ParaNoGR"/>
      <w:lvlText w:val="%1."/>
      <w:lvlJc w:val="left"/>
      <w:pPr>
        <w:tabs>
          <w:tab w:val="num" w:pos="1491"/>
        </w:tabs>
        <w:ind w:left="113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FD0C5992">
      <w:start w:val="1"/>
      <w:numFmt w:val="bullet"/>
      <w:pStyle w:val="Bullet1GR"/>
      <w:lvlText w:val="•"/>
      <w:lvlJc w:val="left"/>
      <w:pPr>
        <w:tabs>
          <w:tab w:val="num" w:pos="1701"/>
        </w:tabs>
        <w:ind w:left="1701" w:hanging="17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C9538FD"/>
    <w:multiLevelType w:val="hybridMultilevel"/>
    <w:tmpl w:val="038A2DC0"/>
    <w:lvl w:ilvl="0">
      <w:start w:val="1"/>
      <w:numFmt w:val="none"/>
      <w:lvlText w:val="%1"/>
      <w:lvlJc w:val="left"/>
      <w:pPr>
        <w:tabs>
          <w:tab w:val="num" w:pos="1134"/>
        </w:tabs>
        <w:ind w:left="1134" w:hanging="397"/>
      </w:pPr>
      <w:rPr>
        <w:rFonts w:hint="default"/>
        <w:b/>
        <w:i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4"/>
  </w:num>
  <w:num w:numId="16">
    <w:abstractNumId w:val="17"/>
  </w:num>
  <w:num w:numId="17">
    <w:abstractNumId w:val="16"/>
  </w:num>
  <w:num w:numId="18">
    <w:abstractNumId w:val="11"/>
  </w:num>
  <w:num w:numId="19">
    <w:abstractNumId w:val="20"/>
  </w:num>
  <w:num w:numId="20">
    <w:abstractNumId w:val="13"/>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5D2"/>
    <w:rsid w:val="000033D8"/>
    <w:rsid w:val="00005C1C"/>
    <w:rsid w:val="00016553"/>
    <w:rsid w:val="000233B3"/>
    <w:rsid w:val="00023E9E"/>
    <w:rsid w:val="00026B0C"/>
    <w:rsid w:val="00030C1E"/>
    <w:rsid w:val="00034580"/>
    <w:rsid w:val="0003638E"/>
    <w:rsid w:val="00036FF2"/>
    <w:rsid w:val="0004010A"/>
    <w:rsid w:val="00043D88"/>
    <w:rsid w:val="00046E4D"/>
    <w:rsid w:val="0006401A"/>
    <w:rsid w:val="00072C27"/>
    <w:rsid w:val="00086182"/>
    <w:rsid w:val="00090891"/>
    <w:rsid w:val="00092E62"/>
    <w:rsid w:val="00097975"/>
    <w:rsid w:val="000A3DDF"/>
    <w:rsid w:val="000A60A0"/>
    <w:rsid w:val="000C323F"/>
    <w:rsid w:val="000C3688"/>
    <w:rsid w:val="000D6863"/>
    <w:rsid w:val="000F410F"/>
    <w:rsid w:val="00117AEE"/>
    <w:rsid w:val="001463F7"/>
    <w:rsid w:val="0015769C"/>
    <w:rsid w:val="001755A4"/>
    <w:rsid w:val="00180752"/>
    <w:rsid w:val="001819A0"/>
    <w:rsid w:val="00185076"/>
    <w:rsid w:val="0018543C"/>
    <w:rsid w:val="00190231"/>
    <w:rsid w:val="00192ABD"/>
    <w:rsid w:val="001A75D5"/>
    <w:rsid w:val="001A7D40"/>
    <w:rsid w:val="001D07F7"/>
    <w:rsid w:val="001D7B8F"/>
    <w:rsid w:val="001E48EE"/>
    <w:rsid w:val="001F2D04"/>
    <w:rsid w:val="0020059C"/>
    <w:rsid w:val="002019BD"/>
    <w:rsid w:val="00232D42"/>
    <w:rsid w:val="00237334"/>
    <w:rsid w:val="00242B93"/>
    <w:rsid w:val="002444F4"/>
    <w:rsid w:val="002501AA"/>
    <w:rsid w:val="002629A0"/>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76524"/>
    <w:rsid w:val="00386581"/>
    <w:rsid w:val="00387100"/>
    <w:rsid w:val="003951D3"/>
    <w:rsid w:val="003978C6"/>
    <w:rsid w:val="003B40A9"/>
    <w:rsid w:val="003C016E"/>
    <w:rsid w:val="003D37E3"/>
    <w:rsid w:val="003D5EBD"/>
    <w:rsid w:val="00401CE0"/>
    <w:rsid w:val="00403234"/>
    <w:rsid w:val="00407AC3"/>
    <w:rsid w:val="00414586"/>
    <w:rsid w:val="00415059"/>
    <w:rsid w:val="004233CF"/>
    <w:rsid w:val="00424FDD"/>
    <w:rsid w:val="0043033D"/>
    <w:rsid w:val="00435FE4"/>
    <w:rsid w:val="00457634"/>
    <w:rsid w:val="00474F42"/>
    <w:rsid w:val="0048244D"/>
    <w:rsid w:val="00496BF3"/>
    <w:rsid w:val="004A0DE8"/>
    <w:rsid w:val="004A4CB7"/>
    <w:rsid w:val="004A57B5"/>
    <w:rsid w:val="004B19DA"/>
    <w:rsid w:val="004C2A53"/>
    <w:rsid w:val="004C3B35"/>
    <w:rsid w:val="004C43EC"/>
    <w:rsid w:val="004E6729"/>
    <w:rsid w:val="004F0E47"/>
    <w:rsid w:val="004F2DDB"/>
    <w:rsid w:val="0051339C"/>
    <w:rsid w:val="0051412F"/>
    <w:rsid w:val="00522B6F"/>
    <w:rsid w:val="0052430E"/>
    <w:rsid w:val="005276AD"/>
    <w:rsid w:val="00540A9A"/>
    <w:rsid w:val="00543522"/>
    <w:rsid w:val="00545680"/>
    <w:rsid w:val="0056618E"/>
    <w:rsid w:val="00576F59"/>
    <w:rsid w:val="00577A34"/>
    <w:rsid w:val="00580AAD"/>
    <w:rsid w:val="005814E2"/>
    <w:rsid w:val="00593A04"/>
    <w:rsid w:val="005A6D5A"/>
    <w:rsid w:val="005A7B4A"/>
    <w:rsid w:val="005B1B28"/>
    <w:rsid w:val="005B4FE0"/>
    <w:rsid w:val="005B7D51"/>
    <w:rsid w:val="005B7F35"/>
    <w:rsid w:val="005C2081"/>
    <w:rsid w:val="005C678A"/>
    <w:rsid w:val="005D346D"/>
    <w:rsid w:val="005E6250"/>
    <w:rsid w:val="005E74AB"/>
    <w:rsid w:val="005F50B5"/>
    <w:rsid w:val="00606A3E"/>
    <w:rsid w:val="006115AA"/>
    <w:rsid w:val="006120AE"/>
    <w:rsid w:val="00635E86"/>
    <w:rsid w:val="00636A37"/>
    <w:rsid w:val="006501A5"/>
    <w:rsid w:val="006567B2"/>
    <w:rsid w:val="00662ADE"/>
    <w:rsid w:val="00664106"/>
    <w:rsid w:val="006756F1"/>
    <w:rsid w:val="00677773"/>
    <w:rsid w:val="006805FC"/>
    <w:rsid w:val="006926C7"/>
    <w:rsid w:val="00694C37"/>
    <w:rsid w:val="006A1BEB"/>
    <w:rsid w:val="006A3D37"/>
    <w:rsid w:val="006A401C"/>
    <w:rsid w:val="006A7C6E"/>
    <w:rsid w:val="006B23D9"/>
    <w:rsid w:val="006C1814"/>
    <w:rsid w:val="006C2F45"/>
    <w:rsid w:val="006C361A"/>
    <w:rsid w:val="006C5657"/>
    <w:rsid w:val="006D5E4E"/>
    <w:rsid w:val="006E6860"/>
    <w:rsid w:val="006E7183"/>
    <w:rsid w:val="006F5FBF"/>
    <w:rsid w:val="0070327E"/>
    <w:rsid w:val="00703A01"/>
    <w:rsid w:val="00707B5F"/>
    <w:rsid w:val="00735602"/>
    <w:rsid w:val="0075279B"/>
    <w:rsid w:val="00753748"/>
    <w:rsid w:val="00762446"/>
    <w:rsid w:val="00780662"/>
    <w:rsid w:val="00781ACB"/>
    <w:rsid w:val="007A79EB"/>
    <w:rsid w:val="007D4CA0"/>
    <w:rsid w:val="007D7A23"/>
    <w:rsid w:val="007E38C3"/>
    <w:rsid w:val="007E549E"/>
    <w:rsid w:val="007E71C9"/>
    <w:rsid w:val="007F7553"/>
    <w:rsid w:val="0080755E"/>
    <w:rsid w:val="008120D4"/>
    <w:rsid w:val="008139A5"/>
    <w:rsid w:val="00815857"/>
    <w:rsid w:val="00817F73"/>
    <w:rsid w:val="0082228E"/>
    <w:rsid w:val="00827B3D"/>
    <w:rsid w:val="00830402"/>
    <w:rsid w:val="008305D7"/>
    <w:rsid w:val="00834887"/>
    <w:rsid w:val="008407CF"/>
    <w:rsid w:val="00842FED"/>
    <w:rsid w:val="008455CF"/>
    <w:rsid w:val="0084613B"/>
    <w:rsid w:val="00847689"/>
    <w:rsid w:val="00861C52"/>
    <w:rsid w:val="008727A1"/>
    <w:rsid w:val="00886B0F"/>
    <w:rsid w:val="00887A27"/>
    <w:rsid w:val="00891C08"/>
    <w:rsid w:val="008A3879"/>
    <w:rsid w:val="008A5FA8"/>
    <w:rsid w:val="008A7575"/>
    <w:rsid w:val="008B0AA6"/>
    <w:rsid w:val="008B5F47"/>
    <w:rsid w:val="008C7B87"/>
    <w:rsid w:val="008D6A7A"/>
    <w:rsid w:val="008E3E87"/>
    <w:rsid w:val="008E7F13"/>
    <w:rsid w:val="008F3185"/>
    <w:rsid w:val="00915B0A"/>
    <w:rsid w:val="0092477C"/>
    <w:rsid w:val="009248A9"/>
    <w:rsid w:val="00926904"/>
    <w:rsid w:val="009372F0"/>
    <w:rsid w:val="00955022"/>
    <w:rsid w:val="00957B4D"/>
    <w:rsid w:val="00964EEA"/>
    <w:rsid w:val="00980C86"/>
    <w:rsid w:val="00985771"/>
    <w:rsid w:val="009B1D9B"/>
    <w:rsid w:val="009B4074"/>
    <w:rsid w:val="009C30BB"/>
    <w:rsid w:val="009C60BE"/>
    <w:rsid w:val="009E6279"/>
    <w:rsid w:val="009F00A6"/>
    <w:rsid w:val="009F56A7"/>
    <w:rsid w:val="009F5B05"/>
    <w:rsid w:val="00A026CA"/>
    <w:rsid w:val="00A07232"/>
    <w:rsid w:val="00A14800"/>
    <w:rsid w:val="00A156DE"/>
    <w:rsid w:val="00A157ED"/>
    <w:rsid w:val="00A17D6D"/>
    <w:rsid w:val="00A2446A"/>
    <w:rsid w:val="00A4025D"/>
    <w:rsid w:val="00A800D1"/>
    <w:rsid w:val="00A92699"/>
    <w:rsid w:val="00AB5BF0"/>
    <w:rsid w:val="00AC1C95"/>
    <w:rsid w:val="00AC2CCB"/>
    <w:rsid w:val="00AC443A"/>
    <w:rsid w:val="00AE60E2"/>
    <w:rsid w:val="00B0169F"/>
    <w:rsid w:val="00B05F21"/>
    <w:rsid w:val="00B14EA9"/>
    <w:rsid w:val="00B30A3C"/>
    <w:rsid w:val="00B81305"/>
    <w:rsid w:val="00BB17DC"/>
    <w:rsid w:val="00BB1AF9"/>
    <w:rsid w:val="00BB4C4A"/>
    <w:rsid w:val="00BC7F12"/>
    <w:rsid w:val="00BD3CAE"/>
    <w:rsid w:val="00BD5F3C"/>
    <w:rsid w:val="00C07C0F"/>
    <w:rsid w:val="00C145C4"/>
    <w:rsid w:val="00C20D2F"/>
    <w:rsid w:val="00C2131B"/>
    <w:rsid w:val="00C37AF8"/>
    <w:rsid w:val="00C37C79"/>
    <w:rsid w:val="00C41BBC"/>
    <w:rsid w:val="00C51419"/>
    <w:rsid w:val="00C54056"/>
    <w:rsid w:val="00C62DD8"/>
    <w:rsid w:val="00C663A3"/>
    <w:rsid w:val="00C73BE5"/>
    <w:rsid w:val="00C75CB2"/>
    <w:rsid w:val="00C90723"/>
    <w:rsid w:val="00C90D5C"/>
    <w:rsid w:val="00C965D2"/>
    <w:rsid w:val="00CA609E"/>
    <w:rsid w:val="00CA7DA4"/>
    <w:rsid w:val="00CB31FB"/>
    <w:rsid w:val="00CE3D6F"/>
    <w:rsid w:val="00CE79A5"/>
    <w:rsid w:val="00CF0042"/>
    <w:rsid w:val="00CF262F"/>
    <w:rsid w:val="00D025D5"/>
    <w:rsid w:val="00D254D7"/>
    <w:rsid w:val="00D26B13"/>
    <w:rsid w:val="00D26CC1"/>
    <w:rsid w:val="00D30662"/>
    <w:rsid w:val="00D32A0B"/>
    <w:rsid w:val="00D6236B"/>
    <w:rsid w:val="00D76358"/>
    <w:rsid w:val="00D766B0"/>
    <w:rsid w:val="00D809D1"/>
    <w:rsid w:val="00D810AE"/>
    <w:rsid w:val="00D84ECF"/>
    <w:rsid w:val="00DA2851"/>
    <w:rsid w:val="00DA2B7C"/>
    <w:rsid w:val="00DA5686"/>
    <w:rsid w:val="00DB2FC0"/>
    <w:rsid w:val="00DC7AB5"/>
    <w:rsid w:val="00DF18FA"/>
    <w:rsid w:val="00DF49CA"/>
    <w:rsid w:val="00DF775B"/>
    <w:rsid w:val="00E007F3"/>
    <w:rsid w:val="00E00DEA"/>
    <w:rsid w:val="00E06EF0"/>
    <w:rsid w:val="00E11679"/>
    <w:rsid w:val="00E307D1"/>
    <w:rsid w:val="00E320BE"/>
    <w:rsid w:val="00E46A04"/>
    <w:rsid w:val="00E61BE9"/>
    <w:rsid w:val="00E717F3"/>
    <w:rsid w:val="00E72C5E"/>
    <w:rsid w:val="00E73451"/>
    <w:rsid w:val="00E7489F"/>
    <w:rsid w:val="00E75147"/>
    <w:rsid w:val="00E8167D"/>
    <w:rsid w:val="00E907E9"/>
    <w:rsid w:val="00E96BE7"/>
    <w:rsid w:val="00EA2CD0"/>
    <w:rsid w:val="00EC0044"/>
    <w:rsid w:val="00EC6B9F"/>
    <w:rsid w:val="00EE516D"/>
    <w:rsid w:val="00EF4D1B"/>
    <w:rsid w:val="00EF7295"/>
    <w:rsid w:val="00F069D1"/>
    <w:rsid w:val="00F1503D"/>
    <w:rsid w:val="00F22712"/>
    <w:rsid w:val="00F275F5"/>
    <w:rsid w:val="00F306CA"/>
    <w:rsid w:val="00F33188"/>
    <w:rsid w:val="00F35BDE"/>
    <w:rsid w:val="00F52A0E"/>
    <w:rsid w:val="00F55EA7"/>
    <w:rsid w:val="00F71F63"/>
    <w:rsid w:val="00F87506"/>
    <w:rsid w:val="00F92C41"/>
    <w:rsid w:val="00F9749B"/>
    <w:rsid w:val="00FA5522"/>
    <w:rsid w:val="00FA6E4A"/>
    <w:rsid w:val="00FB2B35"/>
    <w:rsid w:val="00FC4AE1"/>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eastAsia="en-US"/>
    </w:rPr>
  </w:style>
  <w:style w:type="paragraph" w:styleId="Heading1">
    <w:name w:val="heading 1"/>
    <w:aliases w:val="Table_GR,Table_G"/>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14"/>
      </w:numPr>
      <w:spacing w:after="120"/>
      <w:ind w:right="1134"/>
      <w:jc w:val="both"/>
    </w:pPr>
    <w:rPr>
      <w:lang w:eastAsia="ru-RU"/>
    </w:rPr>
  </w:style>
  <w:style w:type="paragraph" w:customStyle="1" w:styleId="Bullet2GR">
    <w:name w:val="_Bullet 2_GR"/>
    <w:basedOn w:val="Normal"/>
    <w:rsid w:val="00BB4C4A"/>
    <w:pPr>
      <w:numPr>
        <w:numId w:val="15"/>
      </w:numPr>
      <w:spacing w:after="120"/>
      <w:ind w:right="1134"/>
      <w:jc w:val="both"/>
    </w:pPr>
    <w:rPr>
      <w:lang w:eastAsia="ru-RU"/>
    </w:rPr>
  </w:style>
  <w:style w:type="numbering" w:styleId="111111">
    <w:name w:val="Outline List 2"/>
    <w:basedOn w:val="NoList"/>
    <w:semiHidden/>
    <w:rsid w:val="007E71C9"/>
    <w:pPr>
      <w:numPr>
        <w:numId w:val="1"/>
      </w:numPr>
    </w:pPr>
  </w:style>
  <w:style w:type="numbering" w:styleId="1ai">
    <w:name w:val="Outline List 1"/>
    <w:basedOn w:val="NoList"/>
    <w:semiHidden/>
    <w:rsid w:val="007E71C9"/>
    <w:pPr>
      <w:numPr>
        <w:numId w:val="2"/>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7"/>
      </w:numPr>
    </w:pPr>
  </w:style>
  <w:style w:type="table" w:styleId="TableGrid">
    <w:name w:val="Table Grid"/>
    <w:basedOn w:val="TableNormal"/>
    <w:semiHidden/>
    <w:rsid w:val="008461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1_G"/>
    <w:basedOn w:val="FootnoteReference"/>
    <w:rsid w:val="008120D4"/>
    <w:rPr>
      <w:rFonts w:ascii="Times New Roman" w:hAnsi="Times New Roman"/>
      <w:dstrike w:val="0"/>
      <w:sz w:val="18"/>
      <w:vertAlign w:val="superscript"/>
    </w:rPr>
  </w:style>
  <w:style w:type="paragraph" w:styleId="Footer">
    <w:name w:val="footer"/>
    <w:aliases w:val="3_GR,3_G"/>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7_G"/>
    <w:rsid w:val="00E72C5E"/>
    <w:rPr>
      <w:rFonts w:ascii="Times New Roman" w:hAnsi="Times New Roman"/>
      <w:b/>
      <w:sz w:val="18"/>
    </w:rPr>
  </w:style>
  <w:style w:type="paragraph" w:styleId="EndnoteText">
    <w:name w:val="endnote text"/>
    <w:aliases w:val="2_GR,2_G"/>
    <w:basedOn w:val="FootnoteText"/>
    <w:rsid w:val="00D84ECF"/>
  </w:style>
  <w:style w:type="paragraph" w:styleId="FootnoteText">
    <w:name w:val="footnote text"/>
    <w:aliases w:val="5_GR,5_G"/>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16"/>
      </w:numPr>
      <w:tabs>
        <w:tab w:val="left" w:pos="567"/>
      </w:tabs>
      <w:spacing w:after="120"/>
      <w:ind w:right="1134"/>
      <w:jc w:val="both"/>
      <w:outlineLvl w:val="0"/>
    </w:pPr>
    <w:rPr>
      <w:lang w:eastAsia="ru-RU"/>
    </w:rPr>
  </w:style>
  <w:style w:type="character" w:styleId="FootnoteReference">
    <w:name w:val="footnote reference"/>
    <w:aliases w:val="4_GR,4_G"/>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MG">
    <w:name w:val="_ H __M_G"/>
    <w:basedOn w:val="Normal"/>
    <w:next w:val="Normal"/>
    <w:rsid w:val="00C965D2"/>
    <w:pPr>
      <w:keepNext/>
      <w:keepLines/>
      <w:tabs>
        <w:tab w:val="right" w:pos="851"/>
      </w:tabs>
      <w:suppressAutoHyphens/>
      <w:spacing w:before="240" w:after="240" w:line="360" w:lineRule="exact"/>
      <w:ind w:left="1134" w:right="1134" w:hanging="1134"/>
    </w:pPr>
    <w:rPr>
      <w:b/>
      <w:spacing w:val="0"/>
      <w:w w:val="100"/>
      <w:kern w:val="0"/>
      <w:sz w:val="34"/>
      <w:lang w:val="en-GB"/>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3"/>
      </w:numPr>
    </w:pPr>
  </w:style>
  <w:style w:type="paragraph" w:styleId="ListBullet2">
    <w:name w:val="List Bullet 2"/>
    <w:basedOn w:val="Normal"/>
    <w:semiHidden/>
    <w:rsid w:val="007E71C9"/>
    <w:pPr>
      <w:numPr>
        <w:numId w:val="4"/>
      </w:numPr>
    </w:pPr>
  </w:style>
  <w:style w:type="paragraph" w:styleId="ListBullet3">
    <w:name w:val="List Bullet 3"/>
    <w:basedOn w:val="Normal"/>
    <w:semiHidden/>
    <w:rsid w:val="007E71C9"/>
    <w:pPr>
      <w:numPr>
        <w:numId w:val="5"/>
      </w:numPr>
    </w:pPr>
  </w:style>
  <w:style w:type="paragraph" w:styleId="ListBullet4">
    <w:name w:val="List Bullet 4"/>
    <w:basedOn w:val="Normal"/>
    <w:semiHidden/>
    <w:rsid w:val="007E71C9"/>
    <w:pPr>
      <w:numPr>
        <w:numId w:val="6"/>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8"/>
      </w:numPr>
    </w:pPr>
  </w:style>
  <w:style w:type="paragraph" w:styleId="ListNumber2">
    <w:name w:val="List Number 2"/>
    <w:basedOn w:val="Normal"/>
    <w:semiHidden/>
    <w:rsid w:val="007E71C9"/>
    <w:pPr>
      <w:numPr>
        <w:numId w:val="9"/>
      </w:numPr>
    </w:pPr>
  </w:style>
  <w:style w:type="paragraph" w:styleId="ListNumber3">
    <w:name w:val="List Number 3"/>
    <w:basedOn w:val="Normal"/>
    <w:semiHidden/>
    <w:rsid w:val="007E71C9"/>
    <w:pPr>
      <w:numPr>
        <w:numId w:val="10"/>
      </w:numPr>
    </w:pPr>
  </w:style>
  <w:style w:type="paragraph" w:styleId="ListNumber4">
    <w:name w:val="List Number 4"/>
    <w:basedOn w:val="Normal"/>
    <w:semiHidden/>
    <w:rsid w:val="007E71C9"/>
    <w:pPr>
      <w:numPr>
        <w:numId w:val="11"/>
      </w:numPr>
    </w:pPr>
  </w:style>
  <w:style w:type="paragraph" w:styleId="ListNumber5">
    <w:name w:val="List Number 5"/>
    <w:basedOn w:val="Normal"/>
    <w:semiHidden/>
    <w:rsid w:val="007E71C9"/>
    <w:pPr>
      <w:numPr>
        <w:numId w:val="12"/>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3"/>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ChG">
    <w:name w:val="_ H _Ch_G"/>
    <w:basedOn w:val="Normal"/>
    <w:next w:val="Normal"/>
    <w:rsid w:val="00C965D2"/>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ParaNoG">
    <w:name w:val="_ParaNo._G"/>
    <w:basedOn w:val="SingleTxtG"/>
    <w:rsid w:val="00C965D2"/>
    <w:pPr>
      <w:numPr>
        <w:numId w:val="19"/>
      </w:numPr>
    </w:p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SingleTxtG">
    <w:name w:val="_ Single Txt_G"/>
    <w:basedOn w:val="Normal"/>
    <w:rsid w:val="00C965D2"/>
    <w:pPr>
      <w:numPr>
        <w:numId w:val="21"/>
      </w:numPr>
      <w:tabs>
        <w:tab w:val="clear" w:pos="1494"/>
      </w:tabs>
      <w:suppressAutoHyphens/>
      <w:spacing w:after="120"/>
      <w:ind w:right="1134"/>
      <w:jc w:val="both"/>
    </w:pPr>
    <w:rPr>
      <w:spacing w:val="0"/>
      <w:w w:val="100"/>
      <w:kern w:val="0"/>
      <w:lang w:val="en-GB"/>
    </w:rPr>
  </w:style>
  <w:style w:type="paragraph" w:customStyle="1" w:styleId="SMG">
    <w:name w:val="__S_M_G"/>
    <w:basedOn w:val="Normal"/>
    <w:next w:val="Normal"/>
    <w:rsid w:val="00C965D2"/>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C965D2"/>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C965D2"/>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C965D2"/>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C965D2"/>
    <w:pPr>
      <w:numPr>
        <w:numId w:val="17"/>
      </w:numPr>
      <w:suppressAutoHyphens/>
      <w:spacing w:after="120"/>
      <w:ind w:right="1134"/>
      <w:jc w:val="both"/>
    </w:pPr>
    <w:rPr>
      <w:spacing w:val="0"/>
      <w:w w:val="100"/>
      <w:kern w:val="0"/>
      <w:lang w:val="en-GB"/>
    </w:rPr>
  </w:style>
  <w:style w:type="paragraph" w:styleId="CommentText">
    <w:name w:val="annotation text"/>
    <w:basedOn w:val="Normal"/>
    <w:semiHidden/>
    <w:rsid w:val="00C965D2"/>
    <w:pPr>
      <w:suppressAutoHyphens/>
    </w:pPr>
    <w:rPr>
      <w:spacing w:val="0"/>
      <w:w w:val="100"/>
      <w:kern w:val="0"/>
      <w:lang w:val="en-GB"/>
    </w:rPr>
  </w:style>
  <w:style w:type="paragraph" w:customStyle="1" w:styleId="Bullet2G">
    <w:name w:val="_Bullet 2_G"/>
    <w:basedOn w:val="Normal"/>
    <w:rsid w:val="00C965D2"/>
    <w:pPr>
      <w:numPr>
        <w:numId w:val="18"/>
      </w:numPr>
      <w:suppressAutoHyphens/>
      <w:spacing w:after="120"/>
      <w:ind w:right="1134"/>
      <w:jc w:val="both"/>
    </w:pPr>
    <w:rPr>
      <w:spacing w:val="0"/>
      <w:w w:val="100"/>
      <w:kern w:val="0"/>
      <w:lang w:val="en-GB"/>
    </w:rPr>
  </w:style>
  <w:style w:type="paragraph" w:customStyle="1" w:styleId="H1G">
    <w:name w:val="_ H_1_G"/>
    <w:basedOn w:val="Normal"/>
    <w:next w:val="Normal"/>
    <w:rsid w:val="00C965D2"/>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C965D2"/>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C965D2"/>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C965D2"/>
    <w:pPr>
      <w:keepNext/>
      <w:keepLines/>
      <w:numPr>
        <w:numId w:val="20"/>
      </w:numPr>
      <w:tabs>
        <w:tab w:val="clear" w:pos="2268"/>
        <w:tab w:val="right" w:pos="851"/>
      </w:tabs>
      <w:suppressAutoHyphens/>
      <w:spacing w:before="240" w:after="120" w:line="240" w:lineRule="exact"/>
      <w:ind w:left="1134" w:right="1134" w:hanging="1134"/>
    </w:pPr>
    <w:rPr>
      <w:spacing w:val="0"/>
      <w:w w:val="100"/>
      <w:kern w:val="0"/>
      <w:lang w:val="en-GB"/>
    </w:rPr>
  </w:style>
  <w:style w:type="table" w:styleId="TableWeb3">
    <w:name w:val="Table Web 3"/>
    <w:basedOn w:val="TableNormal"/>
    <w:semiHidden/>
    <w:rsid w:val="00C965D2"/>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12</Pages>
  <Words>4024</Words>
  <Characters>26800</Characters>
  <Application>Microsoft Office Word</Application>
  <DocSecurity>4</DocSecurity>
  <Lines>687</Lines>
  <Paragraphs>481</Paragraphs>
  <ScaleCrop>false</ScaleCrop>
  <HeadingPairs>
    <vt:vector size="2" baseType="variant">
      <vt:variant>
        <vt:lpstr>Название</vt:lpstr>
      </vt:variant>
      <vt:variant>
        <vt:i4>1</vt:i4>
      </vt:variant>
    </vt:vector>
  </HeadingPairs>
  <TitlesOfParts>
    <vt:vector size="1" baseType="lpstr">
      <vt:lpstr>1144369</vt:lpstr>
    </vt:vector>
  </TitlesOfParts>
  <Company>CSD</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1144369</dc:title>
  <dc:subject/>
  <dc:creator>Marina Imeninnikova</dc:creator>
  <cp:keywords/>
  <dc:description/>
  <cp:lastModifiedBy>Благодатских Анна</cp:lastModifiedBy>
  <cp:revision>2</cp:revision>
  <cp:lastPrinted>2012-12-04T13:25:00Z</cp:lastPrinted>
  <dcterms:created xsi:type="dcterms:W3CDTF">2012-12-06T10:20:00Z</dcterms:created>
  <dcterms:modified xsi:type="dcterms:W3CDTF">2012-12-06T10:20:00Z</dcterms:modified>
</cp:coreProperties>
</file>