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4B46A0">
                <w:t>C/SR.2834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4B46A0">
              <w:rPr>
                <w:lang w:val="en-US"/>
              </w:rPr>
              <w:fldChar w:fldCharType="separate"/>
            </w:r>
            <w:r w:rsidR="00A179DB">
              <w:rPr>
                <w:lang w:val="en-US"/>
              </w:rPr>
              <w:t>25</w:t>
            </w:r>
            <w:r w:rsidR="004B46A0">
              <w:rPr>
                <w:lang w:val="en-US"/>
              </w:rPr>
              <w:t xml:space="preserve"> October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4B46A0" w:rsidRPr="00D62044" w:rsidRDefault="004B46A0" w:rsidP="00D62044">
      <w:pPr>
        <w:spacing w:before="120"/>
        <w:rPr>
          <w:b/>
          <w:sz w:val="24"/>
          <w:szCs w:val="24"/>
        </w:rPr>
      </w:pPr>
      <w:r w:rsidRPr="00D62044">
        <w:rPr>
          <w:b/>
          <w:sz w:val="24"/>
          <w:szCs w:val="24"/>
        </w:rPr>
        <w:t>Комитет по правам человека</w:t>
      </w:r>
    </w:p>
    <w:p w:rsidR="004B46A0" w:rsidRPr="00D62044" w:rsidRDefault="004B46A0" w:rsidP="00D62044">
      <w:pPr>
        <w:rPr>
          <w:b/>
        </w:rPr>
      </w:pPr>
      <w:r w:rsidRPr="00D62044">
        <w:rPr>
          <w:b/>
        </w:rPr>
        <w:t>Сто третья сессия</w:t>
      </w:r>
    </w:p>
    <w:p w:rsidR="004B46A0" w:rsidRPr="00D62044" w:rsidRDefault="004B46A0" w:rsidP="00D62044">
      <w:pPr>
        <w:spacing w:before="360"/>
        <w:rPr>
          <w:b/>
        </w:rPr>
      </w:pPr>
      <w:r w:rsidRPr="00D62044">
        <w:rPr>
          <w:b/>
        </w:rPr>
        <w:t>Краткий отчет о 2834-м заседании,</w:t>
      </w:r>
    </w:p>
    <w:p w:rsidR="004B46A0" w:rsidRPr="00D62044" w:rsidRDefault="004B46A0" w:rsidP="00D62044">
      <w:r w:rsidRPr="00D62044">
        <w:t>состоявшемся во Дворце Вильсона в Женеве</w:t>
      </w:r>
      <w:r w:rsidRPr="00D62044">
        <w:br/>
        <w:t>в понедельник, 17 октября 2011 года, в 15 ч. 00 м.</w:t>
      </w:r>
    </w:p>
    <w:p w:rsidR="004B46A0" w:rsidRPr="00D62044" w:rsidRDefault="004B46A0" w:rsidP="00D62044">
      <w:pPr>
        <w:spacing w:before="360"/>
      </w:pPr>
      <w:r w:rsidRPr="00D62044">
        <w:rPr>
          <w:i/>
        </w:rPr>
        <w:t>Председатель</w:t>
      </w:r>
      <w:r w:rsidRPr="00A179DB">
        <w:t>:</w:t>
      </w:r>
      <w:r w:rsidRPr="00D62044">
        <w:tab/>
        <w:t>г-жа Майодина</w:t>
      </w:r>
    </w:p>
    <w:p w:rsidR="00D62044" w:rsidRPr="00D62044" w:rsidRDefault="00D62044" w:rsidP="00D62044">
      <w:pPr>
        <w:pStyle w:val="SingleTxtGR"/>
        <w:suppressAutoHyphens/>
        <w:spacing w:before="360"/>
        <w:ind w:left="0" w:right="0"/>
        <w:jc w:val="left"/>
        <w:rPr>
          <w:sz w:val="28"/>
        </w:rPr>
      </w:pPr>
      <w:r w:rsidRPr="00D62044">
        <w:rPr>
          <w:sz w:val="28"/>
        </w:rPr>
        <w:t>Содержание</w:t>
      </w:r>
    </w:p>
    <w:p w:rsidR="004B46A0" w:rsidRPr="00D62044" w:rsidRDefault="004B46A0" w:rsidP="00D62044">
      <w:pPr>
        <w:pStyle w:val="SingleTxtGR"/>
        <w:suppressAutoHyphens/>
        <w:jc w:val="left"/>
      </w:pPr>
      <w:r w:rsidRPr="00D62044">
        <w:t>Рассмотрение докладов, представлен</w:t>
      </w:r>
      <w:r w:rsidR="00EE02B9">
        <w:t>ных государствами-участниками в </w:t>
      </w:r>
      <w:r w:rsidRPr="00D62044">
        <w:t>соответствии со статьей 40 Пакта</w:t>
      </w:r>
    </w:p>
    <w:p w:rsidR="004B46A0" w:rsidRDefault="004B46A0" w:rsidP="00D62044">
      <w:pPr>
        <w:pStyle w:val="SingleTxtGR"/>
        <w:rPr>
          <w:i/>
          <w:lang w:val="en-US"/>
        </w:rPr>
      </w:pPr>
      <w:r w:rsidRPr="00D62044">
        <w:rPr>
          <w:i/>
        </w:rPr>
        <w:tab/>
        <w:t>Третий периодический доклад Исламской Республики Иран</w:t>
      </w:r>
    </w:p>
    <w:p w:rsidR="004B46A0" w:rsidRPr="006D3E3C" w:rsidRDefault="004B46A0" w:rsidP="004B46A0">
      <w:pPr>
        <w:pStyle w:val="SingleTxtGR"/>
        <w:rPr>
          <w:i/>
        </w:rPr>
      </w:pPr>
      <w:r w:rsidRPr="004B46A0">
        <w:br w:type="page"/>
      </w:r>
      <w:r w:rsidRPr="006D3E3C">
        <w:rPr>
          <w:i/>
        </w:rPr>
        <w:t>Заседание открывается в 15 ч. 05 м.</w:t>
      </w:r>
    </w:p>
    <w:p w:rsidR="004B46A0" w:rsidRPr="004B46A0" w:rsidRDefault="004B46A0" w:rsidP="006D3E3C">
      <w:pPr>
        <w:pStyle w:val="H23GR"/>
      </w:pPr>
      <w:r w:rsidRPr="004B46A0">
        <w:tab/>
      </w:r>
      <w:r w:rsidRPr="004B46A0">
        <w:tab/>
        <w:t>Рассмотрение докладов, представленных государствами-участниками в соответствии со статьей 40 Пакта</w:t>
      </w:r>
    </w:p>
    <w:p w:rsidR="004B46A0" w:rsidRPr="006D3E3C" w:rsidRDefault="006D3E3C" w:rsidP="00E81CB3">
      <w:pPr>
        <w:pStyle w:val="H4GR"/>
        <w:ind w:left="1701" w:right="1179" w:hanging="1701"/>
        <w:rPr>
          <w:i w:val="0"/>
        </w:rPr>
      </w:pPr>
      <w:r>
        <w:rPr>
          <w:lang w:val="en-US"/>
        </w:rPr>
        <w:tab/>
      </w:r>
      <w:r w:rsidR="004B46A0" w:rsidRPr="004B46A0">
        <w:tab/>
        <w:t xml:space="preserve">Третий периодический доклад Исламской Республики Иран </w:t>
      </w:r>
      <w:r w:rsidR="004B46A0" w:rsidRPr="006D3E3C">
        <w:rPr>
          <w:i w:val="0"/>
        </w:rPr>
        <w:t>(</w:t>
      </w:r>
      <w:r w:rsidR="004B46A0" w:rsidRPr="006D3E3C">
        <w:rPr>
          <w:i w:val="0"/>
          <w:lang w:val="en-GB"/>
        </w:rPr>
        <w:t>C</w:t>
      </w:r>
      <w:r w:rsidR="004B46A0" w:rsidRPr="006D3E3C">
        <w:rPr>
          <w:i w:val="0"/>
          <w:lang w:val="en-US"/>
        </w:rPr>
        <w:t>CPR</w:t>
      </w:r>
      <w:r w:rsidR="004B46A0" w:rsidRPr="006D3E3C">
        <w:rPr>
          <w:i w:val="0"/>
        </w:rPr>
        <w:t>/</w:t>
      </w:r>
      <w:r w:rsidR="004B46A0" w:rsidRPr="006D3E3C">
        <w:rPr>
          <w:i w:val="0"/>
          <w:lang w:val="en-US"/>
        </w:rPr>
        <w:t>C</w:t>
      </w:r>
      <w:r w:rsidR="004B46A0" w:rsidRPr="006D3E3C">
        <w:rPr>
          <w:i w:val="0"/>
        </w:rPr>
        <w:t>/</w:t>
      </w:r>
      <w:r w:rsidR="004B46A0" w:rsidRPr="006D3E3C">
        <w:rPr>
          <w:i w:val="0"/>
          <w:lang w:val="en-US"/>
        </w:rPr>
        <w:t>IRN</w:t>
      </w:r>
      <w:r w:rsidR="004B46A0" w:rsidRPr="006D3E3C">
        <w:rPr>
          <w:i w:val="0"/>
        </w:rPr>
        <w:t xml:space="preserve">/3; </w:t>
      </w:r>
      <w:r w:rsidR="004B46A0" w:rsidRPr="006D3E3C">
        <w:rPr>
          <w:i w:val="0"/>
          <w:lang w:val="en-US"/>
        </w:rPr>
        <w:t>CCPR</w:t>
      </w:r>
      <w:r w:rsidR="004B46A0" w:rsidRPr="006D3E3C">
        <w:rPr>
          <w:i w:val="0"/>
        </w:rPr>
        <w:t>/</w:t>
      </w:r>
      <w:r w:rsidR="004B46A0" w:rsidRPr="006D3E3C">
        <w:rPr>
          <w:i w:val="0"/>
          <w:lang w:val="en-US"/>
        </w:rPr>
        <w:t>C</w:t>
      </w:r>
      <w:r w:rsidR="004B46A0" w:rsidRPr="006D3E3C">
        <w:rPr>
          <w:i w:val="0"/>
        </w:rPr>
        <w:t>/</w:t>
      </w:r>
      <w:r w:rsidR="004B46A0" w:rsidRPr="006D3E3C">
        <w:rPr>
          <w:i w:val="0"/>
          <w:lang w:val="en-US"/>
        </w:rPr>
        <w:t>IRN</w:t>
      </w:r>
      <w:r w:rsidR="004B46A0" w:rsidRPr="006D3E3C">
        <w:rPr>
          <w:i w:val="0"/>
        </w:rPr>
        <w:t>/</w:t>
      </w:r>
      <w:r w:rsidR="004B46A0" w:rsidRPr="006D3E3C">
        <w:rPr>
          <w:i w:val="0"/>
          <w:lang w:val="en-US"/>
        </w:rPr>
        <w:t>Q</w:t>
      </w:r>
      <w:r w:rsidR="004B46A0" w:rsidRPr="006D3E3C">
        <w:rPr>
          <w:i w:val="0"/>
        </w:rPr>
        <w:t xml:space="preserve">/3 </w:t>
      </w:r>
      <w:r w:rsidR="00E81CB3">
        <w:rPr>
          <w:i w:val="0"/>
        </w:rPr>
        <w:t>и</w:t>
      </w:r>
      <w:r w:rsidR="004B46A0" w:rsidRPr="006D3E3C">
        <w:rPr>
          <w:i w:val="0"/>
        </w:rPr>
        <w:t xml:space="preserve"> </w:t>
      </w:r>
      <w:r w:rsidR="004B46A0" w:rsidRPr="006D3E3C">
        <w:rPr>
          <w:i w:val="0"/>
          <w:lang w:val="en-US"/>
        </w:rPr>
        <w:t>Add</w:t>
      </w:r>
      <w:r w:rsidR="004B46A0" w:rsidRPr="006D3E3C">
        <w:rPr>
          <w:i w:val="0"/>
        </w:rPr>
        <w:t>.1)</w:t>
      </w:r>
    </w:p>
    <w:p w:rsidR="004B46A0" w:rsidRPr="006D3E3C" w:rsidRDefault="004B46A0" w:rsidP="004B46A0">
      <w:pPr>
        <w:pStyle w:val="SingleTxtGR"/>
        <w:rPr>
          <w:i/>
        </w:rPr>
      </w:pPr>
      <w:r w:rsidRPr="004B46A0">
        <w:t>1.</w:t>
      </w:r>
      <w:r w:rsidRPr="004B46A0">
        <w:tab/>
      </w:r>
      <w:r w:rsidRPr="006D3E3C">
        <w:rPr>
          <w:i/>
        </w:rPr>
        <w:t>По приглашению Председателя члены делегации Исламской Республики Иран занимают места за столом Комитета.</w:t>
      </w:r>
    </w:p>
    <w:p w:rsidR="004B46A0" w:rsidRPr="004B46A0" w:rsidRDefault="004B46A0" w:rsidP="004B46A0">
      <w:pPr>
        <w:pStyle w:val="SingleTxtGR"/>
      </w:pPr>
      <w:r w:rsidRPr="004B46A0">
        <w:t>2.</w:t>
      </w:r>
      <w:r w:rsidRPr="004B46A0">
        <w:tab/>
      </w:r>
      <w:r w:rsidRPr="004B46A0">
        <w:rPr>
          <w:b/>
        </w:rPr>
        <w:t>Г-н Саджади</w:t>
      </w:r>
      <w:r w:rsidRPr="004B46A0">
        <w:t xml:space="preserve"> (Исламская Республика Иран) говорит, что его делегация надеется на проведение полезного и конструктивного диалога с Комитетом. Его правительство, вдохновленное великими догматами ислама, Конституцией и международными документами, придавало самое большое значение вопросам соблюдения прав человека при составлении своих целей и программ. Как это указано в пунктах 2 и 3 его третьего периодического доклада, воля народа, в</w:t>
      </w:r>
      <w:r w:rsidRPr="004B46A0">
        <w:t>ы</w:t>
      </w:r>
      <w:r w:rsidRPr="004B46A0">
        <w:t>раженная через посредство как прямого, так и непрямого голосования, имеет кардинальное значение для функционирования государства. Со времени Исла</w:t>
      </w:r>
      <w:r w:rsidRPr="004B46A0">
        <w:t>м</w:t>
      </w:r>
      <w:r w:rsidRPr="004B46A0">
        <w:t>ской революции 1979 года всеобщие выборы проводились не менее одного раза в год, причем число принявших участие в голос</w:t>
      </w:r>
      <w:r w:rsidRPr="004B46A0">
        <w:t>о</w:t>
      </w:r>
      <w:r w:rsidRPr="004B46A0">
        <w:t xml:space="preserve">вании обычно превышало средние региональные и международные показатели. </w:t>
      </w:r>
    </w:p>
    <w:p w:rsidR="004B46A0" w:rsidRPr="004B46A0" w:rsidRDefault="004B46A0" w:rsidP="004B46A0">
      <w:pPr>
        <w:pStyle w:val="SingleTxtGR"/>
      </w:pPr>
      <w:r w:rsidRPr="004B46A0">
        <w:t>3.</w:t>
      </w:r>
      <w:r w:rsidRPr="004B46A0">
        <w:tab/>
        <w:t>По мнению его правительства, ключевыми показателями поощр</w:t>
      </w:r>
      <w:r w:rsidRPr="004B46A0">
        <w:t>е</w:t>
      </w:r>
      <w:r w:rsidRPr="004B46A0">
        <w:t>ния прав человека являются национальные меры, направленные на институционализ</w:t>
      </w:r>
      <w:r w:rsidRPr="004B46A0">
        <w:t>а</w:t>
      </w:r>
      <w:r w:rsidRPr="004B46A0">
        <w:t>цию правозащитного процесса и оказание по</w:t>
      </w:r>
      <w:r w:rsidRPr="004B46A0">
        <w:t>д</w:t>
      </w:r>
      <w:r w:rsidRPr="004B46A0">
        <w:t>держки правам человека. При принятии основополагающих мер по поощрению и защите прав человека его правительство сосредоточилось на трех областях: законодательной реформе, создании потенциала и повышении уровня информированности. Были пре</w:t>
      </w:r>
      <w:r w:rsidRPr="004B46A0">
        <w:t>д</w:t>
      </w:r>
      <w:r w:rsidRPr="004B46A0">
        <w:t>приняты широкие национальные и международные усилия по привлечению международной технической и консультативной помощи и налаживанию дв</w:t>
      </w:r>
      <w:r w:rsidRPr="004B46A0">
        <w:t>у</w:t>
      </w:r>
      <w:r w:rsidRPr="004B46A0">
        <w:t>стороннего сотрудничества с использованием внутреннего потенциала; это привело к укреплению национальных учреждений, которые более эффективно занимались деятельностью по поощрению и защите прав человека. Было пре</w:t>
      </w:r>
      <w:r w:rsidRPr="004B46A0">
        <w:t>д</w:t>
      </w:r>
      <w:r w:rsidRPr="004B46A0">
        <w:t>принято немало эффективных шагов для продолжения этого процесса. В кач</w:t>
      </w:r>
      <w:r w:rsidRPr="004B46A0">
        <w:t>е</w:t>
      </w:r>
      <w:r w:rsidRPr="004B46A0">
        <w:t>стве примера можно привести подписание соглашения об оказании консульт</w:t>
      </w:r>
      <w:r w:rsidRPr="004B46A0">
        <w:t>а</w:t>
      </w:r>
      <w:r w:rsidRPr="004B46A0">
        <w:t>тивной и технической помощи с Управлением Верховного комиссара Организ</w:t>
      </w:r>
      <w:r w:rsidRPr="004B46A0">
        <w:t>а</w:t>
      </w:r>
      <w:r w:rsidRPr="004B46A0">
        <w:t>ции Объединенных Наций по правам человека (УВКПЧ), включ</w:t>
      </w:r>
      <w:r w:rsidRPr="004B46A0">
        <w:t>е</w:t>
      </w:r>
      <w:r w:rsidRPr="004B46A0">
        <w:t>ние вопроса о правах человека в школьные программы и посещение в сентябре 2007 года И</w:t>
      </w:r>
      <w:r w:rsidRPr="004B46A0">
        <w:t>с</w:t>
      </w:r>
      <w:r w:rsidRPr="004B46A0">
        <w:t>ламской Республики Иран г-жой Луизой Арбур, являвшейся в то время Верхо</w:t>
      </w:r>
      <w:r w:rsidRPr="004B46A0">
        <w:t>в</w:t>
      </w:r>
      <w:r w:rsidRPr="004B46A0">
        <w:t>ным комиссаром по правам человека. Кроме того, его правительство вместе с УВКПЧ работает над подготовкой визита нынешнего Верховного комиссара и достигло п</w:t>
      </w:r>
      <w:r w:rsidRPr="004B46A0">
        <w:t>о</w:t>
      </w:r>
      <w:r w:rsidRPr="004B46A0">
        <w:t>зитивных результатов в ходе проведения двустороннего диалога по правам человека с различными странами, включая Японию, Швейцарию, Авс</w:t>
      </w:r>
      <w:r w:rsidRPr="004B46A0">
        <w:t>т</w:t>
      </w:r>
      <w:r w:rsidRPr="004B46A0">
        <w:t>ралию и Россию, а также провело четыре раунда диалога по правам человека с Европейским союзом.</w:t>
      </w:r>
    </w:p>
    <w:p w:rsidR="004B46A0" w:rsidRPr="004B46A0" w:rsidRDefault="004B46A0" w:rsidP="004B46A0">
      <w:pPr>
        <w:pStyle w:val="SingleTxtGR"/>
      </w:pPr>
      <w:r w:rsidRPr="004B46A0">
        <w:t>4.</w:t>
      </w:r>
      <w:r w:rsidRPr="004B46A0">
        <w:tab/>
        <w:t>Инициативы его правительства в области прав человека, оп</w:t>
      </w:r>
      <w:r w:rsidRPr="004B46A0">
        <w:t>и</w:t>
      </w:r>
      <w:r w:rsidRPr="004B46A0">
        <w:t>санные в пункте 13 периодического доклада, включают ряд мероприятий на междун</w:t>
      </w:r>
      <w:r w:rsidRPr="004B46A0">
        <w:t>а</w:t>
      </w:r>
      <w:r w:rsidRPr="004B46A0">
        <w:t>родном и региональном уровнях. Его правительство также подписало ряд ме</w:t>
      </w:r>
      <w:r w:rsidRPr="004B46A0">
        <w:t>ж</w:t>
      </w:r>
      <w:r w:rsidRPr="004B46A0">
        <w:t>дународных договоров по правам человека, что подробно изложено в докладе и письменных ответах, и работало над осуществлением своих соответствующих обязательств в контексте священных исламских законов, Констит</w:t>
      </w:r>
      <w:r w:rsidRPr="004B46A0">
        <w:t>у</w:t>
      </w:r>
      <w:r w:rsidRPr="004B46A0">
        <w:t>ции и других национальных регламентирующих документов. Об этом свидетельствует пре</w:t>
      </w:r>
      <w:r w:rsidRPr="004B46A0">
        <w:t>д</w:t>
      </w:r>
      <w:r w:rsidRPr="004B46A0">
        <w:t>ставление периодических докладов ряду органов по правам человека.</w:t>
      </w:r>
    </w:p>
    <w:p w:rsidR="004B46A0" w:rsidRPr="004B46A0" w:rsidRDefault="004B46A0" w:rsidP="004B46A0">
      <w:pPr>
        <w:pStyle w:val="SingleTxtGR"/>
      </w:pPr>
      <w:r w:rsidRPr="004B46A0">
        <w:t>5.</w:t>
      </w:r>
      <w:r w:rsidRPr="004B46A0">
        <w:tab/>
        <w:t>Третий периодический доклад его страны был подготовлен в сотруднич</w:t>
      </w:r>
      <w:r w:rsidRPr="004B46A0">
        <w:t>е</w:t>
      </w:r>
      <w:r w:rsidRPr="004B46A0">
        <w:t>стве с соответствующими национальными органами и пре</w:t>
      </w:r>
      <w:r w:rsidRPr="004B46A0">
        <w:t>д</w:t>
      </w:r>
      <w:r w:rsidRPr="004B46A0">
        <w:t>ставлен Комитету в октябре 2009 года. Его цель состоит в том, чтобы дать краткое описание мер и инициатив законодательной, судебной и исполнительной властей Исламской Республики Иран по поощрению прав человека в контексте ее обязательств с</w:t>
      </w:r>
      <w:r w:rsidRPr="004B46A0">
        <w:t>о</w:t>
      </w:r>
      <w:r w:rsidRPr="004B46A0">
        <w:t xml:space="preserve">гласно Пакту. После </w:t>
      </w:r>
      <w:r w:rsidR="00E81CB3">
        <w:t>сто первой</w:t>
      </w:r>
      <w:r w:rsidRPr="004B46A0">
        <w:t xml:space="preserve"> сессии Комитета им был подготовлен и пер</w:t>
      </w:r>
      <w:r w:rsidRPr="004B46A0">
        <w:t>е</w:t>
      </w:r>
      <w:r w:rsidRPr="004B46A0">
        <w:t>дан его правительству перечень вопросов; действующий в рамках судебной сист</w:t>
      </w:r>
      <w:r w:rsidRPr="004B46A0">
        <w:t>е</w:t>
      </w:r>
      <w:r w:rsidRPr="004B46A0">
        <w:t>мы Совет по правам человека в сотрудничестве с соответствующими наци</w:t>
      </w:r>
      <w:r w:rsidRPr="004B46A0">
        <w:t>о</w:t>
      </w:r>
      <w:r w:rsidRPr="004B46A0">
        <w:t>нальными организациями подготовил ответы и вовремя представил их Упра</w:t>
      </w:r>
      <w:r w:rsidRPr="004B46A0">
        <w:t>в</w:t>
      </w:r>
      <w:r w:rsidRPr="004B46A0">
        <w:t>лению Верховного комиссара.</w:t>
      </w:r>
    </w:p>
    <w:p w:rsidR="004B46A0" w:rsidRPr="004B46A0" w:rsidRDefault="004B46A0" w:rsidP="004B46A0">
      <w:pPr>
        <w:pStyle w:val="SingleTxtGR"/>
      </w:pPr>
      <w:r w:rsidRPr="004B46A0">
        <w:t>6.</w:t>
      </w:r>
      <w:r w:rsidRPr="004B46A0">
        <w:tab/>
      </w:r>
      <w:r w:rsidRPr="004B46A0">
        <w:rPr>
          <w:b/>
        </w:rPr>
        <w:t>Г-н Хакиме</w:t>
      </w:r>
      <w:r w:rsidRPr="004B46A0">
        <w:t xml:space="preserve"> (Исламская Республика Иран) говорит, что формирование культуры прав человека является благородной задачей и важным элементом общего наследия человечества. Для достижения этой задачи ключевое значение имеют многостороннее и международное сотрудничество, а также толеран</w:t>
      </w:r>
      <w:r w:rsidRPr="004B46A0">
        <w:t>т</w:t>
      </w:r>
      <w:r w:rsidRPr="004B46A0">
        <w:t>ность и понимание культурных и общественных различий. Представление п</w:t>
      </w:r>
      <w:r w:rsidRPr="004B46A0">
        <w:t>е</w:t>
      </w:r>
      <w:r w:rsidRPr="004B46A0">
        <w:t>риодического доклада делегацией высокого уровня, как и создание иранского комитета для ответа на письменные вопросы Комитета, свидетельствуют о том, к</w:t>
      </w:r>
      <w:r w:rsidRPr="004B46A0">
        <w:t>а</w:t>
      </w:r>
      <w:r w:rsidRPr="004B46A0">
        <w:t>кое значение его правительство придает работе Комитета по правам человека. Как это описано в докладе, Исламская Республика Иран является религиозной демократией, основывающейся на догматах ислама, в Конституции которой о</w:t>
      </w:r>
      <w:r w:rsidRPr="004B46A0">
        <w:t>п</w:t>
      </w:r>
      <w:r w:rsidRPr="004B46A0">
        <w:t>ределяется будущий путь страны и, в частности в статьях 19</w:t>
      </w:r>
      <w:r w:rsidR="00FB48CE">
        <w:t>−</w:t>
      </w:r>
      <w:r w:rsidRPr="004B46A0">
        <w:t>46, гарантируются права человека и о</w:t>
      </w:r>
      <w:r w:rsidRPr="004B46A0">
        <w:t>с</w:t>
      </w:r>
      <w:r w:rsidRPr="004B46A0">
        <w:t>новные свободы.</w:t>
      </w:r>
    </w:p>
    <w:p w:rsidR="004B46A0" w:rsidRPr="004B46A0" w:rsidRDefault="004B46A0" w:rsidP="004B46A0">
      <w:pPr>
        <w:pStyle w:val="SingleTxtGR"/>
      </w:pPr>
      <w:r w:rsidRPr="004B46A0">
        <w:t>7.</w:t>
      </w:r>
      <w:r w:rsidRPr="004B46A0">
        <w:tab/>
        <w:t>Судебная власть является независимой как от законодательной, так и от исполнительной власти, и все население имеет равные права перед законом. З</w:t>
      </w:r>
      <w:r w:rsidRPr="004B46A0">
        <w:t>а</w:t>
      </w:r>
      <w:r w:rsidRPr="004B46A0">
        <w:t>прещение пыток и проведение публичного судебного расследования являются основными принципами правовой и судебной систем, а в пунктах 153</w:t>
      </w:r>
      <w:r w:rsidR="00FB48CE">
        <w:t>−</w:t>
      </w:r>
      <w:r w:rsidRPr="004B46A0">
        <w:t>156 до</w:t>
      </w:r>
      <w:r w:rsidRPr="004B46A0">
        <w:t>к</w:t>
      </w:r>
      <w:r w:rsidRPr="004B46A0">
        <w:t>лада говорится о создании Штаба по правам человека.</w:t>
      </w:r>
    </w:p>
    <w:p w:rsidR="004B46A0" w:rsidRPr="004B46A0" w:rsidRDefault="004B46A0" w:rsidP="004B46A0">
      <w:pPr>
        <w:pStyle w:val="SingleTxtGR"/>
      </w:pPr>
      <w:r w:rsidRPr="004B46A0">
        <w:t>8.</w:t>
      </w:r>
      <w:r w:rsidRPr="004B46A0">
        <w:tab/>
        <w:t>Отмечая историю представления Ираном докладов в различные органы Организации Объединенных Наций</w:t>
      </w:r>
      <w:r w:rsidR="00E81CB3" w:rsidRPr="004B46A0">
        <w:t>,</w:t>
      </w:r>
      <w:r w:rsidRPr="004B46A0">
        <w:t xml:space="preserve"> и в частности перечисляя доклады и пис</w:t>
      </w:r>
      <w:r w:rsidRPr="004B46A0">
        <w:t>ь</w:t>
      </w:r>
      <w:r w:rsidRPr="004B46A0">
        <w:t>менные представления, подготовленные в течение ряда лет для Комитета, он говорит, что после Революции 1979 года его страна придерживалась общей п</w:t>
      </w:r>
      <w:r w:rsidRPr="004B46A0">
        <w:t>о</w:t>
      </w:r>
      <w:r w:rsidRPr="004B46A0">
        <w:t>литики сотрудничества с Организацией Объединенных Наций. Его делегация выражает надежду, что Комитет при рассмотрении периодического доклада примет во внимание официальную религию его страны – ислам и что удастся избежать политических подходов.</w:t>
      </w:r>
    </w:p>
    <w:p w:rsidR="004B46A0" w:rsidRPr="004B46A0" w:rsidRDefault="004B46A0" w:rsidP="004B46A0">
      <w:pPr>
        <w:pStyle w:val="SingleTxtGR"/>
      </w:pPr>
      <w:r w:rsidRPr="004B46A0">
        <w:t>9.</w:t>
      </w:r>
      <w:r w:rsidRPr="004B46A0">
        <w:tab/>
        <w:t>Будучи одним из основателей Организации Объединенных Наций, И</w:t>
      </w:r>
      <w:r w:rsidRPr="004B46A0">
        <w:t>с</w:t>
      </w:r>
      <w:r w:rsidRPr="004B46A0">
        <w:t>ламская Республика Иран соблюдает все ее основополагающие принципы, с</w:t>
      </w:r>
      <w:r w:rsidRPr="004B46A0">
        <w:t>о</w:t>
      </w:r>
      <w:r w:rsidRPr="004B46A0">
        <w:t>образуясь со своей Конституцией. В целях обеспечения соблюдения прав чел</w:t>
      </w:r>
      <w:r w:rsidRPr="004B46A0">
        <w:t>о</w:t>
      </w:r>
      <w:r w:rsidRPr="004B46A0">
        <w:t>века и положений Пакта был внесен ряд изменений и поправок во внутреннее законодательство. Он перечисляет ряд законопроектов и поправок, находящихся на различных стадиях процесса утверждения, включая законопроект об альте</w:t>
      </w:r>
      <w:r w:rsidRPr="004B46A0">
        <w:t>р</w:t>
      </w:r>
      <w:r w:rsidRPr="004B46A0">
        <w:t>нативах тюремному заключению, законопроект о созд</w:t>
      </w:r>
      <w:r w:rsidRPr="004B46A0">
        <w:t>а</w:t>
      </w:r>
      <w:r w:rsidRPr="004B46A0">
        <w:t>нии органа по надзору за деятельностью правоохранительных учреждений и поправки к нормативным актам, направленные на укрепление независимости суде</w:t>
      </w:r>
      <w:r w:rsidRPr="004B46A0">
        <w:t>б</w:t>
      </w:r>
      <w:r w:rsidRPr="004B46A0">
        <w:t>ной системы.</w:t>
      </w:r>
    </w:p>
    <w:p w:rsidR="004B46A0" w:rsidRPr="004B46A0" w:rsidRDefault="004B46A0" w:rsidP="004B46A0">
      <w:pPr>
        <w:pStyle w:val="SingleTxtGR"/>
      </w:pPr>
      <w:r w:rsidRPr="004B46A0">
        <w:t>10.</w:t>
      </w:r>
      <w:r w:rsidRPr="004B46A0">
        <w:tab/>
        <w:t>Путем создания Штаба по правам человека его страна, среди прочих мер, наращивает потенциал в области соблюдения прав человека: Штаб по правам человека базируется в Тегеране, но имеет также региональные отделения; был учрежден и утвержден Советом по опекунству совет по урегулированию сп</w:t>
      </w:r>
      <w:r w:rsidRPr="004B46A0">
        <w:t>о</w:t>
      </w:r>
      <w:r w:rsidRPr="004B46A0">
        <w:t>ров; и в каждой провинции под руководством судебных органов власти были созданы отделения по поощрению прав женщин и детей.</w:t>
      </w:r>
    </w:p>
    <w:p w:rsidR="004B46A0" w:rsidRPr="004B46A0" w:rsidRDefault="004B46A0" w:rsidP="004B46A0">
      <w:pPr>
        <w:pStyle w:val="SingleTxtGR"/>
      </w:pPr>
      <w:r w:rsidRPr="004B46A0">
        <w:t>11.</w:t>
      </w:r>
      <w:r w:rsidRPr="004B46A0">
        <w:tab/>
        <w:t>В 1981 году была возобновлена работа Управления Прокурора; были со</w:t>
      </w:r>
      <w:r w:rsidRPr="004B46A0">
        <w:t>з</w:t>
      </w:r>
      <w:r w:rsidRPr="004B46A0">
        <w:t>даны отдельные суды для рассмотрения гражданских и уголовных дел. В ка</w:t>
      </w:r>
      <w:r w:rsidRPr="004B46A0">
        <w:t>ж</w:t>
      </w:r>
      <w:r w:rsidRPr="004B46A0">
        <w:t>дой провинции были назначены судебные приставы для осуществления мон</w:t>
      </w:r>
      <w:r w:rsidRPr="004B46A0">
        <w:t>и</w:t>
      </w:r>
      <w:r w:rsidRPr="004B46A0">
        <w:t>торинга за соблюдением прав человека. Парламент принял меры по отслежив</w:t>
      </w:r>
      <w:r w:rsidRPr="004B46A0">
        <w:t>а</w:t>
      </w:r>
      <w:r w:rsidRPr="004B46A0">
        <w:t>нию жалоб насел</w:t>
      </w:r>
      <w:r w:rsidRPr="004B46A0">
        <w:t>е</w:t>
      </w:r>
      <w:r w:rsidRPr="004B46A0">
        <w:t>ния, был создан национальный штаб по вопросам женщин, в число членов которого вошли президент и вице-президент, и, кроме того, был создан штаб по защите прав граждан, который имеет свои представительс</w:t>
      </w:r>
      <w:r w:rsidRPr="004B46A0">
        <w:t>т</w:t>
      </w:r>
      <w:r w:rsidRPr="004B46A0">
        <w:t>ва во всех провинциях.</w:t>
      </w:r>
    </w:p>
    <w:p w:rsidR="004B46A0" w:rsidRPr="004B46A0" w:rsidRDefault="004B46A0" w:rsidP="004B46A0">
      <w:pPr>
        <w:pStyle w:val="SingleTxtGR"/>
      </w:pPr>
      <w:r w:rsidRPr="004B46A0">
        <w:t>12.</w:t>
      </w:r>
      <w:r w:rsidRPr="004B46A0">
        <w:tab/>
        <w:t>Его страна ведет активную работу на международной арене, особенно в рамках системы Организации Объединенных Наций; она выступала с иници</w:t>
      </w:r>
      <w:r w:rsidRPr="004B46A0">
        <w:t>а</w:t>
      </w:r>
      <w:r w:rsidRPr="004B46A0">
        <w:t>тивами о предоставлении информации о ситуации в области прав человека в отдельных странах, способствовала проведению диалога по вопросам прав ч</w:t>
      </w:r>
      <w:r w:rsidRPr="004B46A0">
        <w:t>е</w:t>
      </w:r>
      <w:r w:rsidRPr="004B46A0">
        <w:t>ловека с другими странами и планирует провести в сотрудничестве с УВКПЧ специальное совещание по правам человека, в котором примут участие должн</w:t>
      </w:r>
      <w:r w:rsidRPr="004B46A0">
        <w:t>о</w:t>
      </w:r>
      <w:r w:rsidRPr="004B46A0">
        <w:t>стные лица и работники образования Ирана.</w:t>
      </w:r>
    </w:p>
    <w:p w:rsidR="004B46A0" w:rsidRPr="004B46A0" w:rsidRDefault="004B46A0" w:rsidP="004B46A0">
      <w:pPr>
        <w:pStyle w:val="SingleTxtGR"/>
      </w:pPr>
      <w:r w:rsidRPr="004B46A0">
        <w:t>13.</w:t>
      </w:r>
      <w:r w:rsidRPr="004B46A0">
        <w:tab/>
        <w:t>Были предприняты шаги по формированию культуры осозн</w:t>
      </w:r>
      <w:r w:rsidRPr="004B46A0">
        <w:t>а</w:t>
      </w:r>
      <w:r w:rsidRPr="004B46A0">
        <w:t>ния важности прав человека, включая распространение интервью и информации в СМИ и создание информационного центра по правам человека, предоставляющего и</w:t>
      </w:r>
      <w:r w:rsidRPr="004B46A0">
        <w:t>н</w:t>
      </w:r>
      <w:r w:rsidRPr="004B46A0">
        <w:t>формацию на английском и перси</w:t>
      </w:r>
      <w:r w:rsidRPr="004B46A0">
        <w:t>д</w:t>
      </w:r>
      <w:r w:rsidRPr="004B46A0">
        <w:t>ском языках. Соответствующая информация предоставлялась также судебным департаментом по связям с общественностью. Проводились обучение и исследования по вопросам прав человека, и должн</w:t>
      </w:r>
      <w:r w:rsidRPr="004B46A0">
        <w:t>о</w:t>
      </w:r>
      <w:r w:rsidRPr="004B46A0">
        <w:t>стные лица и работники образования приняли участие в работе ряда конфере</w:t>
      </w:r>
      <w:r w:rsidRPr="004B46A0">
        <w:t>н</w:t>
      </w:r>
      <w:r w:rsidRPr="004B46A0">
        <w:t>ций по этому вопросу. Был разработан план по повышению информированн</w:t>
      </w:r>
      <w:r w:rsidRPr="004B46A0">
        <w:t>о</w:t>
      </w:r>
      <w:r w:rsidRPr="004B46A0">
        <w:t>сти общественности о правах человека, и была предоставлена информация н</w:t>
      </w:r>
      <w:r w:rsidRPr="004B46A0">
        <w:t>а</w:t>
      </w:r>
      <w:r w:rsidRPr="004B46A0">
        <w:t>циональным мозг</w:t>
      </w:r>
      <w:r w:rsidRPr="004B46A0">
        <w:t>о</w:t>
      </w:r>
      <w:r w:rsidRPr="004B46A0">
        <w:t>вым центрам по правам человека.</w:t>
      </w:r>
    </w:p>
    <w:p w:rsidR="004B46A0" w:rsidRPr="004B46A0" w:rsidRDefault="004B46A0" w:rsidP="004B46A0">
      <w:pPr>
        <w:pStyle w:val="SingleTxtGR"/>
      </w:pPr>
      <w:r w:rsidRPr="004B46A0">
        <w:t>14.</w:t>
      </w:r>
      <w:r w:rsidRPr="004B46A0">
        <w:tab/>
        <w:t>Его страна отличается большим разнообразием этнического состава, пр</w:t>
      </w:r>
      <w:r w:rsidRPr="004B46A0">
        <w:t>и</w:t>
      </w:r>
      <w:r w:rsidRPr="004B46A0">
        <w:t>чем различные этнические группы мирно сосуществуют друг с другом, а прав</w:t>
      </w:r>
      <w:r w:rsidRPr="004B46A0">
        <w:t>и</w:t>
      </w:r>
      <w:r w:rsidRPr="004B46A0">
        <w:t>тельство приняло ряд мер по поддерж</w:t>
      </w:r>
      <w:r w:rsidRPr="004B46A0">
        <w:t>а</w:t>
      </w:r>
      <w:r w:rsidRPr="004B46A0">
        <w:t>нию этого мира. Все иранские граждане независимо от их расы или этн</w:t>
      </w:r>
      <w:r w:rsidRPr="004B46A0">
        <w:t>и</w:t>
      </w:r>
      <w:r w:rsidRPr="004B46A0">
        <w:t>ческого происхождения равны перед законом.</w:t>
      </w:r>
    </w:p>
    <w:p w:rsidR="004B46A0" w:rsidRPr="004B46A0" w:rsidRDefault="004B46A0" w:rsidP="004B46A0">
      <w:pPr>
        <w:pStyle w:val="SingleTxtGR"/>
      </w:pPr>
      <w:r w:rsidRPr="004B46A0">
        <w:t>15.</w:t>
      </w:r>
      <w:r w:rsidRPr="004B46A0">
        <w:tab/>
        <w:t>Следует отметить, что его страна является жертвой терр</w:t>
      </w:r>
      <w:r w:rsidRPr="004B46A0">
        <w:t>о</w:t>
      </w:r>
      <w:r w:rsidRPr="004B46A0">
        <w:t>ризма, действий, направленных на расширение террористической деятельности, а также дейс</w:t>
      </w:r>
      <w:r w:rsidRPr="004B46A0">
        <w:t>т</w:t>
      </w:r>
      <w:r w:rsidRPr="004B46A0">
        <w:t>вий, направленных на то, чтобы помешать прогрессу страны, к числу которых следует отнести убийство иранских ученых-атомщиков. Она также является жертвой торговли наркотиками, и некоторые государства недавно предприняли попытку увеличить приток наркотиков в страну. Имеющиеся статистические данные и поднятые Комитетом вопросы свидетельствуют о большом количестве смертных приговоров в стране, однако 70% смертных приговоров были связаны с незаконным оборотом наркотиков. Кроме того, страна страдает от агресси</w:t>
      </w:r>
      <w:r w:rsidRPr="004B46A0">
        <w:t>в</w:t>
      </w:r>
      <w:r w:rsidRPr="004B46A0">
        <w:t>ных односторонних санкций.</w:t>
      </w:r>
    </w:p>
    <w:p w:rsidR="004B46A0" w:rsidRPr="004B46A0" w:rsidRDefault="004B46A0" w:rsidP="004B46A0">
      <w:pPr>
        <w:pStyle w:val="SingleTxtGR"/>
      </w:pPr>
      <w:r w:rsidRPr="004B46A0">
        <w:t>16.</w:t>
      </w:r>
      <w:r w:rsidRPr="004B46A0">
        <w:tab/>
      </w:r>
      <w:r w:rsidRPr="004B46A0">
        <w:rPr>
          <w:b/>
        </w:rPr>
        <w:t>Г-н Ивасава</w:t>
      </w:r>
      <w:r w:rsidRPr="004B46A0">
        <w:t>, выражая сожаление в связи с 18</w:t>
      </w:r>
      <w:r w:rsidR="003610B5">
        <w:t>-</w:t>
      </w:r>
      <w:r w:rsidRPr="004B46A0">
        <w:t>летним перерывом между представлением предыдущего периодического доклада и доклада, который се</w:t>
      </w:r>
      <w:r w:rsidRPr="004B46A0">
        <w:t>й</w:t>
      </w:r>
      <w:r w:rsidRPr="004B46A0">
        <w:t>час рассматривается, с удовлетворением отмечает, что Исламская Республика Иран ведет диалог с Комит</w:t>
      </w:r>
      <w:r w:rsidRPr="004B46A0">
        <w:t>е</w:t>
      </w:r>
      <w:r w:rsidRPr="004B46A0">
        <w:t>том и оперативно представляла письменные ответы на направлявшиеся Комитетом перечни вопросов. Ссылаясь на письменные о</w:t>
      </w:r>
      <w:r w:rsidRPr="004B46A0">
        <w:t>т</w:t>
      </w:r>
      <w:r w:rsidRPr="004B46A0">
        <w:t>веты гос</w:t>
      </w:r>
      <w:r w:rsidRPr="004B46A0">
        <w:t>у</w:t>
      </w:r>
      <w:r w:rsidRPr="004B46A0">
        <w:t>дарства-участника на первый вопрос перечня вопросов (</w:t>
      </w:r>
      <w:r w:rsidRPr="004B46A0">
        <w:rPr>
          <w:lang w:val="en-US"/>
        </w:rPr>
        <w:t>CCPR</w:t>
      </w:r>
      <w:r w:rsidRPr="004B46A0">
        <w:t>/</w:t>
      </w:r>
      <w:r w:rsidRPr="004B46A0">
        <w:rPr>
          <w:lang w:val="en-US"/>
        </w:rPr>
        <w:t>C</w:t>
      </w:r>
      <w:r w:rsidRPr="004B46A0">
        <w:t>/</w:t>
      </w:r>
      <w:r w:rsidRPr="004B46A0">
        <w:rPr>
          <w:lang w:val="en-US"/>
        </w:rPr>
        <w:t>IRN</w:t>
      </w:r>
      <w:r w:rsidRPr="004B46A0">
        <w:t>/</w:t>
      </w:r>
      <w:r w:rsidRPr="004B46A0">
        <w:rPr>
          <w:lang w:val="en-US"/>
        </w:rPr>
        <w:t>Q</w:t>
      </w:r>
      <w:r w:rsidRPr="004B46A0">
        <w:t>/3/</w:t>
      </w:r>
      <w:r w:rsidRPr="004B46A0">
        <w:rPr>
          <w:lang w:val="en-US"/>
        </w:rPr>
        <w:t>Add</w:t>
      </w:r>
      <w:r w:rsidRPr="004B46A0">
        <w:t>.1), он запрашивает дополнительную информацию отн</w:t>
      </w:r>
      <w:r w:rsidRPr="004B46A0">
        <w:t>о</w:t>
      </w:r>
      <w:r w:rsidRPr="004B46A0">
        <w:t>сительно того, как конкретно использовался Пакт судами и сторонами судебн</w:t>
      </w:r>
      <w:r w:rsidRPr="004B46A0">
        <w:t>о</w:t>
      </w:r>
      <w:r w:rsidRPr="004B46A0">
        <w:t>го процесса в случае с заражением крови, а также просит представить другие примеры ссылки на Пакт в судах. Было бы также полезным узнать, какое место уделяется договорам в иранской правовой системе и что имеет преимуществе</w:t>
      </w:r>
      <w:r w:rsidRPr="004B46A0">
        <w:t>н</w:t>
      </w:r>
      <w:r w:rsidRPr="004B46A0">
        <w:t>ную силу в случае соответствующей коллизии – внутреннее законодательство или ме</w:t>
      </w:r>
      <w:r w:rsidRPr="004B46A0">
        <w:t>ж</w:t>
      </w:r>
      <w:r w:rsidRPr="004B46A0">
        <w:t xml:space="preserve">дународные договоры. </w:t>
      </w:r>
    </w:p>
    <w:p w:rsidR="004B46A0" w:rsidRPr="004B46A0" w:rsidRDefault="004B46A0" w:rsidP="004B46A0">
      <w:pPr>
        <w:pStyle w:val="SingleTxtGR"/>
      </w:pPr>
      <w:r w:rsidRPr="004B46A0">
        <w:t>17.</w:t>
      </w:r>
      <w:r w:rsidRPr="004B46A0">
        <w:tab/>
        <w:t>В базовом документе государства-участника, представленном в 1999 году, говорится, что согласно Конституции и Гражданскому кодексу "международные документы влияют на национальное законодательство и применение законов" (</w:t>
      </w:r>
      <w:r w:rsidRPr="004B46A0">
        <w:rPr>
          <w:lang w:val="en-US"/>
        </w:rPr>
        <w:t>HRI</w:t>
      </w:r>
      <w:r w:rsidRPr="004B46A0">
        <w:t>/</w:t>
      </w:r>
      <w:r w:rsidRPr="004B46A0">
        <w:rPr>
          <w:lang w:val="en-US"/>
        </w:rPr>
        <w:t>CORE</w:t>
      </w:r>
      <w:r w:rsidRPr="004B46A0">
        <w:t>/1/</w:t>
      </w:r>
      <w:r w:rsidRPr="004B46A0">
        <w:rPr>
          <w:lang w:val="en-US"/>
        </w:rPr>
        <w:t>Add</w:t>
      </w:r>
      <w:r w:rsidRPr="004B46A0">
        <w:t>.106, пункт 81). Было бы желательно получить уточнение о</w:t>
      </w:r>
      <w:r w:rsidRPr="004B46A0">
        <w:t>т</w:t>
      </w:r>
      <w:r w:rsidRPr="004B46A0">
        <w:t>носительно того, как международные договоры влияют на внутреннее закон</w:t>
      </w:r>
      <w:r w:rsidRPr="004B46A0">
        <w:t>о</w:t>
      </w:r>
      <w:r w:rsidRPr="004B46A0">
        <w:t>дательство. Было бы также полезным получить информацию о том, какое вли</w:t>
      </w:r>
      <w:r w:rsidRPr="004B46A0">
        <w:t>я</w:t>
      </w:r>
      <w:r w:rsidRPr="004B46A0">
        <w:t>ние имело консультативное заключение № 7/1669, допускающее непосредс</w:t>
      </w:r>
      <w:r w:rsidRPr="004B46A0">
        <w:t>т</w:t>
      </w:r>
      <w:r w:rsidRPr="004B46A0">
        <w:t>венные ссылки на положения международных договоров в ходе судебного ра</w:t>
      </w:r>
      <w:r w:rsidRPr="004B46A0">
        <w:t>з</w:t>
      </w:r>
      <w:r w:rsidRPr="004B46A0">
        <w:t>бирательства (там же, пункт 82), включая информацию о том, наблюдалось ли увелич</w:t>
      </w:r>
      <w:r w:rsidRPr="004B46A0">
        <w:t>е</w:t>
      </w:r>
      <w:r w:rsidRPr="004B46A0">
        <w:t>ние числа ссылок на такие документы во внутренних судах в результате прин</w:t>
      </w:r>
      <w:r w:rsidRPr="004B46A0">
        <w:t>я</w:t>
      </w:r>
      <w:r w:rsidRPr="004B46A0">
        <w:t>тия этого консультативного заключения, а также о том, осведомлены ли о нем юристы.</w:t>
      </w:r>
    </w:p>
    <w:p w:rsidR="004B46A0" w:rsidRPr="004B46A0" w:rsidRDefault="004B46A0" w:rsidP="004B46A0">
      <w:pPr>
        <w:pStyle w:val="SingleTxtGR"/>
      </w:pPr>
      <w:r w:rsidRPr="004B46A0">
        <w:t>18.</w:t>
      </w:r>
      <w:r w:rsidRPr="004B46A0">
        <w:tab/>
        <w:t>В письменных ответах государства-участника не был дан о</w:t>
      </w:r>
      <w:r w:rsidRPr="004B46A0">
        <w:t>т</w:t>
      </w:r>
      <w:r w:rsidRPr="004B46A0">
        <w:t>вет на вопрос Комитета, как требование статьи 4 Конституции о том, чтобы законодательство и другие документы базировались на исламских критериях, соотносится с п</w:t>
      </w:r>
      <w:r w:rsidRPr="004B46A0">
        <w:t>о</w:t>
      </w:r>
      <w:r w:rsidRPr="004B46A0">
        <w:t>ложениями Пакта.</w:t>
      </w:r>
    </w:p>
    <w:p w:rsidR="004B46A0" w:rsidRPr="004B46A0" w:rsidRDefault="004B46A0" w:rsidP="004B46A0">
      <w:pPr>
        <w:pStyle w:val="SingleTxtGR"/>
      </w:pPr>
      <w:r w:rsidRPr="004B46A0">
        <w:t>19.</w:t>
      </w:r>
      <w:r w:rsidRPr="004B46A0">
        <w:tab/>
      </w:r>
      <w:r w:rsidRPr="004B46A0">
        <w:rPr>
          <w:b/>
        </w:rPr>
        <w:t>Г-н Флинтерман</w:t>
      </w:r>
      <w:r w:rsidRPr="004B46A0">
        <w:t xml:space="preserve"> выражает озабоченность в связи с тем, что при чтении подробного доклада государства-участника он обратил внимание на недостаток примеров практического применения Пакта. Как следует из преамбулы и пол</w:t>
      </w:r>
      <w:r w:rsidRPr="004B46A0">
        <w:t>о</w:t>
      </w:r>
      <w:r w:rsidRPr="004B46A0">
        <w:t>жений Устава, Всеобщей деклар</w:t>
      </w:r>
      <w:r w:rsidRPr="004B46A0">
        <w:t>а</w:t>
      </w:r>
      <w:r w:rsidRPr="004B46A0">
        <w:t>ции прав человека и Международного пакта о гражданских и политических правах, равноправие мужчин и женщин является ключевым принципом и краеугольным камнем правозащитной системы Орг</w:t>
      </w:r>
      <w:r w:rsidRPr="004B46A0">
        <w:t>а</w:t>
      </w:r>
      <w:r w:rsidRPr="004B46A0">
        <w:t>низации Объединенных Наций. В 1993 году Комитет отметил, что в Исламской Республике Иран были приняты меры по улучшению положения женщин, одн</w:t>
      </w:r>
      <w:r w:rsidRPr="004B46A0">
        <w:t>а</w:t>
      </w:r>
      <w:r w:rsidRPr="004B46A0">
        <w:t>ко дискриминация в отношении женщин сохранялась. В частности, возникают вопросы в связи с положением женщин согласно Гражданскому кодексу, треб</w:t>
      </w:r>
      <w:r w:rsidRPr="004B46A0">
        <w:t>о</w:t>
      </w:r>
      <w:r w:rsidRPr="004B46A0">
        <w:t>ваниями к одежде в отношении женщин и запретом на занятие спортом женщ</w:t>
      </w:r>
      <w:r w:rsidRPr="004B46A0">
        <w:t>и</w:t>
      </w:r>
      <w:r w:rsidRPr="004B46A0">
        <w:t>нами в общественных местах. Требуется информация о положении де-факто женщин всех возрастов и об осуществлении ими прав человека, а также об их уровне образования и сексуальной ориентации. Одним из весомых шагов, кот</w:t>
      </w:r>
      <w:r w:rsidRPr="004B46A0">
        <w:t>о</w:t>
      </w:r>
      <w:r w:rsidRPr="004B46A0">
        <w:t>рый мог бы быть предпринят государством-участником, является ратиф</w:t>
      </w:r>
      <w:r w:rsidRPr="004B46A0">
        <w:t>и</w:t>
      </w:r>
      <w:r w:rsidRPr="004B46A0">
        <w:t>кация Конвенции о ликвидации всех форм дискриминации в отношении женщин. Он хотел бы знать, почему в этом вопросе наблюдается нерешител</w:t>
      </w:r>
      <w:r w:rsidRPr="004B46A0">
        <w:t>ь</w:t>
      </w:r>
      <w:r w:rsidRPr="004B46A0">
        <w:t>ность, особенно если учесть, что равноправие мужчин и женщин подчеркивается в Конституции и что Конвенцию можно было бы рассматривать в качестве подтверждения ст</w:t>
      </w:r>
      <w:r w:rsidRPr="004B46A0">
        <w:t>а</w:t>
      </w:r>
      <w:r w:rsidRPr="004B46A0">
        <w:t xml:space="preserve">тьи 3 Пакта. </w:t>
      </w:r>
    </w:p>
    <w:p w:rsidR="004B46A0" w:rsidRPr="004B46A0" w:rsidRDefault="004B46A0" w:rsidP="004B46A0">
      <w:pPr>
        <w:pStyle w:val="SingleTxtGR"/>
      </w:pPr>
      <w:r w:rsidRPr="004B46A0">
        <w:t>20.</w:t>
      </w:r>
      <w:r w:rsidRPr="004B46A0">
        <w:tab/>
        <w:t>Приводимую в периодическом докладе фактическую инфо</w:t>
      </w:r>
      <w:r w:rsidRPr="004B46A0">
        <w:t>р</w:t>
      </w:r>
      <w:r w:rsidRPr="004B46A0">
        <w:t>мацию о том, что женщины составляют большинство студентов высших учебных заведений, следует приветствовать, хотя это вызывает озабоченность в связи с тем, что б</w:t>
      </w:r>
      <w:r w:rsidRPr="004B46A0">
        <w:t>о</w:t>
      </w:r>
      <w:r w:rsidRPr="004B46A0">
        <w:t>лее низкое число студентов мужского пола свидетельствует о нежелании му</w:t>
      </w:r>
      <w:r w:rsidRPr="004B46A0">
        <w:t>ж</w:t>
      </w:r>
      <w:r w:rsidRPr="004B46A0">
        <w:t>чин посещать такие учебные заведения. Комитет получил информацию о пр</w:t>
      </w:r>
      <w:r w:rsidRPr="004B46A0">
        <w:t>о</w:t>
      </w:r>
      <w:r w:rsidRPr="004B46A0">
        <w:t>изошедшем в 2011 году в силу введения квот снижении числа девушек, об</w:t>
      </w:r>
      <w:r w:rsidRPr="004B46A0">
        <w:t>у</w:t>
      </w:r>
      <w:r w:rsidRPr="004B46A0">
        <w:t>чающихся в высших учебных заведениях, а также п</w:t>
      </w:r>
      <w:r w:rsidRPr="004B46A0">
        <w:t>о</w:t>
      </w:r>
      <w:r w:rsidRPr="004B46A0">
        <w:t>вторные сообщения о том, что в некоторых высших учебных заведениях проводится се</w:t>
      </w:r>
      <w:r w:rsidRPr="004B46A0">
        <w:t>г</w:t>
      </w:r>
      <w:r w:rsidRPr="004B46A0">
        <w:t>регация мужчин и женщин. Было бы желательно получить дополнительную информацию о пол</w:t>
      </w:r>
      <w:r w:rsidRPr="004B46A0">
        <w:t>о</w:t>
      </w:r>
      <w:r w:rsidRPr="004B46A0">
        <w:t>жении му</w:t>
      </w:r>
      <w:r w:rsidRPr="004B46A0">
        <w:t>ж</w:t>
      </w:r>
      <w:r w:rsidRPr="004B46A0">
        <w:t>чин и женщин в высшей школе и разъяснения в отношении того, как эта ситуация сообразуе</w:t>
      </w:r>
      <w:r w:rsidRPr="004B46A0">
        <w:t>т</w:t>
      </w:r>
      <w:r w:rsidRPr="004B46A0">
        <w:t>ся со статьей 3 Пакта.</w:t>
      </w:r>
    </w:p>
    <w:p w:rsidR="004B46A0" w:rsidRPr="004B46A0" w:rsidRDefault="004B46A0" w:rsidP="006D3E3C">
      <w:pPr>
        <w:pStyle w:val="SingleTxtGR"/>
        <w:keepLines/>
      </w:pPr>
      <w:r w:rsidRPr="004B46A0">
        <w:t>21.</w:t>
      </w:r>
      <w:r w:rsidRPr="004B46A0">
        <w:tab/>
        <w:t>Основным путем улучшения положения и статуса женщин является пр</w:t>
      </w:r>
      <w:r w:rsidRPr="004B46A0">
        <w:t>и</w:t>
      </w:r>
      <w:r w:rsidRPr="004B46A0">
        <w:t>влечение женщин к процессу принятия решений и судебному урегулированию споров. Было бы весьма желательно получить информацию о принимаемых м</w:t>
      </w:r>
      <w:r w:rsidRPr="004B46A0">
        <w:t>е</w:t>
      </w:r>
      <w:r w:rsidRPr="004B46A0">
        <w:t>рах по поощрению женщин к занятию высокопоставленных должностей и должностей, связанных с принятием решений, и к выдвижению своих кандид</w:t>
      </w:r>
      <w:r w:rsidRPr="004B46A0">
        <w:t>а</w:t>
      </w:r>
      <w:r w:rsidRPr="004B46A0">
        <w:t>тур для участия в выборах в парламент. Он отмечает, что в настоящее время д</w:t>
      </w:r>
      <w:r w:rsidRPr="004B46A0">
        <w:t>о</w:t>
      </w:r>
      <w:r w:rsidRPr="004B46A0">
        <w:t>ля женщин в парламенте является самой низкой в истории страны и что бол</w:t>
      </w:r>
      <w:r w:rsidRPr="004B46A0">
        <w:t>ь</w:t>
      </w:r>
      <w:r w:rsidRPr="004B46A0">
        <w:t>шинство женщин на ответственных должностях работают в Министерстве о</w:t>
      </w:r>
      <w:r w:rsidRPr="004B46A0">
        <w:t>б</w:t>
      </w:r>
      <w:r w:rsidRPr="004B46A0">
        <w:t>разования, которое, хотя и является символом прогресса, рискует усилить фо</w:t>
      </w:r>
      <w:r w:rsidRPr="004B46A0">
        <w:t>р</w:t>
      </w:r>
      <w:r w:rsidRPr="004B46A0">
        <w:t>мирование стереотипа в отношении к женщинам как к работникам образования. Было бы полезным узнать, какие предпринимаются шаги для поощрения же</w:t>
      </w:r>
      <w:r w:rsidRPr="004B46A0">
        <w:t>н</w:t>
      </w:r>
      <w:r w:rsidRPr="004B46A0">
        <w:t xml:space="preserve">щин к занятию должностей в других министерствах. </w:t>
      </w:r>
    </w:p>
    <w:p w:rsidR="004B46A0" w:rsidRPr="004B46A0" w:rsidRDefault="004B46A0" w:rsidP="004B46A0">
      <w:pPr>
        <w:pStyle w:val="SingleTxtGR"/>
      </w:pPr>
      <w:r w:rsidRPr="004B46A0">
        <w:t>22.</w:t>
      </w:r>
      <w:r w:rsidRPr="004B46A0">
        <w:tab/>
        <w:t>В письменных ответах на перечень вопросов указывается, что в после</w:t>
      </w:r>
      <w:r w:rsidRPr="004B46A0">
        <w:t>д</w:t>
      </w:r>
      <w:r w:rsidRPr="004B46A0">
        <w:t>ние годы отмечается рост назначений женщин в качестве судей. Хотя из опис</w:t>
      </w:r>
      <w:r w:rsidRPr="004B46A0">
        <w:t>а</w:t>
      </w:r>
      <w:r w:rsidRPr="004B46A0">
        <w:t>ния их обязанностей неясно, в чем эти обязанности заключаются. Он предлаг</w:t>
      </w:r>
      <w:r w:rsidRPr="004B46A0">
        <w:t>а</w:t>
      </w:r>
      <w:r w:rsidRPr="004B46A0">
        <w:t>ет государству-участнику ответить на вопрос о том, почему женщины не могут выступать в качестве председательствующих судей – второй вопрос перечня в</w:t>
      </w:r>
      <w:r w:rsidRPr="004B46A0">
        <w:t>о</w:t>
      </w:r>
      <w:r w:rsidRPr="004B46A0">
        <w:t>просов.</w:t>
      </w:r>
    </w:p>
    <w:p w:rsidR="004B46A0" w:rsidRPr="004B46A0" w:rsidRDefault="004B46A0" w:rsidP="004B46A0">
      <w:pPr>
        <w:pStyle w:val="SingleTxtGR"/>
      </w:pPr>
      <w:r w:rsidRPr="004B46A0">
        <w:t>23.</w:t>
      </w:r>
      <w:r w:rsidRPr="004B46A0">
        <w:tab/>
        <w:t>Комитет был информирован о том, что иранские женщины стремились мирным путем добиться изменений в дискриминационном законодательстве, например с помощью проведения кампании "Один миллион подписей", но мн</w:t>
      </w:r>
      <w:r w:rsidRPr="004B46A0">
        <w:t>о</w:t>
      </w:r>
      <w:r w:rsidRPr="004B46A0">
        <w:t>гие из участвовавших в ка</w:t>
      </w:r>
      <w:r w:rsidRPr="004B46A0">
        <w:t>м</w:t>
      </w:r>
      <w:r w:rsidRPr="004B46A0">
        <w:t>пании женщин были обвинены в преступлениях против национальной безопасности, содержались под стражей без доступа к адвокатам или без возможности связаться со своими семьями и подвергались жестокому обращению. Он очень хотел бы получить дополнительную инфо</w:t>
      </w:r>
      <w:r w:rsidRPr="004B46A0">
        <w:t>р</w:t>
      </w:r>
      <w:r w:rsidRPr="004B46A0">
        <w:t>мацию о политике правительства в этом вопросе. Программа за общественную безопасность 2007 года касалась женской одежды в общественных местах, и Комитет был информирован о том, что на улицах было размещено свыше 17 000</w:t>
      </w:r>
      <w:r w:rsidR="006D3E3C">
        <w:rPr>
          <w:lang w:val="en-US"/>
        </w:rPr>
        <w:t> </w:t>
      </w:r>
      <w:r w:rsidRPr="004B46A0">
        <w:t>полицейских для ареста женщин, которые, как считалось, были одеты неподобающем образом. Комитет также получил надежные сообщения о том, что женщины арестовывались за это правонарушение даже в частных жилищах. Он задает вопрос о том, насколько осуществление государством-участником этой программы можно сч</w:t>
      </w:r>
      <w:r w:rsidRPr="004B46A0">
        <w:t>и</w:t>
      </w:r>
      <w:r w:rsidRPr="004B46A0">
        <w:t>тать соответствующим Пакту.</w:t>
      </w:r>
    </w:p>
    <w:p w:rsidR="004B46A0" w:rsidRPr="004B46A0" w:rsidRDefault="004B46A0" w:rsidP="004B46A0">
      <w:pPr>
        <w:pStyle w:val="SingleTxtGR"/>
      </w:pPr>
      <w:r w:rsidRPr="004B46A0">
        <w:t>24.</w:t>
      </w:r>
      <w:r w:rsidRPr="004B46A0">
        <w:tab/>
        <w:t>Насилие в отношении женщин, включая насилие в семье, было признано международным сообществом в качестве одной из форм дискриминации в о</w:t>
      </w:r>
      <w:r w:rsidRPr="004B46A0">
        <w:t>т</w:t>
      </w:r>
      <w:r w:rsidRPr="004B46A0">
        <w:t>ношении женщин и одним из проявлений неравенства между мужчинами и женщинами, исходя из того, что обязательство государств-участников пред</w:t>
      </w:r>
      <w:r w:rsidRPr="004B46A0">
        <w:t>у</w:t>
      </w:r>
      <w:r w:rsidRPr="004B46A0">
        <w:t>преждать насилие в отношении женщин полностью подпадает под положения статьи 3 Пакта. Специальный докладчик по вопросу о насилии в отношении женщин, его причинах и следствиях во время своего посещения этой страны в 2005 году подготовила для Исламской Республики Иран соответствующие по</w:t>
      </w:r>
      <w:r w:rsidRPr="004B46A0">
        <w:t>д</w:t>
      </w:r>
      <w:r w:rsidRPr="004B46A0">
        <w:t>робные рекомендации, включая уделение приор</w:t>
      </w:r>
      <w:r w:rsidRPr="004B46A0">
        <w:t>и</w:t>
      </w:r>
      <w:r w:rsidRPr="004B46A0">
        <w:t>тетного внимания ликвидации насилия в отношении женщин. В то же время неясно, были ли приняты ко</w:t>
      </w:r>
      <w:r w:rsidRPr="004B46A0">
        <w:t>н</w:t>
      </w:r>
      <w:r w:rsidRPr="004B46A0">
        <w:t>кретные меры по предупреждению насилия в отношении женщин, созданию надлежащих сетей поддержки и реализации положений доклада Специального докладчика. Было бы интересно узнать, предполагает ли правительство вв</w:t>
      </w:r>
      <w:r w:rsidRPr="004B46A0">
        <w:t>е</w:t>
      </w:r>
      <w:r w:rsidRPr="004B46A0">
        <w:t>сти конкретные законодательные положения, касающиеся насилия в отношении женщин и насилия в семье, рассматривались ли в судах какие-либо дела, св</w:t>
      </w:r>
      <w:r w:rsidRPr="004B46A0">
        <w:t>я</w:t>
      </w:r>
      <w:r w:rsidRPr="004B46A0">
        <w:t>занные с насилием в отношении женщин, и какие приговоры выносились по т</w:t>
      </w:r>
      <w:r w:rsidRPr="004B46A0">
        <w:t>а</w:t>
      </w:r>
      <w:r w:rsidRPr="004B46A0">
        <w:t>ким делам. Хотя государство-участник в своих письменных ответах указало, что статья 630 Исламского уголовного кодекса на практике применяется редко и выступает в качестве средства сдерживания, это положение представляется н</w:t>
      </w:r>
      <w:r w:rsidRPr="004B46A0">
        <w:t>е</w:t>
      </w:r>
      <w:r w:rsidRPr="004B46A0">
        <w:t>совместимым с его обязательствами согласно статьям 3 и 6 Пакта.</w:t>
      </w:r>
    </w:p>
    <w:p w:rsidR="004B46A0" w:rsidRPr="004B46A0" w:rsidRDefault="004B46A0" w:rsidP="004B46A0">
      <w:pPr>
        <w:pStyle w:val="SingleTxtGR"/>
      </w:pPr>
      <w:r w:rsidRPr="004B46A0">
        <w:t>25.</w:t>
      </w:r>
      <w:r w:rsidRPr="004B46A0">
        <w:tab/>
        <w:t>В ответе государства-участника на третий вопрос перечня вопросов ук</w:t>
      </w:r>
      <w:r w:rsidRPr="004B46A0">
        <w:t>а</w:t>
      </w:r>
      <w:r w:rsidRPr="004B46A0">
        <w:t>зывается, что ряд законодательных положений, предусматривающих дискрим</w:t>
      </w:r>
      <w:r w:rsidRPr="004B46A0">
        <w:t>и</w:t>
      </w:r>
      <w:r w:rsidRPr="004B46A0">
        <w:t>нацию в отношении женщин, по-прежнему существует. В связи с этим он хотел бы знать, будут ли в законопроекте о защите семьи, о котором упоминалось в выступлении делег</w:t>
      </w:r>
      <w:r w:rsidRPr="004B46A0">
        <w:t>а</w:t>
      </w:r>
      <w:r w:rsidRPr="004B46A0">
        <w:t>ции, рассмотрены все существующие случаи неравенства в законодательстве о защите семьи, например положение о том, что муж может запретить работать своей жене. Он также задает вопрос о том, есть ли основ</w:t>
      </w:r>
      <w:r w:rsidRPr="004B46A0">
        <w:t>а</w:t>
      </w:r>
      <w:r w:rsidRPr="004B46A0">
        <w:t>ния предполагать, согласно полученной Комитетом информации, что новое з</w:t>
      </w:r>
      <w:r w:rsidRPr="004B46A0">
        <w:t>а</w:t>
      </w:r>
      <w:r w:rsidRPr="004B46A0">
        <w:t>конодательство породит новые формы неравенства, например положения, п</w:t>
      </w:r>
      <w:r w:rsidRPr="004B46A0">
        <w:t>о</w:t>
      </w:r>
      <w:r w:rsidRPr="004B46A0">
        <w:t>зволяющие мужу иметь вторую жену, о</w:t>
      </w:r>
      <w:r w:rsidRPr="004B46A0">
        <w:t>б</w:t>
      </w:r>
      <w:r w:rsidRPr="004B46A0">
        <w:t>легчающие временное вступление в брак, доводящие до максимума сумму приданого и сохраняющие определенный закрепленный во</w:t>
      </w:r>
      <w:r w:rsidRPr="004B46A0">
        <w:t>з</w:t>
      </w:r>
      <w:r w:rsidRPr="004B46A0">
        <w:t>раст для вступления в брак женщин.</w:t>
      </w:r>
    </w:p>
    <w:p w:rsidR="004B46A0" w:rsidRPr="004B46A0" w:rsidRDefault="004B46A0" w:rsidP="004B46A0">
      <w:pPr>
        <w:pStyle w:val="SingleTxtGR"/>
      </w:pPr>
      <w:r w:rsidRPr="004B46A0">
        <w:t>26.</w:t>
      </w:r>
      <w:r w:rsidRPr="004B46A0">
        <w:tab/>
      </w:r>
      <w:r w:rsidRPr="004B46A0">
        <w:rPr>
          <w:b/>
        </w:rPr>
        <w:t>Г-жа Шане</w:t>
      </w:r>
      <w:r w:rsidRPr="004B46A0">
        <w:t xml:space="preserve"> говорит, что права человека имеют универсал</w:t>
      </w:r>
      <w:r w:rsidRPr="004B46A0">
        <w:t>ь</w:t>
      </w:r>
      <w:r w:rsidRPr="004B46A0">
        <w:t>ное значение и поэтому не может осуществляться никакого их умаления или ограничения, за исключением тех случаев, которые предусматриваются в Пакте. Полученные Комитетом письменные ответы на перечень вопросов были довольно краткими, что вынуждает ее з</w:t>
      </w:r>
      <w:r w:rsidRPr="004B46A0">
        <w:t>а</w:t>
      </w:r>
      <w:r w:rsidRPr="004B46A0">
        <w:t>дать дополнительные вопросы. Комитет хотел бы получить подробные статистические данные о числе смертных казней и преступл</w:t>
      </w:r>
      <w:r w:rsidRPr="004B46A0">
        <w:t>е</w:t>
      </w:r>
      <w:r w:rsidRPr="004B46A0">
        <w:t>ний, за которые были вынесены смертные приговоры, как это требуется в шестом в</w:t>
      </w:r>
      <w:r w:rsidRPr="004B46A0">
        <w:t>о</w:t>
      </w:r>
      <w:r w:rsidRPr="004B46A0">
        <w:t>просе перечня вопросов. Было бы также желательно получить информацию о конкретных преступлениях, в отношении которых выносится смертный приг</w:t>
      </w:r>
      <w:r w:rsidRPr="004B46A0">
        <w:t>о</w:t>
      </w:r>
      <w:r w:rsidRPr="004B46A0">
        <w:t>вор, и, учитывая упоминание в промежуточном докладе Генерального секретаря о положении в области прав человека в Иране (</w:t>
      </w:r>
      <w:r w:rsidRPr="004B46A0">
        <w:rPr>
          <w:lang w:val="en-US"/>
        </w:rPr>
        <w:t>A</w:t>
      </w:r>
      <w:r w:rsidRPr="004B46A0">
        <w:t>/</w:t>
      </w:r>
      <w:r w:rsidRPr="004B46A0">
        <w:rPr>
          <w:lang w:val="en-US"/>
        </w:rPr>
        <w:t>HRC</w:t>
      </w:r>
      <w:r w:rsidRPr="004B46A0">
        <w:t>/16/75) о росте числа о</w:t>
      </w:r>
      <w:r w:rsidRPr="004B46A0">
        <w:t>б</w:t>
      </w:r>
      <w:r w:rsidRPr="004B46A0">
        <w:t>винений за преступления "мохареб" (террористическая деятельность), она х</w:t>
      </w:r>
      <w:r w:rsidRPr="004B46A0">
        <w:t>о</w:t>
      </w:r>
      <w:r w:rsidRPr="004B46A0">
        <w:t>тела бы знать, какие конкретно преступления подпадают под эту к</w:t>
      </w:r>
      <w:r w:rsidRPr="004B46A0">
        <w:t>а</w:t>
      </w:r>
      <w:r w:rsidRPr="004B46A0">
        <w:t>тегорию.</w:t>
      </w:r>
    </w:p>
    <w:p w:rsidR="004B46A0" w:rsidRPr="004B46A0" w:rsidRDefault="004B46A0" w:rsidP="004B46A0">
      <w:pPr>
        <w:pStyle w:val="SingleTxtGR"/>
      </w:pPr>
      <w:r w:rsidRPr="004B46A0">
        <w:t>27.</w:t>
      </w:r>
      <w:r w:rsidRPr="004B46A0">
        <w:tab/>
        <w:t>В Пакте признается возможность применения смертной казни в отнош</w:t>
      </w:r>
      <w:r w:rsidRPr="004B46A0">
        <w:t>е</w:t>
      </w:r>
      <w:r w:rsidRPr="004B46A0">
        <w:t>нии самых тяжких преступлений. Однако, как следует из письменных ответов, смертная казнь применяется в отношении религиозных правонарушений или преступлений против нравственности, т.е. в связи с вопросами личного повед</w:t>
      </w:r>
      <w:r w:rsidRPr="004B46A0">
        <w:t>е</w:t>
      </w:r>
      <w:r w:rsidRPr="004B46A0">
        <w:t>ния. Это идет вразрез с мнением международного сообщества относительно т</w:t>
      </w:r>
      <w:r w:rsidRPr="004B46A0">
        <w:t>о</w:t>
      </w:r>
      <w:r w:rsidRPr="004B46A0">
        <w:t>го, что является тяжким преступлением. В статье 18 Пакта гарантируется абс</w:t>
      </w:r>
      <w:r w:rsidRPr="004B46A0">
        <w:t>о</w:t>
      </w:r>
      <w:r w:rsidRPr="004B46A0">
        <w:t>лютная свобода мысли, совести и религии и указывается, что правонарушения такого характера не могут считаться наиболее тяжкими в соответствии с Па</w:t>
      </w:r>
      <w:r w:rsidRPr="004B46A0">
        <w:t>к</w:t>
      </w:r>
      <w:r w:rsidRPr="004B46A0">
        <w:t>том и что применение смертной казни в таких случаях является нарушением основных прав. То же самое относится и к гомосексуализму: несмотря на пр</w:t>
      </w:r>
      <w:r w:rsidRPr="004B46A0">
        <w:t>и</w:t>
      </w:r>
      <w:r w:rsidRPr="004B46A0">
        <w:t>нятие в июне 2011 года резолюции Совета по правам человека о правах челов</w:t>
      </w:r>
      <w:r w:rsidRPr="004B46A0">
        <w:t>е</w:t>
      </w:r>
      <w:r w:rsidRPr="004B46A0">
        <w:t>ка и сексуальной ориентации, по-прежнему выносятся смертные приговоры за гомосексу</w:t>
      </w:r>
      <w:r w:rsidRPr="004B46A0">
        <w:t>а</w:t>
      </w:r>
      <w:r w:rsidRPr="004B46A0">
        <w:t>лизм.</w:t>
      </w:r>
    </w:p>
    <w:p w:rsidR="004B46A0" w:rsidRPr="004B46A0" w:rsidRDefault="004B46A0" w:rsidP="004B46A0">
      <w:pPr>
        <w:pStyle w:val="SingleTxtGR"/>
      </w:pPr>
      <w:r w:rsidRPr="004B46A0">
        <w:t>28.</w:t>
      </w:r>
      <w:r w:rsidRPr="004B46A0">
        <w:tab/>
        <w:t>Согласно информации, приводимой в промежуточном докладе Генерал</w:t>
      </w:r>
      <w:r w:rsidRPr="004B46A0">
        <w:t>ь</w:t>
      </w:r>
      <w:r w:rsidRPr="004B46A0">
        <w:t>ного секретаря, мораторий на смертную казнь несовершеннолетних не собл</w:t>
      </w:r>
      <w:r w:rsidRPr="004B46A0">
        <w:t>ю</w:t>
      </w:r>
      <w:r w:rsidRPr="004B46A0">
        <w:t>дается. Учитывая, что в рамках процесса универсальных периодических обз</w:t>
      </w:r>
      <w:r w:rsidRPr="004B46A0">
        <w:t>о</w:t>
      </w:r>
      <w:r w:rsidRPr="004B46A0">
        <w:t>ров была вынесена рекомендация отменить смертную казнь в отношении нес</w:t>
      </w:r>
      <w:r w:rsidRPr="004B46A0">
        <w:t>о</w:t>
      </w:r>
      <w:r w:rsidRPr="004B46A0">
        <w:t>вершеннолетних в Иране и что по этому вопросу не было высказано никаких оговорок, такие казни являются нарушением Пакта. Было бы желательно пол</w:t>
      </w:r>
      <w:r w:rsidRPr="004B46A0">
        <w:t>у</w:t>
      </w:r>
      <w:r w:rsidRPr="004B46A0">
        <w:t>чить информацию в ответ на вопрос Комитета о сохранении практики забрас</w:t>
      </w:r>
      <w:r w:rsidRPr="004B46A0">
        <w:t>ы</w:t>
      </w:r>
      <w:r w:rsidRPr="004B46A0">
        <w:t>вания камнями в качестве метода казни, а также подробности различных пр</w:t>
      </w:r>
      <w:r w:rsidRPr="004B46A0">
        <w:t>и</w:t>
      </w:r>
      <w:r w:rsidRPr="004B46A0">
        <w:t>меняемых методов казни. Например, практикуется ли по-прежнему распятие и кто принимает решение относительно того, какой метод казни должен прим</w:t>
      </w:r>
      <w:r w:rsidRPr="004B46A0">
        <w:t>е</w:t>
      </w:r>
      <w:r w:rsidRPr="004B46A0">
        <w:t>няться? Является ли это прерогативой судов или судей? Она задает вопрос о том, проводятся ли эти казни публично и кто принимает соответствующее р</w:t>
      </w:r>
      <w:r w:rsidRPr="004B46A0">
        <w:t>е</w:t>
      </w:r>
      <w:r w:rsidRPr="004B46A0">
        <w:t>шение? Было бы также полезно получить информацию о процедурах, гарант</w:t>
      </w:r>
      <w:r w:rsidRPr="004B46A0">
        <w:t>и</w:t>
      </w:r>
      <w:r w:rsidRPr="004B46A0">
        <w:t>рующих справедливое судебное разбирательство для всех, и о праве на апелл</w:t>
      </w:r>
      <w:r w:rsidRPr="004B46A0">
        <w:t>я</w:t>
      </w:r>
      <w:r w:rsidRPr="004B46A0">
        <w:t>цию для всех лиц, приговоренных к смертной казни. Отмечая, что представле</w:t>
      </w:r>
      <w:r w:rsidRPr="004B46A0">
        <w:t>н</w:t>
      </w:r>
      <w:r w:rsidRPr="004B46A0">
        <w:t>ной государством-участником информации в отношении статьи 6 Пакта было недостаточно, несмотря на предусмо</w:t>
      </w:r>
      <w:r w:rsidRPr="004B46A0">
        <w:t>т</w:t>
      </w:r>
      <w:r w:rsidRPr="004B46A0">
        <w:t>ренные статьей 40 Пакта обязательства о предоставлении докладов, она выражает надежду на получение более подро</w:t>
      </w:r>
      <w:r w:rsidRPr="004B46A0">
        <w:t>б</w:t>
      </w:r>
      <w:r w:rsidRPr="004B46A0">
        <w:t>ной информации по этим вопросам.</w:t>
      </w:r>
    </w:p>
    <w:p w:rsidR="004B46A0" w:rsidRPr="004B46A0" w:rsidRDefault="004B46A0" w:rsidP="004B46A0">
      <w:pPr>
        <w:pStyle w:val="SingleTxtGR"/>
      </w:pPr>
      <w:r w:rsidRPr="004B46A0">
        <w:t>29.</w:t>
      </w:r>
      <w:r w:rsidRPr="004B46A0">
        <w:tab/>
      </w:r>
      <w:r w:rsidRPr="004B46A0">
        <w:rPr>
          <w:b/>
        </w:rPr>
        <w:t>Г-жа Моток</w:t>
      </w:r>
      <w:r w:rsidRPr="004B46A0">
        <w:t xml:space="preserve"> выражает свою озабоченность в связи с задержками с пр</w:t>
      </w:r>
      <w:r w:rsidRPr="004B46A0">
        <w:t>и</w:t>
      </w:r>
      <w:r w:rsidRPr="004B46A0">
        <w:t>нятием проектов поправок к Уголовному кодексу, касающихся отмены опред</w:t>
      </w:r>
      <w:r w:rsidRPr="004B46A0">
        <w:t>е</w:t>
      </w:r>
      <w:r w:rsidRPr="004B46A0">
        <w:t>ления "махдур-ол-дам" ("заслуживает смерти"), которое применяется в отнош</w:t>
      </w:r>
      <w:r w:rsidRPr="004B46A0">
        <w:t>е</w:t>
      </w:r>
      <w:r w:rsidRPr="004B46A0">
        <w:t>нии некоторых преступл</w:t>
      </w:r>
      <w:r w:rsidRPr="004B46A0">
        <w:t>е</w:t>
      </w:r>
      <w:r w:rsidRPr="004B46A0">
        <w:t>ний, а также в связи с тем фактом, что такие поправки не повлияют на верхове</w:t>
      </w:r>
      <w:r w:rsidRPr="004B46A0">
        <w:t>н</w:t>
      </w:r>
      <w:r w:rsidRPr="004B46A0">
        <w:t>ство законов шариата, согласно которым по-прежнему применяется понятие "махдур-ол-дам". Доклады неправительственных орган</w:t>
      </w:r>
      <w:r w:rsidRPr="004B46A0">
        <w:t>и</w:t>
      </w:r>
      <w:r w:rsidRPr="004B46A0">
        <w:t>заций (НПО) свидетельствуют о том, что при использовании определения "ма</w:t>
      </w:r>
      <w:r w:rsidRPr="004B46A0">
        <w:t>х</w:t>
      </w:r>
      <w:r w:rsidRPr="004B46A0">
        <w:t>дур-ол-дам" применительно к некоторым преступлениям сохраняется опред</w:t>
      </w:r>
      <w:r w:rsidRPr="004B46A0">
        <w:t>е</w:t>
      </w:r>
      <w:r w:rsidRPr="004B46A0">
        <w:t>ленная безнаказанность.</w:t>
      </w:r>
    </w:p>
    <w:p w:rsidR="004B46A0" w:rsidRPr="004B46A0" w:rsidRDefault="004B46A0" w:rsidP="004B46A0">
      <w:pPr>
        <w:pStyle w:val="SingleTxtGR"/>
        <w:rPr>
          <w:lang w:val="es-ES_tradnl"/>
        </w:rPr>
      </w:pPr>
      <w:r w:rsidRPr="004B46A0">
        <w:t>30.</w:t>
      </w:r>
      <w:r w:rsidRPr="004B46A0">
        <w:tab/>
        <w:t>Комитетом были получены подробно документированные обвинения, включая аудиовизуальную запись казни, указывающие на то, что в ходе и после президентских выборов 12 июня 2009 года примерно 100 человек были по</w:t>
      </w:r>
      <w:r w:rsidRPr="004B46A0">
        <w:t>д</w:t>
      </w:r>
      <w:r w:rsidRPr="004B46A0">
        <w:t>вергнуты пыткам или убиты, или же просто исчезли после того, как они попали в руки безнаказанно действовавших сил безопасности и групп ополченцев. Б</w:t>
      </w:r>
      <w:r w:rsidRPr="004B46A0">
        <w:t>ы</w:t>
      </w:r>
      <w:r w:rsidRPr="004B46A0">
        <w:t>ло бы желательно получить более подробную информацию, как это требуе</w:t>
      </w:r>
      <w:r w:rsidRPr="004B46A0">
        <w:t>т</w:t>
      </w:r>
      <w:r w:rsidRPr="004B46A0">
        <w:t>ся в девятом вопросе перечня вопросов, о мерах, принятых в отношении виновных в убийствах и жестоком обращении, а также о числе жертв. Делегации также предлагается представить свои разъяснения по вопросу о том, что высокоп</w:t>
      </w:r>
      <w:r w:rsidRPr="004B46A0">
        <w:t>о</w:t>
      </w:r>
      <w:r w:rsidRPr="004B46A0">
        <w:t>ставленные должностные лица, связанные с событиями 2009 года, возможно, остались безнаказанными, а также по вопросу о выявлении ответственных за жестокое обращение во время тех событий. Ей также предлагается представить подробную информацию о расследованиях ряда событий и демонстраций, кот</w:t>
      </w:r>
      <w:r w:rsidRPr="004B46A0">
        <w:t>о</w:t>
      </w:r>
      <w:r w:rsidRPr="004B46A0">
        <w:t>рые, согласно утверждениям, привели к исчезновениям и внесуде</w:t>
      </w:r>
      <w:r w:rsidRPr="004B46A0">
        <w:t>б</w:t>
      </w:r>
      <w:r w:rsidRPr="004B46A0">
        <w:t>ным казням с 1980-х годов. Запрашивается дополнительная информация по вопросам, св</w:t>
      </w:r>
      <w:r w:rsidRPr="004B46A0">
        <w:t>я</w:t>
      </w:r>
      <w:r w:rsidRPr="004B46A0">
        <w:t>занным с преступлениями на почве оскорбленной чести, особенно о числе же</w:t>
      </w:r>
      <w:r w:rsidRPr="004B46A0">
        <w:t>н</w:t>
      </w:r>
      <w:r w:rsidRPr="004B46A0">
        <w:t>щин, которые, согласно докладу 2005 года Специального докладчика по вопр</w:t>
      </w:r>
      <w:r w:rsidRPr="004B46A0">
        <w:t>о</w:t>
      </w:r>
      <w:r w:rsidRPr="004B46A0">
        <w:t>су о насилии в отношении женщин, его причинах и следствиях (</w:t>
      </w:r>
      <w:r w:rsidRPr="004B46A0">
        <w:rPr>
          <w:lang w:val="en-US"/>
        </w:rPr>
        <w:t>E</w:t>
      </w:r>
      <w:r w:rsidRPr="004B46A0">
        <w:t>/</w:t>
      </w:r>
      <w:r w:rsidRPr="004B46A0">
        <w:rPr>
          <w:lang w:val="en-US"/>
        </w:rPr>
        <w:t>CN</w:t>
      </w:r>
      <w:r w:rsidRPr="004B46A0">
        <w:t>.4/2006/61/</w:t>
      </w:r>
      <w:r w:rsidRPr="004B46A0">
        <w:rPr>
          <w:lang w:val="en-US"/>
        </w:rPr>
        <w:t>Add</w:t>
      </w:r>
      <w:r w:rsidRPr="004B46A0">
        <w:t>.3), подвергли себя самосожжению, поскольку они явились жертвами преступления на почве оскор</w:t>
      </w:r>
      <w:r w:rsidRPr="004B46A0">
        <w:t>б</w:t>
      </w:r>
      <w:r w:rsidRPr="004B46A0">
        <w:t>ленной чести.</w:t>
      </w:r>
    </w:p>
    <w:p w:rsidR="004B46A0" w:rsidRPr="004B46A0" w:rsidRDefault="004B46A0" w:rsidP="004B46A0">
      <w:pPr>
        <w:pStyle w:val="SingleTxtGR"/>
      </w:pPr>
      <w:r w:rsidRPr="004B46A0">
        <w:t>31.</w:t>
      </w:r>
      <w:r w:rsidRPr="004B46A0">
        <w:tab/>
        <w:t>Вопрос защиты сексуальных меньшинств, безусловно, входит в сферу в</w:t>
      </w:r>
      <w:r w:rsidRPr="004B46A0">
        <w:t>е</w:t>
      </w:r>
      <w:r w:rsidRPr="004B46A0">
        <w:t>дения Комитета, и она выражает озабоченность в связи с тем, что государство-участник не предоставляет защиты сексуал</w:t>
      </w:r>
      <w:r w:rsidRPr="004B46A0">
        <w:t>ь</w:t>
      </w:r>
      <w:r w:rsidRPr="004B46A0">
        <w:t>ным меньшинствам, поскольку это является нарушением статьи 26 Пакта, а также статьи 17 о незаконном вмеш</w:t>
      </w:r>
      <w:r w:rsidRPr="004B46A0">
        <w:t>а</w:t>
      </w:r>
      <w:r w:rsidRPr="004B46A0">
        <w:t>тельстве в частную жизнь, что охватывает и сексуальные отношения по взаи</w:t>
      </w:r>
      <w:r w:rsidRPr="004B46A0">
        <w:t>м</w:t>
      </w:r>
      <w:r w:rsidRPr="004B46A0">
        <w:t>ному согласию. Гомосексуализм сурово наказывается, в том чи</w:t>
      </w:r>
      <w:r w:rsidRPr="004B46A0">
        <w:t>с</w:t>
      </w:r>
      <w:r w:rsidRPr="004B46A0">
        <w:t>ле смертной казнью, и Комитет также получил сообщения о том, что лица, пр</w:t>
      </w:r>
      <w:r w:rsidRPr="004B46A0">
        <w:t>и</w:t>
      </w:r>
      <w:r w:rsidRPr="004B46A0">
        <w:t>нимавшие участие в политических демонстрациях, обвинялись в гомосексуализме и з</w:t>
      </w:r>
      <w:r w:rsidRPr="004B46A0">
        <w:t>а</w:t>
      </w:r>
      <w:r w:rsidRPr="004B46A0">
        <w:t>ключались в тюрьму. Было бы также желательно получить информацию отн</w:t>
      </w:r>
      <w:r w:rsidRPr="004B46A0">
        <w:t>о</w:t>
      </w:r>
      <w:r w:rsidRPr="004B46A0">
        <w:t>сительно полученных Комитетом утве</w:t>
      </w:r>
      <w:r w:rsidRPr="004B46A0">
        <w:t>р</w:t>
      </w:r>
      <w:r w:rsidRPr="004B46A0">
        <w:t>ждений о том, что гомосексуалисты принуждались к операции по и</w:t>
      </w:r>
      <w:r w:rsidRPr="004B46A0">
        <w:t>з</w:t>
      </w:r>
      <w:r w:rsidRPr="004B46A0">
        <w:t>менению пола хирургическим путем.</w:t>
      </w:r>
    </w:p>
    <w:p w:rsidR="004B46A0" w:rsidRPr="004B46A0" w:rsidRDefault="004B46A0" w:rsidP="004B46A0">
      <w:pPr>
        <w:pStyle w:val="SingleTxtGR"/>
      </w:pPr>
      <w:r w:rsidRPr="004B46A0">
        <w:t>32.</w:t>
      </w:r>
      <w:r w:rsidRPr="004B46A0">
        <w:tab/>
      </w:r>
      <w:r w:rsidRPr="004B46A0">
        <w:rPr>
          <w:b/>
        </w:rPr>
        <w:t>Г-н Нойман</w:t>
      </w:r>
      <w:r w:rsidRPr="004B46A0">
        <w:t xml:space="preserve"> отмечает, что, согласно ответу государства-участника на одиннадцатый вопрос перечня вопросов, с 2007 года было отмечено 13 случаев предполагаемого применения пыток и жестокого, бесчеловечного или унижа</w:t>
      </w:r>
      <w:r w:rsidRPr="004B46A0">
        <w:t>ю</w:t>
      </w:r>
      <w:r w:rsidRPr="004B46A0">
        <w:t>щего достоинство обращения со стороны работников полиции или пенитенц</w:t>
      </w:r>
      <w:r w:rsidRPr="004B46A0">
        <w:t>и</w:t>
      </w:r>
      <w:r w:rsidRPr="004B46A0">
        <w:t>арных учреждений, все из которых привели к осуждению виновных. Это – чрезвычайно низкая цифра по сравнению с численностью населения, поро</w:t>
      </w:r>
      <w:r w:rsidRPr="004B46A0">
        <w:t>ж</w:t>
      </w:r>
      <w:r w:rsidRPr="004B46A0">
        <w:t>дающая обеспокоенность в отношении того, что работники полиции и пените</w:t>
      </w:r>
      <w:r w:rsidRPr="004B46A0">
        <w:t>н</w:t>
      </w:r>
      <w:r w:rsidRPr="004B46A0">
        <w:t>циарных учреждений, возможно, ничего не б</w:t>
      </w:r>
      <w:r w:rsidRPr="004B46A0">
        <w:t>о</w:t>
      </w:r>
      <w:r w:rsidRPr="004B46A0">
        <w:t>ятся, когда прибегают к такой практике. Он задает вопрос о том, опасаются ли жертвы подавать жалобы, не было ли такой ситуации, что получившие такие жалобы должностные лица не отнеслись к ним настолько серьезно, чтобы их зафиксировать, или же имеются другие объяснения небольшого числа расследований. Было бы полезным у</w:t>
      </w:r>
      <w:r w:rsidRPr="004B46A0">
        <w:t>з</w:t>
      </w:r>
      <w:r w:rsidRPr="004B46A0">
        <w:t>нать, какие шаги предпринимает государство-участник для выявления случаев такого обращения и обеспечения их надлежащего расследования и наказания виновных. В связи с этим он хотел бы узнать, проводились ли компетентными сотрудниками беспристрастные медицинские расследования сообщений о се</w:t>
      </w:r>
      <w:r w:rsidRPr="004B46A0">
        <w:t>к</w:t>
      </w:r>
      <w:r w:rsidRPr="004B46A0">
        <w:t>суальном надругательстве над содержащимися под стражей мужчинами и же</w:t>
      </w:r>
      <w:r w:rsidRPr="004B46A0">
        <w:t>н</w:t>
      </w:r>
      <w:r w:rsidRPr="004B46A0">
        <w:t xml:space="preserve">щинами. </w:t>
      </w:r>
    </w:p>
    <w:p w:rsidR="004B46A0" w:rsidRPr="004B46A0" w:rsidRDefault="004B46A0" w:rsidP="004B46A0">
      <w:pPr>
        <w:pStyle w:val="SingleTxtGR"/>
      </w:pPr>
      <w:r w:rsidRPr="004B46A0">
        <w:t>33.</w:t>
      </w:r>
      <w:r w:rsidRPr="004B46A0">
        <w:tab/>
        <w:t>Хотя и было интересно услышать о том, что предполагаемая реформа з</w:t>
      </w:r>
      <w:r w:rsidRPr="004B46A0">
        <w:t>а</w:t>
      </w:r>
      <w:r w:rsidRPr="004B46A0">
        <w:t>кона тазират приведет к сокращению числа правонарушений, за которые назн</w:t>
      </w:r>
      <w:r w:rsidRPr="004B46A0">
        <w:t>а</w:t>
      </w:r>
      <w:r w:rsidRPr="004B46A0">
        <w:t>чаются телесные наказания, Комитет прежде всего интересуется существу</w:t>
      </w:r>
      <w:r w:rsidRPr="004B46A0">
        <w:t>ю</w:t>
      </w:r>
      <w:r w:rsidRPr="004B46A0">
        <w:t>щим законодательством. Была получена информация о том, что в качестве нак</w:t>
      </w:r>
      <w:r w:rsidRPr="004B46A0">
        <w:t>а</w:t>
      </w:r>
      <w:r w:rsidRPr="004B46A0">
        <w:t>зания за незначительные правонарушения по-прежнему используется порка, в том числе с</w:t>
      </w:r>
      <w:r w:rsidRPr="004B46A0">
        <w:t>о</w:t>
      </w:r>
      <w:r w:rsidRPr="004B46A0">
        <w:t>общения о том, что актриса Марзиех Вафамехр была приговорена к 90 ударам плетьми лишь за то, что она снялась в фильме. Повторяя просьбу, высказанную в двенадцатом вопросе перечня вопросов, он просит представить статистические данные о том, сколько раз и за какие преступления назначались наказания в виде ампутации коне</w:t>
      </w:r>
      <w:r w:rsidRPr="004B46A0">
        <w:t>ч</w:t>
      </w:r>
      <w:r w:rsidRPr="004B46A0">
        <w:t>ностей и порки, поскольку без таких данных Комитет вынужден основываться на сообщениях со стороны. В 1993 году К</w:t>
      </w:r>
      <w:r w:rsidRPr="004B46A0">
        <w:t>о</w:t>
      </w:r>
      <w:r w:rsidRPr="004B46A0">
        <w:t>митет пришел к выводу, что такие наказания нес</w:t>
      </w:r>
      <w:r w:rsidRPr="004B46A0">
        <w:t>о</w:t>
      </w:r>
      <w:r w:rsidRPr="004B46A0">
        <w:t>вместимы со статьей 7 Пакта. Притом что назначение телесного наказания основывается в ряде случаев на религиозной доктрине, он не понимает, почему оно по-прежнему практикуется в отнош</w:t>
      </w:r>
      <w:r w:rsidRPr="004B46A0">
        <w:t>е</w:t>
      </w:r>
      <w:r w:rsidRPr="004B46A0">
        <w:t>нии других преступлений.</w:t>
      </w:r>
    </w:p>
    <w:p w:rsidR="004B46A0" w:rsidRPr="004B46A0" w:rsidRDefault="004B46A0" w:rsidP="004B46A0">
      <w:pPr>
        <w:pStyle w:val="SingleTxtGR"/>
      </w:pPr>
      <w:r w:rsidRPr="004B46A0">
        <w:t>34.</w:t>
      </w:r>
      <w:r w:rsidRPr="004B46A0">
        <w:tab/>
        <w:t xml:space="preserve">Из ответа государства-участника на </w:t>
      </w:r>
      <w:r w:rsidR="00C5259A">
        <w:t>13</w:t>
      </w:r>
      <w:r w:rsidRPr="004B46A0">
        <w:t xml:space="preserve"> вопрос следует, что в</w:t>
      </w:r>
      <w:r w:rsidRPr="004B46A0">
        <w:t>ы</w:t>
      </w:r>
      <w:r w:rsidRPr="004B46A0">
        <w:t>дача общих и бланкетных ордеров на арест, не содержащих имен обвиняемых и не основ</w:t>
      </w:r>
      <w:r w:rsidRPr="004B46A0">
        <w:t>ы</w:t>
      </w:r>
      <w:r w:rsidRPr="004B46A0">
        <w:t>вающихся на рассмотрении судьей вещественных доказательств, незаконно и что любое лицо, осущ</w:t>
      </w:r>
      <w:r w:rsidRPr="004B46A0">
        <w:t>е</w:t>
      </w:r>
      <w:r w:rsidRPr="004B46A0">
        <w:t>ствляющее арест на основе такого ордера, подпадает под правовые санкции. Он задает вопрос, о том, планирует ли гос</w:t>
      </w:r>
      <w:r w:rsidRPr="004B46A0">
        <w:t>у</w:t>
      </w:r>
      <w:r w:rsidRPr="004B46A0">
        <w:t>дарство-участник выпустить и предоставить компенсацию тем лицам, которые, согласно сообщ</w:t>
      </w:r>
      <w:r w:rsidRPr="004B46A0">
        <w:t>е</w:t>
      </w:r>
      <w:r w:rsidRPr="004B46A0">
        <w:t>ниям, были недавно арестованы по таким ордерам, и наказать тех лиц, которые совершили такие аресты. Было бы полезным узнать, был ли когда-либо кто-либо наказан за с</w:t>
      </w:r>
      <w:r w:rsidRPr="004B46A0">
        <w:t>о</w:t>
      </w:r>
      <w:r w:rsidRPr="004B46A0">
        <w:t>вершение ареста по такому общему ордеру и проводилось ли когда-либо расследование обвинений в совершении таких ар</w:t>
      </w:r>
      <w:r w:rsidRPr="004B46A0">
        <w:t>е</w:t>
      </w:r>
      <w:r w:rsidRPr="004B46A0">
        <w:t>стов. В связи с этим Комитет хотел бы получить разъяснение относительно функций таких вспомогательных правоохранительных формирований, как "б</w:t>
      </w:r>
      <w:r w:rsidRPr="004B46A0">
        <w:t>а</w:t>
      </w:r>
      <w:r w:rsidRPr="004B46A0">
        <w:t>сиджи", в том числе вопроса о том, имеют ли они законные полномочия совершать аресты, содержать людей под стражей и назначать телесные наказания без судебного разбирательства. В частности, должна быть представлена информация о пр</w:t>
      </w:r>
      <w:r w:rsidRPr="004B46A0">
        <w:t>и</w:t>
      </w:r>
      <w:r w:rsidRPr="004B46A0">
        <w:t>нимаемых мерах по обеспечению того, чтобы деятельность этих фо</w:t>
      </w:r>
      <w:r w:rsidRPr="004B46A0">
        <w:t>р</w:t>
      </w:r>
      <w:r w:rsidRPr="004B46A0">
        <w:t>мирований осуществлялась в рамках закона и соответствовала п</w:t>
      </w:r>
      <w:r w:rsidRPr="004B46A0">
        <w:t>о</w:t>
      </w:r>
      <w:r w:rsidRPr="004B46A0">
        <w:t xml:space="preserve">ложениям Пакта. </w:t>
      </w:r>
    </w:p>
    <w:p w:rsidR="004B46A0" w:rsidRPr="004B46A0" w:rsidRDefault="004B46A0" w:rsidP="004B46A0">
      <w:pPr>
        <w:pStyle w:val="SingleTxtGR"/>
      </w:pPr>
      <w:r w:rsidRPr="004B46A0">
        <w:t>35.</w:t>
      </w:r>
      <w:r w:rsidRPr="004B46A0">
        <w:tab/>
        <w:t xml:space="preserve">Обращаясь к ответу на </w:t>
      </w:r>
      <w:r w:rsidR="008F1CD3">
        <w:t>14</w:t>
      </w:r>
      <w:r w:rsidRPr="004B46A0">
        <w:t xml:space="preserve"> вопрос, он просит уточнить вопрос о том, я</w:t>
      </w:r>
      <w:r w:rsidRPr="004B46A0">
        <w:t>в</w:t>
      </w:r>
      <w:r w:rsidRPr="004B46A0">
        <w:t>ляются ли периоды в один и четыре месяца, в течение которых ведущие допрос судьи обязаны рассмотреть ситуацию с лицами, содержащим</w:t>
      </w:r>
      <w:r w:rsidRPr="004B46A0">
        <w:t>и</w:t>
      </w:r>
      <w:r w:rsidRPr="004B46A0">
        <w:t>ся под стражей на основании ордера о временном аресте, максимальными сроками содержания под стражей до начала судебного процесса. Было бы полезным узнать, сущес</w:t>
      </w:r>
      <w:r w:rsidRPr="004B46A0">
        <w:t>т</w:t>
      </w:r>
      <w:r w:rsidRPr="004B46A0">
        <w:t>вует ли такое положение, что обвиняемый может содержаться под стражей в т</w:t>
      </w:r>
      <w:r w:rsidRPr="004B46A0">
        <w:t>е</w:t>
      </w:r>
      <w:r w:rsidRPr="004B46A0">
        <w:t>чение более продолжительного периода времени при любых обстоятельствах, например в случае продления судьей действия судебного пр</w:t>
      </w:r>
      <w:r w:rsidRPr="004B46A0">
        <w:t>и</w:t>
      </w:r>
      <w:r w:rsidRPr="004B46A0">
        <w:t>каза о содержании под стражей, и, если это так, установлены ли какие-либо сроки для начала с</w:t>
      </w:r>
      <w:r w:rsidRPr="004B46A0">
        <w:t>у</w:t>
      </w:r>
      <w:r w:rsidRPr="004B46A0">
        <w:t>дебного процесса. Он спрашивает, имеют ли содержащиеся под стражей доступ к адвок</w:t>
      </w:r>
      <w:r w:rsidRPr="004B46A0">
        <w:t>а</w:t>
      </w:r>
      <w:r w:rsidRPr="004B46A0">
        <w:t>там, с тем чтобы оспорить их содержание под стражей до того, как они предстанут перед судом, и до проведения допроса. Было бы полезным узнать, в какой конкретно момент арестованные подозр</w:t>
      </w:r>
      <w:r w:rsidRPr="004B46A0">
        <w:t>е</w:t>
      </w:r>
      <w:r w:rsidRPr="004B46A0">
        <w:t>ваемые получают право доступа к адвокату. Он также запрашивает данные о числе людей, содержащихся в н</w:t>
      </w:r>
      <w:r w:rsidRPr="004B46A0">
        <w:t>а</w:t>
      </w:r>
      <w:r w:rsidRPr="004B46A0">
        <w:t>стоящее время под стражей до начала судебного процесса, и о средней продо</w:t>
      </w:r>
      <w:r w:rsidRPr="004B46A0">
        <w:t>л</w:t>
      </w:r>
      <w:r w:rsidRPr="004B46A0">
        <w:t xml:space="preserve">жительности такого содержания под стражей. </w:t>
      </w:r>
    </w:p>
    <w:p w:rsidR="004B46A0" w:rsidRPr="004B46A0" w:rsidRDefault="004B46A0" w:rsidP="004B46A0">
      <w:pPr>
        <w:pStyle w:val="SingleTxtGR"/>
      </w:pPr>
      <w:r w:rsidRPr="004B46A0">
        <w:t>36.</w:t>
      </w:r>
      <w:r w:rsidRPr="004B46A0">
        <w:tab/>
        <w:t>Неясно, все ли блоки тюрьмы в Эвине, включая блоки 2А, 209, 240 и 350, управляются Организацией по делам тюрем, охраны и воспитания или же нек</w:t>
      </w:r>
      <w:r w:rsidRPr="004B46A0">
        <w:t>о</w:t>
      </w:r>
      <w:r w:rsidRPr="004B46A0">
        <w:t>торые блоки контролируются Министерством по делам разведки или развед</w:t>
      </w:r>
      <w:r w:rsidRPr="004B46A0">
        <w:t>ы</w:t>
      </w:r>
      <w:r w:rsidRPr="004B46A0">
        <w:t>вательными службами отрядов Стражей исламской революции. Комитету жел</w:t>
      </w:r>
      <w:r w:rsidRPr="004B46A0">
        <w:t>а</w:t>
      </w:r>
      <w:r w:rsidRPr="004B46A0">
        <w:t>тельно получить уточн</w:t>
      </w:r>
      <w:r w:rsidRPr="004B46A0">
        <w:t>е</w:t>
      </w:r>
      <w:r w:rsidRPr="004B46A0">
        <w:t>ние по вопросу о том, все ли места содержания под стражей, используемые Министерством по делам разведки и другими развед</w:t>
      </w:r>
      <w:r w:rsidRPr="004B46A0">
        <w:t>ы</w:t>
      </w:r>
      <w:r w:rsidRPr="004B46A0">
        <w:t>вательными службами для допроса заключенных под стражу, контролируются Организацией по делам тюрем, охраны и воспит</w:t>
      </w:r>
      <w:r w:rsidRPr="004B46A0">
        <w:t>а</w:t>
      </w:r>
      <w:r w:rsidRPr="004B46A0">
        <w:t>ния. Он хотел бы получить уточнение вопроса о том, использует ли Министерство по делам разведки др</w:t>
      </w:r>
      <w:r w:rsidRPr="004B46A0">
        <w:t>у</w:t>
      </w:r>
      <w:r w:rsidRPr="004B46A0">
        <w:t>гие места для проведения своих допросов, будь то временные места или тайные центры содержания под стражей. Хотя государство-участник в пункте 76 </w:t>
      </w:r>
      <w:r w:rsidRPr="004B46A0">
        <w:rPr>
          <w:lang w:val="en-US"/>
        </w:rPr>
        <w:t>b</w:t>
      </w:r>
      <w:r w:rsidRPr="004B46A0">
        <w:t>) своих письменных ответов указало, что тюрьмы при проведении допросов не играют никакой роли, ясно, что допрос содержащихся под стражей является важным элементом системы уголовного правосудия и потенциально п</w:t>
      </w:r>
      <w:r w:rsidRPr="004B46A0">
        <w:t>о</w:t>
      </w:r>
      <w:r w:rsidRPr="004B46A0">
        <w:t>рождает серьезные озабоченности в том, что касается соблюдения прав человека. П</w:t>
      </w:r>
      <w:r w:rsidRPr="004B46A0">
        <w:t>о</w:t>
      </w:r>
      <w:r w:rsidRPr="004B46A0">
        <w:t>этому Комитету необходимо установить, кто контролирует места допроса с</w:t>
      </w:r>
      <w:r w:rsidRPr="004B46A0">
        <w:t>о</w:t>
      </w:r>
      <w:r w:rsidRPr="004B46A0">
        <w:t>держащихся под стражей и какие прин</w:t>
      </w:r>
      <w:r w:rsidRPr="004B46A0">
        <w:t>и</w:t>
      </w:r>
      <w:r w:rsidRPr="004B46A0">
        <w:t>маются меры в целях предупреждения жестокого обращения с содержащимися под стражей в</w:t>
      </w:r>
      <w:r w:rsidR="008F1CD3">
        <w:t>о</w:t>
      </w:r>
      <w:r w:rsidRPr="004B46A0">
        <w:t xml:space="preserve"> время допроса. Он та</w:t>
      </w:r>
      <w:r w:rsidRPr="004B46A0">
        <w:t>к</w:t>
      </w:r>
      <w:r w:rsidRPr="004B46A0">
        <w:t>же очень хотел бы получить информацию о том, наблюдались ли в последние годы случаи, когда какие-либо арестованные лица содержались в режиме стр</w:t>
      </w:r>
      <w:r w:rsidRPr="004B46A0">
        <w:t>о</w:t>
      </w:r>
      <w:r w:rsidRPr="004B46A0">
        <w:t>гой изоляции в местах, о которых не было сообщено их семьям или адвокатам.</w:t>
      </w:r>
    </w:p>
    <w:p w:rsidR="004B46A0" w:rsidRPr="004B46A0" w:rsidRDefault="004B46A0" w:rsidP="004B46A0">
      <w:pPr>
        <w:pStyle w:val="SingleTxtGR"/>
      </w:pPr>
      <w:r w:rsidRPr="004B46A0">
        <w:t>37.</w:t>
      </w:r>
      <w:r w:rsidRPr="004B46A0">
        <w:tab/>
        <w:t>Он спрашивает, наблюдались ли какие-либо случаи, когда судьи не пр</w:t>
      </w:r>
      <w:r w:rsidRPr="004B46A0">
        <w:t>и</w:t>
      </w:r>
      <w:r w:rsidRPr="004B46A0">
        <w:t>нимали признательные показания на том основании, что они были получены путем принуждения к даче показаний. Проводились ли расследования утве</w:t>
      </w:r>
      <w:r w:rsidRPr="004B46A0">
        <w:t>р</w:t>
      </w:r>
      <w:r w:rsidRPr="004B46A0">
        <w:t>ждения обвиняемых о том, что к даче признательных показаний они были пр</w:t>
      </w:r>
      <w:r w:rsidRPr="004B46A0">
        <w:t>и</w:t>
      </w:r>
      <w:r w:rsidRPr="004B46A0">
        <w:t xml:space="preserve">нуждены путем избиений, лишения сна, пыток экстремальными температурами и применения других форм жестокого обращения, или же судьи игнорировали эти утверждения? </w:t>
      </w:r>
    </w:p>
    <w:p w:rsidR="004B46A0" w:rsidRPr="004B46A0" w:rsidRDefault="004B46A0" w:rsidP="004B46A0">
      <w:pPr>
        <w:pStyle w:val="SingleTxtGR"/>
      </w:pPr>
      <w:r w:rsidRPr="004B46A0">
        <w:t>38.</w:t>
      </w:r>
      <w:r w:rsidRPr="004B46A0">
        <w:tab/>
        <w:t xml:space="preserve">Поскольку в письменном ответе на </w:t>
      </w:r>
      <w:r w:rsidR="008F1CD3">
        <w:t>16</w:t>
      </w:r>
      <w:r w:rsidRPr="004B46A0">
        <w:t xml:space="preserve"> вопрос, как представляется, не имеются в виду центры содержания под стражей, в которых заключенные под стражу подвергаются допросу, он хотел бы узнать, распространяются ли уп</w:t>
      </w:r>
      <w:r w:rsidRPr="004B46A0">
        <w:t>о</w:t>
      </w:r>
      <w:r w:rsidRPr="004B46A0">
        <w:t>мянутые в ответе обязательства прокурора по проведению инспекций на эти центры. В силу того, что контроль со стороны ведомства прокурора нельзя сч</w:t>
      </w:r>
      <w:r w:rsidRPr="004B46A0">
        <w:t>и</w:t>
      </w:r>
      <w:r w:rsidRPr="004B46A0">
        <w:t>тать независимым, поскольку прокуроры заинтересованы в получении призн</w:t>
      </w:r>
      <w:r w:rsidRPr="004B46A0">
        <w:t>а</w:t>
      </w:r>
      <w:r w:rsidRPr="004B46A0">
        <w:t>ний, он спрашивает, планирует ли государство-участник ввести более незав</w:t>
      </w:r>
      <w:r w:rsidRPr="004B46A0">
        <w:t>и</w:t>
      </w:r>
      <w:r w:rsidRPr="004B46A0">
        <w:t>симый способ контроля за тюрьмами и другими местами содержания под стр</w:t>
      </w:r>
      <w:r w:rsidRPr="004B46A0">
        <w:t>а</w:t>
      </w:r>
      <w:r w:rsidRPr="004B46A0">
        <w:t>жей.</w:t>
      </w:r>
    </w:p>
    <w:p w:rsidR="004B46A0" w:rsidRPr="004B46A0" w:rsidRDefault="004B46A0" w:rsidP="00885B16">
      <w:pPr>
        <w:pStyle w:val="SingleTxtGR"/>
        <w:keepLines/>
      </w:pPr>
      <w:r w:rsidRPr="004B46A0">
        <w:t>39.</w:t>
      </w:r>
      <w:r w:rsidRPr="004B46A0">
        <w:tab/>
        <w:t>Комитет получил сообщения о том, что часто практикуется содержание под стражей в одиночных камерах, возможно в качестве негуманного метода принуждения к даче показаний. Он задает в</w:t>
      </w:r>
      <w:r w:rsidRPr="004B46A0">
        <w:t>о</w:t>
      </w:r>
      <w:r w:rsidRPr="004B46A0">
        <w:t>прос о том, может ли государство-участник предоставить статистические данные в поддержку содержащегося в его ответе на шестнадцатый вопрос утверждения о том, что содержание под стр</w:t>
      </w:r>
      <w:r w:rsidRPr="004B46A0">
        <w:t>а</w:t>
      </w:r>
      <w:r w:rsidRPr="004B46A0">
        <w:t>жей в одиночных камерах применяется редко. Если оно не может этого сделать, то намеревается ли государство-участник ввести и обеспечить собл</w:t>
      </w:r>
      <w:r w:rsidRPr="004B46A0">
        <w:t>ю</w:t>
      </w:r>
      <w:r w:rsidRPr="004B46A0">
        <w:t>дение строгих юридических ограничений относительно использования и пр</w:t>
      </w:r>
      <w:r w:rsidRPr="004B46A0">
        <w:t>о</w:t>
      </w:r>
      <w:r w:rsidRPr="004B46A0">
        <w:t>должительности содержания под стражей в одиночных камерах с целью обе</w:t>
      </w:r>
      <w:r w:rsidRPr="004B46A0">
        <w:t>с</w:t>
      </w:r>
      <w:r w:rsidRPr="004B46A0">
        <w:t>печить, чтобы эта практика примен</w:t>
      </w:r>
      <w:r w:rsidRPr="004B46A0">
        <w:t>я</w:t>
      </w:r>
      <w:r w:rsidRPr="004B46A0">
        <w:t>лась редко и лишь в тех случаях, когда это строго необх</w:t>
      </w:r>
      <w:r w:rsidRPr="004B46A0">
        <w:t>о</w:t>
      </w:r>
      <w:r w:rsidRPr="004B46A0">
        <w:t>димо?</w:t>
      </w:r>
    </w:p>
    <w:p w:rsidR="004B46A0" w:rsidRPr="004B46A0" w:rsidRDefault="004B46A0" w:rsidP="004B46A0">
      <w:pPr>
        <w:pStyle w:val="SingleTxtGR"/>
      </w:pPr>
      <w:r w:rsidRPr="004B46A0">
        <w:t>40.</w:t>
      </w:r>
      <w:r w:rsidRPr="004B46A0">
        <w:tab/>
        <w:t>Некорректное заявление в пункте 76 </w:t>
      </w:r>
      <w:r w:rsidRPr="004B46A0">
        <w:rPr>
          <w:lang w:val="en-US"/>
        </w:rPr>
        <w:t>f</w:t>
      </w:r>
      <w:r w:rsidRPr="004B46A0">
        <w:t>) письменных ответов о том, что з</w:t>
      </w:r>
      <w:r w:rsidRPr="004B46A0">
        <w:t>а</w:t>
      </w:r>
      <w:r w:rsidRPr="004B46A0">
        <w:t>ключенные имеют более легкий доступ к медицинскому обслуживанию, н</w:t>
      </w:r>
      <w:r w:rsidRPr="004B46A0">
        <w:t>е</w:t>
      </w:r>
      <w:r w:rsidRPr="004B46A0">
        <w:t>жели лица, находящиеся за пределами тюрем, несовместимо с пониманием о</w:t>
      </w:r>
      <w:r w:rsidRPr="004B46A0">
        <w:t>с</w:t>
      </w:r>
      <w:r w:rsidRPr="004B46A0">
        <w:t>новных правозащитных принципов и той обязанностью, которую имеет прав</w:t>
      </w:r>
      <w:r w:rsidRPr="004B46A0">
        <w:t>и</w:t>
      </w:r>
      <w:r w:rsidRPr="004B46A0">
        <w:t>тельство перед лицами, лишенными им свободы. Он задает вопрос о том, пр</w:t>
      </w:r>
      <w:r w:rsidRPr="004B46A0">
        <w:t>о</w:t>
      </w:r>
      <w:r w:rsidRPr="004B46A0">
        <w:t>водилась ли подготовка работников пенитенциарных и иных учреждений по правозащитным принципам, касающимся условий содержания под стражей, например Мин</w:t>
      </w:r>
      <w:r w:rsidRPr="004B46A0">
        <w:t>и</w:t>
      </w:r>
      <w:r w:rsidRPr="004B46A0">
        <w:t>мальным стандартным правилам обращения с заключенными. Условия соде</w:t>
      </w:r>
      <w:r w:rsidRPr="004B46A0">
        <w:t>р</w:t>
      </w:r>
      <w:r w:rsidRPr="004B46A0">
        <w:t>жания во многих тюрьмах государства-участника вызывают озабоченность с</w:t>
      </w:r>
      <w:r w:rsidRPr="004B46A0">
        <w:t>о</w:t>
      </w:r>
      <w:r w:rsidRPr="004B46A0">
        <w:t>гласно статье 10 Пакта, даже если это является результатом недостаточного ф</w:t>
      </w:r>
      <w:r w:rsidRPr="004B46A0">
        <w:t>и</w:t>
      </w:r>
      <w:r w:rsidRPr="004B46A0">
        <w:t>нансирования и непреднамеренной небрежности. В то же время, сознательное помещение некоторых заключенных в нездоровые условия содержания и иску</w:t>
      </w:r>
      <w:r w:rsidRPr="004B46A0">
        <w:t>с</w:t>
      </w:r>
      <w:r w:rsidRPr="004B46A0">
        <w:t>ственное ограничение их доступа к медицинскому обслуживанию в качестве одной из форм наказания или принуждения к даче признательных показаний представляют собой пытку или жестокое, бесчеловечное или унижающее до</w:t>
      </w:r>
      <w:r w:rsidRPr="004B46A0">
        <w:t>с</w:t>
      </w:r>
      <w:r w:rsidRPr="004B46A0">
        <w:t>тоинство обращение, которое запрещено согласно статье 7 Пакта. Были получ</w:t>
      </w:r>
      <w:r w:rsidRPr="004B46A0">
        <w:t>е</w:t>
      </w:r>
      <w:r w:rsidRPr="004B46A0">
        <w:t>ны утверждения о том, что в некоторых блоках тюрьмы в Эвине некоторые из этих условий были созданы сознательно. Он предлагает делег</w:t>
      </w:r>
      <w:r w:rsidRPr="004B46A0">
        <w:t>а</w:t>
      </w:r>
      <w:r w:rsidRPr="004B46A0">
        <w:t>ции взять на себя обязательство о немедленном рассмотрении этих проблем, с тем чтобы снять такие озаб</w:t>
      </w:r>
      <w:r w:rsidRPr="004B46A0">
        <w:t>о</w:t>
      </w:r>
      <w:r w:rsidRPr="004B46A0">
        <w:t>ченности.</w:t>
      </w:r>
    </w:p>
    <w:p w:rsidR="004B46A0" w:rsidRPr="004B46A0" w:rsidRDefault="004B46A0" w:rsidP="004B46A0">
      <w:pPr>
        <w:pStyle w:val="SingleTxtGR"/>
      </w:pPr>
      <w:r w:rsidRPr="004B46A0">
        <w:t>41.</w:t>
      </w:r>
      <w:r w:rsidRPr="004B46A0">
        <w:tab/>
      </w:r>
      <w:r w:rsidRPr="004B46A0">
        <w:rPr>
          <w:b/>
        </w:rPr>
        <w:t>Г-н Сальвиоли</w:t>
      </w:r>
      <w:r w:rsidRPr="004B46A0">
        <w:t xml:space="preserve"> выражает свое разочарование в связи с тем, что озаб</w:t>
      </w:r>
      <w:r w:rsidRPr="004B46A0">
        <w:t>о</w:t>
      </w:r>
      <w:r w:rsidRPr="004B46A0">
        <w:t>ченности Комитета, выраженные в его заключительных з</w:t>
      </w:r>
      <w:r w:rsidRPr="004B46A0">
        <w:t>а</w:t>
      </w:r>
      <w:r w:rsidRPr="004B46A0">
        <w:t>мечаниях 1993 года, в целом были оставлены без внимания. В письменном ответе на первый вопрос перечня вопросов приводится единственный пример ссылки на Пакт во вну</w:t>
      </w:r>
      <w:r w:rsidRPr="004B46A0">
        <w:t>т</w:t>
      </w:r>
      <w:r w:rsidRPr="004B46A0">
        <w:t>ренних судах за предшествующие 18 лет. Поэтому он хотел бы знать, была ли проведена подготовка судей по конкретным положениям Пакта и, если да, то было ли государство-участник удовлетворено результатами этой подготовки. Хотя делегация подтвердила, что женщины в н</w:t>
      </w:r>
      <w:r w:rsidRPr="004B46A0">
        <w:t>а</w:t>
      </w:r>
      <w:r w:rsidRPr="004B46A0">
        <w:t>стоящее время могут стать судьями, поступили сообщения о том, что в случае принятия проекта соотве</w:t>
      </w:r>
      <w:r w:rsidRPr="004B46A0">
        <w:t>т</w:t>
      </w:r>
      <w:r w:rsidRPr="004B46A0">
        <w:t>ствующих законодательных положений женщинам будет разрешено выступать в качестве судей только в семейных судах. Поскольку председателями в этих с</w:t>
      </w:r>
      <w:r w:rsidRPr="004B46A0">
        <w:t>у</w:t>
      </w:r>
      <w:r w:rsidRPr="004B46A0">
        <w:t>дах, как представляется, по-прежнему являются мужчины, он не видит, как пр</w:t>
      </w:r>
      <w:r w:rsidRPr="004B46A0">
        <w:t>а</w:t>
      </w:r>
      <w:r w:rsidRPr="004B46A0">
        <w:t>во женщин выступать в качестве судей в семейных судах совместимо с закре</w:t>
      </w:r>
      <w:r w:rsidRPr="004B46A0">
        <w:t>п</w:t>
      </w:r>
      <w:r w:rsidRPr="004B46A0">
        <w:t>ленным в Уставе принципом недискримин</w:t>
      </w:r>
      <w:r w:rsidRPr="004B46A0">
        <w:t>а</w:t>
      </w:r>
      <w:r w:rsidRPr="004B46A0">
        <w:t>ции. Он также задает вопрос о том, почему гомосексуальные действия подпадают под уголовное преследование, поскольку это я</w:t>
      </w:r>
      <w:r w:rsidRPr="004B46A0">
        <w:t>в</w:t>
      </w:r>
      <w:r w:rsidRPr="004B46A0">
        <w:t>ляется нарушением Пакта.</w:t>
      </w:r>
    </w:p>
    <w:p w:rsidR="004B46A0" w:rsidRPr="004B46A0" w:rsidRDefault="004B46A0" w:rsidP="004B46A0">
      <w:pPr>
        <w:pStyle w:val="SingleTxtGR"/>
      </w:pPr>
      <w:r w:rsidRPr="004B46A0">
        <w:t>42.</w:t>
      </w:r>
      <w:r w:rsidRPr="004B46A0">
        <w:tab/>
      </w:r>
      <w:r w:rsidRPr="004B46A0">
        <w:rPr>
          <w:b/>
        </w:rPr>
        <w:t>Г-н Телин</w:t>
      </w:r>
      <w:r w:rsidRPr="004B46A0">
        <w:t xml:space="preserve"> говорит, что после прочтения Конституции гос</w:t>
      </w:r>
      <w:r w:rsidRPr="004B46A0">
        <w:t>у</w:t>
      </w:r>
      <w:r w:rsidRPr="004B46A0">
        <w:t>дарства-участника он сделал вывод о том, что его правовая система представляет собой теократию, о чем свидетельс</w:t>
      </w:r>
      <w:r w:rsidR="008F1CD3">
        <w:t>т</w:t>
      </w:r>
      <w:r w:rsidRPr="004B46A0">
        <w:t>вуют многочисленные ссылки на священные принципы и религиозные догмы ислама. Поэтому он хотел бы знать, могут ли эти ссылки помешать судьям выполнять свои функции в соответствии с Пактом. Широко признано, что в Советском Союзе во времена Сталина и в Третьем ре</w:t>
      </w:r>
      <w:r w:rsidRPr="004B46A0">
        <w:t>й</w:t>
      </w:r>
      <w:r w:rsidRPr="004B46A0">
        <w:t>хе во времена Гитлера деятельность судов и толкование законов были подчин</w:t>
      </w:r>
      <w:r w:rsidRPr="004B46A0">
        <w:t>е</w:t>
      </w:r>
      <w:r w:rsidRPr="004B46A0">
        <w:t>ны господствующей идеологии коммунизма и нацизма. Он не склонен думать, что ссылки на религиозные принципы в Конституции государства-участника могли бы породить ту же взаимосвязь между высокими догматами и униве</w:t>
      </w:r>
      <w:r w:rsidRPr="004B46A0">
        <w:t>р</w:t>
      </w:r>
      <w:r w:rsidRPr="004B46A0">
        <w:t>сальностью Пакта в Исламской Республике Иран. Например, в статье 61 Ко</w:t>
      </w:r>
      <w:r w:rsidRPr="004B46A0">
        <w:t>н</w:t>
      </w:r>
      <w:r w:rsidRPr="004B46A0">
        <w:t>ституции делается ссылка на критерии ислам</w:t>
      </w:r>
      <w:r w:rsidR="008F1CD3">
        <w:t>а и божественные предписания. В </w:t>
      </w:r>
      <w:r w:rsidRPr="004B46A0">
        <w:t>пункте 30 периодического доклада описывается общая политика судебной системы, включая введение исламских критериев для всех судебных дел в ц</w:t>
      </w:r>
      <w:r w:rsidRPr="004B46A0">
        <w:t>е</w:t>
      </w:r>
      <w:r w:rsidRPr="004B46A0">
        <w:t>лях обеспечения надлежащего функционирования этой системы. Статья 167 Конституции включает ссылку, из которой, как представляется, следует, что с</w:t>
      </w:r>
      <w:r w:rsidRPr="004B46A0">
        <w:t>у</w:t>
      </w:r>
      <w:r w:rsidRPr="004B46A0">
        <w:t>дьи свободны в толковании закона, по крайней мере когда он не дает четких у</w:t>
      </w:r>
      <w:r w:rsidRPr="004B46A0">
        <w:t>с</w:t>
      </w:r>
      <w:r w:rsidRPr="004B46A0">
        <w:t>тановок, с помощью исламских источников и аутентичных фетв. Он приветс</w:t>
      </w:r>
      <w:r w:rsidRPr="004B46A0">
        <w:t>т</w:t>
      </w:r>
      <w:r w:rsidRPr="004B46A0">
        <w:t>вовал бы получение от делегации замечаний о любом вмешательстве путем ссылки на божественные предписания при толковании судьями положений Па</w:t>
      </w:r>
      <w:r w:rsidRPr="004B46A0">
        <w:t>к</w:t>
      </w:r>
      <w:r w:rsidRPr="004B46A0">
        <w:t>та и, тем самым, обязательства государства-участника выполнять свои обяза</w:t>
      </w:r>
      <w:r w:rsidRPr="004B46A0">
        <w:t>н</w:t>
      </w:r>
      <w:r w:rsidRPr="004B46A0">
        <w:t>ности согласно ст</w:t>
      </w:r>
      <w:r w:rsidRPr="004B46A0">
        <w:t>а</w:t>
      </w:r>
      <w:r w:rsidRPr="004B46A0">
        <w:t>тье 2 Пакта.</w:t>
      </w:r>
    </w:p>
    <w:p w:rsidR="004B46A0" w:rsidRPr="004B46A0" w:rsidRDefault="004B46A0" w:rsidP="004B46A0">
      <w:pPr>
        <w:pStyle w:val="SingleTxtGR"/>
      </w:pPr>
      <w:r w:rsidRPr="004B46A0">
        <w:t>43.</w:t>
      </w:r>
      <w:r w:rsidRPr="004B46A0">
        <w:tab/>
      </w:r>
      <w:r w:rsidRPr="004B46A0">
        <w:rPr>
          <w:b/>
        </w:rPr>
        <w:t>Г-н Амор</w:t>
      </w:r>
      <w:r w:rsidRPr="004B46A0">
        <w:t xml:space="preserve"> запрашивает данные о том, сколько раз ссылались на Пакт во внутренних судах, и о том, как судьи относятся к Пакту. Он хотел бы получить уточнение в отношении того, какое место занимают положения Пакта в иера</w:t>
      </w:r>
      <w:r w:rsidRPr="004B46A0">
        <w:t>р</w:t>
      </w:r>
      <w:r w:rsidRPr="004B46A0">
        <w:t xml:space="preserve">хии норм. Согласно Венской конвенции о праве договоров государства </w:t>
      </w:r>
      <w:r w:rsidR="00885B16" w:rsidRPr="00885B16">
        <w:t>−</w:t>
      </w:r>
      <w:r w:rsidRPr="004B46A0">
        <w:t xml:space="preserve"> учас</w:t>
      </w:r>
      <w:r w:rsidRPr="004B46A0">
        <w:t>т</w:t>
      </w:r>
      <w:r w:rsidRPr="004B46A0">
        <w:t>ники международного договора не могут ссылаться на положения своего вну</w:t>
      </w:r>
      <w:r w:rsidRPr="004B46A0">
        <w:t>т</w:t>
      </w:r>
      <w:r w:rsidRPr="004B46A0">
        <w:t>реннего зак</w:t>
      </w:r>
      <w:r w:rsidRPr="004B46A0">
        <w:t>о</w:t>
      </w:r>
      <w:r w:rsidRPr="004B46A0">
        <w:t>нодательства в оправдание невыполнения договора.</w:t>
      </w:r>
    </w:p>
    <w:p w:rsidR="004B46A0" w:rsidRPr="004B46A0" w:rsidRDefault="004B46A0" w:rsidP="004B46A0">
      <w:pPr>
        <w:pStyle w:val="SingleTxtGR"/>
      </w:pPr>
      <w:r w:rsidRPr="004B46A0">
        <w:t>44.</w:t>
      </w:r>
      <w:r w:rsidRPr="004B46A0">
        <w:tab/>
        <w:t>Он по-прежнему обеспокоен дискриминацией в отношении женщин, к</w:t>
      </w:r>
      <w:r w:rsidRPr="004B46A0">
        <w:t>о</w:t>
      </w:r>
      <w:r w:rsidRPr="004B46A0">
        <w:t>торая проводится в государстве-участнике. Как представляется, жены должны соблюдать ряд правил, притом что их мужья не несут соответствующих взаи</w:t>
      </w:r>
      <w:r w:rsidRPr="004B46A0">
        <w:t>м</w:t>
      </w:r>
      <w:r w:rsidRPr="004B46A0">
        <w:t>ных обязательств. Могут ли жены тр</w:t>
      </w:r>
      <w:r w:rsidRPr="004B46A0">
        <w:t>е</w:t>
      </w:r>
      <w:r w:rsidRPr="004B46A0">
        <w:t>бовать в своем брачном контракте, чтобы им была предоставлена свобода передвижений и чтобы их мужья не имели др</w:t>
      </w:r>
      <w:r w:rsidRPr="004B46A0">
        <w:t>у</w:t>
      </w:r>
      <w:r w:rsidRPr="004B46A0">
        <w:t>гих жен? Он задает вопрос о том, запрещена ли полигамия во всех обстоятел</w:t>
      </w:r>
      <w:r w:rsidRPr="004B46A0">
        <w:t>ь</w:t>
      </w:r>
      <w:r w:rsidRPr="004B46A0">
        <w:t>ствах и наказывается ли она на практике. Он просит предоставить статистич</w:t>
      </w:r>
      <w:r w:rsidRPr="004B46A0">
        <w:t>е</w:t>
      </w:r>
      <w:r w:rsidRPr="004B46A0">
        <w:t>ские данные о полигамии в государстве-участнике. Было бы полезным узнать, регламентировано ли законом упомянутое в пун</w:t>
      </w:r>
      <w:r w:rsidRPr="004B46A0">
        <w:t>к</w:t>
      </w:r>
      <w:r w:rsidRPr="004B46A0">
        <w:t>те 697 периодического доклада положение брачного контракта, согласно которому половина имущества пр</w:t>
      </w:r>
      <w:r w:rsidRPr="004B46A0">
        <w:t>и</w:t>
      </w:r>
      <w:r w:rsidRPr="004B46A0">
        <w:t>надлежит жене.</w:t>
      </w:r>
    </w:p>
    <w:p w:rsidR="004B46A0" w:rsidRPr="004B46A0" w:rsidRDefault="004B46A0" w:rsidP="004B46A0">
      <w:pPr>
        <w:pStyle w:val="SingleTxtGR"/>
      </w:pPr>
      <w:r w:rsidRPr="004B46A0">
        <w:t>45.</w:t>
      </w:r>
      <w:r w:rsidRPr="004B46A0">
        <w:tab/>
      </w:r>
      <w:r w:rsidRPr="004B46A0">
        <w:rPr>
          <w:b/>
        </w:rPr>
        <w:t>Г-жа Ватервал</w:t>
      </w:r>
      <w:r w:rsidRPr="004B46A0">
        <w:t xml:space="preserve"> интересуется, имеется ли в законодательстве государства-участника определение "тяжких и наиболее серьезных преступлений", упом</w:t>
      </w:r>
      <w:r w:rsidRPr="004B46A0">
        <w:t>и</w:t>
      </w:r>
      <w:r w:rsidRPr="004B46A0">
        <w:t>наемых в пункте 43 письменных ответов, и существует ли список таких прест</w:t>
      </w:r>
      <w:r w:rsidRPr="004B46A0">
        <w:t>у</w:t>
      </w:r>
      <w:r w:rsidRPr="004B46A0">
        <w:t>плений. Она также хотела бы знать, имелись ли случаи, когда суды проводили свои слушания в отсутствие адвоката защиты, в результате чего вынесенный приговор объявлялся ничтожным и не имеющим юридической силы, как это г</w:t>
      </w:r>
      <w:r w:rsidRPr="004B46A0">
        <w:t>о</w:t>
      </w:r>
      <w:r w:rsidRPr="004B46A0">
        <w:t>ворится в пункте 46 ответов.</w:t>
      </w:r>
    </w:p>
    <w:p w:rsidR="004B46A0" w:rsidRPr="004B46A0" w:rsidRDefault="00885B16" w:rsidP="00885B16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="004B46A0" w:rsidRPr="004B46A0">
        <w:t>Заседание прерывается в 17 ч. 05 м. и возобновляется в 17 ч. 15 м.</w:t>
      </w:r>
    </w:p>
    <w:p w:rsidR="004B46A0" w:rsidRPr="004B46A0" w:rsidRDefault="004B46A0" w:rsidP="004B46A0">
      <w:pPr>
        <w:pStyle w:val="SingleTxtGR"/>
      </w:pPr>
      <w:r w:rsidRPr="004B46A0">
        <w:t>46.</w:t>
      </w:r>
      <w:r w:rsidRPr="004B46A0">
        <w:tab/>
      </w:r>
      <w:r w:rsidRPr="004B46A0">
        <w:rPr>
          <w:b/>
        </w:rPr>
        <w:t>Г-жа Хамед</w:t>
      </w:r>
      <w:r w:rsidRPr="004B46A0">
        <w:t xml:space="preserve"> (Исламская Республика Иран) говорит, что в с</w:t>
      </w:r>
      <w:r w:rsidRPr="004B46A0">
        <w:t>о</w:t>
      </w:r>
      <w:r w:rsidRPr="004B46A0">
        <w:t>ответствии со статьей 9 Гражданского кодекса Пакт имеет тот же статус, что и внутреннее з</w:t>
      </w:r>
      <w:r w:rsidRPr="004B46A0">
        <w:t>а</w:t>
      </w:r>
      <w:r w:rsidRPr="004B46A0">
        <w:t>конодательство. Судьи не могут нарушать положения Пакта, и была проделана работа по приведению некоторых аспектов внутреннего законодательства в с</w:t>
      </w:r>
      <w:r w:rsidRPr="004B46A0">
        <w:t>о</w:t>
      </w:r>
      <w:r w:rsidRPr="004B46A0">
        <w:t>ответствие с Пактом. Ощущается необходимость проведения дополнительной подготовки судей и адвокатов по вопросам Пакта, с тем чтобы они ссылались на него во внутренних судах. Система сбора данных не позволяет ос</w:t>
      </w:r>
      <w:r w:rsidRPr="004B46A0">
        <w:t>у</w:t>
      </w:r>
      <w:r w:rsidRPr="004B46A0">
        <w:t>ществлять централизированный сбор данных о постановлениях с</w:t>
      </w:r>
      <w:r w:rsidRPr="004B46A0">
        <w:t>у</w:t>
      </w:r>
      <w:r w:rsidRPr="004B46A0">
        <w:t>дов, что затрудняет сбор данных по просьбе Комитета. Как это указано в письменном ответе на первый вопрос перечня вопросов, все жертвы дела о заражении крови получат фина</w:t>
      </w:r>
      <w:r w:rsidRPr="004B46A0">
        <w:t>н</w:t>
      </w:r>
      <w:r w:rsidRPr="004B46A0">
        <w:t>совую компенсацию, независимо от их пола и национальности.</w:t>
      </w:r>
    </w:p>
    <w:p w:rsidR="004B46A0" w:rsidRPr="004B46A0" w:rsidRDefault="004B46A0" w:rsidP="004B46A0">
      <w:pPr>
        <w:pStyle w:val="SingleTxtGR"/>
      </w:pPr>
      <w:r w:rsidRPr="004B46A0">
        <w:t>47.</w:t>
      </w:r>
      <w:r w:rsidRPr="004B46A0">
        <w:tab/>
      </w:r>
      <w:r w:rsidRPr="004B46A0">
        <w:rPr>
          <w:b/>
        </w:rPr>
        <w:t>Г-н Асгари</w:t>
      </w:r>
      <w:r w:rsidRPr="004B46A0">
        <w:t xml:space="preserve"> (Исламская Республика Иран) добавляет, что, хотя в Конст</w:t>
      </w:r>
      <w:r w:rsidRPr="004B46A0">
        <w:t>и</w:t>
      </w:r>
      <w:r w:rsidRPr="004B46A0">
        <w:t>туции не оговаривается статус международных догов</w:t>
      </w:r>
      <w:r w:rsidRPr="004B46A0">
        <w:t>о</w:t>
      </w:r>
      <w:r w:rsidRPr="004B46A0">
        <w:t>ров по отношению к внутреннему законодательству, большинство юр</w:t>
      </w:r>
      <w:r w:rsidRPr="004B46A0">
        <w:t>и</w:t>
      </w:r>
      <w:r w:rsidRPr="004B46A0">
        <w:t>стов придерживается мнения о том, что международные договоры имеют преимущественную силу по сра</w:t>
      </w:r>
      <w:r w:rsidRPr="004B46A0">
        <w:t>в</w:t>
      </w:r>
      <w:r w:rsidRPr="004B46A0">
        <w:t>нению с внутренним законодательством. В целом судьи недостаточно осведо</w:t>
      </w:r>
      <w:r w:rsidRPr="004B46A0">
        <w:t>м</w:t>
      </w:r>
      <w:r w:rsidRPr="004B46A0">
        <w:t>лены о положениях Пакта и других международных договорах о правах челов</w:t>
      </w:r>
      <w:r w:rsidRPr="004B46A0">
        <w:t>е</w:t>
      </w:r>
      <w:r w:rsidRPr="004B46A0">
        <w:t xml:space="preserve">ка. </w:t>
      </w:r>
    </w:p>
    <w:p w:rsidR="004B46A0" w:rsidRPr="004B46A0" w:rsidRDefault="004B46A0" w:rsidP="004B46A0">
      <w:pPr>
        <w:pStyle w:val="SingleTxtGR"/>
      </w:pPr>
      <w:r w:rsidRPr="004B46A0">
        <w:t>48.</w:t>
      </w:r>
      <w:r w:rsidRPr="004B46A0">
        <w:tab/>
      </w:r>
      <w:r w:rsidRPr="004B46A0">
        <w:rPr>
          <w:b/>
        </w:rPr>
        <w:t>Г-жа Эбрахими</w:t>
      </w:r>
      <w:r w:rsidRPr="004B46A0">
        <w:t xml:space="preserve"> (Исламская Республика Иран) говорит, что был принят ряд мер для поощрения занятия женщинами высокоп</w:t>
      </w:r>
      <w:r w:rsidRPr="004B46A0">
        <w:t>о</w:t>
      </w:r>
      <w:r w:rsidRPr="004B46A0">
        <w:t>ставленных должностей и совершенствования их управленческих навыков, включая вынесение прав</w:t>
      </w:r>
      <w:r w:rsidRPr="004B46A0">
        <w:t>и</w:t>
      </w:r>
      <w:r w:rsidRPr="004B46A0">
        <w:t>тельственного распоряжения по этому вопросу. Ряд правительственных в</w:t>
      </w:r>
      <w:r w:rsidRPr="004B46A0">
        <w:t>е</w:t>
      </w:r>
      <w:r w:rsidRPr="004B46A0">
        <w:t>домств, включая отдел, консультирующий Президента по вопросам положения женщин и семьи, укомплектованы исключительно женщинами. Ряд женщин з</w:t>
      </w:r>
      <w:r w:rsidRPr="004B46A0">
        <w:t>а</w:t>
      </w:r>
      <w:r w:rsidRPr="004B46A0">
        <w:t>нимают высокие посты, в частности являются советниками Президента и чл</w:t>
      </w:r>
      <w:r w:rsidRPr="004B46A0">
        <w:t>е</w:t>
      </w:r>
      <w:r w:rsidRPr="004B46A0">
        <w:t>нами парламента. В настоящее время четыре женщины являются членами пр</w:t>
      </w:r>
      <w:r w:rsidRPr="004B46A0">
        <w:t>а</w:t>
      </w:r>
      <w:r w:rsidRPr="004B46A0">
        <w:t>вительства и гораздо больше женщин, чем ранее, в</w:t>
      </w:r>
      <w:r w:rsidRPr="004B46A0">
        <w:t>ы</w:t>
      </w:r>
      <w:r w:rsidRPr="004B46A0">
        <w:t>ставляют свои кандидатуры на местных и общенациональных выб</w:t>
      </w:r>
      <w:r w:rsidRPr="004B46A0">
        <w:t>о</w:t>
      </w:r>
      <w:r w:rsidRPr="004B46A0">
        <w:t>рах.</w:t>
      </w:r>
    </w:p>
    <w:p w:rsidR="004B46A0" w:rsidRPr="004B46A0" w:rsidRDefault="004B46A0" w:rsidP="004B46A0">
      <w:pPr>
        <w:pStyle w:val="SingleTxtGR"/>
      </w:pPr>
      <w:r w:rsidRPr="004B46A0">
        <w:t>49.</w:t>
      </w:r>
      <w:r w:rsidRPr="004B46A0">
        <w:tab/>
      </w:r>
      <w:r w:rsidRPr="004B46A0">
        <w:rPr>
          <w:b/>
        </w:rPr>
        <w:t>Г-жа Элахейян</w:t>
      </w:r>
      <w:r w:rsidRPr="004B46A0">
        <w:t xml:space="preserve"> (Исламская Республика Иран) говорит, что общий подход в ее стране состоит в том, что женщины занимают особое положение в общес</w:t>
      </w:r>
      <w:r w:rsidRPr="004B46A0">
        <w:t>т</w:t>
      </w:r>
      <w:r w:rsidRPr="004B46A0">
        <w:t>ве в качестве жен, матерей и глав домашних хозяйств. Положение женщин с</w:t>
      </w:r>
      <w:r w:rsidRPr="004B46A0">
        <w:t>у</w:t>
      </w:r>
      <w:r w:rsidRPr="004B46A0">
        <w:t>щественно улучшилось с 1993 года. Большое внимание было уделено образов</w:t>
      </w:r>
      <w:r w:rsidRPr="004B46A0">
        <w:t>а</w:t>
      </w:r>
      <w:r w:rsidRPr="004B46A0">
        <w:t>нию, причем многие кампании по распространению грамотности были орие</w:t>
      </w:r>
      <w:r w:rsidRPr="004B46A0">
        <w:t>н</w:t>
      </w:r>
      <w:r w:rsidRPr="004B46A0">
        <w:t>тирован</w:t>
      </w:r>
      <w:r w:rsidR="008F1CD3">
        <w:t>ы на девочек и женщин. Около 60%</w:t>
      </w:r>
      <w:r w:rsidRPr="004B46A0">
        <w:t xml:space="preserve"> мест в высших учебных заведениях в настоящее время заполнены женщинами, и около 70</w:t>
      </w:r>
      <w:r w:rsidR="008F1CD3">
        <w:t>%</w:t>
      </w:r>
      <w:r w:rsidRPr="004B46A0">
        <w:t xml:space="preserve"> медицинских научных работников являются женщин</w:t>
      </w:r>
      <w:r w:rsidRPr="004B46A0">
        <w:t>а</w:t>
      </w:r>
      <w:r w:rsidRPr="004B46A0">
        <w:t>ми.</w:t>
      </w:r>
    </w:p>
    <w:p w:rsidR="004B46A0" w:rsidRPr="004B46A0" w:rsidRDefault="004B46A0" w:rsidP="004B46A0">
      <w:pPr>
        <w:pStyle w:val="SingleTxtGR"/>
      </w:pPr>
      <w:r w:rsidRPr="004B46A0">
        <w:t>50.</w:t>
      </w:r>
      <w:r w:rsidRPr="004B46A0">
        <w:tab/>
        <w:t>Женщины также играют значительно более заметную роль в обществе</w:t>
      </w:r>
      <w:r w:rsidRPr="004B46A0">
        <w:t>н</w:t>
      </w:r>
      <w:r w:rsidRPr="004B46A0">
        <w:t>ных делах, например в деятельности НПО. Многие же</w:t>
      </w:r>
      <w:r w:rsidRPr="004B46A0">
        <w:t>н</w:t>
      </w:r>
      <w:r w:rsidRPr="004B46A0">
        <w:t>щины работают на НПО, которые содействуют осуществлению прав женщин и детей, и к их ко</w:t>
      </w:r>
      <w:r w:rsidRPr="004B46A0">
        <w:t>н</w:t>
      </w:r>
      <w:r w:rsidRPr="004B46A0">
        <w:t>сультативным услугам обращаются самые высокие руководящие органы стр</w:t>
      </w:r>
      <w:r w:rsidRPr="004B46A0">
        <w:t>а</w:t>
      </w:r>
      <w:r w:rsidRPr="004B46A0">
        <w:t>ны. Женщины добиваются все больших успехов в спорте на национальном и международном уровнях. Работают женские колледжи, медицинские центры и специал</w:t>
      </w:r>
      <w:r w:rsidRPr="004B46A0">
        <w:t>ь</w:t>
      </w:r>
      <w:r w:rsidRPr="004B46A0">
        <w:t>ные больницы.</w:t>
      </w:r>
    </w:p>
    <w:p w:rsidR="004B46A0" w:rsidRPr="004B46A0" w:rsidRDefault="004B46A0" w:rsidP="004B46A0">
      <w:pPr>
        <w:pStyle w:val="SingleTxtGR"/>
      </w:pPr>
      <w:r w:rsidRPr="004B46A0">
        <w:t>51.</w:t>
      </w:r>
      <w:r w:rsidRPr="004B46A0">
        <w:tab/>
      </w:r>
      <w:r w:rsidRPr="004B46A0">
        <w:rPr>
          <w:b/>
        </w:rPr>
        <w:t>Г-н Тахмасеби</w:t>
      </w:r>
      <w:r w:rsidRPr="004B46A0">
        <w:t xml:space="preserve"> (Исламская Республика Иран) говорит, что в 30</w:t>
      </w:r>
      <w:r w:rsidR="00885B16" w:rsidRPr="00885B16">
        <w:t xml:space="preserve"> </w:t>
      </w:r>
      <w:r w:rsidRPr="004B46A0">
        <w:t>закон</w:t>
      </w:r>
      <w:r w:rsidRPr="004B46A0">
        <w:t>о</w:t>
      </w:r>
      <w:r w:rsidRPr="004B46A0">
        <w:t>проектах, находящихся в настоящее время на рассмотрении парламе</w:t>
      </w:r>
      <w:r w:rsidRPr="004B46A0">
        <w:t>н</w:t>
      </w:r>
      <w:r w:rsidRPr="004B46A0">
        <w:t>та, правам человека уделяется значительное внимание. Полного запрещения полигамии введено не было, но она ограничена некоторыми особыми обстоятельствами. Супружеские пары, не зарегистрировавшие свой брак, подлежат наказанию с</w:t>
      </w:r>
      <w:r w:rsidRPr="004B46A0">
        <w:t>о</w:t>
      </w:r>
      <w:r w:rsidRPr="004B46A0">
        <w:t>гласно Исламскому уголовному кодексу. Принимаются меры по предупрежд</w:t>
      </w:r>
      <w:r w:rsidRPr="004B46A0">
        <w:t>е</w:t>
      </w:r>
      <w:r w:rsidRPr="004B46A0">
        <w:t>нию насилия в семье, включая создание специализированных д</w:t>
      </w:r>
      <w:r w:rsidRPr="004B46A0">
        <w:t>е</w:t>
      </w:r>
      <w:r w:rsidRPr="004B46A0">
        <w:t>партаментов в организациях социального обеспечения, установление целевых показателей, подготовку сотрудников по оказанию услуг в чрезвычайных обстоятельствах, связанных с выявлением и разрешением случаев насилия в семье, и создание приютов для женщин, явившихся жертвами насилия в семье.</w:t>
      </w:r>
    </w:p>
    <w:p w:rsidR="004B46A0" w:rsidRPr="004B46A0" w:rsidRDefault="00885B16" w:rsidP="00885B16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="004B46A0" w:rsidRPr="004B46A0">
        <w:t>Заседание закрывается в 18 ч. 00 м.</w:t>
      </w:r>
    </w:p>
    <w:sectPr w:rsidR="004B46A0" w:rsidRPr="004B46A0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74" w:rsidRDefault="004F5074">
      <w:r>
        <w:rPr>
          <w:lang w:val="en-US"/>
        </w:rPr>
        <w:tab/>
      </w:r>
      <w:r>
        <w:separator/>
      </w:r>
    </w:p>
  </w:endnote>
  <w:endnote w:type="continuationSeparator" w:id="0">
    <w:p w:rsidR="004F5074" w:rsidRDefault="004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74" w:rsidRPr="005F0588" w:rsidRDefault="004F507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DC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GE.11-46379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74" w:rsidRPr="005F0588" w:rsidRDefault="004F5074">
    <w:pPr>
      <w:pStyle w:val="Footer"/>
      <w:rPr>
        <w:lang w:val="en-US"/>
      </w:rPr>
    </w:pPr>
    <w:r>
      <w:rPr>
        <w:lang w:val="en-US"/>
      </w:rPr>
      <w:t>GE.11-46379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DC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74" w:rsidRDefault="004F5074" w:rsidP="00E96C12">
    <w:pPr>
      <w:pStyle w:val="SingleTxtGR"/>
      <w:pBdr>
        <w:bottom w:val="single" w:sz="4" w:space="1" w:color="auto"/>
      </w:pBdr>
      <w:ind w:left="-14" w:right="-34"/>
      <w:rPr>
        <w:lang w:val="en-US"/>
      </w:rPr>
    </w:pPr>
  </w:p>
  <w:p w:rsidR="004F5074" w:rsidRPr="00E96C12" w:rsidRDefault="004F5074" w:rsidP="00E96C12">
    <w:pPr>
      <w:pStyle w:val="SingleTxtGR"/>
      <w:suppressAutoHyphens/>
      <w:jc w:val="left"/>
      <w:rPr>
        <w:sz w:val="18"/>
        <w:szCs w:val="18"/>
      </w:rPr>
    </w:pPr>
    <w:r w:rsidRPr="00E96C12">
      <w:rPr>
        <w:sz w:val="18"/>
        <w:szCs w:val="18"/>
      </w:rPr>
      <w:t>В настоящий отчет могут вноситься поправки.</w:t>
    </w:r>
  </w:p>
  <w:p w:rsidR="004F5074" w:rsidRPr="00E96C12" w:rsidRDefault="004F5074" w:rsidP="00E96C12">
    <w:pPr>
      <w:pStyle w:val="SingleTxtGR"/>
      <w:suppressAutoHyphens/>
      <w:jc w:val="left"/>
      <w:rPr>
        <w:sz w:val="18"/>
        <w:szCs w:val="18"/>
      </w:rPr>
    </w:pPr>
    <w:r w:rsidRPr="00E96C12">
      <w:rPr>
        <w:sz w:val="18"/>
        <w:szCs w:val="18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E96C12">
      <w:rPr>
        <w:i/>
        <w:sz w:val="18"/>
        <w:szCs w:val="18"/>
      </w:rPr>
      <w:t>в течение одной недели с момента выпуска настоящего документа</w:t>
    </w:r>
    <w:r w:rsidRPr="00E96C12">
      <w:rPr>
        <w:sz w:val="18"/>
        <w:szCs w:val="18"/>
      </w:rPr>
      <w:t xml:space="preserve"> в Группу издания официальных документов, комната E.4108, Дворец Наций, Ж</w:t>
    </w:r>
    <w:r w:rsidRPr="00E96C12">
      <w:rPr>
        <w:sz w:val="18"/>
        <w:szCs w:val="18"/>
      </w:rPr>
      <w:t>е</w:t>
    </w:r>
    <w:r w:rsidRPr="00E96C12">
      <w:rPr>
        <w:sz w:val="18"/>
        <w:szCs w:val="18"/>
      </w:rPr>
      <w:t>нева.</w:t>
    </w:r>
  </w:p>
  <w:p w:rsidR="004F5074" w:rsidRPr="00E96C12" w:rsidRDefault="004F5074" w:rsidP="00E96C12">
    <w:pPr>
      <w:pStyle w:val="SingleTxtGR"/>
      <w:suppressAutoHyphens/>
      <w:jc w:val="left"/>
      <w:rPr>
        <w:sz w:val="18"/>
        <w:szCs w:val="18"/>
      </w:rPr>
    </w:pPr>
    <w:r w:rsidRPr="00E96C12">
      <w:rPr>
        <w:sz w:val="18"/>
        <w:szCs w:val="18"/>
      </w:rPr>
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</w:t>
    </w:r>
    <w:r w:rsidRPr="00E96C12">
      <w:rPr>
        <w:sz w:val="18"/>
        <w:szCs w:val="18"/>
      </w:rPr>
      <w:t>н</w:t>
    </w:r>
    <w:r w:rsidRPr="00E96C12">
      <w:rPr>
        <w:sz w:val="18"/>
        <w:szCs w:val="18"/>
      </w:rPr>
      <w:t xml:space="preserve">чания сессии. </w:t>
    </w:r>
  </w:p>
  <w:p w:rsidR="004F5074" w:rsidRPr="007B2C3F" w:rsidRDefault="004F5074">
    <w:pPr>
      <w:pStyle w:val="Footer"/>
      <w:rPr>
        <w:sz w:val="20"/>
        <w:lang w:val="en-US"/>
      </w:rPr>
    </w:pPr>
    <w:r>
      <w:rPr>
        <w:sz w:val="20"/>
        <w:lang w:val="en-US"/>
      </w:rPr>
      <w:t>GE.11-46379  (R)  041012  251012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74" w:rsidRPr="00F71F63" w:rsidRDefault="004F507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F5074" w:rsidRPr="00F71F63" w:rsidRDefault="004F507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F5074" w:rsidRPr="00635E86" w:rsidRDefault="004F5074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74" w:rsidRPr="005F0588" w:rsidRDefault="004F5074">
    <w:pPr>
      <w:pStyle w:val="Header"/>
      <w:rPr>
        <w:lang w:val="en-US"/>
      </w:rPr>
    </w:pPr>
    <w:r>
      <w:rPr>
        <w:lang w:val="en-US"/>
      </w:rPr>
      <w:t>CCPR/C/SR.2834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74" w:rsidRPr="005F0588" w:rsidRDefault="004F5074">
    <w:pPr>
      <w:pStyle w:val="Header"/>
      <w:rPr>
        <w:lang w:val="en-US"/>
      </w:rPr>
    </w:pPr>
    <w:r>
      <w:rPr>
        <w:lang w:val="en-US"/>
      </w:rPr>
      <w:tab/>
      <w:t>CCPR/C/SR.2834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6A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31E7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10B5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46A0"/>
    <w:rsid w:val="004C2A53"/>
    <w:rsid w:val="004C3B35"/>
    <w:rsid w:val="004C43EC"/>
    <w:rsid w:val="004E6729"/>
    <w:rsid w:val="004F0E47"/>
    <w:rsid w:val="004F5074"/>
    <w:rsid w:val="0050030F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3E3C"/>
    <w:rsid w:val="006D5E4E"/>
    <w:rsid w:val="006E6860"/>
    <w:rsid w:val="006E7183"/>
    <w:rsid w:val="006F5FBF"/>
    <w:rsid w:val="0070327E"/>
    <w:rsid w:val="00707B5F"/>
    <w:rsid w:val="007256DC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5B16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1CD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79DB"/>
    <w:rsid w:val="00A2446A"/>
    <w:rsid w:val="00A4025D"/>
    <w:rsid w:val="00A72706"/>
    <w:rsid w:val="00A800D1"/>
    <w:rsid w:val="00A92699"/>
    <w:rsid w:val="00AB5BF0"/>
    <w:rsid w:val="00AC1C95"/>
    <w:rsid w:val="00AC2CCB"/>
    <w:rsid w:val="00AC443A"/>
    <w:rsid w:val="00AE60E2"/>
    <w:rsid w:val="00AF7EAB"/>
    <w:rsid w:val="00B0169F"/>
    <w:rsid w:val="00B05F21"/>
    <w:rsid w:val="00B14EA9"/>
    <w:rsid w:val="00B30A3C"/>
    <w:rsid w:val="00B53969"/>
    <w:rsid w:val="00B81305"/>
    <w:rsid w:val="00B91C64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259A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044"/>
    <w:rsid w:val="00D6236B"/>
    <w:rsid w:val="00D76358"/>
    <w:rsid w:val="00D809D1"/>
    <w:rsid w:val="00D84ECF"/>
    <w:rsid w:val="00DA2851"/>
    <w:rsid w:val="00DA2B7C"/>
    <w:rsid w:val="00DA5686"/>
    <w:rsid w:val="00DA5799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1CB3"/>
    <w:rsid w:val="00E907E9"/>
    <w:rsid w:val="00E96BE7"/>
    <w:rsid w:val="00E96C12"/>
    <w:rsid w:val="00EA2CD0"/>
    <w:rsid w:val="00EC0044"/>
    <w:rsid w:val="00EC6B9F"/>
    <w:rsid w:val="00EE02B9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5DC2"/>
    <w:rsid w:val="00F52A0E"/>
    <w:rsid w:val="00F71F63"/>
    <w:rsid w:val="00F721BF"/>
    <w:rsid w:val="00F87506"/>
    <w:rsid w:val="00F92C41"/>
    <w:rsid w:val="00FA5522"/>
    <w:rsid w:val="00FA6E4A"/>
    <w:rsid w:val="00FB2B35"/>
    <w:rsid w:val="00FB48CE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13</Pages>
  <Words>6273</Words>
  <Characters>35759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Elena Izotova</cp:lastModifiedBy>
  <cp:revision>2</cp:revision>
  <cp:lastPrinted>1601-01-01T00:00:00Z</cp:lastPrinted>
  <dcterms:created xsi:type="dcterms:W3CDTF">2012-10-25T07:57:00Z</dcterms:created>
  <dcterms:modified xsi:type="dcterms:W3CDTF">2012-10-25T07:57:00Z</dcterms:modified>
</cp:coreProperties>
</file>