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60" w:lineRule="exact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</w:pPr>
      <w:r>
        <w:t>Комитет по правам человека</w:t>
      </w:r>
    </w:p>
    <w:p w:rsidR="00000000" w:rsidRDefault="00000000">
      <w:pPr>
        <w:pStyle w:val="H23"/>
      </w:pPr>
      <w:r>
        <w:t>Семьдесят первая сессия</w:t>
      </w:r>
    </w:p>
    <w:p w:rsidR="00000000" w:rsidRDefault="00000000">
      <w:pPr>
        <w:spacing w:line="240" w:lineRule="auto"/>
        <w:rPr>
          <w:sz w:val="12"/>
        </w:rPr>
      </w:pPr>
    </w:p>
    <w:p w:rsidR="00000000" w:rsidRDefault="00000000">
      <w:pPr>
        <w:pStyle w:val="H23"/>
      </w:pPr>
      <w:r>
        <w:t>Краткий отчет о первой (открытой)* части 1915-го заседания,</w:t>
      </w:r>
    </w:p>
    <w:p w:rsidR="00000000" w:rsidRDefault="00000000">
      <w:r>
        <w:t>состоявшейся в Центральных учреждениях, Нью-Йорк, в четверг, 29 марта 2001 года, в 15 ч. 00 м.</w:t>
      </w: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ind w:right="1267"/>
      </w:pPr>
      <w:r>
        <w:rPr>
          <w:i/>
        </w:rPr>
        <w:t>Председатель:</w:t>
      </w:r>
      <w:r>
        <w:tab/>
        <w:t>г</w:t>
      </w:r>
      <w:r>
        <w:noBreakHyphen/>
        <w:t>н Бхагвати</w:t>
      </w: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pStyle w:val="HCh"/>
        <w:rPr>
          <w:b w:val="0"/>
        </w:rPr>
      </w:pPr>
      <w:r>
        <w:rPr>
          <w:b w:val="0"/>
        </w:rPr>
        <w:t>Содержание</w:t>
      </w:r>
    </w:p>
    <w:p w:rsidR="00000000" w:rsidRDefault="00000000">
      <w:pPr>
        <w:pStyle w:val="HCh"/>
        <w:spacing w:line="240" w:lineRule="auto"/>
        <w:rPr>
          <w:b w:val="0"/>
          <w:sz w:val="12"/>
        </w:rPr>
      </w:pPr>
    </w:p>
    <w:p w:rsidR="00000000" w:rsidRDefault="00000000">
      <w:pPr>
        <w:pStyle w:val="SingleTxt"/>
        <w:suppressAutoHyphens/>
        <w:jc w:val="left"/>
      </w:pPr>
      <w:r>
        <w:t>Рассмотрение докладов, представленных государствами-участниками в соответствии со статьей 40 Пакта (</w:t>
      </w:r>
      <w:r>
        <w:rPr>
          <w:i/>
        </w:rPr>
        <w:t>продолжение</w:t>
      </w:r>
      <w:r>
        <w:t>)</w:t>
      </w:r>
    </w:p>
    <w:p w:rsidR="00000000" w:rsidRDefault="00000000">
      <w:pPr>
        <w:pStyle w:val="SingleTxt"/>
        <w:suppressAutoHyphens/>
        <w:ind w:left="1742" w:hanging="475"/>
        <w:jc w:val="left"/>
      </w:pPr>
      <w:r>
        <w:tab/>
      </w:r>
      <w:r>
        <w:rPr>
          <w:i/>
        </w:rPr>
        <w:t xml:space="preserve">Первоначальный периодический доклад Хорватии </w:t>
      </w:r>
      <w:r>
        <w:t>(</w:t>
      </w:r>
      <w:r>
        <w:rPr>
          <w:i/>
        </w:rPr>
        <w:t>продолжение</w:t>
      </w:r>
      <w:r>
        <w:t>)</w:t>
      </w:r>
    </w:p>
    <w:p w:rsidR="00000000" w:rsidRDefault="00000000"/>
    <w:p w:rsidR="00000000" w:rsidRDefault="00000000"/>
    <w:p w:rsidR="00000000" w:rsidRDefault="00000000">
      <w:pPr>
        <w:framePr w:w="9792" w:h="432" w:hSpace="180" w:wrap="around" w:vAnchor="page" w:hAnchor="page" w:x="1220" w:y="10733"/>
        <w:spacing w:line="240" w:lineRule="auto"/>
        <w:rPr>
          <w:sz w:val="10"/>
        </w:rPr>
      </w:pPr>
    </w:p>
    <w:p w:rsidR="00000000" w:rsidRDefault="00000000">
      <w:pPr>
        <w:framePr w:w="9792" w:h="432" w:hSpace="180" w:wrap="around" w:vAnchor="page" w:hAnchor="page" w:x="1220" w:y="10733"/>
        <w:spacing w:line="240" w:lineRule="auto"/>
        <w:rPr>
          <w:sz w:val="6"/>
        </w:rPr>
      </w:pPr>
      <w:r>
        <w:rPr>
          <w:w w:val="100"/>
          <w:sz w:val="6"/>
        </w:rPr>
        <w:pict>
          <v:line id="_x0000_s2050" style="position:absolute;z-index:1;mso-position-horizontal:absolute;mso-position-horizontal-relative:page;mso-position-vertical:absolute;mso-position-vertical-relative:text" from="108pt,-1pt" to="180pt,-1pt" o:allowincell="f" strokeweight=".25pt">
            <w10:wrap anchorx="page"/>
          </v:line>
        </w:pict>
      </w:r>
    </w:p>
    <w:p w:rsidR="00000000" w:rsidRDefault="00000000">
      <w:pPr>
        <w:framePr w:w="9792" w:h="432" w:hSpace="180" w:wrap="around" w:vAnchor="page" w:hAnchor="page" w:x="1220" w:y="10733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576"/>
        <w:rPr>
          <w:sz w:val="17"/>
        </w:rPr>
      </w:pPr>
      <w:r>
        <w:rPr>
          <w:sz w:val="17"/>
        </w:rPr>
        <w:tab/>
        <w:t>*</w:t>
      </w:r>
      <w:r>
        <w:rPr>
          <w:sz w:val="17"/>
        </w:rPr>
        <w:tab/>
        <w:t>Краткий отчет о второй (закрытой) части этого заседания издается в виде документа CCPR/C/SR.1915/Add.1.</w:t>
      </w: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1267"/>
        <w:rPr>
          <w:sz w:val="2"/>
        </w:rPr>
        <w:sectPr w:rsidR="00000000"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cols w:space="720"/>
          <w:noEndnote/>
        </w:sectPr>
      </w:pPr>
      <w:r>
        <w:br w:type="page"/>
      </w:r>
    </w:p>
    <w:p w:rsidR="00000000" w:rsidRDefault="00000000">
      <w:pPr>
        <w:pStyle w:val="H4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Заседание открывается в 15 ч. 05 м.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</w:pPr>
      <w:r>
        <w:t xml:space="preserve">Рассмотрение докладов, представленных государствами-членами в соответствии со статьей 40 Пакта </w:t>
      </w:r>
      <w:r>
        <w:rPr>
          <w:b w:val="0"/>
        </w:rPr>
        <w:t>(</w:t>
      </w:r>
      <w:r>
        <w:rPr>
          <w:b w:val="0"/>
          <w:i/>
        </w:rPr>
        <w:t>продолжение</w:t>
      </w:r>
      <w:r>
        <w:rPr>
          <w:b w:val="0"/>
        </w:rPr>
        <w:t>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</w:r>
      <w:r>
        <w:tab/>
        <w:t xml:space="preserve">Первоначальный периодический доклад Республики Хорватии </w:t>
      </w:r>
      <w:r>
        <w:rPr>
          <w:i w:val="0"/>
        </w:rPr>
        <w:t xml:space="preserve">(CCPR/C/HRV/99/1 и CCPR/C/71/L/HRV) </w:t>
      </w:r>
      <w:r>
        <w:t>(продолжение)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1.</w:t>
      </w:r>
      <w:r>
        <w:tab/>
      </w:r>
      <w:r>
        <w:rPr>
          <w:b/>
        </w:rPr>
        <w:t>Г</w:t>
      </w:r>
      <w:r>
        <w:rPr>
          <w:b/>
        </w:rPr>
        <w:noBreakHyphen/>
        <w:t>н Мрчела</w:t>
      </w:r>
      <w:r>
        <w:t xml:space="preserve"> (Хорватия), отвечая на вопрос о</w:t>
      </w:r>
      <w:r>
        <w:t>т</w:t>
      </w:r>
      <w:r>
        <w:t>носительно свободы слова, говорит, что журнал</w:t>
      </w:r>
      <w:r>
        <w:t>и</w:t>
      </w:r>
      <w:r>
        <w:t>сты или частные лица могут подвергаться судебн</w:t>
      </w:r>
      <w:r>
        <w:t>о</w:t>
      </w:r>
      <w:r>
        <w:t>му преследованию за диффамацию президента Ре</w:t>
      </w:r>
      <w:r>
        <w:t>с</w:t>
      </w:r>
      <w:r>
        <w:t>публики и высокопоставленных официальных лиц и что в нескольких случаях против журналистов в</w:t>
      </w:r>
      <w:r>
        <w:t>ы</w:t>
      </w:r>
      <w:r>
        <w:t>дв</w:t>
      </w:r>
      <w:r>
        <w:t>и</w:t>
      </w:r>
      <w:r>
        <w:t>гались обвинения такого рода.</w:t>
      </w:r>
    </w:p>
    <w:p w:rsidR="00000000" w:rsidRDefault="00000000">
      <w:pPr>
        <w:pStyle w:val="DualTxt"/>
      </w:pPr>
      <w:r>
        <w:t>2.</w:t>
      </w:r>
      <w:r>
        <w:tab/>
        <w:t>В 1992 году один журналист был оправдан на том основании, что с учетом его прошлой работы и в соответствующем контексте было сочтено, что его статья укладывалась в приемлемые рамки сатиры. В 1993 году тот же журналист был вновь оправдан на том основании, что его статья соответствовала его манере письма. В 1996–1997 годах два журналиста, обвинявшиеся в диффамации президента и клевете на него, были оправданы на том основании, что они имеют право критиковать его идеи при условии, что эта критика не носит личного характера, в соотве</w:t>
      </w:r>
      <w:r>
        <w:t>т</w:t>
      </w:r>
      <w:r>
        <w:t>ствии со статьей 38 Конституции и пунктом 1 ст</w:t>
      </w:r>
      <w:r>
        <w:t>а</w:t>
      </w:r>
      <w:r>
        <w:t>тьи 10 Европейской конвенции о защите прав чел</w:t>
      </w:r>
      <w:r>
        <w:t>о</w:t>
      </w:r>
      <w:r>
        <w:t>века и основных свобод, которой предусматривае</w:t>
      </w:r>
      <w:r>
        <w:t>т</w:t>
      </w:r>
      <w:r>
        <w:t>ся более широкие рамки свободы слова в отнош</w:t>
      </w:r>
      <w:r>
        <w:t>е</w:t>
      </w:r>
      <w:r>
        <w:t>нии официальных лиц. В 1997 году с главного р</w:t>
      </w:r>
      <w:r>
        <w:t>е</w:t>
      </w:r>
      <w:r>
        <w:t>дактора одного из журналов, заявившего, что в пр</w:t>
      </w:r>
      <w:r>
        <w:t>а</w:t>
      </w:r>
      <w:r>
        <w:t>вительстве на самых высоких уровнях существует коррупция, были сняты обвинения в клевете на том основании, что разоблачение такой коррупции отв</w:t>
      </w:r>
      <w:r>
        <w:t>е</w:t>
      </w:r>
      <w:r>
        <w:t>чает общественным интересам и что его сообщение не преследовало цели нанести ущерб чести или р</w:t>
      </w:r>
      <w:r>
        <w:t>е</w:t>
      </w:r>
      <w:r>
        <w:t>путации соответствующих лиц. В настоящее время ни один человек не содержится в тюрьме по обв</w:t>
      </w:r>
      <w:r>
        <w:t>и</w:t>
      </w:r>
      <w:r>
        <w:t>нению в клевете в адрес государственных лиц, п</w:t>
      </w:r>
      <w:r>
        <w:t>о</w:t>
      </w:r>
      <w:r>
        <w:t>скольку во всех случаях суды устанавливали нев</w:t>
      </w:r>
      <w:r>
        <w:t>и</w:t>
      </w:r>
      <w:r>
        <w:t>новность обвиняемых. Президент в настоящее вр</w:t>
      </w:r>
      <w:r>
        <w:t>е</w:t>
      </w:r>
      <w:r>
        <w:t>мя лишен какой бы то ни было специальной защиты и в этой связи может предъявлять иски лишь в кач</w:t>
      </w:r>
      <w:r>
        <w:t>е</w:t>
      </w:r>
      <w:r>
        <w:t>стве частн</w:t>
      </w:r>
      <w:r>
        <w:t>о</w:t>
      </w:r>
      <w:r>
        <w:t>го лица.</w:t>
      </w:r>
    </w:p>
    <w:p w:rsidR="00000000" w:rsidRDefault="00000000">
      <w:pPr>
        <w:pStyle w:val="DualTxt"/>
      </w:pPr>
      <w:r>
        <w:t>3.</w:t>
      </w:r>
      <w:r>
        <w:tab/>
        <w:t>Что касается сложного вопроса об обучении судей, то выступающий признает, что положение в этой области не является идеальным, однако отм</w:t>
      </w:r>
      <w:r>
        <w:t>е</w:t>
      </w:r>
      <w:r>
        <w:t>чает, что существуют центр подготовки судей, и в</w:t>
      </w:r>
      <w:r>
        <w:t>ы</w:t>
      </w:r>
      <w:r>
        <w:t>ражает надежду на то, что в конечном итоге будет создан государственный судебный ко</w:t>
      </w:r>
      <w:r>
        <w:t>л</w:t>
      </w:r>
      <w:r>
        <w:t>ледж.</w:t>
      </w:r>
    </w:p>
    <w:p w:rsidR="00000000" w:rsidRDefault="00000000">
      <w:pPr>
        <w:pStyle w:val="DualTxt"/>
      </w:pPr>
      <w:r>
        <w:t>4.</w:t>
      </w:r>
      <w:r>
        <w:tab/>
      </w:r>
      <w:r>
        <w:rPr>
          <w:b/>
        </w:rPr>
        <w:t>Г</w:t>
      </w:r>
      <w:r>
        <w:rPr>
          <w:b/>
        </w:rPr>
        <w:noBreakHyphen/>
        <w:t>жа Карайкович</w:t>
      </w:r>
      <w:r>
        <w:t xml:space="preserve"> (Хорватия) говорит, что проект закона о правах меньшинств, языковых пр</w:t>
      </w:r>
      <w:r>
        <w:t>а</w:t>
      </w:r>
      <w:r>
        <w:t>вах и образовании на языке национальных мен</w:t>
      </w:r>
      <w:r>
        <w:t>ь</w:t>
      </w:r>
      <w:r>
        <w:t>шинств предусматривает защиту прав не только э</w:t>
      </w:r>
      <w:r>
        <w:t>т</w:t>
      </w:r>
      <w:r>
        <w:t>нических, но и религиозных и других мен</w:t>
      </w:r>
      <w:r>
        <w:t>ь</w:t>
      </w:r>
      <w:r>
        <w:t>шинств.</w:t>
      </w:r>
    </w:p>
    <w:p w:rsidR="00000000" w:rsidRDefault="00000000">
      <w:pPr>
        <w:pStyle w:val="DualTxt"/>
      </w:pPr>
      <w:r>
        <w:t>5.</w:t>
      </w:r>
      <w:r>
        <w:tab/>
      </w:r>
      <w:r>
        <w:rPr>
          <w:b/>
        </w:rPr>
        <w:t>Сэр Найджел Родли</w:t>
      </w:r>
      <w:r>
        <w:t xml:space="preserve"> спрашивает, существуют ли положения о замене военной службы той или иной гражданской повинностью и можно ли сс</w:t>
      </w:r>
      <w:r>
        <w:t>ы</w:t>
      </w:r>
      <w:r>
        <w:t>латься в этой связи на такие моральные основания, как идеологические соображения или возражения, обусловленные убеждениями. Он также хотел бы получить информацию о положении лиц, не ж</w:t>
      </w:r>
      <w:r>
        <w:t>е</w:t>
      </w:r>
      <w:r>
        <w:t>лающих служить в армии в силу своих убеждений, которые уже находятся на военной службе в качес</w:t>
      </w:r>
      <w:r>
        <w:t>т</w:t>
      </w:r>
      <w:r>
        <w:t>ве призывников или добровольцев.</w:t>
      </w:r>
    </w:p>
    <w:p w:rsidR="00000000" w:rsidRDefault="00000000">
      <w:pPr>
        <w:pStyle w:val="DualTxt"/>
      </w:pPr>
      <w:r>
        <w:t>6.</w:t>
      </w:r>
      <w:r>
        <w:tab/>
      </w:r>
      <w:r>
        <w:rPr>
          <w:b/>
        </w:rPr>
        <w:t>Г</w:t>
      </w:r>
      <w:r>
        <w:rPr>
          <w:b/>
        </w:rPr>
        <w:noBreakHyphen/>
        <w:t>жа Медина Кирога</w:t>
      </w:r>
      <w:r>
        <w:t xml:space="preserve"> спрашивает, существует ли какой-либо общий закон, предусматривающий запрет на дискриминацию по любым основаниям в отношении женщин в частном секторе.</w:t>
      </w:r>
    </w:p>
    <w:p w:rsidR="00000000" w:rsidRDefault="00000000">
      <w:pPr>
        <w:pStyle w:val="DualTxt"/>
      </w:pPr>
      <w:r>
        <w:t>7.</w:t>
      </w:r>
      <w:r>
        <w:tab/>
      </w:r>
      <w:r>
        <w:rPr>
          <w:b/>
        </w:rPr>
        <w:t>Г</w:t>
      </w:r>
      <w:r>
        <w:rPr>
          <w:b/>
        </w:rPr>
        <w:noBreakHyphen/>
        <w:t>н Кляйн</w:t>
      </w:r>
      <w:r>
        <w:t xml:space="preserve"> просит представить дополнител</w:t>
      </w:r>
      <w:r>
        <w:t>ь</w:t>
      </w:r>
      <w:r>
        <w:t>ную информацию о праве на мирные собр</w:t>
      </w:r>
      <w:r>
        <w:t>а</w:t>
      </w:r>
      <w:r>
        <w:t>ния.</w:t>
      </w:r>
    </w:p>
    <w:p w:rsidR="00000000" w:rsidRDefault="00000000">
      <w:pPr>
        <w:pStyle w:val="DualTxt"/>
      </w:pPr>
      <w:r>
        <w:t>8.</w:t>
      </w:r>
      <w:r>
        <w:tab/>
      </w:r>
      <w:r>
        <w:rPr>
          <w:b/>
        </w:rPr>
        <w:t>Г</w:t>
      </w:r>
      <w:r>
        <w:rPr>
          <w:b/>
        </w:rPr>
        <w:noBreakHyphen/>
        <w:t>н Солари Иригойен</w:t>
      </w:r>
      <w:r>
        <w:t xml:space="preserve"> выражает опасения по поводу снижения представленности сербского меньшинства в парламенте и просит представить дополн</w:t>
      </w:r>
      <w:r>
        <w:t>и</w:t>
      </w:r>
      <w:r>
        <w:t>тельную информацию по этому вопросу.</w:t>
      </w:r>
    </w:p>
    <w:p w:rsidR="00000000" w:rsidRDefault="00000000">
      <w:pPr>
        <w:pStyle w:val="DualTxt"/>
      </w:pPr>
      <w:r>
        <w:t>9.</w:t>
      </w:r>
      <w:r>
        <w:tab/>
      </w:r>
      <w:r>
        <w:rPr>
          <w:b/>
        </w:rPr>
        <w:t>Г</w:t>
      </w:r>
      <w:r>
        <w:rPr>
          <w:b/>
        </w:rPr>
        <w:noBreakHyphen/>
        <w:t>жа Карайкович</w:t>
      </w:r>
      <w:r>
        <w:t xml:space="preserve"> (Хорватия), отвечая на в</w:t>
      </w:r>
      <w:r>
        <w:t>о</w:t>
      </w:r>
      <w:r>
        <w:t>прос сэра Найджела Родли, говорит, что при подаче ходатайств о замене службы в армии альтернати</w:t>
      </w:r>
      <w:r>
        <w:t>в</w:t>
      </w:r>
      <w:r>
        <w:t>ной гражданской службой можно ссылаться на м</w:t>
      </w:r>
      <w:r>
        <w:t>о</w:t>
      </w:r>
      <w:r>
        <w:t>ральные основания. Альтернативную службу можно проходить в больницах, судах или государственных учреждениях с санкции министерства юстиции. В ответ на вопрос г</w:t>
      </w:r>
      <w:r>
        <w:noBreakHyphen/>
        <w:t>жи Медины Кироги она говорит, что не существует какого-либо специального зак</w:t>
      </w:r>
      <w:r>
        <w:t>о</w:t>
      </w:r>
      <w:r>
        <w:t>на, запрещающего дискриминацию по любым осн</w:t>
      </w:r>
      <w:r>
        <w:t>о</w:t>
      </w:r>
      <w:r>
        <w:t>ваниям в отношении женщин в частном се</w:t>
      </w:r>
      <w:r>
        <w:t>к</w:t>
      </w:r>
      <w:r>
        <w:t>торе.</w:t>
      </w:r>
    </w:p>
    <w:p w:rsidR="00000000" w:rsidRDefault="00000000">
      <w:pPr>
        <w:pStyle w:val="DualTxt"/>
      </w:pPr>
      <w:r>
        <w:t>10.</w:t>
      </w:r>
      <w:r>
        <w:tab/>
      </w:r>
      <w:r>
        <w:rPr>
          <w:b/>
        </w:rPr>
        <w:t>Г</w:t>
      </w:r>
      <w:r>
        <w:rPr>
          <w:b/>
        </w:rPr>
        <w:noBreakHyphen/>
        <w:t>н Смердел</w:t>
      </w:r>
      <w:r>
        <w:t xml:space="preserve"> (Хорватия) отмечает, что в соо</w:t>
      </w:r>
      <w:r>
        <w:t>т</w:t>
      </w:r>
      <w:r>
        <w:t>ветствии с Конституцией (статья 14) запрещается любая дискриминация, хотя нарушения, безусловно, имеют место, особенно в частном секторе, который меньше государственного. Что касается вопроса о мирных собраниях и мирных протестах, то выст</w:t>
      </w:r>
      <w:r>
        <w:t>у</w:t>
      </w:r>
      <w:r>
        <w:t>пающий говорит, что любой гражданин, иностр</w:t>
      </w:r>
      <w:r>
        <w:t>а</w:t>
      </w:r>
      <w:r>
        <w:t>нец, имеющий вид на жительство, или организация имеют право обращаться в полицию за разрешен</w:t>
      </w:r>
      <w:r>
        <w:t>и</w:t>
      </w:r>
      <w:r>
        <w:t>ем на проведение публичного собрания или демо</w:t>
      </w:r>
      <w:r>
        <w:t>н</w:t>
      </w:r>
      <w:r>
        <w:t>страции и в случае отказа обжаловать это решение в административном трибунале. Если соответству</w:t>
      </w:r>
      <w:r>
        <w:t>ю</w:t>
      </w:r>
      <w:r>
        <w:t>щая жалоба не может быть рассмотрена до предп</w:t>
      </w:r>
      <w:r>
        <w:t>о</w:t>
      </w:r>
      <w:r>
        <w:t>лагаемого срока проведения собрания или демонс</w:t>
      </w:r>
      <w:r>
        <w:t>т</w:t>
      </w:r>
      <w:r>
        <w:t>рации, то может быть назначена определенная ко</w:t>
      </w:r>
      <w:r>
        <w:t>м</w:t>
      </w:r>
      <w:r>
        <w:t>пенсация или определены иные сроки проведения собрания. Такая система аналогична ситуации в других европейских странах; власти отвечают за обеспечение охраны и общественной безопасности. В последнее время не было запрещено ни одно п</w:t>
      </w:r>
      <w:r>
        <w:t>о</w:t>
      </w:r>
      <w:r>
        <w:t>литическое собрание.</w:t>
      </w:r>
    </w:p>
    <w:p w:rsidR="00000000" w:rsidRDefault="00000000">
      <w:pPr>
        <w:pStyle w:val="DualTxt"/>
      </w:pPr>
      <w:r>
        <w:t>11.</w:t>
      </w:r>
      <w:r>
        <w:tab/>
        <w:t>Обращаясь к вопросу о тех, кто отказывается от службы в армии в силу своих убеждений, выст</w:t>
      </w:r>
      <w:r>
        <w:t>у</w:t>
      </w:r>
      <w:r>
        <w:t>пающий говорит, что в соответствии с декабрьской Конституцией 1990 года во время войны, которая началась в 1991 году, не существовало никаких п</w:t>
      </w:r>
      <w:r>
        <w:t>о</w:t>
      </w:r>
      <w:r>
        <w:t>ложений в отношении альтернативной службы. Р</w:t>
      </w:r>
      <w:r>
        <w:t>а</w:t>
      </w:r>
      <w:r>
        <w:t>нее хорваты, безусловно, служили в югославской армии. В 1992 году был принят новый закон, с</w:t>
      </w:r>
      <w:r>
        <w:t>о</w:t>
      </w:r>
      <w:r>
        <w:t>гласно которому призывники должны обратиться с ходатайством о прохождении альтернативной слу</w:t>
      </w:r>
      <w:r>
        <w:t>ж</w:t>
      </w:r>
      <w:r>
        <w:t>бы за шесть месяцев до призыва или же они утр</w:t>
      </w:r>
      <w:r>
        <w:t>а</w:t>
      </w:r>
      <w:r>
        <w:t>чивают это право. Вместе с тем позднее констит</w:t>
      </w:r>
      <w:r>
        <w:t>у</w:t>
      </w:r>
      <w:r>
        <w:t>ционный суд отменил это положение, в связи с чем военнослужащий может в любое время просить о том, чтобы его считали лицом, не желающим сл</w:t>
      </w:r>
      <w:r>
        <w:t>у</w:t>
      </w:r>
      <w:r>
        <w:t>жить в армии в силу убеждений, и направили для прохождения альтернативной службы. Выступа</w:t>
      </w:r>
      <w:r>
        <w:t>ю</w:t>
      </w:r>
      <w:r>
        <w:t>щий указывает, что в любом случае срок обязател</w:t>
      </w:r>
      <w:r>
        <w:t>ь</w:t>
      </w:r>
      <w:r>
        <w:t>ной военной службы был сокращен до шести мес</w:t>
      </w:r>
      <w:r>
        <w:t>я</w:t>
      </w:r>
      <w:r>
        <w:t>цев с одного года, как это б</w:t>
      </w:r>
      <w:r>
        <w:t>ы</w:t>
      </w:r>
      <w:r>
        <w:t>ло ранее.</w:t>
      </w:r>
    </w:p>
    <w:p w:rsidR="00000000" w:rsidRDefault="00000000">
      <w:pPr>
        <w:pStyle w:val="DualTxt"/>
      </w:pPr>
      <w:r>
        <w:t>12.</w:t>
      </w:r>
      <w:r>
        <w:tab/>
        <w:t>Отвечая на вопрос г</w:t>
      </w:r>
      <w:r>
        <w:noBreakHyphen/>
        <w:t>на Солари Иригойена о</w:t>
      </w:r>
      <w:r>
        <w:t>т</w:t>
      </w:r>
      <w:r>
        <w:t>носительно представленности сербов в парламенте, выступающий говорит, что согласно конституцио</w:t>
      </w:r>
      <w:r>
        <w:t>н</w:t>
      </w:r>
      <w:r>
        <w:t>ному закону 1991 года права человека этнических и национальных меньшинств находятся под защитой и они имеют право быть представленными в парл</w:t>
      </w:r>
      <w:r>
        <w:t>а</w:t>
      </w:r>
      <w:r>
        <w:t>менте, судебной власти, администрации пропо</w:t>
      </w:r>
      <w:r>
        <w:t>р</w:t>
      </w:r>
      <w:r>
        <w:t>ционально их численности. Численность сербского населения составляет чуть более 8 процентов, и существуют два округа, которые относятся к кат</w:t>
      </w:r>
      <w:r>
        <w:t>е</w:t>
      </w:r>
      <w:r>
        <w:t>гории специальных сербских округов. Численность сербского населения в настоящее время неизвестна, однако предстоящая перепись населения позволит получить более достоверные да</w:t>
      </w:r>
      <w:r>
        <w:t>н</w:t>
      </w:r>
      <w:r>
        <w:t>ные.</w:t>
      </w:r>
    </w:p>
    <w:p w:rsidR="00000000" w:rsidRDefault="00000000">
      <w:pPr>
        <w:pStyle w:val="DualTxt"/>
      </w:pPr>
      <w:r>
        <w:t>13.</w:t>
      </w:r>
      <w:r>
        <w:tab/>
        <w:t>К концу войны в декабре 1995 года около 200 000 сербов, последовавших призывам своих собственных лидеров, покинули страну и выехали в Союзную Республику Югославию или сербские сектора Боснии и Герцеговины, и в будущем они могут вернуться в Хорв</w:t>
      </w:r>
      <w:r>
        <w:t>а</w:t>
      </w:r>
      <w:r>
        <w:t>тию.</w:t>
      </w:r>
    </w:p>
    <w:p w:rsidR="00000000" w:rsidRDefault="00000000">
      <w:pPr>
        <w:pStyle w:val="DualTxt"/>
      </w:pPr>
      <w:r>
        <w:t>14.</w:t>
      </w:r>
      <w:r>
        <w:tab/>
        <w:t>В 1996 году в результате поправок к избир</w:t>
      </w:r>
      <w:r>
        <w:t>а</w:t>
      </w:r>
      <w:r>
        <w:t>тельному закону было сокращено число сербских представителей в связи с уменьшением численн</w:t>
      </w:r>
      <w:r>
        <w:t>о</w:t>
      </w:r>
      <w:r>
        <w:t>сти сербского населения, а в результате последу</w:t>
      </w:r>
      <w:r>
        <w:t>ю</w:t>
      </w:r>
      <w:r>
        <w:t>щего пересмотра, проведенного в 1998 году, было предложено проводить выборы с учетом численн</w:t>
      </w:r>
      <w:r>
        <w:t>о</w:t>
      </w:r>
      <w:r>
        <w:t>сти населения и, возможно, разрешить представит</w:t>
      </w:r>
      <w:r>
        <w:t>е</w:t>
      </w:r>
      <w:r>
        <w:t>лям меньшинств голосовать за представителей меньшинств дважды, один раз в качестве граждан страны и второй раз — в качестве представителей меньшинств. Действие этого права будет огранич</w:t>
      </w:r>
      <w:r>
        <w:t>е</w:t>
      </w:r>
      <w:r>
        <w:t>но во избежание разделения парламента на сли</w:t>
      </w:r>
      <w:r>
        <w:t>ш</w:t>
      </w:r>
      <w:r>
        <w:t>ком большое число фракций и возникновения с</w:t>
      </w:r>
      <w:r>
        <w:t>и</w:t>
      </w:r>
      <w:r>
        <w:t>туации, когда блок представителей меньшинств м</w:t>
      </w:r>
      <w:r>
        <w:t>о</w:t>
      </w:r>
      <w:r>
        <w:t>жет контролировать итоги голосования. Выступа</w:t>
      </w:r>
      <w:r>
        <w:t>ю</w:t>
      </w:r>
      <w:r>
        <w:t>щий отмечает, что в последнее время с каждыми новыми выборами в законодательство вносились изменения и таким образом складывалась система пропорционального представительства, предусма</w:t>
      </w:r>
      <w:r>
        <w:t>т</w:t>
      </w:r>
      <w:r>
        <w:t>ривающая защиту наци</w:t>
      </w:r>
      <w:r>
        <w:t>о</w:t>
      </w:r>
      <w:r>
        <w:t>нальных меньшинств.</w:t>
      </w:r>
    </w:p>
    <w:p w:rsidR="00000000" w:rsidRDefault="00000000">
      <w:pPr>
        <w:pStyle w:val="DualTxt"/>
      </w:pPr>
      <w:r>
        <w:t>15.</w:t>
      </w:r>
      <w:r>
        <w:tab/>
      </w:r>
      <w:r>
        <w:rPr>
          <w:b/>
        </w:rPr>
        <w:t>Председатель</w:t>
      </w:r>
      <w:r>
        <w:t xml:space="preserve"> благодарит госуда</w:t>
      </w:r>
      <w:r>
        <w:t>р</w:t>
      </w:r>
      <w:r>
        <w:t>ство-участника за его первоначальный после получения независимости в 1991 году доклад, который был тщательно подготовлен и представлен, несмотря на вооруженный конфликт, продолжающийся в течение пяти лет. Кроме того, в позитивном ключе следует отметить диалог с членами Комитета: задача Ком</w:t>
      </w:r>
      <w:r>
        <w:t>и</w:t>
      </w:r>
      <w:r>
        <w:t>тета состоит в том, чтобы вносить конструктивные предложения по защите прав человека. В этой связи выступающий подчеркивает необходимость обесп</w:t>
      </w:r>
      <w:r>
        <w:t>е</w:t>
      </w:r>
      <w:r>
        <w:t>чения того, чтобы Пакт и Факультативный протокол к нему осуществлялись в судах, обеспечения более широкого распространения информации о Пакте и представления Комитету дополнительной информ</w:t>
      </w:r>
      <w:r>
        <w:t>а</w:t>
      </w:r>
      <w:r>
        <w:t>ции о фактическом положении на местах с осущ</w:t>
      </w:r>
      <w:r>
        <w:t>е</w:t>
      </w:r>
      <w:r>
        <w:t>ствлением прав человека вместо описания сущес</w:t>
      </w:r>
      <w:r>
        <w:t>т</w:t>
      </w:r>
      <w:r>
        <w:t>вующих юридических полож</w:t>
      </w:r>
      <w:r>
        <w:t>е</w:t>
      </w:r>
      <w:r>
        <w:t>ний.</w:t>
      </w:r>
    </w:p>
    <w:p w:rsidR="00000000" w:rsidRDefault="00000000">
      <w:pPr>
        <w:pStyle w:val="DualTxt"/>
      </w:pPr>
      <w:r>
        <w:t>16.</w:t>
      </w:r>
      <w:r>
        <w:tab/>
        <w:t>Комитет отмечает позитивные аспекты докл</w:t>
      </w:r>
      <w:r>
        <w:t>а</w:t>
      </w:r>
      <w:r>
        <w:t>да, а также такие недостатки, как задержки ра</w:t>
      </w:r>
      <w:r>
        <w:t>с</w:t>
      </w:r>
      <w:r>
        <w:t>смотрения дел в судебной системе, отсутствие оп</w:t>
      </w:r>
      <w:r>
        <w:t>ы</w:t>
      </w:r>
      <w:r>
        <w:t>та у судей, ограничения на свободу религиозных убеждений, статус беженцев и защиту прав челов</w:t>
      </w:r>
      <w:r>
        <w:t>е</w:t>
      </w:r>
      <w:r>
        <w:t>ка во время чрезвычайных положений, что будет более подробно изложено в заключительных зам</w:t>
      </w:r>
      <w:r>
        <w:t>е</w:t>
      </w:r>
      <w:r>
        <w:t>чаниях Комитета.</w:t>
      </w:r>
    </w:p>
    <w:p w:rsidR="00000000" w:rsidRDefault="00000000">
      <w:pPr>
        <w:pStyle w:val="DualTxt"/>
      </w:pPr>
      <w:r>
        <w:t>17.</w:t>
      </w:r>
      <w:r>
        <w:tab/>
      </w:r>
      <w:r>
        <w:rPr>
          <w:b/>
        </w:rPr>
        <w:t>Г</w:t>
      </w:r>
      <w:r>
        <w:rPr>
          <w:b/>
        </w:rPr>
        <w:noBreakHyphen/>
        <w:t>жа Карайкович</w:t>
      </w:r>
      <w:r>
        <w:t xml:space="preserve"> (Хорватия) выражает удо</w:t>
      </w:r>
      <w:r>
        <w:t>в</w:t>
      </w:r>
      <w:r>
        <w:t>летворение позитивным диалогом между делегац</w:t>
      </w:r>
      <w:r>
        <w:t>и</w:t>
      </w:r>
      <w:r>
        <w:t>ей ее страны и Комитетом, который следует пр</w:t>
      </w:r>
      <w:r>
        <w:t>о</w:t>
      </w:r>
      <w:r>
        <w:t>должить, и говорит, что рекомендации Комитета б</w:t>
      </w:r>
      <w:r>
        <w:t>у</w:t>
      </w:r>
      <w:r>
        <w:t>дут самым внимательным образом рассмотрены и послужат отправной точкой для дальнейших усилий по содействию укреплению прав человека всех гр</w:t>
      </w:r>
      <w:r>
        <w:t>а</w:t>
      </w:r>
      <w:r>
        <w:t>ждан Хо</w:t>
      </w:r>
      <w:r>
        <w:t>р</w:t>
      </w:r>
      <w:r>
        <w:t>ватии.</w:t>
      </w:r>
    </w:p>
    <w:p w:rsidR="00000000" w:rsidRDefault="00000000">
      <w:pPr>
        <w:pStyle w:val="DualTxt"/>
      </w:pPr>
      <w:r>
        <w:t>18.</w:t>
      </w:r>
      <w:r>
        <w:tab/>
        <w:t>Делегация Хо</w:t>
      </w:r>
      <w:r>
        <w:t>р</w:t>
      </w:r>
      <w:r>
        <w:t>ватии удаляется.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>Заседание закрывается в 15 ч. 50 м.</w:t>
      </w:r>
    </w:p>
    <w:p w:rsidR="00000000" w:rsidRDefault="00000000"/>
    <w:sectPr w:rsidR="00000000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num="2" w:space="24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NO&gt;&gt;N0131062R&lt;&lt;ODS JOB NO&gt;&gt;</w:t>
      </w:r>
    </w:p>
    <w:p w:rsidR="00000000" w:rsidRDefault="00000000">
      <w:pPr>
        <w:pStyle w:val="CommentText"/>
      </w:pPr>
      <w:r>
        <w:t>&lt;&lt;ODS DOC SYMBOL1&gt;&gt;CCPR/C/SR.1915&lt;&lt;ODS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de 3of9 4.6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4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4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pBdr>
        <w:top w:val="single" w:sz="2" w:space="1" w:color="auto"/>
      </w:pBdr>
      <w:rPr>
        <w:sz w:val="2"/>
      </w:rPr>
    </w:pPr>
  </w:p>
  <w:p w:rsidR="00000000" w:rsidRDefault="00000000">
    <w:pPr>
      <w:pStyle w:val="FootnoteText"/>
      <w:spacing w:after="120"/>
      <w:ind w:left="1267" w:right="1267" w:firstLine="0"/>
    </w:pPr>
    <w:r>
      <w:t>В настоящий отчет могут вноситься поправки.</w:t>
    </w:r>
  </w:p>
  <w:p w:rsidR="00000000" w:rsidRDefault="00000000">
    <w:pPr>
      <w:pStyle w:val="FootnoteText"/>
      <w:spacing w:after="120"/>
      <w:ind w:left="1267" w:right="1267" w:firstLine="0"/>
    </w:pPr>
    <w:r>
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 должны направляться </w:t>
    </w:r>
    <w:r>
      <w:rPr>
        <w:i/>
      </w:rPr>
      <w:t>в течение одной недели с момента выпуска этого документа</w:t>
    </w:r>
    <w:r>
      <w:t xml:space="preserve"> на имя начальника Секции редактирования официальных отчетов, комната DC2-750 (Chief, Official Records Editing Section, room DC2-750, 2 United Nations Plaza).</w:t>
    </w:r>
  </w:p>
  <w:p w:rsidR="00000000" w:rsidRDefault="00000000">
    <w:pPr>
      <w:pStyle w:val="FootnoteText"/>
      <w:spacing w:after="120"/>
      <w:ind w:left="1267" w:right="1267" w:firstLine="0"/>
    </w:pPr>
    <w:r>
      <w:t>Любые поправки к отчетам об открытых заседаниях Комитета на этой сессии будут сведены в один документ, содержащий только исправления, который будет издан вскоре после окончания сессии.</w:t>
    </w:r>
  </w:p>
  <w:p w:rsidR="00000000" w:rsidRDefault="00000000">
    <w:pPr>
      <w:pStyle w:val="FootnoteText"/>
      <w:spacing w:line="120" w:lineRule="exact"/>
      <w:ind w:left="1267" w:right="1267" w:firstLine="0"/>
      <w:rPr>
        <w:sz w:val="10"/>
      </w:rPr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01-31062 (R)</w:t>
    </w:r>
  </w:p>
  <w:p w:rsidR="00000000" w:rsidRDefault="00000000">
    <w:pPr>
      <w:pStyle w:val="Footer"/>
      <w:spacing w:before="60" w:line="200" w:lineRule="exact"/>
      <w:rPr>
        <w:rFonts w:ascii="Code 3of9 4.6" w:hAnsi="Code 3of9 4.6"/>
        <w:b w:val="0"/>
        <w:sz w:val="20"/>
      </w:rPr>
    </w:pPr>
    <w:r>
      <w:rPr>
        <w:rFonts w:ascii="Code 3of9 4.6" w:hAnsi="Code 3of9 4.6"/>
        <w:b w:val="0"/>
        <w:sz w:val="20"/>
      </w:rPr>
      <w:t>*0131062*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CCPR/C/SR.1915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CCPR/C/SR.1915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442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CCPR</w:t>
          </w:r>
          <w:r>
            <w:rPr>
              <w:sz w:val="20"/>
            </w:rPr>
            <w:t>/C/SR.1915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Международный пакт о гражданских и политических правах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Distr.: General</w:t>
          </w:r>
        </w:p>
        <w:p w:rsidR="00000000" w:rsidRDefault="00000000">
          <w:r>
            <w:t>21 December 2001</w:t>
          </w:r>
        </w:p>
        <w:p w:rsidR="00000000" w:rsidRDefault="00000000">
          <w:r>
            <w:t>Russian</w:t>
          </w:r>
        </w:p>
        <w:p w:rsidR="00000000" w:rsidRDefault="00000000">
          <w:r>
            <w:t>Original: English</w:t>
          </w:r>
        </w:p>
      </w:tc>
    </w:tr>
  </w:tbl>
  <w:p w:rsidR="00000000" w:rsidRDefault="0000000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activeWritingStyle w:appName="MSWord" w:lang="ru-RU" w:vendorID="1" w:dllVersion="512" w:checkStyle="1"/>
  <w:doNotTrackMoves/>
  <w:defaultTabStop w:val="475"/>
  <w:autoHyphenation/>
  <w:hyphenationZone w:val="2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20/12/2001 1:24: PM"/>
    <w:docVar w:name="DocCategory" w:val="SROthers"/>
    <w:docVar w:name="DocType" w:val="Final"/>
    <w:docVar w:name="JobNo" w:val="0131062R"/>
    <w:docVar w:name="OandT" w:val="Griaznova"/>
    <w:docVar w:name="Symbol1" w:val="CCPR/C/SR.1915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semiHidden/>
    <w:rPr>
      <w:sz w:val="14"/>
    </w:rPr>
  </w:style>
  <w:style w:type="paragraph" w:styleId="ListContinue2">
    <w:name w:val="List Continue 2"/>
    <w:basedOn w:val="Normal"/>
    <w:next w:val="Normal"/>
    <w:semiHidden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semiHidden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semiHidden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semiHidden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semiHidden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semiHidden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1292</Words>
  <Characters>8377</Characters>
  <Application>Microsoft Office Word</Application>
  <DocSecurity>4</DocSecurity>
  <Lines>231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9616</CharactersWithSpaces>
  <SharedDoc>false</SharedDoc>
  <HLinks>
    <vt:vector size="6" baseType="variant">
      <vt:variant>
        <vt:i4>4522087</vt:i4>
      </vt:variant>
      <vt:variant>
        <vt:i4>20552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DGAACS User</dc:creator>
  <cp:keywords/>
  <dc:description/>
  <cp:lastModifiedBy>DGAACS User</cp:lastModifiedBy>
  <cp:revision>2</cp:revision>
  <cp:lastPrinted>2001-12-21T08:57:00Z</cp:lastPrinted>
  <dcterms:created xsi:type="dcterms:W3CDTF">2001-12-21T09:14:00Z</dcterms:created>
  <dcterms:modified xsi:type="dcterms:W3CDTF">2001-12-21T09:14:00Z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0131062</vt:lpwstr>
  </property>
  <property fmtid="{D5CDD505-2E9C-101B-9397-08002B2CF9AE}" pid="3" name="Symbol1">
    <vt:lpwstr>CCPR/C/SR.1915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</vt:lpwstr>
  </property>
  <property fmtid="{D5CDD505-2E9C-101B-9397-08002B2CF9AE}" pid="8" name="Operator">
    <vt:lpwstr>Griaznova</vt:lpwstr>
  </property>
</Properties>
</file>