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Семьдесят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1914-м  заседании,</w:t>
      </w:r>
    </w:p>
    <w:p w:rsidR="00000000" w:rsidRDefault="00000000">
      <w:r>
        <w:t>состоявшемся в Центральных учреждениях, Нью-Йорк, в четверг, 29 марта 2001 года, в 10 ч. 00 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 xml:space="preserve"> г-н Бхагвати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  <w:r>
        <w:tab/>
      </w:r>
      <w:r>
        <w:rPr>
          <w:i/>
        </w:rPr>
        <w:t xml:space="preserve">Первоначальный доклад Хорватии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jc w:val="left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Заседание открывается в 10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Рассмотрение докладов, представленных государствами-участниками в соответствии со статьей 40 Пакта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Первоначальный доклад Хорватии (продолжение)</w:t>
      </w:r>
    </w:p>
    <w:p w:rsidR="00000000" w:rsidRDefault="00000000">
      <w:pPr>
        <w:pStyle w:val="DualTxt"/>
        <w:spacing w:after="0" w:line="120" w:lineRule="exact"/>
        <w:rPr>
          <w:i/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Перечень вопросов </w:t>
      </w:r>
      <w:r>
        <w:rPr>
          <w:i w:val="0"/>
        </w:rPr>
        <w:t>(CCPR/C/71/L/HRV)</w:t>
      </w:r>
      <w:r>
        <w:t xml:space="preserve"> 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Право на жизнь, свободу и личную неприкосновенность (статьи 2, 6, 7, 9, 16 и 17) 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>Председатель</w:t>
      </w:r>
      <w:r>
        <w:t xml:space="preserve"> приглашает членов делегации ответить на вопросы, на которые не были получены ответы на предыдущем засед</w:t>
      </w:r>
      <w:r>
        <w:t>а</w:t>
      </w:r>
      <w:r>
        <w:t>нии.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говорит, что закон об амн</w:t>
      </w:r>
      <w:r>
        <w:t>и</w:t>
      </w:r>
      <w:r>
        <w:t>стии охватывает некоторые уголовные правонар</w:t>
      </w:r>
      <w:r>
        <w:t>у</w:t>
      </w:r>
      <w:r>
        <w:t>шения, но не применяется к военным преступлен</w:t>
      </w:r>
      <w:r>
        <w:t>и</w:t>
      </w:r>
      <w:r>
        <w:t>ям. В настоящее время его положения распростр</w:t>
      </w:r>
      <w:r>
        <w:t>а</w:t>
      </w:r>
      <w:r>
        <w:t>няются примерно на 21 000 человек. На дела, св</w:t>
      </w:r>
      <w:r>
        <w:t>я</w:t>
      </w:r>
      <w:r>
        <w:t>занные с военными преступлениями, распростр</w:t>
      </w:r>
      <w:r>
        <w:t>а</w:t>
      </w:r>
      <w:r>
        <w:t>няются только правовые средства защиты. Хорва</w:t>
      </w:r>
      <w:r>
        <w:t>т</w:t>
      </w:r>
      <w:r>
        <w:t>ские неправительственные организации отметили некоторые нарушения, в основном связанные с пр</w:t>
      </w:r>
      <w:r>
        <w:t>о</w:t>
      </w:r>
      <w:r>
        <w:t>блемой квалификации убийств в качестве военных преступлений или обычных преступлений. В любом случае уголовное преследование таких преступл</w:t>
      </w:r>
      <w:r>
        <w:t>е</w:t>
      </w:r>
      <w:r>
        <w:t>ний четко регулируется з</w:t>
      </w:r>
      <w:r>
        <w:t>а</w:t>
      </w:r>
      <w:r>
        <w:t>коном.</w:t>
      </w:r>
    </w:p>
    <w:p w:rsidR="00000000" w:rsidRDefault="00000000">
      <w:pPr>
        <w:pStyle w:val="DualTxt"/>
      </w:pPr>
      <w:r>
        <w:t>3.</w:t>
      </w:r>
      <w:r>
        <w:tab/>
        <w:t>Нерассмотренные дела представляют собой проблему как для гражданских, так и уголовных с</w:t>
      </w:r>
      <w:r>
        <w:t>у</w:t>
      </w:r>
      <w:r>
        <w:t>дов, хотя эта проблема является более серьезной в гражданских судах. Правительство знает об этих проблемах и предприняло ряд мер, включая внес</w:t>
      </w:r>
      <w:r>
        <w:t>е</w:t>
      </w:r>
      <w:r>
        <w:t>ние поправок в закон о гражданском судопроизво</w:t>
      </w:r>
      <w:r>
        <w:t>д</w:t>
      </w:r>
      <w:r>
        <w:t>стве и закон об уголовном судопроизводстве с ц</w:t>
      </w:r>
      <w:r>
        <w:t>е</w:t>
      </w:r>
      <w:r>
        <w:t>лью ускорения судопроизводства, усиления отве</w:t>
      </w:r>
      <w:r>
        <w:t>т</w:t>
      </w:r>
      <w:r>
        <w:t>ственности сторон, особенно в гражданских делах, и организацию подготовки судей. Министерство юстиции создало центр профессиональной подг</w:t>
      </w:r>
      <w:r>
        <w:t>о</w:t>
      </w:r>
      <w:r>
        <w:t>товки судей и других сотрудников правоохран</w:t>
      </w:r>
      <w:r>
        <w:t>и</w:t>
      </w:r>
      <w:r>
        <w:t>тельных органов. Были предприняты усилия для улучшения условий работы судей, включая компь</w:t>
      </w:r>
      <w:r>
        <w:t>ю</w:t>
      </w:r>
      <w:r>
        <w:t>теризацию судов, повышение ответственности председателей судов в судебной администрации и укрепление дисциплины судей. Против судей был возбужден ряд дел в связи с ненадлежащим выпо</w:t>
      </w:r>
      <w:r>
        <w:t>л</w:t>
      </w:r>
      <w:r>
        <w:t>нением ими св</w:t>
      </w:r>
      <w:r>
        <w:t>о</w:t>
      </w:r>
      <w:r>
        <w:t>их функций.</w:t>
      </w:r>
    </w:p>
    <w:p w:rsidR="00000000" w:rsidRDefault="00000000">
      <w:pPr>
        <w:pStyle w:val="DualTxt"/>
      </w:pPr>
      <w:r>
        <w:t>4.</w:t>
      </w:r>
      <w:r>
        <w:tab/>
        <w:t>Обвинители Международного уголовного тр</w:t>
      </w:r>
      <w:r>
        <w:t>и</w:t>
      </w:r>
      <w:r>
        <w:t>бунала для бывшей Югославии в настоящее время находятся в Загребе и опрашивают генерала Петара Стипетича, начальника штаба хорватской армии. Кроме того, генерал Мирко Норач и другие ожид</w:t>
      </w:r>
      <w:r>
        <w:t>а</w:t>
      </w:r>
      <w:r>
        <w:t>ют рассмотрения их дел в суде округа Риджека за военные преступления, совершенные в Госпиче. Хотя многие военные преступления не рассмотр</w:t>
      </w:r>
      <w:r>
        <w:t>е</w:t>
      </w:r>
      <w:r>
        <w:t>ны, правительство уверено, что хорватская судебная система сможет рассмотреть эти дела в местных с</w:t>
      </w:r>
      <w:r>
        <w:t>у</w:t>
      </w:r>
      <w:r>
        <w:t>дах. Не предусматривается срок давности за вое</w:t>
      </w:r>
      <w:r>
        <w:t>н</w:t>
      </w:r>
      <w:r>
        <w:t>ные преступления. Дело, возбужденное против г</w:t>
      </w:r>
      <w:r>
        <w:t>е</w:t>
      </w:r>
      <w:r>
        <w:t>нерала Стипетича, должно продемонстрировать приверженность Хорватии к преследованию вое</w:t>
      </w:r>
      <w:r>
        <w:t>н</w:t>
      </w:r>
      <w:r>
        <w:t>ных преступлений независимо от лиц, соверши</w:t>
      </w:r>
      <w:r>
        <w:t>в</w:t>
      </w:r>
      <w:r>
        <w:t>ших их.</w:t>
      </w:r>
    </w:p>
    <w:p w:rsidR="00000000" w:rsidRDefault="00000000">
      <w:pPr>
        <w:pStyle w:val="DualTxt"/>
      </w:pPr>
      <w:r>
        <w:t>5.</w:t>
      </w:r>
      <w:r>
        <w:tab/>
        <w:t>Закон об адвокатах определяет условия рег</w:t>
      </w:r>
      <w:r>
        <w:t>и</w:t>
      </w:r>
      <w:r>
        <w:t>страции адвокатов и требует, чтобы адвокаты, рег</w:t>
      </w:r>
      <w:r>
        <w:t>и</w:t>
      </w:r>
      <w:r>
        <w:t>стрируемые в Хорватской ассоциации адвокатов, были хорватскими гражданами. В ходе переговоров с Европейским союзом эта проблема была затрон</w:t>
      </w:r>
      <w:r>
        <w:t>у</w:t>
      </w:r>
      <w:r>
        <w:t>та, и правительство разработало новый закон в ц</w:t>
      </w:r>
      <w:r>
        <w:t>е</w:t>
      </w:r>
      <w:r>
        <w:t>лях решения этой проблемы. Закон об уголовном судопроизводстве и закон о гражданском судопр</w:t>
      </w:r>
      <w:r>
        <w:t>о</w:t>
      </w:r>
      <w:r>
        <w:t>изводстве предусматривают бесплатную юридич</w:t>
      </w:r>
      <w:r>
        <w:t>е</w:t>
      </w:r>
      <w:r>
        <w:t>скую защиту в зависимости от финансового пол</w:t>
      </w:r>
      <w:r>
        <w:t>о</w:t>
      </w:r>
      <w:r>
        <w:t>жения обв</w:t>
      </w:r>
      <w:r>
        <w:t>и</w:t>
      </w:r>
      <w:r>
        <w:t>няемого.</w:t>
      </w:r>
    </w:p>
    <w:p w:rsidR="00000000" w:rsidRDefault="00000000">
      <w:pPr>
        <w:pStyle w:val="DualTxt"/>
      </w:pPr>
      <w:r>
        <w:t>6.</w:t>
      </w:r>
      <w:r>
        <w:tab/>
        <w:t>В Конституции содержится общее положение в отношении свободы религии; в настоящее время г</w:t>
      </w:r>
      <w:r>
        <w:t>о</w:t>
      </w:r>
      <w:r>
        <w:t>товится проект закона, который будет регулировать правовой статус религиозных общин и охватывать такие области, как регистрация, религиозное обуч</w:t>
      </w:r>
      <w:r>
        <w:t>е</w:t>
      </w:r>
      <w:r>
        <w:t>ние, полиция, армия и тюрьмы.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н Кукавица</w:t>
      </w:r>
      <w:r>
        <w:t xml:space="preserve"> говорит, что ряд вопросов был затронут в отношении этнических инцидентов, к</w:t>
      </w:r>
      <w:r>
        <w:t>о</w:t>
      </w:r>
      <w:r>
        <w:t>торые имели место в отношениях между хорва</w:t>
      </w:r>
      <w:r>
        <w:t>т</w:t>
      </w:r>
      <w:r>
        <w:t>скими и сербскими гражданами. В 1999 году имели место мирные протесты в Бираке и Вуковаре жит</w:t>
      </w:r>
      <w:r>
        <w:t>е</w:t>
      </w:r>
      <w:r>
        <w:t>лей хорватского происхождения, которые выступали против возвращения сербских беженцев в связи с преступлениями, совершенными против хорватов в Бираке в 1991 году в начале войны постоянными жителями сербского происхождения. Эти протесты привели к рфду инцидентов, включая убийство се</w:t>
      </w:r>
      <w:r>
        <w:t>р</w:t>
      </w:r>
      <w:r>
        <w:t>ба Джюро Мутича в его собственном доме жителем хорватского происхождения. В настоящее время проводится судебное преследование обвиняемых и ситуации в Бираке стабилизир</w:t>
      </w:r>
      <w:r>
        <w:t>о</w:t>
      </w:r>
      <w:r>
        <w:t>валась.</w:t>
      </w:r>
    </w:p>
    <w:p w:rsidR="00000000" w:rsidRDefault="00000000">
      <w:pPr>
        <w:pStyle w:val="DualTxt"/>
      </w:pPr>
      <w:r>
        <w:t>8.</w:t>
      </w:r>
      <w:r>
        <w:tab/>
        <w:t>Также в 1999 году ряд служащих полиции в Дубровнике применили силу, чтобы сломить сопр</w:t>
      </w:r>
      <w:r>
        <w:t>о</w:t>
      </w:r>
      <w:r>
        <w:t>тивление Николы Милетича, который нарушал з</w:t>
      </w:r>
      <w:r>
        <w:t>а</w:t>
      </w:r>
      <w:r>
        <w:t>коны, защищающие общественный порядок и мир. Начальник полицейского участка убежден, что де</w:t>
      </w:r>
      <w:r>
        <w:t>й</w:t>
      </w:r>
      <w:r>
        <w:t>ствия полиции были справедливыми и законными. Однако г</w:t>
      </w:r>
      <w:r>
        <w:noBreakHyphen/>
        <w:t>н Милетич направил государственному обвинителю заявление об обвинении в злоупотре</w:t>
      </w:r>
      <w:r>
        <w:t>б</w:t>
      </w:r>
      <w:r>
        <w:t>лении полицией властью; решение пока еще не б</w:t>
      </w:r>
      <w:r>
        <w:t>ы</w:t>
      </w:r>
      <w:r>
        <w:t>ло вынесено.</w:t>
      </w:r>
    </w:p>
    <w:p w:rsidR="00000000" w:rsidRDefault="00000000">
      <w:pPr>
        <w:pStyle w:val="DualTxt"/>
      </w:pPr>
      <w:r>
        <w:t>9.</w:t>
      </w:r>
      <w:r>
        <w:tab/>
        <w:t>Дело Шефика Мушкича имело место в 1995 году в городе Славонский Брод. Два сотрудн</w:t>
      </w:r>
      <w:r>
        <w:t>и</w:t>
      </w:r>
      <w:r>
        <w:t>ка полиции применили силу для получения инфо</w:t>
      </w:r>
      <w:r>
        <w:t>р</w:t>
      </w:r>
      <w:r>
        <w:t>мации от г</w:t>
      </w:r>
      <w:r>
        <w:noBreakHyphen/>
        <w:t>на Мушкича в отношении деятельности, которая противоречила интересам национальной безопасности Хорватии; он получил серьезные т</w:t>
      </w:r>
      <w:r>
        <w:t>е</w:t>
      </w:r>
      <w:r>
        <w:t>лесные повреждения, которые впоследствии прив</w:t>
      </w:r>
      <w:r>
        <w:t>е</w:t>
      </w:r>
      <w:r>
        <w:t>ли к его смерти. Было возбуждено судебное пресл</w:t>
      </w:r>
      <w:r>
        <w:t>е</w:t>
      </w:r>
      <w:r>
        <w:t>дование против этих сотрудников за использование силы для получения информации; в настоящее вр</w:t>
      </w:r>
      <w:r>
        <w:t>е</w:t>
      </w:r>
      <w:r>
        <w:t>мя по этому делу подана апелляция.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н Мрчела</w:t>
      </w:r>
      <w:r>
        <w:t xml:space="preserve"> говорит, что, если судья или к</w:t>
      </w:r>
      <w:r>
        <w:t>а</w:t>
      </w:r>
      <w:r>
        <w:t>кой</w:t>
      </w:r>
      <w:r>
        <w:noBreakHyphen/>
        <w:t>либо другой сотрудник суда допускает необо</w:t>
      </w:r>
      <w:r>
        <w:t>с</w:t>
      </w:r>
      <w:r>
        <w:t>нованную задержку судебного разбирательства, этот вопрос должен доводиться до сведения суда, с тем чтобы можно было предпринять соответствующие действия. Ему известно об одном случае, когда с</w:t>
      </w:r>
      <w:r>
        <w:t>у</w:t>
      </w:r>
      <w:r>
        <w:t>дья был освобожден от своих обязанностей по м</w:t>
      </w:r>
      <w:r>
        <w:t>о</w:t>
      </w:r>
      <w:r>
        <w:t>тивам небрежности, когда Хорватия была еще чл</w:t>
      </w:r>
      <w:r>
        <w:t>е</w:t>
      </w:r>
      <w:r>
        <w:t>ном бывшей Югославии. Такие преступления, как геноцид, агрессия и военные преступления или др</w:t>
      </w:r>
      <w:r>
        <w:t>у</w:t>
      </w:r>
      <w:r>
        <w:t>гие преступления, подпадающие под междунаро</w:t>
      </w:r>
      <w:r>
        <w:t>д</w:t>
      </w:r>
      <w:r>
        <w:t>ное право, не подлежат применению срока давн</w:t>
      </w:r>
      <w:r>
        <w:t>о</w:t>
      </w:r>
      <w:r>
        <w:t>сти.</w:t>
      </w:r>
    </w:p>
    <w:p w:rsidR="00000000" w:rsidRDefault="00000000">
      <w:pPr>
        <w:pStyle w:val="DualTxt"/>
      </w:pPr>
      <w:r>
        <w:t>11.</w:t>
      </w:r>
      <w:r>
        <w:tab/>
        <w:t>Пункт 343 доклада, где обсуждается вопрос тюремного заключения несовершеннолетних, вв</w:t>
      </w:r>
      <w:r>
        <w:t>о</w:t>
      </w:r>
      <w:r>
        <w:t>дит в заблуждение, поскольку в нем не упоминае</w:t>
      </w:r>
      <w:r>
        <w:t>т</w:t>
      </w:r>
      <w:r>
        <w:t>ся, что только несовершеннолетние в возрасте от 14 лет и старше приговариваются к тюремному з</w:t>
      </w:r>
      <w:r>
        <w:t>а</w:t>
      </w:r>
      <w:r>
        <w:t>ключению. Пункт 89 содержит неправильное толк</w:t>
      </w:r>
      <w:r>
        <w:t>о</w:t>
      </w:r>
      <w:r>
        <w:t>вание: арест не является полицейской м</w:t>
      </w:r>
      <w:r>
        <w:t>е</w:t>
      </w:r>
      <w:r>
        <w:t>рой.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</w:t>
      </w:r>
      <w:r>
        <w:rPr>
          <w:b/>
        </w:rPr>
        <w:noBreakHyphen/>
        <w:t>жа Шане</w:t>
      </w:r>
      <w:r>
        <w:t xml:space="preserve"> говорит, что ответы, полученные в отношении первой части перечня вопросов, по</w:t>
      </w:r>
      <w:r>
        <w:t>д</w:t>
      </w:r>
      <w:r>
        <w:t>тверждают ее понимание серьезности доклада. Она благодарна делегации за разъяснение различных двусмысленностей. Вызывает сожаление тот факт, что Пакт не включен в Конституцию: она исходит из того, что этот вопрос все еще обсуждается хо</w:t>
      </w:r>
      <w:r>
        <w:t>р</w:t>
      </w:r>
      <w:r>
        <w:t>ватскими законодателями. Она сомневается, что н</w:t>
      </w:r>
      <w:r>
        <w:t>е</w:t>
      </w:r>
      <w:r>
        <w:t>которые права, воплощенные в Пакте, достаточным образом отражены в Конституции или во внутре</w:t>
      </w:r>
      <w:r>
        <w:t>н</w:t>
      </w:r>
      <w:r>
        <w:t>них законах; другие вообще не отражены. В случае объявления чрезвычайного положения условия, з</w:t>
      </w:r>
      <w:r>
        <w:t>а</w:t>
      </w:r>
      <w:r>
        <w:t>ложенные в статье 4 Пакта, являются более жес</w:t>
      </w:r>
      <w:r>
        <w:t>т</w:t>
      </w:r>
      <w:r>
        <w:t>кими, чем условия, устанавливаемые Конституцией; то же справедливо и в отношении статьи 26, рег</w:t>
      </w:r>
      <w:r>
        <w:t>у</w:t>
      </w:r>
      <w:r>
        <w:t>лирующей право на недискриминацию. Вызывает сожаление тот факт, что более жесткие документы дают меньше полномочий, чем менее жесткие. Кроме того, статья 16 Конституции предусматрив</w:t>
      </w:r>
      <w:r>
        <w:t>а</w:t>
      </w:r>
      <w:r>
        <w:t>ет более общее умаление прав.</w:t>
      </w:r>
    </w:p>
    <w:p w:rsidR="00000000" w:rsidRDefault="00000000">
      <w:pPr>
        <w:pStyle w:val="DualTxt"/>
      </w:pPr>
      <w:r>
        <w:t>13.</w:t>
      </w:r>
      <w:r>
        <w:tab/>
        <w:t>Она заверяет делегацию, что Комитет состоит из экспертов как в области гражданского, так и уг</w:t>
      </w:r>
      <w:r>
        <w:t>о</w:t>
      </w:r>
      <w:r>
        <w:t>ловного права и полностью понимает различие м</w:t>
      </w:r>
      <w:r>
        <w:t>е</w:t>
      </w:r>
      <w:r>
        <w:t>жду арестом и задержанием. Она благодарит дел</w:t>
      </w:r>
      <w:r>
        <w:t>е</w:t>
      </w:r>
      <w:r>
        <w:t>гацию за ее ответы, касающиеся принудительного задержания, и разъяснения, касающиеся освобо</w:t>
      </w:r>
      <w:r>
        <w:t>ж</w:t>
      </w:r>
      <w:r>
        <w:t>дения арестованных лиц.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>н Ширер</w:t>
      </w:r>
      <w:r>
        <w:t xml:space="preserve"> говорит, что он хотел бы выя</w:t>
      </w:r>
      <w:r>
        <w:t>с</w:t>
      </w:r>
      <w:r>
        <w:t>нить, может ли лицо сербского происхождения, р</w:t>
      </w:r>
      <w:r>
        <w:t>о</w:t>
      </w:r>
      <w:r>
        <w:t>жденное в Хорватии и перемещенное в ходе войны, получить гражданство. Он хотел бы получить к</w:t>
      </w:r>
      <w:r>
        <w:t>о</w:t>
      </w:r>
      <w:r>
        <w:t>пию закона о гражданстве, если он имеется на ан</w:t>
      </w:r>
      <w:r>
        <w:t>г</w:t>
      </w:r>
      <w:r>
        <w:t>лийском или францу</w:t>
      </w:r>
      <w:r>
        <w:t>з</w:t>
      </w:r>
      <w:r>
        <w:t>ском языке.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Председатель</w:t>
      </w:r>
      <w:r>
        <w:t xml:space="preserve"> интересуется, какая доля з</w:t>
      </w:r>
      <w:r>
        <w:t>а</w:t>
      </w:r>
      <w:r>
        <w:t>ключенных состоит из лиц, заключенных под стр</w:t>
      </w:r>
      <w:r>
        <w:t>а</w:t>
      </w:r>
      <w:r>
        <w:t>жу до начала суде</w:t>
      </w:r>
      <w:r>
        <w:t>б</w:t>
      </w:r>
      <w:r>
        <w:t>ного процесса.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Сэр Найджел Родли</w:t>
      </w:r>
      <w:r>
        <w:t xml:space="preserve"> говорит, что он призн</w:t>
      </w:r>
      <w:r>
        <w:t>а</w:t>
      </w:r>
      <w:r>
        <w:t>телен за четкое объяснение системы заключения под стражу до начала судебного процесса. Кроме того, он хотел бы знать, на кого распространяется юрисдикция над судебными помещениями и перс</w:t>
      </w:r>
      <w:r>
        <w:t>о</w:t>
      </w:r>
      <w:r>
        <w:t>налом, работающим в таких помещениях. Поскол</w:t>
      </w:r>
      <w:r>
        <w:t>ь</w:t>
      </w:r>
      <w:r>
        <w:t>ку существует ряд сценариев для лиц, находящихся в заключении, он хотел бы знать, на каком принц</w:t>
      </w:r>
      <w:r>
        <w:t>и</w:t>
      </w:r>
      <w:r>
        <w:t>пе основана эта система и каковы гарантии для лиц, содержащихся в заключении по подозрению в с</w:t>
      </w:r>
      <w:r>
        <w:t>о</w:t>
      </w:r>
      <w:r>
        <w:t>вершении преступления. Он хотел бы также знать, в соответствии с какой юрисдикцией лицо было з</w:t>
      </w:r>
      <w:r>
        <w:t>а</w:t>
      </w:r>
      <w:r>
        <w:t>держано в целях расследования и по чьему указ</w:t>
      </w:r>
      <w:r>
        <w:t>а</w:t>
      </w:r>
      <w:r>
        <w:t>нию действует персонал, ответственный за заде</w:t>
      </w:r>
      <w:r>
        <w:t>р</w:t>
      </w:r>
      <w:r>
        <w:t>жание о</w:t>
      </w:r>
      <w:r>
        <w:t>б</w:t>
      </w:r>
      <w:r>
        <w:t>виняемого.</w:t>
      </w:r>
    </w:p>
    <w:p w:rsidR="00000000" w:rsidRDefault="00000000">
      <w:pPr>
        <w:pStyle w:val="DualTxt"/>
      </w:pPr>
      <w:r>
        <w:t>17.</w:t>
      </w:r>
      <w:r>
        <w:tab/>
        <w:t>Он хотел бы также знать, почему в статист</w:t>
      </w:r>
      <w:r>
        <w:t>и</w:t>
      </w:r>
      <w:r>
        <w:t>ческих данных, представленных делегацией в ответ на вопрос, содержащийся в пункте 8 перечня в</w:t>
      </w:r>
      <w:r>
        <w:t>о</w:t>
      </w:r>
      <w:r>
        <w:t>просов, не содержится данных, касающихся ст</w:t>
      </w:r>
      <w:r>
        <w:t>а</w:t>
      </w:r>
      <w:r>
        <w:t>тьи 176 Уголовного кодекса, которая касается п</w:t>
      </w:r>
      <w:r>
        <w:t>ы</w:t>
      </w:r>
      <w:r>
        <w:t>ток, или статьи 99, которая связана с серьезными телесными повреждениями, и почему пытки влекут за собой менее серьезное максимальное наказание, чем нанес</w:t>
      </w:r>
      <w:r>
        <w:t>е</w:t>
      </w:r>
      <w:r>
        <w:t>ние серьезных телесных повреждений.</w:t>
      </w:r>
    </w:p>
    <w:p w:rsidR="00000000" w:rsidRDefault="00000000">
      <w:pPr>
        <w:pStyle w:val="DualTxt"/>
      </w:pPr>
      <w:r>
        <w:t>18.</w:t>
      </w:r>
      <w:r>
        <w:tab/>
        <w:t>Что касается пунктов 139 и 140 доклада, он интересуется, могут ли заключенные быть предм</w:t>
      </w:r>
      <w:r>
        <w:t>е</w:t>
      </w:r>
      <w:r>
        <w:t>том медицинских экспериментов.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н Лаллах</w:t>
      </w:r>
      <w:r>
        <w:t xml:space="preserve"> говорит, что государство-участник неправильно поняло вопрос, поднятый в пункте 3 перечня вопросов. Комитет хотел бы знать, какие механизмы задействованы для того, чтобы пров</w:t>
      </w:r>
      <w:r>
        <w:t>о</w:t>
      </w:r>
      <w:r>
        <w:t>дить в жизнь мнения Комитета в ответ на сообщ</w:t>
      </w:r>
      <w:r>
        <w:t>е</w:t>
      </w:r>
      <w:r>
        <w:t>ние, полученное от индивидуума, в соответствии с положениями Факультативного прот</w:t>
      </w:r>
      <w:r>
        <w:t>о</w:t>
      </w:r>
      <w:r>
        <w:t>кола к Пакту.</w:t>
      </w:r>
    </w:p>
    <w:p w:rsidR="00000000" w:rsidRDefault="00000000">
      <w:pPr>
        <w:pStyle w:val="DualTxt"/>
      </w:pPr>
      <w:r>
        <w:t>20.</w:t>
      </w:r>
      <w:r>
        <w:tab/>
        <w:t>Он поддерживает замечания г</w:t>
      </w:r>
      <w:r>
        <w:noBreakHyphen/>
        <w:t>жи Шане в о</w:t>
      </w:r>
      <w:r>
        <w:t>т</w:t>
      </w:r>
      <w:r>
        <w:t>ношении включения статей Пакта в Конституцию, но он пошел бы еще дальше. Хотя в статье 2 гов</w:t>
      </w:r>
      <w:r>
        <w:t>о</w:t>
      </w:r>
      <w:r>
        <w:t>рится о конституционном процессе в целях осущ</w:t>
      </w:r>
      <w:r>
        <w:t>е</w:t>
      </w:r>
      <w:r>
        <w:t>ствления ее положений, это не означает исключения этих прав от включения их в закон. Он исходит из того, что хорватские судьи не привыкли применять положения Пакта и других документов по правам человека. Не включая точные термины Пакта в Ко</w:t>
      </w:r>
      <w:r>
        <w:t>н</w:t>
      </w:r>
      <w:r>
        <w:t>ституцию, Хорватия лишает своих судей возможн</w:t>
      </w:r>
      <w:r>
        <w:t>о</w:t>
      </w:r>
      <w:r>
        <w:t>сти высказываться по этим вопросам и вынуждает граждан Хорватии подавать жалобы в Европейский суд по правам человека в Страсбурге. Для того чт</w:t>
      </w:r>
      <w:r>
        <w:t>о</w:t>
      </w:r>
      <w:r>
        <w:t>бы воспитать культуру прав человека для защиты прав и защиты от злоупотребления правами, все права по Пакту должны быть включены в Конст</w:t>
      </w:r>
      <w:r>
        <w:t>и</w:t>
      </w:r>
      <w:r>
        <w:t>туцию как таковые. Например, права детей в соо</w:t>
      </w:r>
      <w:r>
        <w:t>т</w:t>
      </w:r>
      <w:r>
        <w:t>ветствии со статьей 24 не отражены в Конституции.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н Крецмер</w:t>
      </w:r>
      <w:r>
        <w:t xml:space="preserve"> говорит, что, хотя государс</w:t>
      </w:r>
      <w:r>
        <w:t>т</w:t>
      </w:r>
      <w:r>
        <w:t>во-участник в широком плане обсуждало правовой а</w:t>
      </w:r>
      <w:r>
        <w:t>п</w:t>
      </w:r>
      <w:r>
        <w:t>парат в Хорватии, оно представило недостаточно информации о положении в этой области. Он хотел бы выяснить, какие действия были предприняты местными судами против лиц, вовлеченных в вое</w:t>
      </w:r>
      <w:r>
        <w:t>н</w:t>
      </w:r>
      <w:r>
        <w:t>ные преступления в течение начала 90</w:t>
      </w:r>
      <w:r>
        <w:noBreakHyphen/>
        <w:t>х годов, к</w:t>
      </w:r>
      <w:r>
        <w:t>а</w:t>
      </w:r>
      <w:r>
        <w:t>ков статус военнослужащих, якобы совершивших военные преступления, и что было сделано для т</w:t>
      </w:r>
      <w:r>
        <w:t>о</w:t>
      </w:r>
      <w:r>
        <w:t>го, чтобы обеспечить, чтобы такие лица больше не служили в вооруже</w:t>
      </w:r>
      <w:r>
        <w:t>н</w:t>
      </w:r>
      <w:r>
        <w:t>ных силах.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н Клисович</w:t>
      </w:r>
      <w:r>
        <w:t xml:space="preserve"> говорит, что в бывшей Югосл</w:t>
      </w:r>
      <w:r>
        <w:t>а</w:t>
      </w:r>
      <w:r>
        <w:t>вии все лица имели федеральное гражданство; и лица, рожденные в Хорватии, имели хорватское гражданство и югославское федеральное гражда</w:t>
      </w:r>
      <w:r>
        <w:t>н</w:t>
      </w:r>
      <w:r>
        <w:t>ство. Когда бывшая Югославия прекратила свое существование, всем лицам в Хорватии было пре</w:t>
      </w:r>
      <w:r>
        <w:t>д</w:t>
      </w:r>
      <w:r>
        <w:t>ложено принять хорватское гражданство. По сущ</w:t>
      </w:r>
      <w:r>
        <w:t>е</w:t>
      </w:r>
      <w:r>
        <w:t>ствующему закону любое лицо, родившееся в Хо</w:t>
      </w:r>
      <w:r>
        <w:t>р</w:t>
      </w:r>
      <w:r>
        <w:t>ватии, имеет право на гражданство, также как и л</w:t>
      </w:r>
      <w:r>
        <w:t>ю</w:t>
      </w:r>
      <w:r>
        <w:t>бое лицо, которое проживало в Хорватии в течение пяти лет и уважало законы и традиционную культ</w:t>
      </w:r>
      <w:r>
        <w:t>у</w:t>
      </w:r>
      <w:r>
        <w:t>ру страны.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н Мрчела</w:t>
      </w:r>
      <w:r>
        <w:t xml:space="preserve"> говорит, что все судебные пом</w:t>
      </w:r>
      <w:r>
        <w:t>е</w:t>
      </w:r>
      <w:r>
        <w:t>щения для содержания арестованных управляются и обслуживаются персоналом, назначаемым мин</w:t>
      </w:r>
      <w:r>
        <w:t>и</w:t>
      </w:r>
      <w:r>
        <w:t>стерством юстиции, а не полицией. Они, тем не м</w:t>
      </w:r>
      <w:r>
        <w:t>е</w:t>
      </w:r>
      <w:r>
        <w:t>нее, находятся под руководством председателя суда, имеющего юрисдикцию в этом вопросе. В соотве</w:t>
      </w:r>
      <w:r>
        <w:t>т</w:t>
      </w:r>
      <w:r>
        <w:t>ствии с хорватскими законами в исключительных случаях судья может вынести решение о временном содержании лица в полицейском участке, если пр</w:t>
      </w:r>
      <w:r>
        <w:t>а</w:t>
      </w:r>
      <w:r>
        <w:t>вонарушение, которое вменяется ему в вину, нак</w:t>
      </w:r>
      <w:r>
        <w:t>а</w:t>
      </w:r>
      <w:r>
        <w:t>зуется на срок более чем пять лет. Однако, исходя из его опыта, судьи неохотно применяют это прав</w:t>
      </w:r>
      <w:r>
        <w:t>и</w:t>
      </w:r>
      <w:r>
        <w:t>ло и предпочитают содержать таких лиц в помещ</w:t>
      </w:r>
      <w:r>
        <w:t>е</w:t>
      </w:r>
      <w:r>
        <w:t>нии суда, где находятся специальные помещения для содержания арестованных в течение 24-часо-</w:t>
      </w:r>
      <w:r>
        <w:br/>
        <w:t>вого п</w:t>
      </w:r>
      <w:r>
        <w:t>е</w:t>
      </w:r>
      <w:r>
        <w:t>риода.</w:t>
      </w:r>
    </w:p>
    <w:p w:rsidR="00000000" w:rsidRDefault="00000000">
      <w:pPr>
        <w:pStyle w:val="DualTxt"/>
      </w:pPr>
      <w:r>
        <w:t>24.</w:t>
      </w:r>
      <w:r>
        <w:tab/>
        <w:t>Статистические данные, имеющиеся в соо</w:t>
      </w:r>
      <w:r>
        <w:t>т</w:t>
      </w:r>
      <w:r>
        <w:t>ветствии со статьями уголовного кодекса в связи с пытками и нанесением тяжких телесных поврежд</w:t>
      </w:r>
      <w:r>
        <w:t>е</w:t>
      </w:r>
      <w:r>
        <w:t>ний, являются недостаточными. Ему не известно о каких-либо делах, связанных с пытками, которые не решены в соответствии с положениями статьи 176. Статья 99, которая касается нанесения тяжких т</w:t>
      </w:r>
      <w:r>
        <w:t>е</w:t>
      </w:r>
      <w:r>
        <w:t>лесных повреждений, касается четырех степеней тяжести, причем наказание колеблется от нескол</w:t>
      </w:r>
      <w:r>
        <w:t>ь</w:t>
      </w:r>
      <w:r>
        <w:t>ких месяцев до восьми лет. Ему не известно, поч</w:t>
      </w:r>
      <w:r>
        <w:t>е</w:t>
      </w:r>
      <w:r>
        <w:t>му хорватское законодательство установило эти различия; однако лицо может быть обвинено более чем в одном правонаруш</w:t>
      </w:r>
      <w:r>
        <w:t>е</w:t>
      </w:r>
      <w:r>
        <w:t>нии одновременно.</w:t>
      </w:r>
    </w:p>
    <w:p w:rsidR="00000000" w:rsidRDefault="00000000">
      <w:pPr>
        <w:pStyle w:val="DualTxt"/>
      </w:pPr>
      <w:r>
        <w:t>25.</w:t>
      </w:r>
      <w:r>
        <w:tab/>
        <w:t>В Хорватии не практикуются медицинские эксперименты на заключе</w:t>
      </w:r>
      <w:r>
        <w:t>н</w:t>
      </w:r>
      <w:r>
        <w:t>ных.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н Смердель</w:t>
      </w:r>
      <w:r>
        <w:t xml:space="preserve"> г</w:t>
      </w:r>
      <w:r>
        <w:t>о</w:t>
      </w:r>
      <w:r>
        <w:t>ворит, что государство-участник, возможно, не поняло вопрос г</w:t>
      </w:r>
      <w:r>
        <w:noBreakHyphen/>
        <w:t>на Лаллаха о национальном механизме осуществления мнений Комитета, но было не в состоянии сообщить о св</w:t>
      </w:r>
      <w:r>
        <w:t>о</w:t>
      </w:r>
      <w:r>
        <w:t>ем опыте в любом из этих случаев, поскольку мн</w:t>
      </w:r>
      <w:r>
        <w:t>е</w:t>
      </w:r>
      <w:r>
        <w:t>ния Комитета не были доведены до его сведения. (Европейский суд по правам человека все еще ра</w:t>
      </w:r>
      <w:r>
        <w:t>с</w:t>
      </w:r>
      <w:r>
        <w:t>сматривает три дела.) Государство-участник также не приняло решения по вопросу о том, дают ли эти мнения основание для повторного слушания дела, хотя статья 29 Конституции может толковаться т</w:t>
      </w:r>
      <w:r>
        <w:t>а</w:t>
      </w:r>
      <w:r>
        <w:t>ким образом.</w:t>
      </w:r>
    </w:p>
    <w:p w:rsidR="00000000" w:rsidRDefault="00000000">
      <w:pPr>
        <w:pStyle w:val="DualTxt"/>
      </w:pPr>
      <w:r>
        <w:t>27.</w:t>
      </w:r>
      <w:r>
        <w:tab/>
        <w:t>Что касается вопроса г</w:t>
      </w:r>
      <w:r>
        <w:noBreakHyphen/>
        <w:t>на Лаллаха в отнош</w:t>
      </w:r>
      <w:r>
        <w:t>е</w:t>
      </w:r>
      <w:r>
        <w:t>нии включения положений документов о правах ч</w:t>
      </w:r>
      <w:r>
        <w:t>е</w:t>
      </w:r>
      <w:r>
        <w:t>ловека в Конституцию, он говорит, что объедине</w:t>
      </w:r>
      <w:r>
        <w:t>н</w:t>
      </w:r>
      <w:r>
        <w:t>ные источники законов о правах человека, например Пакт, Европейская конвенция по правам человека или Европейская социальная хартия, сводят на нет их ценность и эффективность. Реальной проблемой является подготовка судей в целях рассмотрения различных документов и применения их при прин</w:t>
      </w:r>
      <w:r>
        <w:t>я</w:t>
      </w:r>
      <w:r>
        <w:t>тии внутренних р</w:t>
      </w:r>
      <w:r>
        <w:t>е</w:t>
      </w:r>
      <w:r>
        <w:t>шений.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 Карайкович</w:t>
      </w:r>
      <w:r>
        <w:t xml:space="preserve"> говорит, что делегация приложит все усилия, чтобы направить копии хо</w:t>
      </w:r>
      <w:r>
        <w:t>р</w:t>
      </w:r>
      <w:r>
        <w:t>ватских законов о гражданстве на английском языке сэру Найджел Родли. В ответ на вопрос г</w:t>
      </w:r>
      <w:r>
        <w:noBreakHyphen/>
        <w:t>на Кре</w:t>
      </w:r>
      <w:r>
        <w:t>ц</w:t>
      </w:r>
      <w:r>
        <w:t>мера она признает, что данные о военных престу</w:t>
      </w:r>
      <w:r>
        <w:t>п</w:t>
      </w:r>
      <w:r>
        <w:t>лениях отсутствуют, но обращает внимание на дело, возбужденное против хорватского генерала — пе</w:t>
      </w:r>
      <w:r>
        <w:t>р</w:t>
      </w:r>
      <w:r>
        <w:t>вое важное дело, которое будет рассматриваться в Хорватии, а не Гаагским судом, — и говорит, что это первый шаг, демонстрирующий приверженность страны осуществить судебное преследование всех в</w:t>
      </w:r>
      <w:r>
        <w:t>о</w:t>
      </w:r>
      <w:r>
        <w:t xml:space="preserve">енных преступлений.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>Свобода выражения своего мнения, право на мирное собрание и право на свободу ассоциаций (статьи 19, 21 и 22)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Председатель</w:t>
      </w:r>
      <w:r>
        <w:t xml:space="preserve"> зачитывает вопросы, каса</w:t>
      </w:r>
      <w:r>
        <w:t>ю</w:t>
      </w:r>
      <w:r>
        <w:t>щиеся вышеуказанных статей: какие ограничения накладываются на свободу прессы; их совмест</w:t>
      </w:r>
      <w:r>
        <w:t>и</w:t>
      </w:r>
      <w:r>
        <w:t>мость со статьей 19 Пакта; состав и критерии, и</w:t>
      </w:r>
      <w:r>
        <w:t>с</w:t>
      </w:r>
      <w:r>
        <w:t>пользуемые Комиссией по апелляциям в рамках м</w:t>
      </w:r>
      <w:r>
        <w:t>и</w:t>
      </w:r>
      <w:r>
        <w:t>нистерства внутренних дел при заслушании апе</w:t>
      </w:r>
      <w:r>
        <w:t>л</w:t>
      </w:r>
      <w:r>
        <w:t>ляций против решений администрации полиции о запрещении общественных собраний; временные рамки для Комиссии относительно публикаций ее решений в таких случаях; и ограничения, налага</w:t>
      </w:r>
      <w:r>
        <w:t>е</w:t>
      </w:r>
      <w:r>
        <w:t>мые Законом об ассоциациях (1997 год) о создании и свободном функционировании ассоциаций и их соответствие со статьей 22.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Карайкович</w:t>
      </w:r>
      <w:r>
        <w:t>, касаясь пункта 16 перечня вопросов, говорит, что Закон об общественной и</w:t>
      </w:r>
      <w:r>
        <w:t>н</w:t>
      </w:r>
      <w:r>
        <w:t>формации гарантирует свободу прессы, включая свободу сообщений и неограниченный доступ к информации, а также оговаривает ответственность журналистов, включая ответственность за компе</w:t>
      </w:r>
      <w:r>
        <w:t>н</w:t>
      </w:r>
      <w:r>
        <w:t>сацию ущерба, причиненного дезинформацией. З</w:t>
      </w:r>
      <w:r>
        <w:t>а</w:t>
      </w:r>
      <w:r>
        <w:t>кон также гарантирует свободу общественной и</w:t>
      </w:r>
      <w:r>
        <w:t>н</w:t>
      </w:r>
      <w:r>
        <w:t>формации, которая определяется как свобода выр</w:t>
      </w:r>
      <w:r>
        <w:t>а</w:t>
      </w:r>
      <w:r>
        <w:t>жения мнений; свободу сбора, изучения, публик</w:t>
      </w:r>
      <w:r>
        <w:t>а</w:t>
      </w:r>
      <w:r>
        <w:t>ции и распространения информации; свободу печ</w:t>
      </w:r>
      <w:r>
        <w:t>а</w:t>
      </w:r>
      <w:r>
        <w:t>тать и распространять газеты и другие публикации; и свободу готовить и передавать радио- и телевиз</w:t>
      </w:r>
      <w:r>
        <w:t>и</w:t>
      </w:r>
      <w:r>
        <w:t>онные программы. Закон запрещает незаконное о</w:t>
      </w:r>
      <w:r>
        <w:t>г</w:t>
      </w:r>
      <w:r>
        <w:t>раничение свободы общественной информации, включая использование силы или злоупотребление силой. Нарушение свободы общественной инфо</w:t>
      </w:r>
      <w:r>
        <w:t>р</w:t>
      </w:r>
      <w:r>
        <w:t>мации преследуется судами. Закон гарантирует пр</w:t>
      </w:r>
      <w:r>
        <w:t>а</w:t>
      </w:r>
      <w:r>
        <w:t>во на неприкосновенность личной жизни, достои</w:t>
      </w:r>
      <w:r>
        <w:t>н</w:t>
      </w:r>
      <w:r>
        <w:t>ства, репутации и чести и требует, чтобы государс</w:t>
      </w:r>
      <w:r>
        <w:t>т</w:t>
      </w:r>
      <w:r>
        <w:t>венные служащие снабжали журналистов информ</w:t>
      </w:r>
      <w:r>
        <w:t>а</w:t>
      </w:r>
      <w:r>
        <w:t>цией, за исключением определенных законом гос</w:t>
      </w:r>
      <w:r>
        <w:t>у</w:t>
      </w:r>
      <w:r>
        <w:t>дарственных и военных секретов. Он обусловливает запрещение публикации информации, полученной незаконно, например с помощью подслушивающих устройств, скрытых камер, кражи или незаконного использования автоматических приспособлений для обработки данных. И наконец, он запрещает прод</w:t>
      </w:r>
      <w:r>
        <w:t>а</w:t>
      </w:r>
      <w:r>
        <w:t>жу и показ порнографических изданий. Делегация считает, что содержание Закона полностью соотве</w:t>
      </w:r>
      <w:r>
        <w:t>т</w:t>
      </w:r>
      <w:r>
        <w:t>ствует статье 19 Па</w:t>
      </w:r>
      <w:r>
        <w:t>к</w:t>
      </w:r>
      <w:r>
        <w:t>та.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>н Смердель</w:t>
      </w:r>
      <w:r>
        <w:t>, отвечая на вопрос в пункте 17 перечня вопросов, говорит, что закон об общес</w:t>
      </w:r>
      <w:r>
        <w:t>т</w:t>
      </w:r>
      <w:r>
        <w:t>венных собраниях 1992 года был отменен в декабре 1999 года и что Комиссия по апелляциям в рамках министерства внутренних дел была упразднена. Н</w:t>
      </w:r>
      <w:r>
        <w:t>е</w:t>
      </w:r>
      <w:r>
        <w:t>правильное толкование в пункте 468 доклада созд</w:t>
      </w:r>
      <w:r>
        <w:t>а</w:t>
      </w:r>
      <w:r>
        <w:t>ет впечатление, что в соответствии с предыдущим законом заявление должно подаваться в полицию, с тем чтобы получить разрешение на проведение о</w:t>
      </w:r>
      <w:r>
        <w:t>б</w:t>
      </w:r>
      <w:r>
        <w:t>щественных собраний. Фактически это слово дол</w:t>
      </w:r>
      <w:r>
        <w:t>ж</w:t>
      </w:r>
      <w:r>
        <w:t>но быть заменено словом уведомление. В исключ</w:t>
      </w:r>
      <w:r>
        <w:t>и</w:t>
      </w:r>
      <w:r>
        <w:t>тельных случаях, когда организации подают ув</w:t>
      </w:r>
      <w:r>
        <w:t>е</w:t>
      </w:r>
      <w:r>
        <w:t>домления, но им отказывается в праве на провед</w:t>
      </w:r>
      <w:r>
        <w:t>е</w:t>
      </w:r>
      <w:r>
        <w:t>ние общественного собрания, они обращаются к самому министру внутренних дел; в настоящее время нет достаточного количества жалоб для того, чтобы оправдать существование Комиссии. Если министр также отказывает в таком праве, организ</w:t>
      </w:r>
      <w:r>
        <w:t>а</w:t>
      </w:r>
      <w:r>
        <w:t>ции могут направить жалобу в административный суд, инициируя чрезвычайные процедуры, Фактич</w:t>
      </w:r>
      <w:r>
        <w:t>е</w:t>
      </w:r>
      <w:r>
        <w:t>ски, коммерческие мероприятия, такие, как фу</w:t>
      </w:r>
      <w:r>
        <w:t>т</w:t>
      </w:r>
      <w:r>
        <w:t>больные матчи или концерты, являются единстве</w:t>
      </w:r>
      <w:r>
        <w:t>н</w:t>
      </w:r>
      <w:r>
        <w:t>ной реальной причиной проблем; большинство п</w:t>
      </w:r>
      <w:r>
        <w:t>о</w:t>
      </w:r>
      <w:r>
        <w:t>литических собраний — помимо демонстраций 25 или более лиц — проводится свободно и не треб</w:t>
      </w:r>
      <w:r>
        <w:t>у</w:t>
      </w:r>
      <w:r>
        <w:t>ется даже уведомления.</w:t>
      </w:r>
    </w:p>
    <w:p w:rsidR="00000000" w:rsidRDefault="00000000">
      <w:pPr>
        <w:pStyle w:val="DualTxt"/>
      </w:pPr>
      <w:r>
        <w:t>32.</w:t>
      </w:r>
      <w:r>
        <w:tab/>
        <w:t>Однако он признает необходимость наращив</w:t>
      </w:r>
      <w:r>
        <w:t>а</w:t>
      </w:r>
      <w:r>
        <w:t>ния осведомленности о праве на общественные с</w:t>
      </w:r>
      <w:r>
        <w:t>о</w:t>
      </w:r>
      <w:r>
        <w:t>брания, отмечая, что ряд официальных лиц, которые вступили в должность после выборов в январе 2000 года, сами участвовали в демонстрациях пр</w:t>
      </w:r>
      <w:r>
        <w:t>о</w:t>
      </w:r>
      <w:r>
        <w:t>тив бывшего правительства и должны в настоящее время быть более терпимыми к опп</w:t>
      </w:r>
      <w:r>
        <w:t>о</w:t>
      </w:r>
      <w:r>
        <w:t>зиции.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жа Карайкович</w:t>
      </w:r>
      <w:r>
        <w:t>, касаясь пункта 18 перечня, говорит, что конституция гарантирует свободу а</w:t>
      </w:r>
      <w:r>
        <w:t>с</w:t>
      </w:r>
      <w:r>
        <w:t>социаций в целях содействия и защиты социальных, экономических, политических, национальных и других убеждений и целей. Граждане могут свобо</w:t>
      </w:r>
      <w:r>
        <w:t>д</w:t>
      </w:r>
      <w:r>
        <w:t>но организовывать и присоединяться к професси</w:t>
      </w:r>
      <w:r>
        <w:t>о</w:t>
      </w:r>
      <w:r>
        <w:t>нальным союзам и другим ассоциациям, которые не создают насильственной угрозы демократическому и конституционному порядку и независимости, единству и территориальной целостности респу</w:t>
      </w:r>
      <w:r>
        <w:t>б</w:t>
      </w:r>
      <w:r>
        <w:t>лики. Закон об ассоциациях, основанный на нормах западноевропейских стран, облегчает осуществл</w:t>
      </w:r>
      <w:r>
        <w:t>е</w:t>
      </w:r>
      <w:r>
        <w:t>ние конституционного права на свободу ассоциаций и даже позволяет иностранным гражданам вступать в хорватские ассоциации. Закон определяет лишь схематическую структуру ассоциаций (обязател</w:t>
      </w:r>
      <w:r>
        <w:t>ь</w:t>
      </w:r>
      <w:r>
        <w:t>ные органы и официальные лица); другие вопросы внутренней организации регулируются самими а</w:t>
      </w:r>
      <w:r>
        <w:t>с</w:t>
      </w:r>
      <w:r>
        <w:t>социациями.</w:t>
      </w:r>
    </w:p>
    <w:p w:rsidR="00000000" w:rsidRDefault="00000000">
      <w:pPr>
        <w:pStyle w:val="DualTxt"/>
      </w:pPr>
      <w:r>
        <w:t>34.</w:t>
      </w:r>
      <w:r>
        <w:tab/>
        <w:t>Окружной суд может накладывать временное запрещение на деятельность ассоциации, подозр</w:t>
      </w:r>
      <w:r>
        <w:t>е</w:t>
      </w:r>
      <w:r>
        <w:t>ваемой в нарушении конституционного закона, и это решение суда может быть обжаловано в Верхо</w:t>
      </w:r>
      <w:r>
        <w:t>в</w:t>
      </w:r>
      <w:r>
        <w:t>ном суде. Предусматриваемые временн</w:t>
      </w:r>
      <w:r>
        <w:sym w:font="WP CyrillicA" w:char="F0CF"/>
      </w:r>
      <w:r>
        <w:t>е рамки для судебного разбирательства направлены на обе</w:t>
      </w:r>
      <w:r>
        <w:t>с</w:t>
      </w:r>
      <w:r>
        <w:t>печение минимальных задержек. Фактически до н</w:t>
      </w:r>
      <w:r>
        <w:t>а</w:t>
      </w:r>
      <w:r>
        <w:t>стоящего времени на практике не применялось н</w:t>
      </w:r>
      <w:r>
        <w:t>и</w:t>
      </w:r>
      <w:r>
        <w:t>каких запрещений. В феврале 2000 года констит</w:t>
      </w:r>
      <w:r>
        <w:t>у</w:t>
      </w:r>
      <w:r>
        <w:t>ционный суд отметил ряд ограничений на деятел</w:t>
      </w:r>
      <w:r>
        <w:t>ь</w:t>
      </w:r>
      <w:r>
        <w:t>ность ассоциаций, которые, по его мнению, были ограничительными, включая требования о регис</w:t>
      </w:r>
      <w:r>
        <w:t>т</w:t>
      </w:r>
      <w:r>
        <w:t>рации (в настоящее время не зарегистрированные ассоциации могут функционировать, хотя они не признаются в качестве юридических лиц); отказ в предоставлении правового статуса организацио</w:t>
      </w:r>
      <w:r>
        <w:t>н</w:t>
      </w:r>
      <w:r>
        <w:t>ным подразделениям ассоциаций; и наложение вз</w:t>
      </w:r>
      <w:r>
        <w:t>ы</w:t>
      </w:r>
      <w:r>
        <w:t>сканий на ассоциации, которые не уведомили ко</w:t>
      </w:r>
      <w:r>
        <w:t>м</w:t>
      </w:r>
      <w:r>
        <w:t>петентные органы об организационных подраздел</w:t>
      </w:r>
      <w:r>
        <w:t>е</w:t>
      </w:r>
      <w:r>
        <w:t>ниях. Ввиду различных проблем, связанных с ос</w:t>
      </w:r>
      <w:r>
        <w:t>у</w:t>
      </w:r>
      <w:r>
        <w:t>ществлением Закона об ассоциациях и мнения Ко</w:t>
      </w:r>
      <w:r>
        <w:t>н</w:t>
      </w:r>
      <w:r>
        <w:t>ституционного суда, в Хорватский парламент был представлен новый проект Закона после консульт</w:t>
      </w:r>
      <w:r>
        <w:t>а</w:t>
      </w:r>
      <w:r>
        <w:t>ций с неправительственными организациями и эк</w:t>
      </w:r>
      <w:r>
        <w:t>с</w:t>
      </w:r>
      <w:r>
        <w:t>пертами из Совета Е</w:t>
      </w:r>
      <w:r>
        <w:t>в</w:t>
      </w:r>
      <w:r>
        <w:t>ропы.</w:t>
      </w:r>
    </w:p>
    <w:p w:rsidR="00000000" w:rsidRDefault="00000000">
      <w:pPr>
        <w:pStyle w:val="DualTxt"/>
      </w:pPr>
      <w:r>
        <w:t>35.</w:t>
      </w:r>
      <w:r>
        <w:tab/>
        <w:t>В Хорватии существует около 20 000 ассоци</w:t>
      </w:r>
      <w:r>
        <w:t>а</w:t>
      </w:r>
      <w:r>
        <w:t>ций и их число постоянно растет. В соответствии с Законом о полиции сотрудникам полиции запрещ</w:t>
      </w:r>
      <w:r>
        <w:t>а</w:t>
      </w:r>
      <w:r>
        <w:t>ется организация политических партий или занятие политической деятельностью в министерстве вну</w:t>
      </w:r>
      <w:r>
        <w:t>т</w:t>
      </w:r>
      <w:r>
        <w:t>ренних дел или участие в любой партии или пол</w:t>
      </w:r>
      <w:r>
        <w:t>и</w:t>
      </w:r>
      <w:r>
        <w:t>тических мероприятиях во внеслужебное время. Общие нормы применяются к профсоюзам перс</w:t>
      </w:r>
      <w:r>
        <w:t>о</w:t>
      </w:r>
      <w:r>
        <w:t>нала министерства внутренних дел. Более того, в соответствии с Законом о полиции сотрудники п</w:t>
      </w:r>
      <w:r>
        <w:t>о</w:t>
      </w:r>
      <w:r>
        <w:t>лиции не имеют права на забастовку во время во</w:t>
      </w:r>
      <w:r>
        <w:t>й</w:t>
      </w:r>
      <w:r>
        <w:t>ны или при возникновении угрозы независимости и единству государства, вооруженных восстаний или других событий, представляющих угрозу констит</w:t>
      </w:r>
      <w:r>
        <w:t>у</w:t>
      </w:r>
      <w:r>
        <w:t>ционному порядку в республике или основным св</w:t>
      </w:r>
      <w:r>
        <w:t>о</w:t>
      </w:r>
      <w:r>
        <w:t>бодам и правам человека; и во время природных к</w:t>
      </w:r>
      <w:r>
        <w:t>а</w:t>
      </w:r>
      <w:r>
        <w:t>тастроф или других событий, нарушающих но</w:t>
      </w:r>
      <w:r>
        <w:t>р</w:t>
      </w:r>
      <w:r>
        <w:t>мальную жизнь и угрожающих безопасности хо</w:t>
      </w:r>
      <w:r>
        <w:t>р</w:t>
      </w:r>
      <w:r>
        <w:t>ватского народа.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Право на неприкосновенность личной и семейной жизни, неприкосновенность жилища и тайну корреспонденции (статья 17)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Председатель</w:t>
      </w:r>
      <w:r>
        <w:t xml:space="preserve"> зачитывает вопросы, каса</w:t>
      </w:r>
      <w:r>
        <w:t>ю</w:t>
      </w:r>
      <w:r>
        <w:t>щиеся вышеуказанной статьи: ограничение свободы и тайны корреспонденции и всех других видов св</w:t>
      </w:r>
      <w:r>
        <w:t>я</w:t>
      </w:r>
      <w:r>
        <w:t>зи, предусмотренное законом в целях защиты гос</w:t>
      </w:r>
      <w:r>
        <w:t>у</w:t>
      </w:r>
      <w:r>
        <w:t>дарственной безопасности и проведения уголовного судопроизво</w:t>
      </w:r>
      <w:r>
        <w:t>д</w:t>
      </w:r>
      <w:r>
        <w:t>ства.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н Мрчела</w:t>
      </w:r>
      <w:r>
        <w:t>, касаясь соответствующего пун</w:t>
      </w:r>
      <w:r>
        <w:t>к</w:t>
      </w:r>
      <w:r>
        <w:t>та, говорит, что свобода и тайна корреспонденции и всех других видов связи гарантируется конституц</w:t>
      </w:r>
      <w:r>
        <w:t>и</w:t>
      </w:r>
      <w:r>
        <w:t>ей и ограничивается лишь, когда это необходимо для защиты государственной безопасности и пров</w:t>
      </w:r>
      <w:r>
        <w:t>е</w:t>
      </w:r>
      <w:r>
        <w:t>дения уголовного судопроизводства. В соответствии с Законом о внутренних делах санкционируется секретный сбор информации и вмешательство в личную жизнь лиц, подозреваемых в осуществл</w:t>
      </w:r>
      <w:r>
        <w:t>е</w:t>
      </w:r>
      <w:r>
        <w:t>нии деятельности, подрывающей суверенитет Ре</w:t>
      </w:r>
      <w:r>
        <w:t>с</w:t>
      </w:r>
      <w:r>
        <w:t>публики, структуры государственных органов или основы национальной экономической системы; в планировании и совершении уголовных преступл</w:t>
      </w:r>
      <w:r>
        <w:t>е</w:t>
      </w:r>
      <w:r>
        <w:t>ний в соответствии с внутренним или междунаро</w:t>
      </w:r>
      <w:r>
        <w:t>д</w:t>
      </w:r>
      <w:r>
        <w:t>ным правом; и в связи с организованными престу</w:t>
      </w:r>
      <w:r>
        <w:t>п</w:t>
      </w:r>
      <w:r>
        <w:t>ными группировк</w:t>
      </w:r>
      <w:r>
        <w:t>а</w:t>
      </w:r>
      <w:r>
        <w:t>ми.</w:t>
      </w:r>
    </w:p>
    <w:p w:rsidR="00000000" w:rsidRDefault="00000000">
      <w:pPr>
        <w:pStyle w:val="DualTxt"/>
      </w:pPr>
      <w:r>
        <w:t>38.</w:t>
      </w:r>
      <w:r>
        <w:tab/>
        <w:t>Методы секретного сбора информации вкл</w:t>
      </w:r>
      <w:r>
        <w:t>ю</w:t>
      </w:r>
      <w:r>
        <w:t>чают наблюдение за средствами связи, перлюстр</w:t>
      </w:r>
      <w:r>
        <w:t>а</w:t>
      </w:r>
      <w:r>
        <w:t>цию писем, прослушивание помещений и объектов, наблюдение за физическими лицами, подслушив</w:t>
      </w:r>
      <w:r>
        <w:t>а</w:t>
      </w:r>
      <w:r>
        <w:t>ние телефонных разговоров и изучение личных дел граждан. Продолжительность таких мероприятий не может превышать четырех месяцев (в случае сле</w:t>
      </w:r>
      <w:r>
        <w:t>ж</w:t>
      </w:r>
      <w:r>
        <w:t>ки и наблюдения за гражданами этот период с</w:t>
      </w:r>
      <w:r>
        <w:t>о</w:t>
      </w:r>
      <w:r>
        <w:t>ставляет 30 дней). Этот процесс контролируется г</w:t>
      </w:r>
      <w:r>
        <w:t>о</w:t>
      </w:r>
      <w:r>
        <w:t>сударственной комиссией по контролю за примен</w:t>
      </w:r>
      <w:r>
        <w:t>е</w:t>
      </w:r>
      <w:r>
        <w:t>нием мер сбора секретной информации, которая н</w:t>
      </w:r>
      <w:r>
        <w:t>а</w:t>
      </w:r>
      <w:r>
        <w:t>значается палатой представителей и состоит из эк</w:t>
      </w:r>
      <w:r>
        <w:t>с</w:t>
      </w:r>
      <w:r>
        <w:t>пертов, включая, по крайней мере, одного судью. Методы, аналогичные мерам по сбору информации, которые уже описывались, и использование секре</w:t>
      </w:r>
      <w:r>
        <w:t>т</w:t>
      </w:r>
      <w:r>
        <w:t>ных наблюдателей, предложение взяток и наблюд</w:t>
      </w:r>
      <w:r>
        <w:t>е</w:t>
      </w:r>
      <w:r>
        <w:t>ние за транспортировкой и доставкой могут осущ</w:t>
      </w:r>
      <w:r>
        <w:t>е</w:t>
      </w:r>
      <w:r>
        <w:t>ствляться по решению судьи, занимающегося уг</w:t>
      </w:r>
      <w:r>
        <w:t>о</w:t>
      </w:r>
      <w:r>
        <w:t>ловным расследованием дела по представлению Г</w:t>
      </w:r>
      <w:r>
        <w:t>о</w:t>
      </w:r>
      <w:r>
        <w:t>сударственного прокурора. Такие меры могут пр</w:t>
      </w:r>
      <w:r>
        <w:t>и</w:t>
      </w:r>
      <w:r>
        <w:t>меняться только в тех случаях, когда лица подозр</w:t>
      </w:r>
      <w:r>
        <w:t>е</w:t>
      </w:r>
      <w:r>
        <w:t>ваются в уголовных преступлениях против конст</w:t>
      </w:r>
      <w:r>
        <w:t>и</w:t>
      </w:r>
      <w:r>
        <w:t>туционного порядка в республике или против при</w:t>
      </w:r>
      <w:r>
        <w:t>н</w:t>
      </w:r>
      <w:r>
        <w:t>ципов международного права или в серьезных пр</w:t>
      </w:r>
      <w:r>
        <w:t>е</w:t>
      </w:r>
      <w:r>
        <w:t>ступлениях, включая убийства, отмывание денег, незаконное хранение оружия, похищение людей, физическое или сексуальное насилие над детьми, злоупотребление наркотиками и связь с организ</w:t>
      </w:r>
      <w:r>
        <w:t>о</w:t>
      </w:r>
      <w:r>
        <w:t>ванной преступностью. Решение об осуществлении таких мер выдается в письменном виде с объясн</w:t>
      </w:r>
      <w:r>
        <w:t>е</w:t>
      </w:r>
      <w:r>
        <w:t>нием причин, и их продолжительность ограничив</w:t>
      </w:r>
      <w:r>
        <w:t>а</w:t>
      </w:r>
      <w:r>
        <w:t>ется четырьмя месяцами с возможным продлением еще на три месяца в некоторых случаях.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Равенство и принцип недискриминации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Председатель</w:t>
      </w:r>
      <w:r>
        <w:t xml:space="preserve"> зачитывает вопросы, каса</w:t>
      </w:r>
      <w:r>
        <w:t>ю</w:t>
      </w:r>
      <w:r>
        <w:t>щиеся вышеупомянутых статей: меры, которые б</w:t>
      </w:r>
      <w:r>
        <w:t>ы</w:t>
      </w:r>
      <w:r>
        <w:t>ли приняты или которые предполагается принять в целях улучшения положения женщин в обществе</w:t>
      </w:r>
      <w:r>
        <w:t>н</w:t>
      </w:r>
      <w:r>
        <w:t>ной жизни, в частности в области политики и гос</w:t>
      </w:r>
      <w:r>
        <w:t>у</w:t>
      </w:r>
      <w:r>
        <w:t>дарственной службы (парламент и правительство); дополнительная информация о деятельности же</w:t>
      </w:r>
      <w:r>
        <w:t>н</w:t>
      </w:r>
      <w:r>
        <w:t>щин в экономическом секторе, особенно на руков</w:t>
      </w:r>
      <w:r>
        <w:t>о</w:t>
      </w:r>
      <w:r>
        <w:t>дящих постах; меры по обеспечению равной оплаты для мужчин и женщин; дополнительная информ</w:t>
      </w:r>
      <w:r>
        <w:t>а</w:t>
      </w:r>
      <w:r>
        <w:t>ция о существующих мерах и предлагаемых мерах по борьбе и искоренению насилия в отношении женщин, включая бытовое насилие; меры, напра</w:t>
      </w:r>
      <w:r>
        <w:t>в</w:t>
      </w:r>
      <w:r>
        <w:t>ленные на расширение осведомленности общес</w:t>
      </w:r>
      <w:r>
        <w:t>т</w:t>
      </w:r>
      <w:r>
        <w:t>венности в этих вопросах, и пути и средства оказ</w:t>
      </w:r>
      <w:r>
        <w:t>а</w:t>
      </w:r>
      <w:r>
        <w:t>ния помощи потерпе</w:t>
      </w:r>
      <w:r>
        <w:t>в</w:t>
      </w:r>
      <w:r>
        <w:t>шим.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 Шимонович</w:t>
      </w:r>
      <w:r>
        <w:t>, касаясь соответствующего пункта перечня вопросов о равенстве между му</w:t>
      </w:r>
      <w:r>
        <w:t>ж</w:t>
      </w:r>
      <w:r>
        <w:t>чинами и женщинами, говорит, что в конституции уделяется первоочередное внимание вопросу о р</w:t>
      </w:r>
      <w:r>
        <w:t>а</w:t>
      </w:r>
      <w:r>
        <w:t>венстве между мужчинами и женщинами, что з</w:t>
      </w:r>
      <w:r>
        <w:t>а</w:t>
      </w:r>
      <w:r>
        <w:t>кладывает основу для дальнейшего совершенств</w:t>
      </w:r>
      <w:r>
        <w:t>о</w:t>
      </w:r>
      <w:r>
        <w:t>вания законодательства в области равных возмо</w:t>
      </w:r>
      <w:r>
        <w:t>ж</w:t>
      </w:r>
      <w:r>
        <w:t>ностей. Весьма значительное увеличение предст</w:t>
      </w:r>
      <w:r>
        <w:t>а</w:t>
      </w:r>
      <w:r>
        <w:t>вителей женского пола в хорватском национальном парламенте после выборов в январе 2001 года (с 5,7 до 21,5 процента) дало возможность учредить н</w:t>
      </w:r>
      <w:r>
        <w:t>о</w:t>
      </w:r>
      <w:r>
        <w:t>вый парламентский комитет по вопросам равенства между мужчинами и женщинами.</w:t>
      </w:r>
    </w:p>
    <w:p w:rsidR="00000000" w:rsidRDefault="00000000">
      <w:pPr>
        <w:pStyle w:val="DualTxt"/>
      </w:pPr>
      <w:r>
        <w:t>41.</w:t>
      </w:r>
      <w:r>
        <w:tab/>
        <w:t>Только две женщины из 19 стали министрами: заместитель премьер-министра и секретарь прав</w:t>
      </w:r>
      <w:r>
        <w:t>и</w:t>
      </w:r>
      <w:r>
        <w:t>тельства Хорватии. На государственной службе в министерствах работают более 35 процентов же</w:t>
      </w:r>
      <w:r>
        <w:t>н</w:t>
      </w:r>
      <w:r>
        <w:t>щин, хотя в общем числе государственных служ</w:t>
      </w:r>
      <w:r>
        <w:t>а</w:t>
      </w:r>
      <w:r>
        <w:t>щих они занимают 20,51 процента. Женщины нед</w:t>
      </w:r>
      <w:r>
        <w:t>о</w:t>
      </w:r>
      <w:r>
        <w:t>представлены на региональном и местном уровнях, но ожидается, что эта доля увеличится после мес</w:t>
      </w:r>
      <w:r>
        <w:t>т</w:t>
      </w:r>
      <w:r>
        <w:t>ных выборов в июне 2001 года.</w:t>
      </w:r>
    </w:p>
    <w:p w:rsidR="00000000" w:rsidRDefault="00000000">
      <w:pPr>
        <w:pStyle w:val="DualTxt"/>
      </w:pPr>
      <w:r>
        <w:t>42.</w:t>
      </w:r>
      <w:r>
        <w:tab/>
        <w:t>На долю женщин приходится более чем 51 процент от общей численности населения и 45 процентов от работающих. В конституции зал</w:t>
      </w:r>
      <w:r>
        <w:t>о</w:t>
      </w:r>
      <w:r>
        <w:t>жен принцип равной оплаты за равный труд. В се</w:t>
      </w:r>
      <w:r>
        <w:t>к</w:t>
      </w:r>
      <w:r>
        <w:t>торе социального обслуживания женщины работают в качестве руководителей, но отсутствие разбивки по признаку пола не дает возможности определить число женщин-руководителей в экономических и финансовых учреждениях и в секторе обслужив</w:t>
      </w:r>
      <w:r>
        <w:t>а</w:t>
      </w:r>
      <w:r>
        <w:t>ния. Хотя женщины составляют большинство в г</w:t>
      </w:r>
      <w:r>
        <w:t>о</w:t>
      </w:r>
      <w:r>
        <w:t>сударственных и судебных органах, лишь немногие женщины являются председателями судов. Женщ</w:t>
      </w:r>
      <w:r>
        <w:t>и</w:t>
      </w:r>
      <w:r>
        <w:t>ны также недопредставлены на высоком уровне в высших учебных з</w:t>
      </w:r>
      <w:r>
        <w:t>а</w:t>
      </w:r>
      <w:r>
        <w:t>ведениях.</w:t>
      </w:r>
    </w:p>
    <w:p w:rsidR="00000000" w:rsidRDefault="00000000">
      <w:pPr>
        <w:pStyle w:val="DualTxt"/>
      </w:pPr>
      <w:r>
        <w:t>43.</w:t>
      </w:r>
      <w:r>
        <w:tab/>
        <w:t>По</w:t>
      </w:r>
      <w:r>
        <w:noBreakHyphen/>
        <w:t>прежнему существует тенденция, что хо</w:t>
      </w:r>
      <w:r>
        <w:t>р</w:t>
      </w:r>
      <w:r>
        <w:t>ватские женщины работают в основном на низкоо</w:t>
      </w:r>
      <w:r>
        <w:t>п</w:t>
      </w:r>
      <w:r>
        <w:t>лачиваемых работах в области здравоохранения, образования, общественного питания и торговли и они владеют менее чем 33 процентами от общего числа зарегистрированных ремесленных прои</w:t>
      </w:r>
      <w:r>
        <w:t>з</w:t>
      </w:r>
      <w:r>
        <w:t>водств. Поскольку статистические данные о вл</w:t>
      </w:r>
      <w:r>
        <w:t>а</w:t>
      </w:r>
      <w:r>
        <w:t>дельцах производств не составляются на гендерной основе, невозможно определить число женщин-предпринимателей. Нет также обоснованных да</w:t>
      </w:r>
      <w:r>
        <w:t>н</w:t>
      </w:r>
      <w:r>
        <w:t>ных о числе женщин, занимающих руководящие п</w:t>
      </w:r>
      <w:r>
        <w:t>о</w:t>
      </w:r>
      <w:r>
        <w:t>сты, но считается, что это число велико. Доля нер</w:t>
      </w:r>
      <w:r>
        <w:t>а</w:t>
      </w:r>
      <w:r>
        <w:t>ботающих женщин составляет 52,5 процента.</w:t>
      </w:r>
    </w:p>
    <w:p w:rsidR="00000000" w:rsidRDefault="00000000">
      <w:pPr>
        <w:pStyle w:val="DualTxt"/>
      </w:pPr>
      <w:r>
        <w:t>44.</w:t>
      </w:r>
      <w:r>
        <w:tab/>
        <w:t>Выполнение рекомендаций четвертой Всеми</w:t>
      </w:r>
      <w:r>
        <w:t>р</w:t>
      </w:r>
      <w:r>
        <w:t>ной конференции по положению женщин привело к созданию правительственной комиссии по вопросам равенства в 1996 году и выработке национальной политики в области достижения равенства, осн</w:t>
      </w:r>
      <w:r>
        <w:t>о</w:t>
      </w:r>
      <w:r>
        <w:t>ванной на Пекинской платформе действий на пер</w:t>
      </w:r>
      <w:r>
        <w:t>и</w:t>
      </w:r>
      <w:r>
        <w:t>од 1997–2000 годов. Национальная политика дейс</w:t>
      </w:r>
      <w:r>
        <w:t>т</w:t>
      </w:r>
      <w:r>
        <w:t>вий на период 2001–2005 годов разрабатывается в настоящее время в тесном сотрудничестве с непр</w:t>
      </w:r>
      <w:r>
        <w:t>а</w:t>
      </w:r>
      <w:r>
        <w:t>вительственными организациями. Новая наци</w:t>
      </w:r>
      <w:r>
        <w:t>о</w:t>
      </w:r>
      <w:r>
        <w:t>нальная политика предусматривает внесение попр</w:t>
      </w:r>
      <w:r>
        <w:t>а</w:t>
      </w:r>
      <w:r>
        <w:t>вок в законы о выборах и указ о политических па</w:t>
      </w:r>
      <w:r>
        <w:t>р</w:t>
      </w:r>
      <w:r>
        <w:t>тиях, с тем чтобы повысить роль женщин в общес</w:t>
      </w:r>
      <w:r>
        <w:t>т</w:t>
      </w:r>
      <w:r>
        <w:t>венной деятельности и предоставлении им возмо</w:t>
      </w:r>
      <w:r>
        <w:t>ж</w:t>
      </w:r>
      <w:r>
        <w:t>ности занимать посты, где принимаются решения. Кампания по повышению осведомленности включ</w:t>
      </w:r>
      <w:r>
        <w:t>а</w:t>
      </w:r>
      <w:r>
        <w:t>ет региональную программу «Женщины могут сд</w:t>
      </w:r>
      <w:r>
        <w:t>е</w:t>
      </w:r>
      <w:r>
        <w:t>лать это», целью которой является информирование государственных чиновников, и Комиссию по в</w:t>
      </w:r>
      <w:r>
        <w:t>о</w:t>
      </w:r>
      <w:r>
        <w:t>просам равенства между мужчинами и женщинами, которая в сотрудничестве с неправительственными женскими организациями планирует встречаться с государственными чиновниками на двухгодичной основе.</w:t>
      </w:r>
    </w:p>
    <w:p w:rsidR="00000000" w:rsidRDefault="00000000">
      <w:pPr>
        <w:pStyle w:val="DualTxt"/>
      </w:pPr>
      <w:r>
        <w:t>45.</w:t>
      </w:r>
      <w:r>
        <w:tab/>
        <w:t>Ее правительство предпринимает шаги, н</w:t>
      </w:r>
      <w:r>
        <w:t>а</w:t>
      </w:r>
      <w:r>
        <w:t>правленные на увеличение числа женщин в комит</w:t>
      </w:r>
      <w:r>
        <w:t>е</w:t>
      </w:r>
      <w:r>
        <w:t>тах, советах, делегациях и во всех исполнительных органах. Аналогичным образом, министерство здравоохранения планирует увеличить число же</w:t>
      </w:r>
      <w:r>
        <w:t>н</w:t>
      </w:r>
      <w:r>
        <w:t>щин на руководящих постах по крайней мере на 30 процентов к 2005 году; министерство спорта и образования ставит целью увеличить число женщин директоров школ по крайней мере на 40 процентов к 2002 году; министерство по делам науки будет представлять периодические доклады Комиссии по вопросу об увеличении числа женщин в универс</w:t>
      </w:r>
      <w:r>
        <w:t>и</w:t>
      </w:r>
      <w:r>
        <w:t>тетах.</w:t>
      </w:r>
    </w:p>
    <w:p w:rsidR="00000000" w:rsidRDefault="00000000">
      <w:pPr>
        <w:pStyle w:val="DualTxt"/>
      </w:pPr>
      <w:r>
        <w:t>46.</w:t>
      </w:r>
      <w:r>
        <w:tab/>
        <w:t>В Хорватии растет осведомленность о таком явлении, как насилие в отношении женщин, ос</w:t>
      </w:r>
      <w:r>
        <w:t>о</w:t>
      </w:r>
      <w:r>
        <w:t>бенно бытовое насилие, и правительство разраб</w:t>
      </w:r>
      <w:r>
        <w:t>а</w:t>
      </w:r>
      <w:r>
        <w:t>тывает национальную стратегию по борьбе с этим явлением в сотрудничестве с неправительственн</w:t>
      </w:r>
      <w:r>
        <w:t>ы</w:t>
      </w:r>
      <w:r>
        <w:t>ми организациями и другими заинтересованными сторонами. Первым шагов в этом направлении я</w:t>
      </w:r>
      <w:r>
        <w:t>в</w:t>
      </w:r>
      <w:r>
        <w:t>ляется ориентировка всех государственных органов, особенно сотрудников полиции и органов здрав</w:t>
      </w:r>
      <w:r>
        <w:t>о</w:t>
      </w:r>
      <w:r>
        <w:t>охранения, которые непосредственно контактируют с женщинами, ставшими жертвами насилия. Прав</w:t>
      </w:r>
      <w:r>
        <w:t>и</w:t>
      </w:r>
      <w:r>
        <w:t>тельство будет контролировать воплощение в жизнь законов, касающихся насилия в отношении же</w:t>
      </w:r>
      <w:r>
        <w:t>н</w:t>
      </w:r>
      <w:r>
        <w:t>щин, таких, как закон о Мисдиминоре, уголовный кодекс и закон об уголо</w:t>
      </w:r>
      <w:r>
        <w:t>в</w:t>
      </w:r>
      <w:r>
        <w:t>ном судопроизводстве.</w:t>
      </w:r>
    </w:p>
    <w:p w:rsidR="00000000" w:rsidRDefault="00000000">
      <w:pPr>
        <w:pStyle w:val="DualTxt"/>
      </w:pPr>
      <w:r>
        <w:t>47.</w:t>
      </w:r>
      <w:r>
        <w:tab/>
        <w:t>Комиссия по вопросам равенства между му</w:t>
      </w:r>
      <w:r>
        <w:t>ж</w:t>
      </w:r>
      <w:r>
        <w:t>чинами и женщинами будет сотрудничать с же</w:t>
      </w:r>
      <w:r>
        <w:t>н</w:t>
      </w:r>
      <w:r>
        <w:t>скими неправительственными организациями в подготовке нового законодательства и в вопросах о других мерах. На этой основе в июне 1999 года б</w:t>
      </w:r>
      <w:r>
        <w:t>ы</w:t>
      </w:r>
      <w:r>
        <w:t>ло успешно проведено мероприятие под названием «Вместе против насилия в отношении женщин». Бюро правительства по делам неправительственных организаций осуществляет регулярное финансир</w:t>
      </w:r>
      <w:r>
        <w:t>о</w:t>
      </w:r>
      <w:r>
        <w:t>вание проектов и программ организаций, борющи</w:t>
      </w:r>
      <w:r>
        <w:t>х</w:t>
      </w:r>
      <w:r>
        <w:t>ся с насилием, в отношении женщин. Существует сеть, охватывающая женщин-беженцев, со спец</w:t>
      </w:r>
      <w:r>
        <w:t>и</w:t>
      </w:r>
      <w:r>
        <w:t>альной телефонной линией оказания помощи. М</w:t>
      </w:r>
      <w:r>
        <w:t>и</w:t>
      </w:r>
      <w:r>
        <w:t>нистерство внутренних дел будет проводить подг</w:t>
      </w:r>
      <w:r>
        <w:t>о</w:t>
      </w:r>
      <w:r>
        <w:t>товку сотрудников полиции по вопросам оказания помощи в случаях насилия и будут организованы специальные курсы подготовки для персонала ка</w:t>
      </w:r>
      <w:r>
        <w:t>н</w:t>
      </w:r>
      <w:r>
        <w:t>целярии государственного обвинителя и судов, к</w:t>
      </w:r>
      <w:r>
        <w:t>о</w:t>
      </w:r>
      <w:r>
        <w:t xml:space="preserve">торые занимаются вопросами насилия в отношении женщин. 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>жа Караджкович</w:t>
      </w:r>
      <w:r>
        <w:t>, отвечая на вопрос 22 п</w:t>
      </w:r>
      <w:r>
        <w:t>е</w:t>
      </w:r>
      <w:r>
        <w:t>речня, говорит, что новый закон о выборах предст</w:t>
      </w:r>
      <w:r>
        <w:t>а</w:t>
      </w:r>
      <w:r>
        <w:t>вителей в парламент был принят в конце 1999 года, в соответствии с которым создается специальный избирательный округ для национальных мен</w:t>
      </w:r>
      <w:r>
        <w:t>ь</w:t>
      </w:r>
      <w:r>
        <w:t>шинств всей страны. Эти меньшинства будут пре</w:t>
      </w:r>
      <w:r>
        <w:t>д</w:t>
      </w:r>
      <w:r>
        <w:t>ставлены пятью членами парламента, включая о</w:t>
      </w:r>
      <w:r>
        <w:t>д</w:t>
      </w:r>
      <w:r>
        <w:t>ного представителя сербского меньшинства, а не трех, как было раньше. Венгры, итальянцы, чехи и словаки имеют по одному представителю в парл</w:t>
      </w:r>
      <w:r>
        <w:t>а</w:t>
      </w:r>
      <w:r>
        <w:t>менте. Австрийцы, немцы, рутенийцы, украинцы и евреи избирают вместе одного представителя. Пр</w:t>
      </w:r>
      <w:r>
        <w:t>е</w:t>
      </w:r>
      <w:r>
        <w:t>дусматривается также избрание заместителя пре</w:t>
      </w:r>
      <w:r>
        <w:t>д</w:t>
      </w:r>
      <w:r>
        <w:t>ставителя. Избиратели, принадлежащие к наци</w:t>
      </w:r>
      <w:r>
        <w:t>о</w:t>
      </w:r>
      <w:r>
        <w:t>нальным меньшинствам, могут голосовать либо за кандидата из списка представителей меньшинств, либо за кандидата из списка своего избирательного округа. После выборов 2000 года в конституцио</w:t>
      </w:r>
      <w:r>
        <w:t>н</w:t>
      </w:r>
      <w:r>
        <w:t>ный закон было внесено положение о пропорци</w:t>
      </w:r>
      <w:r>
        <w:t>о</w:t>
      </w:r>
      <w:r>
        <w:t>нальном представительстве любого меньшинства, составляющего свыше 8 процентов населения, а именно сербского меньшинства. Между тем был разработан проект нового конституционного закона о правах национальных меньшинств в сотруднич</w:t>
      </w:r>
      <w:r>
        <w:t>е</w:t>
      </w:r>
      <w:r>
        <w:t>стве с Советом Европы, в частности с экспертами из Венецианской комиссии. Новые положения сокр</w:t>
      </w:r>
      <w:r>
        <w:t>а</w:t>
      </w:r>
      <w:r>
        <w:t>тят процентное отношение пропорционального представительства для национальных меньшинств, тем самым увеличив число их предст</w:t>
      </w:r>
      <w:r>
        <w:t>а</w:t>
      </w:r>
      <w:r>
        <w:t>вителей.</w:t>
      </w:r>
    </w:p>
    <w:p w:rsidR="00000000" w:rsidRDefault="00000000">
      <w:pPr>
        <w:pStyle w:val="DualTxt"/>
      </w:pPr>
      <w:r>
        <w:t>49.</w:t>
      </w:r>
      <w:r>
        <w:tab/>
        <w:t>В ответ на вопрос 23 она объясняет, что новый конституционный закон будет также гарантировать национальным меньшинствам право пропорци</w:t>
      </w:r>
      <w:r>
        <w:t>о</w:t>
      </w:r>
      <w:r>
        <w:t>нального представительства в местных и реги</w:t>
      </w:r>
      <w:r>
        <w:t>о</w:t>
      </w:r>
      <w:r>
        <w:t>нальных органах управления и обеспечит им пр</w:t>
      </w:r>
      <w:r>
        <w:t>и</w:t>
      </w:r>
      <w:r>
        <w:t>оритетность при найме на работу в учреждениях, которые играют важную роль в их жизни, таких, как учебные заведения для представителей мен</w:t>
      </w:r>
      <w:r>
        <w:t>ь</w:t>
      </w:r>
      <w:r>
        <w:t xml:space="preserve">шинств. Совет по делам национальных меньшинств будет постоянным консультативным органом при правительстве. </w:t>
      </w:r>
    </w:p>
    <w:p w:rsidR="00000000" w:rsidRDefault="00000000">
      <w:pPr>
        <w:pStyle w:val="DualTxt"/>
      </w:pPr>
      <w:r>
        <w:t>50.</w:t>
      </w:r>
      <w:r>
        <w:tab/>
        <w:t>Национальным меньшинствам гарантируется доступ во все государственные органы. Закон об использовании языков меньшинств, принятый в 2000 году, гарантирует, что лица, принадлежащие к национальным меньшинствам, могут пользоваться своим родным языком в государственных учрежд</w:t>
      </w:r>
      <w:r>
        <w:t>е</w:t>
      </w:r>
      <w:r>
        <w:t>ниях на центральном, местном и региональном уровнях. Они могут получать личные документы на своем родном языке, и юридические документы на языке меньшинства признаются юридически дейс</w:t>
      </w:r>
      <w:r>
        <w:t>т</w:t>
      </w:r>
      <w:r>
        <w:t>вительными. В 2000 году был принят другой закон, который гарантирует, что лица, принадлежащие к меньшинствам, могут получать начальное и среднее образование на своем родном языке. Большинство членов руководящих органов школ для меньшинств должны быть членами соответствующего меньши</w:t>
      </w:r>
      <w:r>
        <w:t>н</w:t>
      </w:r>
      <w:r>
        <w:t>ства, и предпочтение в руководстве будет отдават</w:t>
      </w:r>
      <w:r>
        <w:t>ь</w:t>
      </w:r>
      <w:r>
        <w:t>ся члену этого меньшинства. Нет специальных з</w:t>
      </w:r>
      <w:r>
        <w:t>а</w:t>
      </w:r>
      <w:r>
        <w:t>конов или норм для меньшинств в области занят</w:t>
      </w:r>
      <w:r>
        <w:t>о</w:t>
      </w:r>
      <w:r>
        <w:t>сти, проживания или социального обеспечения, п</w:t>
      </w:r>
      <w:r>
        <w:t>о</w:t>
      </w:r>
      <w:r>
        <w:t>скольку в этих областях применяются те же нормы, что и для всех хорватских граждан, постоянно пр</w:t>
      </w:r>
      <w:r>
        <w:t>о</w:t>
      </w:r>
      <w:r>
        <w:t>живающих в стране. Нормальным явлением являе</w:t>
      </w:r>
      <w:r>
        <w:t>т</w:t>
      </w:r>
      <w:r>
        <w:t>ся возвращение собственности национальных меньшинств без различия по статусу.</w:t>
      </w:r>
    </w:p>
    <w:p w:rsidR="00000000" w:rsidRDefault="00000000">
      <w:pPr>
        <w:pStyle w:val="DualTxt"/>
      </w:pPr>
      <w:r>
        <w:t>51.</w:t>
      </w:r>
      <w:r>
        <w:tab/>
      </w:r>
      <w:r>
        <w:rPr>
          <w:b/>
        </w:rPr>
        <w:t>Г</w:t>
      </w:r>
      <w:r>
        <w:rPr>
          <w:b/>
        </w:rPr>
        <w:noBreakHyphen/>
        <w:t>н Сочанак</w:t>
      </w:r>
      <w:r>
        <w:t>, отвечая на вопрос 24 говорит, что деятельность правительства Хорватии в области прав человека стала гораздо более наглядной после выборов в январе 2000 года. Было создано спец</w:t>
      </w:r>
      <w:r>
        <w:t>и</w:t>
      </w:r>
      <w:r>
        <w:t>альное правительственное подразделение по работе с неправительственными организациями, которое разрабатывает предложения по финансированию их программ. Департамент по правам человека мин</w:t>
      </w:r>
      <w:r>
        <w:t>и</w:t>
      </w:r>
      <w:r>
        <w:t>стерства иностранных дел представляет Комитету по правам человека доклад о соответствии деятел</w:t>
      </w:r>
      <w:r>
        <w:t>ь</w:t>
      </w:r>
      <w:r>
        <w:t>ности правительства с положениями Пакта и с</w:t>
      </w:r>
      <w:r>
        <w:t>о</w:t>
      </w:r>
      <w:r>
        <w:t>трудничает с НПО, с тем чтобы получить их мнения и замечания. На протяжении последних шести м</w:t>
      </w:r>
      <w:r>
        <w:t>е</w:t>
      </w:r>
      <w:r>
        <w:t>сяцев функционировала Комиссия по правам чел</w:t>
      </w:r>
      <w:r>
        <w:t>о</w:t>
      </w:r>
      <w:r>
        <w:t>века, состоящая из представителей различных м</w:t>
      </w:r>
      <w:r>
        <w:t>и</w:t>
      </w:r>
      <w:r>
        <w:t>нистерств, которая предполагает кооптировать представителей различных НПО. Вскоре будет со</w:t>
      </w:r>
      <w:r>
        <w:t>з</w:t>
      </w:r>
      <w:r>
        <w:t>дана Канцелярия правительства по правам человека. В будущем предполагается распространить инфо</w:t>
      </w:r>
      <w:r>
        <w:t>р</w:t>
      </w:r>
      <w:r>
        <w:t>мацию об основных принципах международных д</w:t>
      </w:r>
      <w:r>
        <w:t>о</w:t>
      </w:r>
      <w:r>
        <w:t>кументов по правам человека.</w:t>
      </w:r>
    </w:p>
    <w:p w:rsidR="00000000" w:rsidRDefault="00000000">
      <w:pPr>
        <w:pStyle w:val="DualTxt"/>
      </w:pPr>
      <w:r>
        <w:t>52.</w:t>
      </w:r>
      <w:r>
        <w:tab/>
      </w:r>
      <w:r>
        <w:rPr>
          <w:b/>
        </w:rPr>
        <w:t>Г</w:t>
      </w:r>
      <w:r>
        <w:rPr>
          <w:b/>
        </w:rPr>
        <w:noBreakHyphen/>
        <w:t>жа Караджкович</w:t>
      </w:r>
      <w:r>
        <w:t>, отвечая на вопрос 25, г</w:t>
      </w:r>
      <w:r>
        <w:t>о</w:t>
      </w:r>
      <w:r>
        <w:t>ворит, что министерство юстиции учредило центр профессиональной подготовки судей и других с</w:t>
      </w:r>
      <w:r>
        <w:t>о</w:t>
      </w:r>
      <w:r>
        <w:t>трудников правоохранительных органов в конце 1999 года. Программа подготовки имеет целью о</w:t>
      </w:r>
      <w:r>
        <w:t>з</w:t>
      </w:r>
      <w:r>
        <w:t>накомить судей и сотрудников правоохранительных органов с внутренним законодательством, европе</w:t>
      </w:r>
      <w:r>
        <w:t>й</w:t>
      </w:r>
      <w:r>
        <w:t>ским и международным правом и современными проблемами информационной технологии. Четыр</w:t>
      </w:r>
      <w:r>
        <w:t>е</w:t>
      </w:r>
      <w:r>
        <w:t>сто тридцать восемь судей и других сотрудников судебных органов уже приняли участие в этой пр</w:t>
      </w:r>
      <w:r>
        <w:t>о</w:t>
      </w:r>
      <w:r>
        <w:t>грамме. Семинары, которые будут проводиться в 2001 году, будут концентрироваться на вопросах администрации судов и методах связи, психолог</w:t>
      </w:r>
      <w:r>
        <w:t>и</w:t>
      </w:r>
      <w:r>
        <w:t>ческих и правовых аспектах гражданского и уг</w:t>
      </w:r>
      <w:r>
        <w:t>о</w:t>
      </w:r>
      <w:r>
        <w:t>ловного судопроизводства, борьбе с коррупцией и организованной преступностью, независимостью судебной власти и демократических процессах. В мае 1999 года Хорватия заключила соглашение о технической помощи с Канцелярией Верховного комиссара Организации Объединенных Наций по правам человека. В рамках технической помощи будут проводиться семинары по представлению сведений комитета Организации Объединенных Н</w:t>
      </w:r>
      <w:r>
        <w:t>а</w:t>
      </w:r>
      <w:r>
        <w:t>ций по пр</w:t>
      </w:r>
      <w:r>
        <w:t>а</w:t>
      </w:r>
      <w:r>
        <w:t>вам человека.</w:t>
      </w:r>
    </w:p>
    <w:p w:rsidR="00000000" w:rsidRDefault="00000000">
      <w:pPr>
        <w:pStyle w:val="DualTxt"/>
      </w:pPr>
      <w:r>
        <w:t>53.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Сочанак </w:t>
      </w:r>
      <w:r>
        <w:t>добавляет, что в рамках осущ</w:t>
      </w:r>
      <w:r>
        <w:t>е</w:t>
      </w:r>
      <w:r>
        <w:t>ствления этой программы был проведен семинар по вопросам выполнения обязательств, вытекающих из Пакта, под эгидой программы оказания технической помощи, и в котором приняли участие представит</w:t>
      </w:r>
      <w:r>
        <w:t>е</w:t>
      </w:r>
      <w:r>
        <w:t>ли судебных и министерских органов. В этой пр</w:t>
      </w:r>
      <w:r>
        <w:t>о</w:t>
      </w:r>
      <w:r>
        <w:t>грамме приняли участие представители НПО и ст</w:t>
      </w:r>
      <w:r>
        <w:t>у</w:t>
      </w:r>
      <w:r>
        <w:t>денты из четырех юридических высших учебных заведений.</w:t>
      </w:r>
    </w:p>
    <w:p w:rsidR="00000000" w:rsidRDefault="00000000">
      <w:pPr>
        <w:pStyle w:val="DualTxt"/>
      </w:pPr>
      <w:r>
        <w:t>54.</w:t>
      </w:r>
      <w:r>
        <w:tab/>
        <w:t>В ближайшее время с помощью проведения в жизнь национальной программы по правам челов</w:t>
      </w:r>
      <w:r>
        <w:t>е</w:t>
      </w:r>
      <w:r>
        <w:t>ка на всех уровнях школьного образования будет осуществляться ознакомление с положениями Пакта и его дополнительного протокола. Разрабатываются отдельные программы для студентов высших уче</w:t>
      </w:r>
      <w:r>
        <w:t>б</w:t>
      </w:r>
      <w:r>
        <w:t>ных заведений и для взрослых. Она также охват</w:t>
      </w:r>
      <w:r>
        <w:t>ы</w:t>
      </w:r>
      <w:r>
        <w:t>вает членов этнических и лингвистических мен</w:t>
      </w:r>
      <w:r>
        <w:t>ь</w:t>
      </w:r>
      <w:r>
        <w:t>шинств, которыми занимается новая Канцелярия и Комиссия по правам человека.</w:t>
      </w:r>
    </w:p>
    <w:p w:rsidR="00000000" w:rsidRDefault="00000000">
      <w:pPr>
        <w:pStyle w:val="DualTxt"/>
      </w:pPr>
      <w:r>
        <w:t>55.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Шейнин </w:t>
      </w:r>
      <w:r>
        <w:t>признателен за полноту пре</w:t>
      </w:r>
      <w:r>
        <w:t>д</w:t>
      </w:r>
      <w:r>
        <w:t>ставленной информации. Что касается недискрим</w:t>
      </w:r>
      <w:r>
        <w:t>и</w:t>
      </w:r>
      <w:r>
        <w:t>нации и положения национальных меньшинств, н</w:t>
      </w:r>
      <w:r>
        <w:t>е</w:t>
      </w:r>
      <w:r>
        <w:t>смотря на то, что термин «гражданин» в статье 14 конституции был заменен словом «каждый», ост</w:t>
      </w:r>
      <w:r>
        <w:t>а</w:t>
      </w:r>
      <w:r>
        <w:t>ется неясным, распространяется ли принцип неди</w:t>
      </w:r>
      <w:r>
        <w:t>с</w:t>
      </w:r>
      <w:r>
        <w:t>криминации, по толкованию, на все конституцио</w:t>
      </w:r>
      <w:r>
        <w:t>н</w:t>
      </w:r>
      <w:r>
        <w:t>ные права, особенно на социальные и политические права, которые в статьях 57, 58 и 66 предоставл</w:t>
      </w:r>
      <w:r>
        <w:t>я</w:t>
      </w:r>
      <w:r>
        <w:t>ются «гражданам». Третий пункт статьи 14 гара</w:t>
      </w:r>
      <w:r>
        <w:t>н</w:t>
      </w:r>
      <w:r>
        <w:t>тирует национальным меньшинствам свободу в</w:t>
      </w:r>
      <w:r>
        <w:t>ы</w:t>
      </w:r>
      <w:r>
        <w:t>бора своей национальности и использования их родного языка. Это представляется проблемати</w:t>
      </w:r>
      <w:r>
        <w:t>ч</w:t>
      </w:r>
      <w:r>
        <w:t>ным в контексте недискриминационной оговорки; это сразу может создать ситуацию, в которой нек</w:t>
      </w:r>
      <w:r>
        <w:t>о</w:t>
      </w:r>
      <w:r>
        <w:t>торые будут более равны, чем другие. Не будут ли с его точки зрения затронуты права некоторых групп, поскольку они не были определены как национал</w:t>
      </w:r>
      <w:r>
        <w:t>ь</w:t>
      </w:r>
      <w:r>
        <w:t>ные меньшинства. В соответствии с основным д</w:t>
      </w:r>
      <w:r>
        <w:t>о</w:t>
      </w:r>
      <w:r>
        <w:t>кументом, представленным Хорватией в 1998 году, насчитывалось 20 групп меньшинств, и наиболее многочисленными из них были мусульмане, славяне и цыгане, которые не причислялись к национал</w:t>
      </w:r>
      <w:r>
        <w:t>ь</w:t>
      </w:r>
      <w:r>
        <w:t>ным меньшинствам. В пункте 597 доклада (CCPR/C/HRV/99/1) говорится, что члены парл</w:t>
      </w:r>
      <w:r>
        <w:t>а</w:t>
      </w:r>
      <w:r>
        <w:t>мента, представляющие «все этнические и наци</w:t>
      </w:r>
      <w:r>
        <w:t>о</w:t>
      </w:r>
      <w:r>
        <w:t>нальные общины и меньшинства» в общенаци</w:t>
      </w:r>
      <w:r>
        <w:t>о</w:t>
      </w:r>
      <w:r>
        <w:t>нальном избирательном органе должны защищать их интересы. Довольно странный принцип, п</w:t>
      </w:r>
      <w:r>
        <w:t>о</w:t>
      </w:r>
      <w:r>
        <w:t>скольку, казалось бы, что более важным было бы, чтобы представители большинства защищали меньшинства.</w:t>
      </w:r>
    </w:p>
    <w:p w:rsidR="00000000" w:rsidRDefault="00000000">
      <w:pPr>
        <w:pStyle w:val="DualTxt"/>
      </w:pPr>
      <w:r>
        <w:t>56.</w:t>
      </w:r>
      <w:r>
        <w:tab/>
        <w:t>Ответ на вопрос 23 о недопустимости дискр</w:t>
      </w:r>
      <w:r>
        <w:t>и</w:t>
      </w:r>
      <w:r>
        <w:t>минации против сербов недостаточно удовлетвор</w:t>
      </w:r>
      <w:r>
        <w:t>и</w:t>
      </w:r>
      <w:r>
        <w:t>телен. Должна иметься определенная статистика о возвращении собственности сербам и предоставл</w:t>
      </w:r>
      <w:r>
        <w:t>е</w:t>
      </w:r>
      <w:r>
        <w:t>нии жилья для них, если предполагается построить жизнеспособное многокультурное общество. В пункте 404 доклада в контексте религиозного обр</w:t>
      </w:r>
      <w:r>
        <w:t>а</w:t>
      </w:r>
      <w:r>
        <w:t>зования упоминаются три религиозных общины — католики, православные греки и мусульмане. Могут ли семьи выбирать из трех религий, к которым они хотели бы отнести своих детей, независимо от групп, к которым они принадлежат сами? Освобо</w:t>
      </w:r>
      <w:r>
        <w:t>ж</w:t>
      </w:r>
      <w:r>
        <w:t>даются ли неверующие от религиозного образов</w:t>
      </w:r>
      <w:r>
        <w:t>а</w:t>
      </w:r>
      <w:r>
        <w:t>ния и что значит термин «атеисты» в пункте 406: это означает «мирской»? В связи со свободой рел</w:t>
      </w:r>
      <w:r>
        <w:t>и</w:t>
      </w:r>
      <w:r>
        <w:t>гии и совести некоторые меньшинства могут посч</w:t>
      </w:r>
      <w:r>
        <w:t>и</w:t>
      </w:r>
      <w:r>
        <w:t>тать обязательную военную службу, включая нево</w:t>
      </w:r>
      <w:r>
        <w:t>о</w:t>
      </w:r>
      <w:r>
        <w:t>руженные силы несовместимой с их убеждениями. Существует ли альтернативная гражданская служба для лиц, отказывающихся исполнять воинскую п</w:t>
      </w:r>
      <w:r>
        <w:t>о</w:t>
      </w:r>
      <w:r>
        <w:t>винность?</w:t>
      </w:r>
    </w:p>
    <w:p w:rsidR="00000000" w:rsidRDefault="00000000">
      <w:pPr>
        <w:pStyle w:val="DualTxt"/>
      </w:pPr>
      <w:r>
        <w:t>57.</w:t>
      </w:r>
      <w:r>
        <w:tab/>
        <w:t>Касаясь положения женщин, он отмечает, что дискриминация по различным мотивам наказывае</w:t>
      </w:r>
      <w:r>
        <w:t>т</w:t>
      </w:r>
      <w:r>
        <w:t>ся в соответствии со статьей 106 уголовного коде</w:t>
      </w:r>
      <w:r>
        <w:t>к</w:t>
      </w:r>
      <w:r>
        <w:t>са. Имеет ли это положение равноценное значение, т.е. может ли оно использоваться для наказания ч</w:t>
      </w:r>
      <w:r>
        <w:t>а</w:t>
      </w:r>
      <w:r>
        <w:t>стных лиц, виновных в дискриминации, а также г</w:t>
      </w:r>
      <w:r>
        <w:t>о</w:t>
      </w:r>
      <w:r>
        <w:t>сударственных органов? Какие существуют другие средства правовой защиты против дискриминации в частом секторе, особенно на рынке труда? Рассма</w:t>
      </w:r>
      <w:r>
        <w:t>т</w:t>
      </w:r>
      <w:r>
        <w:t>ривается ли сексуальное домогательство как форма дискриминации? Какие существуют средства защ</w:t>
      </w:r>
      <w:r>
        <w:t>и</w:t>
      </w:r>
      <w:r>
        <w:t>ты против дискриминации при найме на работу, н</w:t>
      </w:r>
      <w:r>
        <w:t>а</w:t>
      </w:r>
      <w:r>
        <w:t>пример при объявлении вакансии с указанием ко</w:t>
      </w:r>
      <w:r>
        <w:t>н</w:t>
      </w:r>
      <w:r>
        <w:t>кретного пола, возраста или внешнего вида и пр</w:t>
      </w:r>
      <w:r>
        <w:t>о</w:t>
      </w:r>
      <w:r>
        <w:t>тив дискриминационных положений в контракте на работу, например обяз</w:t>
      </w:r>
      <w:r>
        <w:t>а</w:t>
      </w:r>
      <w:r>
        <w:t>тельство не беременеть?</w:t>
      </w:r>
    </w:p>
    <w:p w:rsidR="00000000" w:rsidRDefault="00000000">
      <w:pPr>
        <w:pStyle w:val="DualTxt"/>
      </w:pPr>
      <w:r>
        <w:t>58.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Ялден </w:t>
      </w:r>
      <w:r>
        <w:t>отмечает, что бóльшая часть пре</w:t>
      </w:r>
      <w:r>
        <w:t>д</w:t>
      </w:r>
      <w:r>
        <w:t>ставленной информации касается правовой и орг</w:t>
      </w:r>
      <w:r>
        <w:t>а</w:t>
      </w:r>
      <w:r>
        <w:t>низационной деятельности, но в ней мало говорится о практических программах. Он отмечает, что с</w:t>
      </w:r>
      <w:r>
        <w:t>о</w:t>
      </w:r>
      <w:r>
        <w:t>гласно пункту 61 доклада представительство же</w:t>
      </w:r>
      <w:r>
        <w:t>н</w:t>
      </w:r>
      <w:r>
        <w:t>щин на руководящих постах все еще недостаточное, хотя он с удовлетворением узнал, что их представ</w:t>
      </w:r>
      <w:r>
        <w:t>и</w:t>
      </w:r>
      <w:r>
        <w:t>тельство в парламенте и в судебной системе улу</w:t>
      </w:r>
      <w:r>
        <w:t>ч</w:t>
      </w:r>
      <w:r>
        <w:t>шилось.</w:t>
      </w:r>
    </w:p>
    <w:p w:rsidR="00000000" w:rsidRDefault="00000000">
      <w:pPr>
        <w:pStyle w:val="DualTxt"/>
      </w:pPr>
      <w:r>
        <w:t>59.</w:t>
      </w:r>
      <w:r>
        <w:tab/>
        <w:t>Однако помимо пункта 74 доклада почти нет информации о положении женщин на рынке труда. Необходимо получить значительно больше инфо</w:t>
      </w:r>
      <w:r>
        <w:t>р</w:t>
      </w:r>
      <w:r>
        <w:t>мации, и она должна быть представлена с разбивкой по иерархии в сфере занятости и по секторам. К</w:t>
      </w:r>
      <w:r>
        <w:t>о</w:t>
      </w:r>
      <w:r>
        <w:t>митет уведомили, что, согласно закону в Хорватии, женщины имеют равную оплату за равный труд. На практике хорошо известно, что во многих странах, которые имеют такой закон, женщины не получают равную оплату за равный труд, и он думает, что это справедливо и в отношении Хорватии. Каково фа</w:t>
      </w:r>
      <w:r>
        <w:t>к</w:t>
      </w:r>
      <w:r>
        <w:t>тическое соотношение оплаты женского труда по сравнению с мужчинами? Что делается для того, чтобы воплотить в жизнь принцип равной оплаты и каким образом правительство намерено контрол</w:t>
      </w:r>
      <w:r>
        <w:t>и</w:t>
      </w:r>
      <w:r>
        <w:t>ровать тенденции, с тем чтобы представить реал</w:t>
      </w:r>
      <w:r>
        <w:t>ь</w:t>
      </w:r>
      <w:r>
        <w:t>ную картину фактического положения женщин? Он также хотел бы получить больше информации о деятельности Комиссии по вопросам равенства м</w:t>
      </w:r>
      <w:r>
        <w:t>е</w:t>
      </w:r>
      <w:r>
        <w:t>жду мужчинами и женщинами и о содержании пр</w:t>
      </w:r>
      <w:r>
        <w:t>а</w:t>
      </w:r>
      <w:r>
        <w:t>вительственных программ в интересах женщин. Т</w:t>
      </w:r>
      <w:r>
        <w:t>а</w:t>
      </w:r>
      <w:r>
        <w:t>кие программы должны иметь ясные цели, с тем чтобы можно было определить результаты их ос</w:t>
      </w:r>
      <w:r>
        <w:t>у</w:t>
      </w:r>
      <w:r>
        <w:t>ществления. Ему трудно представить, что не имее</w:t>
      </w:r>
      <w:r>
        <w:t>т</w:t>
      </w:r>
      <w:r>
        <w:t>ся статистич</w:t>
      </w:r>
      <w:r>
        <w:t>е</w:t>
      </w:r>
      <w:r>
        <w:t>ской информации такого рода.</w:t>
      </w:r>
    </w:p>
    <w:p w:rsidR="00000000" w:rsidRDefault="00000000">
      <w:pPr>
        <w:pStyle w:val="DualTxt"/>
      </w:pPr>
      <w:r>
        <w:t>60.</w:t>
      </w:r>
      <w:r>
        <w:tab/>
        <w:t>Что касается прав меньшинств и реституции собственности сербов, он согласен с замечаниями других членов Комитета. Какой орган будет нести ответственность за контроль над осуществлением трех новых законов; будет ли возложена ответс</w:t>
      </w:r>
      <w:r>
        <w:t>т</w:t>
      </w:r>
      <w:r>
        <w:t>венность за это на омбудсмена? Необходимо пол</w:t>
      </w:r>
      <w:r>
        <w:t>у</w:t>
      </w:r>
      <w:r>
        <w:t>чить больше информации о процедурах контроля, прежде чем Комитет встретится с представителями государства-участника. Данные, касающиеся ц</w:t>
      </w:r>
      <w:r>
        <w:t>ы</w:t>
      </w:r>
      <w:r>
        <w:t>ганского населения, колеблются от 6700 до 30 000. Очевидно, что в Хорватии цыгане составляют зн</w:t>
      </w:r>
      <w:r>
        <w:t>а</w:t>
      </w:r>
      <w:r>
        <w:t>чительное меньшинство, но они не включены в список национальных меньшинств; почему? Он н</w:t>
      </w:r>
      <w:r>
        <w:t>а</w:t>
      </w:r>
      <w:r>
        <w:t>деется получить разъяснение в отношении их пол</w:t>
      </w:r>
      <w:r>
        <w:t>о</w:t>
      </w:r>
      <w:r>
        <w:t>жения, поскольку нужно в срочном порядке прекр</w:t>
      </w:r>
      <w:r>
        <w:t>а</w:t>
      </w:r>
      <w:r>
        <w:t>тить преследование цыган, включая цыганских д</w:t>
      </w:r>
      <w:r>
        <w:t>е</w:t>
      </w:r>
      <w:r>
        <w:t>тей, которые регулярно оказываются в маргинал</w:t>
      </w:r>
      <w:r>
        <w:t>ь</w:t>
      </w:r>
      <w:r>
        <w:t>ном положении в школе и в обществе в целом.</w:t>
      </w:r>
    </w:p>
    <w:p w:rsidR="00000000" w:rsidRDefault="00000000">
      <w:pPr>
        <w:pStyle w:val="DualTxt"/>
      </w:pPr>
      <w:r>
        <w:t>61.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Кляйн </w:t>
      </w:r>
      <w:r>
        <w:t>поздравляет представителей Хо</w:t>
      </w:r>
      <w:r>
        <w:t>р</w:t>
      </w:r>
      <w:r>
        <w:t>ватии по поводу значительного прогресса, которого их страна достигла в некоторых областях за после</w:t>
      </w:r>
      <w:r>
        <w:t>д</w:t>
      </w:r>
      <w:r>
        <w:t>ние два года. Он отмечает, что согласно докладу система обращения за разрешением проводить со</w:t>
      </w:r>
      <w:r>
        <w:t>б</w:t>
      </w:r>
      <w:r>
        <w:t>рания или демонстрации была заменена системой уведомления, что больше соответствует положен</w:t>
      </w:r>
      <w:r>
        <w:t>и</w:t>
      </w:r>
      <w:r>
        <w:t>ям Пакта. Согласно статье 42 Конституции, гражд</w:t>
      </w:r>
      <w:r>
        <w:t>а</w:t>
      </w:r>
      <w:r>
        <w:t>нам гарантируется право на мирные собрания и н</w:t>
      </w:r>
      <w:r>
        <w:t>а</w:t>
      </w:r>
      <w:r>
        <w:t>родные протесты; распространяется ли закон о н</w:t>
      </w:r>
      <w:r>
        <w:t>а</w:t>
      </w:r>
      <w:r>
        <w:t>родных собраниях также на все население, прож</w:t>
      </w:r>
      <w:r>
        <w:t>и</w:t>
      </w:r>
      <w:r>
        <w:t>вающее в Хорватии? Какими средствами защиты располагают организаторы демонстрации или со</w:t>
      </w:r>
      <w:r>
        <w:t>б</w:t>
      </w:r>
      <w:r>
        <w:t>рания, если оно запрещается непосредственно п</w:t>
      </w:r>
      <w:r>
        <w:t>е</w:t>
      </w:r>
      <w:r>
        <w:t>ред намеченной датой его проведения? В пун</w:t>
      </w:r>
      <w:r>
        <w:t>к</w:t>
      </w:r>
      <w:r>
        <w:t>те 438 доклада упоминается новая статья 200 Уг</w:t>
      </w:r>
      <w:r>
        <w:t>о</w:t>
      </w:r>
      <w:r>
        <w:t>ловного кодекса, касающаяся диффамации. Однако существуют другие положения кодекса, касающиеся этого предмета: представляется, что бывшая ст</w:t>
      </w:r>
      <w:r>
        <w:t>а</w:t>
      </w:r>
      <w:r>
        <w:t>тья 191 о диффамации была заменена после 1998 года статьей 322. Предполагается ли, что новая статья 200 заменит предыдущее положение? Он п</w:t>
      </w:r>
      <w:r>
        <w:t>о</w:t>
      </w:r>
      <w:r>
        <w:t>лагает, что в мае 2000 года Конституционный суд отменил как неконституционное правовое полож</w:t>
      </w:r>
      <w:r>
        <w:t>е</w:t>
      </w:r>
      <w:r>
        <w:t>ние, которое защищает честь и репутацию през</w:t>
      </w:r>
      <w:r>
        <w:t>и</w:t>
      </w:r>
      <w:r>
        <w:t>дента республики и некоторых высших правител</w:t>
      </w:r>
      <w:r>
        <w:t>ь</w:t>
      </w:r>
      <w:r>
        <w:t>ственных чиновников. Каково взаимоотношение между этим положением и новой статьей 200 Уг</w:t>
      </w:r>
      <w:r>
        <w:t>о</w:t>
      </w:r>
      <w:r>
        <w:t>ловного кодекса? Мог ли государственный обвин</w:t>
      </w:r>
      <w:r>
        <w:t>и</w:t>
      </w:r>
      <w:r>
        <w:t>тель в прошлом сделать выбор между двумя ра</w:t>
      </w:r>
      <w:r>
        <w:t>з</w:t>
      </w:r>
      <w:r>
        <w:t>личными положениями кодекса? Очевидно, что имели место многочисленные осуждения в уголо</w:t>
      </w:r>
      <w:r>
        <w:t>в</w:t>
      </w:r>
      <w:r>
        <w:t>ном порядке на основе положения, в настоящее время отмененного Конституционным судом. Как</w:t>
      </w:r>
      <w:r>
        <w:t>о</w:t>
      </w:r>
      <w:r>
        <w:t>во положение таких осужденных: если они наход</w:t>
      </w:r>
      <w:r>
        <w:t>и</w:t>
      </w:r>
      <w:r>
        <w:t>лись в тюрьме, были ли они освобождены и имеют ли они право на компенсацию в связи с неправил</w:t>
      </w:r>
      <w:r>
        <w:t>ь</w:t>
      </w:r>
      <w:r>
        <w:t>ным приговором?</w:t>
      </w:r>
    </w:p>
    <w:p w:rsidR="00000000" w:rsidRDefault="00000000">
      <w:pPr>
        <w:pStyle w:val="DualTxt"/>
      </w:pPr>
      <w:r>
        <w:t>62.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Медина Кирога </w:t>
      </w:r>
      <w:r>
        <w:t>говорит, что она разд</w:t>
      </w:r>
      <w:r>
        <w:t>е</w:t>
      </w:r>
      <w:r>
        <w:t>ляет озабоченность, выраженную г</w:t>
      </w:r>
      <w:r>
        <w:noBreakHyphen/>
        <w:t>ном Шейниным и г</w:t>
      </w:r>
      <w:r>
        <w:noBreakHyphen/>
        <w:t>ном Ялденом в отношении прав женщин. Кроме того, она хотела бы получить информацию о сущ</w:t>
      </w:r>
      <w:r>
        <w:t>е</w:t>
      </w:r>
      <w:r>
        <w:t>ствующих законах против дискриминации в час</w:t>
      </w:r>
      <w:r>
        <w:t>т</w:t>
      </w:r>
      <w:r>
        <w:t>ном се</w:t>
      </w:r>
      <w:r>
        <w:t>к</w:t>
      </w:r>
      <w:r>
        <w:t>торе.</w:t>
      </w:r>
    </w:p>
    <w:p w:rsidR="00000000" w:rsidRDefault="00000000">
      <w:pPr>
        <w:pStyle w:val="DualTxt"/>
      </w:pPr>
      <w:r>
        <w:t>63.</w:t>
      </w:r>
      <w:r>
        <w:tab/>
        <w:t>Она отмечает, что в докладе Хорватии гов</w:t>
      </w:r>
      <w:r>
        <w:t>о</w:t>
      </w:r>
      <w:r>
        <w:t>рится о насилии в отношении женщин и их праве на жизнь и личную неприкосновенность, но ничего не говорится о бытовом насилии. Согласно информ</w:t>
      </w:r>
      <w:r>
        <w:t>а</w:t>
      </w:r>
      <w:r>
        <w:t>ции, которую она получила, несмотря на то, что в уголовном кодексе говорится о средствах защиты против бытового насилия, они ограничены в силу того, что полицейские и судьи часто бездействуют, и немногие женщины подают жалобы, и сфера о</w:t>
      </w:r>
      <w:r>
        <w:t>х</w:t>
      </w:r>
      <w:r>
        <w:t>вата таких злоупотреблений зависит от закона о давности уголовного преследования. Хотелось бы узнать, подготовила ли Хорватия национальный чрезвычайный план для того, чтобы конкретно з</w:t>
      </w:r>
      <w:r>
        <w:t>а</w:t>
      </w:r>
      <w:r>
        <w:t>ниматься случаями бытового нас</w:t>
      </w:r>
      <w:r>
        <w:t>и</w:t>
      </w:r>
      <w:r>
        <w:t>лия.</w:t>
      </w:r>
    </w:p>
    <w:p w:rsidR="00000000" w:rsidRDefault="00000000">
      <w:pPr>
        <w:pStyle w:val="DualTxt"/>
      </w:pPr>
      <w:r>
        <w:t>64.</w:t>
      </w:r>
      <w:r>
        <w:tab/>
      </w:r>
      <w:r>
        <w:rPr>
          <w:b/>
        </w:rPr>
        <w:t>Г</w:t>
      </w:r>
      <w:r>
        <w:rPr>
          <w:b/>
        </w:rPr>
        <w:noBreakHyphen/>
        <w:t>н Солари Иригойен</w:t>
      </w:r>
      <w:r>
        <w:t xml:space="preserve"> говорит, что Хорватия достигла прогресса в своих усилиях по борьбе с н</w:t>
      </w:r>
      <w:r>
        <w:t>а</w:t>
      </w:r>
      <w:r>
        <w:t>силием в отношении женщин, особенно с помощью нового законодательства и новых институтов; он серьезно озабочен по поводу представительства меньшинств в хорватском парламенте. Конкретно, он не понимает, почему число сербских депутатов сократилось с трех до одного, и хотел бы получить информацию о процентном соотношении хорва</w:t>
      </w:r>
      <w:r>
        <w:t>т</w:t>
      </w:r>
      <w:r>
        <w:t>ских граждан сербского происхождения по отнош</w:t>
      </w:r>
      <w:r>
        <w:t>е</w:t>
      </w:r>
      <w:r>
        <w:t>нию к н</w:t>
      </w:r>
      <w:r>
        <w:t>а</w:t>
      </w:r>
      <w:r>
        <w:t>селению в целом.</w:t>
      </w:r>
    </w:p>
    <w:p w:rsidR="00000000" w:rsidRDefault="00000000">
      <w:pPr>
        <w:pStyle w:val="DualTxt"/>
      </w:pPr>
      <w:r>
        <w:t>65.</w:t>
      </w:r>
      <w:r>
        <w:tab/>
      </w:r>
      <w:r>
        <w:rPr>
          <w:b/>
        </w:rPr>
        <w:t xml:space="preserve">Сэр Найджел Родли </w:t>
      </w:r>
      <w:r>
        <w:t>отмечает, что религио</w:t>
      </w:r>
      <w:r>
        <w:t>з</w:t>
      </w:r>
      <w:r>
        <w:t>ные и моральные соображения могут использоват</w:t>
      </w:r>
      <w:r>
        <w:t>ь</w:t>
      </w:r>
      <w:r>
        <w:t>ся в соответствии с хорватским законом для опра</w:t>
      </w:r>
      <w:r>
        <w:t>в</w:t>
      </w:r>
      <w:r>
        <w:t>дания отказа от несения военной службы по рел</w:t>
      </w:r>
      <w:r>
        <w:t>и</w:t>
      </w:r>
      <w:r>
        <w:t>гиозным или моральным соображениям. Он хотел бы получить объяснение охвата термина «морал</w:t>
      </w:r>
      <w:r>
        <w:t>ь</w:t>
      </w:r>
      <w:r>
        <w:t>ные соображения» и является ли он достаточно ш</w:t>
      </w:r>
      <w:r>
        <w:t>и</w:t>
      </w:r>
      <w:r>
        <w:t>роким для того, чтобы включать идеологические соображения или возражения против конкретной войны. Кроме того, он хотел бы знать, может ли ч</w:t>
      </w:r>
      <w:r>
        <w:t>е</w:t>
      </w:r>
      <w:r>
        <w:t>ловек, который был призван в вооруженные силы, позднее отказаться от несения военной службы по религиозным или другим соображ</w:t>
      </w:r>
      <w:r>
        <w:t>е</w:t>
      </w:r>
      <w:r>
        <w:t>ниям.</w:t>
      </w:r>
    </w:p>
    <w:p w:rsidR="00000000" w:rsidRDefault="00000000">
      <w:pPr>
        <w:pStyle w:val="DualTxt"/>
      </w:pPr>
      <w:r>
        <w:t>66.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Хенкин </w:t>
      </w:r>
      <w:r>
        <w:t>говорит, что становится все более важным для правительства наладить тесные связи с национальными и международными неправительс</w:t>
      </w:r>
      <w:r>
        <w:t>т</w:t>
      </w:r>
      <w:r>
        <w:t>венными организациями. Они являются ценным и</w:t>
      </w:r>
      <w:r>
        <w:t>с</w:t>
      </w:r>
      <w:r>
        <w:t>точником информации и выражения различных мнений. Он хотел бы получить информацию о том, сотрудничает ли правительство Хорватии с межд</w:t>
      </w:r>
      <w:r>
        <w:t>у</w:t>
      </w:r>
      <w:r>
        <w:t>народными неправительственными организациями, знакомится ли оно с их докладами, снабжает ли их информацией и использует ли оно их рекомендации при формулировании политики Хорватии в области прав человека. Государства-участники должны п</w:t>
      </w:r>
      <w:r>
        <w:t>о</w:t>
      </w:r>
      <w:r>
        <w:t>нять, что, подписывая Пакт, они берут на себя о</w:t>
      </w:r>
      <w:r>
        <w:t>т</w:t>
      </w:r>
      <w:r>
        <w:t>ветственность за обеспечение соответствия не тол</w:t>
      </w:r>
      <w:r>
        <w:t>ь</w:t>
      </w:r>
      <w:r>
        <w:t>ко в своей собственной стране, но также и в других странах. Он призывает членов хорватской делег</w:t>
      </w:r>
      <w:r>
        <w:t>а</w:t>
      </w:r>
      <w:r>
        <w:t>ции ознакомиться с докладами, представленными др</w:t>
      </w:r>
      <w:r>
        <w:t>у</w:t>
      </w:r>
      <w:r>
        <w:t>гими государствами, участвующими в Пакте.</w:t>
      </w:r>
    </w:p>
    <w:p w:rsidR="00000000" w:rsidRDefault="00000000">
      <w:pPr>
        <w:pStyle w:val="DualTxt"/>
      </w:pPr>
      <w:r>
        <w:t>67.</w:t>
      </w:r>
      <w:r>
        <w:tab/>
      </w:r>
      <w:r>
        <w:rPr>
          <w:b/>
        </w:rPr>
        <w:t xml:space="preserve">Председатель </w:t>
      </w:r>
      <w:r>
        <w:t>предлагает делегации ответить на устные вопросы, поставленные членами Комит</w:t>
      </w:r>
      <w:r>
        <w:t>е</w:t>
      </w:r>
      <w:r>
        <w:t>та.</w:t>
      </w:r>
    </w:p>
    <w:p w:rsidR="00000000" w:rsidRDefault="00000000">
      <w:pPr>
        <w:pStyle w:val="DualTxt"/>
      </w:pPr>
      <w:r>
        <w:t>68.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Смердель </w:t>
      </w:r>
      <w:r>
        <w:t>отмечает, что проблемы, с к</w:t>
      </w:r>
      <w:r>
        <w:t>о</w:t>
      </w:r>
      <w:r>
        <w:t>торыми пришлось столкнуться при разработке п</w:t>
      </w:r>
      <w:r>
        <w:t>о</w:t>
      </w:r>
      <w:r>
        <w:t>ложений конституции Хорватии в отношении н</w:t>
      </w:r>
      <w:r>
        <w:t>а</w:t>
      </w:r>
      <w:r>
        <w:t>циональных меньшинств, проистекают из того фа</w:t>
      </w:r>
      <w:r>
        <w:t>к</w:t>
      </w:r>
      <w:r>
        <w:t>та, что в соответствии с конституцией бывшей Ре</w:t>
      </w:r>
      <w:r>
        <w:t>с</w:t>
      </w:r>
      <w:r>
        <w:t>публики Югославии эти меньшинства характериз</w:t>
      </w:r>
      <w:r>
        <w:t>о</w:t>
      </w:r>
      <w:r>
        <w:t>вались как нации и национальности. В новой ко</w:t>
      </w:r>
      <w:r>
        <w:t>н</w:t>
      </w:r>
      <w:r>
        <w:t>ституции составители проекта решили включить в преамбулу требования Хорватии о национальном государстве, где они будут иметь скорее деклар</w:t>
      </w:r>
      <w:r>
        <w:t>а</w:t>
      </w:r>
      <w:r>
        <w:t>тивный, чем нормативный характер — нечто анал</w:t>
      </w:r>
      <w:r>
        <w:t>о</w:t>
      </w:r>
      <w:r>
        <w:t>гичное американской Декларации независимости. В 1997 году редакция преамбулы была изменена и провозгласила Хорватию как национальное гос</w:t>
      </w:r>
      <w:r>
        <w:t>у</w:t>
      </w:r>
      <w:r>
        <w:t>дарство хорватов, а этнические группы из бывшей Югославии описывались скорее как меньшинства, а не нации. Кроме того, перечень национальных меньшинств в преамбуле 1990 года был обновлен в 1997 году, с тем чтобы включить в него абориг</w:t>
      </w:r>
      <w:r>
        <w:t>е</w:t>
      </w:r>
      <w:r>
        <w:t>нов — исконных жителей региона со средневековых времен.</w:t>
      </w:r>
    </w:p>
    <w:p w:rsidR="00000000" w:rsidRDefault="00000000">
      <w:pPr>
        <w:pStyle w:val="DualTxt"/>
      </w:pPr>
      <w:r>
        <w:t>69.</w:t>
      </w:r>
      <w:r>
        <w:tab/>
        <w:t>К сожалению, хорватские националисты им</w:t>
      </w:r>
      <w:r>
        <w:t>е</w:t>
      </w:r>
      <w:r>
        <w:t>ют тенденцию проводить различия между мен</w:t>
      </w:r>
      <w:r>
        <w:t>ь</w:t>
      </w:r>
      <w:r>
        <w:t>шинствами, перечисленными в конституции, и т</w:t>
      </w:r>
      <w:r>
        <w:t>е</w:t>
      </w:r>
      <w:r>
        <w:t>ми, кто не перечислен в ней, несмотря на тот факт, что всем им гарантируются те же права. Это было осложнено тем фактом, что закон о выборах 1998 года проводил различия между «национал</w:t>
      </w:r>
      <w:r>
        <w:t>ь</w:t>
      </w:r>
      <w:r>
        <w:t>ными меньшинствами» из традиционных гос</w:t>
      </w:r>
      <w:r>
        <w:t>у</w:t>
      </w:r>
      <w:r>
        <w:t>дарств и всеми др</w:t>
      </w:r>
      <w:r>
        <w:t>у</w:t>
      </w:r>
      <w:r>
        <w:t>гими.</w:t>
      </w:r>
    </w:p>
    <w:p w:rsidR="00000000" w:rsidRDefault="00000000">
      <w:pPr>
        <w:pStyle w:val="DualTxt"/>
      </w:pPr>
      <w:r>
        <w:t>70.</w:t>
      </w:r>
      <w:r>
        <w:tab/>
        <w:t>Первоначальная попытка порвать с использ</w:t>
      </w:r>
      <w:r>
        <w:t>о</w:t>
      </w:r>
      <w:r>
        <w:t>ванием этнических ярлыков была предпринята на Европейской мирной конференции по Югославии в Гааге в 1991 году, на которой председательствовал лорд Каррингтон. Столкнувшись с хорватским большинством, которое настаивало на том, чтобы в новой конституции четко говорилось о Республике как о хорватском государстве, и сербским меньши</w:t>
      </w:r>
      <w:r>
        <w:t>н</w:t>
      </w:r>
      <w:r>
        <w:t>ством, которое отказывается признать такую ко</w:t>
      </w:r>
      <w:r>
        <w:t>н</w:t>
      </w:r>
      <w:r>
        <w:t>ституцию, лорд Каррингтон добился согласия ст</w:t>
      </w:r>
      <w:r>
        <w:t>о</w:t>
      </w:r>
      <w:r>
        <w:t>рон на принятие документа, в котором излагаются конституционные права этнических меньшинств. Таким образом, была заложена основа для закон</w:t>
      </w:r>
      <w:r>
        <w:t>о</w:t>
      </w:r>
      <w:r>
        <w:t>дательства о предоставлении специальных прав сербам, как это отражается в преамбуле, и некот</w:t>
      </w:r>
      <w:r>
        <w:t>о</w:t>
      </w:r>
      <w:r>
        <w:t>рых статьях новой конституции. Высшие ценности, содержащиеся в статье 3 конституции Хорватии, дают возможность для интерпретации конституции в ц</w:t>
      </w:r>
      <w:r>
        <w:t>е</w:t>
      </w:r>
      <w:r>
        <w:t>лом.</w:t>
      </w:r>
    </w:p>
    <w:p w:rsidR="00000000" w:rsidRDefault="00000000">
      <w:pPr>
        <w:pStyle w:val="DualTxt"/>
      </w:pPr>
      <w:r>
        <w:t>71.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Шимонович </w:t>
      </w:r>
      <w:r>
        <w:t>говорит, что доклад, пре</w:t>
      </w:r>
      <w:r>
        <w:t>д</w:t>
      </w:r>
      <w:r>
        <w:t>ставленный Хорватией Комитету по ликвидации дискриминации в отношении женщин (КЛДОЖ) и Генеральному секретарю Организации Объедине</w:t>
      </w:r>
      <w:r>
        <w:t>н</w:t>
      </w:r>
      <w:r>
        <w:t>ных Наций в июне 2000 года, содержал специальное упоминание о правах женщин, включая те права, которые оговорены в Пакте; в них также перечисл</w:t>
      </w:r>
      <w:r>
        <w:t>я</w:t>
      </w:r>
      <w:r>
        <w:t>лись конкретные действия, предпринятые Комисс</w:t>
      </w:r>
      <w:r>
        <w:t>и</w:t>
      </w:r>
      <w:r>
        <w:t>ей по вопросам равенства мужчин и женщин с 1997 по 2000 год в 12 критических областях прав же</w:t>
      </w:r>
      <w:r>
        <w:t>н</w:t>
      </w:r>
      <w:r>
        <w:t>щин, описанных в Пекинской декларации и Пла</w:t>
      </w:r>
      <w:r>
        <w:t>т</w:t>
      </w:r>
      <w:r>
        <w:t>форме дейс</w:t>
      </w:r>
      <w:r>
        <w:t>т</w:t>
      </w:r>
      <w:r>
        <w:t>вий.</w:t>
      </w:r>
    </w:p>
    <w:p w:rsidR="00000000" w:rsidRDefault="00000000">
      <w:pPr>
        <w:pStyle w:val="DualTxt"/>
      </w:pPr>
      <w:r>
        <w:t>72.</w:t>
      </w:r>
      <w:r>
        <w:tab/>
        <w:t>Она говорит, что женщины составляют 45 процентов активной рабочей силы. Принцип равной оплаты за равный труд вводится в частном секторе, но статистических данных по частному сектору не имеется. Новая политика в области р</w:t>
      </w:r>
      <w:r>
        <w:t>а</w:t>
      </w:r>
      <w:r>
        <w:t>венства между мужчинами и женщинами, принятая Комиссией на период 2001–2005 годов, включает инициативы, направленные на решение этого в</w:t>
      </w:r>
      <w:r>
        <w:t>о</w:t>
      </w:r>
      <w:r>
        <w:t>проса в частном секторе.</w:t>
      </w:r>
    </w:p>
    <w:p w:rsidR="00000000" w:rsidRDefault="00000000">
      <w:pPr>
        <w:pStyle w:val="DualTxt"/>
      </w:pPr>
      <w:r>
        <w:t>73.</w:t>
      </w:r>
      <w:r>
        <w:tab/>
        <w:t>Бытовое насилие лишь недавно стало предм</w:t>
      </w:r>
      <w:r>
        <w:t>е</w:t>
      </w:r>
      <w:r>
        <w:t>том обсуждения общественностью в Хорватии. С самого начала в эту дискуссию были включены многие неправительственные организации и прав</w:t>
      </w:r>
      <w:r>
        <w:t>и</w:t>
      </w:r>
      <w:r>
        <w:t>тельства отреагировали на это, начав разрабатывать новую политику. В дополнение одна из неправ</w:t>
      </w:r>
      <w:r>
        <w:t>и</w:t>
      </w:r>
      <w:r>
        <w:t>тельственных организаций учредила первый приют для женщин, пострадавших от бытового насилия, и этот приют, первоначально рассчитанный на 10 человек, был расширен с помощью правительс</w:t>
      </w:r>
      <w:r>
        <w:t>т</w:t>
      </w:r>
      <w:r>
        <w:t>венного финанс</w:t>
      </w:r>
      <w:r>
        <w:t>и</w:t>
      </w:r>
      <w:r>
        <w:t>рования.</w:t>
      </w:r>
    </w:p>
    <w:p w:rsidR="00000000" w:rsidRDefault="00000000">
      <w:pPr>
        <w:pStyle w:val="DualTxt"/>
      </w:pPr>
      <w:r>
        <w:t>74.</w:t>
      </w:r>
      <w:r>
        <w:tab/>
        <w:t>Правительство создало Канцелярию для с</w:t>
      </w:r>
      <w:r>
        <w:t>о</w:t>
      </w:r>
      <w:r>
        <w:t>трудничества с неправительственными организ</w:t>
      </w:r>
      <w:r>
        <w:t>а</w:t>
      </w:r>
      <w:r>
        <w:t>циями, которая особенно активно выступает в о</w:t>
      </w:r>
      <w:r>
        <w:t>б</w:t>
      </w:r>
      <w:r>
        <w:t>ласти женских вопросов. Она оказывает им прав</w:t>
      </w:r>
      <w:r>
        <w:t>о</w:t>
      </w:r>
      <w:r>
        <w:t>вую и финансовую помощь и учитывает помощь им при разработке правительственной политики. Н</w:t>
      </w:r>
      <w:r>
        <w:t>а</w:t>
      </w:r>
      <w:r>
        <w:t>пример, неправительственные организации были включены в рабочую группу по разработке полит</w:t>
      </w:r>
      <w:r>
        <w:t>и</w:t>
      </w:r>
      <w:r>
        <w:t>ки в области равенства мужчин и женщин на 2001–2005 годы.</w:t>
      </w:r>
    </w:p>
    <w:p w:rsidR="00000000" w:rsidRDefault="00000000">
      <w:pPr>
        <w:pStyle w:val="DualTxt"/>
      </w:pPr>
      <w:r>
        <w:t>75.</w:t>
      </w:r>
      <w:r>
        <w:tab/>
        <w:t>Женские неправительственные организации часто поднимают вопрос о сексуальном домогател</w:t>
      </w:r>
      <w:r>
        <w:t>ь</w:t>
      </w:r>
      <w:r>
        <w:t>стве, и предпринимаются усилия по повышению осведомленности общественности, особенно в о</w:t>
      </w:r>
      <w:r>
        <w:t>т</w:t>
      </w:r>
      <w:r>
        <w:t>нош</w:t>
      </w:r>
      <w:r>
        <w:t>е</w:t>
      </w:r>
      <w:r>
        <w:t>нии домогательства на рабочих местах.</w:t>
      </w:r>
    </w:p>
    <w:p w:rsidR="00000000" w:rsidRDefault="00000000">
      <w:pPr>
        <w:pStyle w:val="DualTxt"/>
      </w:pPr>
      <w:r>
        <w:t>76.</w:t>
      </w:r>
      <w:r>
        <w:tab/>
        <w:t>Правительство Хорватии признает, что гос</w:t>
      </w:r>
      <w:r>
        <w:t>у</w:t>
      </w:r>
      <w:r>
        <w:t>дарства-участники должны принять на себя отве</w:t>
      </w:r>
      <w:r>
        <w:t>т</w:t>
      </w:r>
      <w:r>
        <w:t>ственность за нарушение прав человека. Хорватия подписала все шесть основных договоров Орган</w:t>
      </w:r>
      <w:r>
        <w:t>и</w:t>
      </w:r>
      <w:r>
        <w:t>зации Объединенных Наций по правам человека, положения которых имеют преимущество перед внутренним правом.</w:t>
      </w:r>
    </w:p>
    <w:p w:rsidR="00000000" w:rsidRDefault="00000000">
      <w:pPr>
        <w:pStyle w:val="DualTxt"/>
      </w:pPr>
      <w:r>
        <w:t>77.</w:t>
      </w:r>
      <w:r>
        <w:tab/>
      </w:r>
      <w:r>
        <w:rPr>
          <w:b/>
        </w:rPr>
        <w:t>Г-н Мрчела</w:t>
      </w:r>
      <w:r>
        <w:t xml:space="preserve"> добавляет, что сексуальное дом</w:t>
      </w:r>
      <w:r>
        <w:t>о</w:t>
      </w:r>
      <w:r>
        <w:t>гательство охватывается двумя статьями Констит</w:t>
      </w:r>
      <w:r>
        <w:t>у</w:t>
      </w:r>
      <w:r>
        <w:t>ции Хорватии: статья 193 касается непристойных актов и злоупотребления положением, а статья 174 позволяет называть частных лиц как лиц, сове</w:t>
      </w:r>
      <w:r>
        <w:t>р</w:t>
      </w:r>
      <w:r>
        <w:t>шающих такие правон</w:t>
      </w:r>
      <w:r>
        <w:t>а</w:t>
      </w:r>
      <w:r>
        <w:t>рушения.</w:t>
      </w:r>
    </w:p>
    <w:p w:rsidR="00000000" w:rsidRDefault="00000000">
      <w:pPr>
        <w:pStyle w:val="DualTxt"/>
      </w:pPr>
      <w:r>
        <w:t>78.</w:t>
      </w:r>
      <w:r>
        <w:tab/>
        <w:t>Он говорит, что он с удовлетворением пре</w:t>
      </w:r>
      <w:r>
        <w:t>д</w:t>
      </w:r>
      <w:r>
        <w:t>ставит членам Комитета сведения о случаях, когда право на свободу выражения своего мнения было поддержано. В прошлом журналисты обвинялись государственным обвинителем в соответствии с п</w:t>
      </w:r>
      <w:r>
        <w:t>о</w:t>
      </w:r>
      <w:r>
        <w:t>ложениями статьи 204 Уголовного кодекса, каса</w:t>
      </w:r>
      <w:r>
        <w:t>ю</w:t>
      </w:r>
      <w:r>
        <w:t>щейся оскорбления и диффамации. Нападки на честь и репутацию частных лиц ранее рассматрив</w:t>
      </w:r>
      <w:r>
        <w:t>а</w:t>
      </w:r>
      <w:r>
        <w:t>лись гражданским судом за исключением случаев, касающихся наиболее высоких правительственных чиновников, законодательных и судебных офиц</w:t>
      </w:r>
      <w:r>
        <w:t>и</w:t>
      </w:r>
      <w:r>
        <w:t>альных лиц, которые требовали судебного разбир</w:t>
      </w:r>
      <w:r>
        <w:t>а</w:t>
      </w:r>
      <w:r>
        <w:t>тельства. Хотя это положение закона было позднее изменено, государственный обвинитель в ряде сл</w:t>
      </w:r>
      <w:r>
        <w:t>у</w:t>
      </w:r>
      <w:r>
        <w:t>чаев принимал меры на основе прежнего законод</w:t>
      </w:r>
      <w:r>
        <w:t>а</w:t>
      </w:r>
      <w:r>
        <w:t>тельства.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 12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NO&gt;&gt;N0131015R&lt;&lt;ODS JOB NO&gt;&gt;</w:t>
      </w:r>
    </w:p>
    <w:p w:rsidR="00000000" w:rsidRDefault="00000000">
      <w:pPr>
        <w:pStyle w:val="CommentText"/>
      </w:pPr>
      <w:r>
        <w:t>&lt;&lt;ODS DOC SYMBOL1&gt;&gt;CCPR/C/SR.1914&lt;&lt;ODS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P CyrillicA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01-31015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*0131015*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CCPR/C/SR.1914</w:t>
                      </w: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/C/SR.1914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14 January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0/01/2002 8:28: AM"/>
    <w:docVar w:name="DocCategory" w:val="SROthers"/>
    <w:docVar w:name="DocType" w:val="Final"/>
    <w:docVar w:name="JobNo" w:val="0131015R"/>
    <w:docVar w:name="OandT" w:val="Nikitina"/>
    <w:docVar w:name="Symbol1" w:val="CCPR/C/SR.191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6384</Words>
  <Characters>43413</Characters>
  <Application>Microsoft Office Word</Application>
  <DocSecurity>4</DocSecurity>
  <Lines>1142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51712</CharactersWithSpaces>
  <SharedDoc>false</SharedDoc>
  <HLinks>
    <vt:vector size="6" baseType="variant">
      <vt:variant>
        <vt:i4>4522087</vt:i4>
      </vt:variant>
      <vt:variant>
        <vt:i4>103058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2002-01-11T17:21:00Z</cp:lastPrinted>
  <dcterms:created xsi:type="dcterms:W3CDTF">2002-01-11T17:16:00Z</dcterms:created>
  <dcterms:modified xsi:type="dcterms:W3CDTF">2002-01-11T17:21:00Z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0131015</vt:lpwstr>
  </property>
  <property fmtid="{D5CDD505-2E9C-101B-9397-08002B2CF9AE}" pid="3" name="Symbol1">
    <vt:lpwstr>CCPR/C/SR.1914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Savina</vt:lpwstr>
  </property>
</Properties>
</file>