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9722E" w:rsidP="0069722E">
            <w:pPr>
              <w:bidi w:val="0"/>
              <w:spacing w:after="20"/>
              <w:jc w:val="left"/>
              <w:rPr>
                <w:szCs w:val="20"/>
              </w:rPr>
            </w:pPr>
            <w:r w:rsidRPr="0069722E">
              <w:rPr>
                <w:sz w:val="40"/>
                <w:szCs w:val="20"/>
              </w:rPr>
              <w:t>CCPR</w:t>
            </w:r>
            <w:r>
              <w:rPr>
                <w:szCs w:val="20"/>
              </w:rPr>
              <w:t>/C/SR.2897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69722E" w:rsidRDefault="0069722E" w:rsidP="0069722E">
            <w:pPr>
              <w:bidi w:val="0"/>
              <w:spacing w:before="240"/>
              <w:jc w:val="left"/>
            </w:pPr>
            <w:r>
              <w:t>Distr.: General</w:t>
            </w:r>
          </w:p>
          <w:p w:rsidR="0069722E" w:rsidRDefault="0069722E" w:rsidP="005627C7">
            <w:pPr>
              <w:bidi w:val="0"/>
              <w:jc w:val="left"/>
            </w:pPr>
            <w:r>
              <w:t>2</w:t>
            </w:r>
            <w:r w:rsidR="005627C7">
              <w:t>9</w:t>
            </w:r>
            <w:r>
              <w:t xml:space="preserve"> October 2012</w:t>
            </w:r>
          </w:p>
          <w:p w:rsidR="0069722E" w:rsidRDefault="0069722E" w:rsidP="0069722E">
            <w:pPr>
              <w:bidi w:val="0"/>
              <w:jc w:val="left"/>
            </w:pPr>
            <w:r>
              <w:t>Arabic</w:t>
            </w:r>
          </w:p>
          <w:p w:rsidR="00257225" w:rsidRPr="008B4BC6" w:rsidRDefault="0069722E" w:rsidP="0069722E">
            <w:pPr>
              <w:bidi w:val="0"/>
              <w:jc w:val="left"/>
            </w:pPr>
            <w:r>
              <w:t>Original: French</w:t>
            </w:r>
          </w:p>
        </w:tc>
      </w:tr>
    </w:tbl>
    <w:p w:rsidR="0069722E" w:rsidRPr="0073384B" w:rsidRDefault="0069722E" w:rsidP="0069722E">
      <w:pPr>
        <w:spacing w:before="120" w:line="380" w:lineRule="exact"/>
        <w:jc w:val="left"/>
        <w:rPr>
          <w:rFonts w:hint="cs"/>
          <w:b/>
          <w:bCs/>
          <w:sz w:val="22"/>
          <w:szCs w:val="36"/>
          <w:rtl/>
          <w:lang w:eastAsia="ar-SA"/>
        </w:rPr>
      </w:pPr>
      <w:r w:rsidRPr="00BA01A5">
        <w:rPr>
          <w:rFonts w:hint="cs"/>
          <w:b/>
          <w:bCs/>
          <w:sz w:val="26"/>
          <w:szCs w:val="36"/>
          <w:rtl/>
        </w:rPr>
        <w:t xml:space="preserve">اللجنة </w:t>
      </w:r>
      <w:r w:rsidRPr="0073384B">
        <w:rPr>
          <w:rFonts w:hint="cs"/>
          <w:b/>
          <w:bCs/>
          <w:sz w:val="22"/>
          <w:szCs w:val="36"/>
          <w:rtl/>
          <w:lang w:eastAsia="ar-SA"/>
        </w:rPr>
        <w:t>المعنية بحقوق الإنسان</w:t>
      </w:r>
    </w:p>
    <w:p w:rsidR="0069722E" w:rsidRPr="0073384B" w:rsidRDefault="0069722E" w:rsidP="0069722E">
      <w:pPr>
        <w:spacing w:line="380" w:lineRule="exact"/>
        <w:jc w:val="left"/>
        <w:rPr>
          <w:rFonts w:hint="cs"/>
          <w:b/>
          <w:bCs/>
          <w:sz w:val="22"/>
          <w:rtl/>
          <w:lang w:eastAsia="ar-SA"/>
        </w:rPr>
      </w:pPr>
      <w:r w:rsidRPr="0073384B">
        <w:rPr>
          <w:rFonts w:hint="cs"/>
          <w:b/>
          <w:bCs/>
          <w:sz w:val="22"/>
          <w:rtl/>
          <w:lang w:eastAsia="ar-SA"/>
        </w:rPr>
        <w:t xml:space="preserve">الدورة </w:t>
      </w:r>
      <w:r>
        <w:rPr>
          <w:rFonts w:hint="cs"/>
          <w:b/>
          <w:bCs/>
          <w:sz w:val="22"/>
          <w:rtl/>
          <w:lang w:eastAsia="ar-SA"/>
        </w:rPr>
        <w:t>الخامسة بعد المائة</w:t>
      </w:r>
    </w:p>
    <w:p w:rsidR="0069722E" w:rsidRPr="00322360" w:rsidRDefault="0069722E" w:rsidP="0069722E">
      <w:pPr>
        <w:spacing w:before="120" w:line="380" w:lineRule="exact"/>
        <w:jc w:val="left"/>
        <w:rPr>
          <w:b/>
          <w:bCs/>
          <w:sz w:val="16"/>
          <w:rtl/>
          <w:lang w:eastAsia="ar-SA"/>
        </w:rPr>
      </w:pPr>
      <w:r w:rsidRPr="00322360">
        <w:rPr>
          <w:rFonts w:hint="cs"/>
          <w:b/>
          <w:bCs/>
          <w:sz w:val="16"/>
          <w:rtl/>
          <w:lang w:eastAsia="ar-SA"/>
        </w:rPr>
        <w:t xml:space="preserve">محضر موجز للجلسة </w:t>
      </w:r>
      <w:r>
        <w:rPr>
          <w:rFonts w:hint="cs"/>
          <w:b/>
          <w:bCs/>
          <w:sz w:val="16"/>
          <w:rtl/>
          <w:lang w:eastAsia="ar-SA"/>
        </w:rPr>
        <w:t>2897</w:t>
      </w:r>
    </w:p>
    <w:p w:rsidR="0069722E" w:rsidRPr="0073384B" w:rsidRDefault="0069722E" w:rsidP="0069722E">
      <w:pPr>
        <w:spacing w:line="380" w:lineRule="exact"/>
        <w:jc w:val="left"/>
        <w:rPr>
          <w:rFonts w:hint="cs"/>
          <w:sz w:val="22"/>
          <w:rtl/>
          <w:lang w:eastAsia="ar-SA"/>
        </w:rPr>
      </w:pPr>
      <w:r w:rsidRPr="0073384B">
        <w:rPr>
          <w:rFonts w:hint="cs"/>
          <w:sz w:val="22"/>
          <w:rtl/>
          <w:lang w:eastAsia="ar-SA"/>
        </w:rPr>
        <w:t xml:space="preserve">المعقودة في قصر </w:t>
      </w:r>
      <w:r>
        <w:rPr>
          <w:rFonts w:hint="cs"/>
          <w:sz w:val="22"/>
          <w:rtl/>
          <w:lang w:eastAsia="ar-SA"/>
        </w:rPr>
        <w:t>الأمم</w:t>
      </w:r>
      <w:r w:rsidRPr="0073384B">
        <w:rPr>
          <w:rFonts w:hint="cs"/>
          <w:sz w:val="22"/>
          <w:rtl/>
          <w:lang w:eastAsia="ar-SA"/>
        </w:rPr>
        <w:t>، جنيف،</w:t>
      </w:r>
      <w:r>
        <w:rPr>
          <w:rFonts w:hint="cs"/>
          <w:sz w:val="22"/>
          <w:rtl/>
          <w:lang w:eastAsia="ar-SA"/>
        </w:rPr>
        <w:t xml:space="preserve"> </w:t>
      </w:r>
      <w:r w:rsidRPr="0073384B">
        <w:rPr>
          <w:sz w:val="22"/>
          <w:rtl/>
          <w:lang w:eastAsia="ar-SA"/>
        </w:rPr>
        <w:t xml:space="preserve">يوم </w:t>
      </w:r>
      <w:r>
        <w:rPr>
          <w:rFonts w:hint="cs"/>
          <w:sz w:val="22"/>
          <w:rtl/>
          <w:lang w:eastAsia="ar-SA"/>
        </w:rPr>
        <w:t>الأربعاء</w:t>
      </w:r>
      <w:r w:rsidRPr="0073384B">
        <w:rPr>
          <w:sz w:val="22"/>
          <w:rtl/>
          <w:lang w:eastAsia="ar-SA"/>
        </w:rPr>
        <w:t xml:space="preserve"> </w:t>
      </w:r>
      <w:r>
        <w:rPr>
          <w:rFonts w:hint="cs"/>
          <w:sz w:val="22"/>
          <w:rtl/>
          <w:lang w:eastAsia="ar-SA"/>
        </w:rPr>
        <w:t>11</w:t>
      </w:r>
      <w:r w:rsidRPr="0073384B">
        <w:rPr>
          <w:sz w:val="22"/>
          <w:rtl/>
          <w:lang w:eastAsia="ar-SA"/>
        </w:rPr>
        <w:t xml:space="preserve"> </w:t>
      </w:r>
      <w:r>
        <w:rPr>
          <w:rFonts w:hint="cs"/>
          <w:sz w:val="22"/>
          <w:rtl/>
          <w:lang w:eastAsia="ar-SA"/>
        </w:rPr>
        <w:t>تموز/يوليه 2012</w:t>
      </w:r>
      <w:r w:rsidRPr="0073384B">
        <w:rPr>
          <w:sz w:val="22"/>
          <w:rtl/>
          <w:lang w:eastAsia="ar-SA"/>
        </w:rPr>
        <w:t xml:space="preserve">، الساعة </w:t>
      </w:r>
      <w:r>
        <w:rPr>
          <w:rFonts w:hint="cs"/>
          <w:sz w:val="22"/>
          <w:rtl/>
          <w:lang w:eastAsia="ar-SA"/>
        </w:rPr>
        <w:t>00</w:t>
      </w:r>
      <w:r w:rsidRPr="0073384B">
        <w:rPr>
          <w:sz w:val="22"/>
          <w:rtl/>
          <w:lang w:eastAsia="ar-SA"/>
        </w:rPr>
        <w:t>/</w:t>
      </w:r>
      <w:r w:rsidRPr="0073384B">
        <w:rPr>
          <w:rFonts w:hint="cs"/>
          <w:sz w:val="22"/>
          <w:rtl/>
          <w:lang w:eastAsia="ar-SA"/>
        </w:rPr>
        <w:t>10</w:t>
      </w:r>
    </w:p>
    <w:p w:rsidR="0069722E" w:rsidRPr="0073384B" w:rsidRDefault="0069722E" w:rsidP="004635E9">
      <w:pPr>
        <w:tabs>
          <w:tab w:val="left" w:pos="1178"/>
        </w:tabs>
        <w:spacing w:before="240" w:after="240" w:line="380" w:lineRule="exact"/>
        <w:rPr>
          <w:rFonts w:hint="cs"/>
          <w:sz w:val="22"/>
          <w:rtl/>
          <w:lang w:eastAsia="ar-SA"/>
        </w:rPr>
      </w:pPr>
      <w:r w:rsidRPr="0073384B">
        <w:rPr>
          <w:rFonts w:hint="cs"/>
          <w:i/>
          <w:iCs/>
          <w:sz w:val="22"/>
          <w:rtl/>
          <w:lang w:eastAsia="ar-SA"/>
        </w:rPr>
        <w:t>الرئيس</w:t>
      </w:r>
      <w:r>
        <w:rPr>
          <w:rFonts w:hint="cs"/>
          <w:i/>
          <w:iCs/>
          <w:sz w:val="22"/>
          <w:rtl/>
          <w:lang w:eastAsia="ar-SA"/>
        </w:rPr>
        <w:t>ة</w:t>
      </w:r>
      <w:r w:rsidRPr="0073384B">
        <w:rPr>
          <w:rFonts w:hint="cs"/>
          <w:sz w:val="22"/>
          <w:rtl/>
          <w:lang w:eastAsia="ar-SA"/>
        </w:rPr>
        <w:t>:</w:t>
      </w:r>
      <w:r>
        <w:rPr>
          <w:rFonts w:hint="cs"/>
          <w:sz w:val="22"/>
          <w:rtl/>
          <w:lang w:eastAsia="ar-SA"/>
        </w:rPr>
        <w:tab/>
      </w:r>
      <w:r w:rsidRPr="004635E9">
        <w:rPr>
          <w:rFonts w:hint="cs"/>
          <w:sz w:val="30"/>
          <w:rtl/>
          <w:lang w:val="fr-CH"/>
        </w:rPr>
        <w:t>السيدة</w:t>
      </w:r>
      <w:r w:rsidRPr="0073384B">
        <w:rPr>
          <w:rFonts w:hint="cs"/>
          <w:sz w:val="22"/>
          <w:rtl/>
          <w:lang w:eastAsia="ar-SA"/>
        </w:rPr>
        <w:t xml:space="preserve"> </w:t>
      </w:r>
      <w:proofErr w:type="spellStart"/>
      <w:r w:rsidRPr="004635E9">
        <w:rPr>
          <w:rFonts w:hint="cs"/>
          <w:b/>
          <w:bCs/>
          <w:sz w:val="22"/>
          <w:rtl/>
          <w:lang w:eastAsia="ar-SA"/>
        </w:rPr>
        <w:t>ماجودينا</w:t>
      </w:r>
      <w:proofErr w:type="spellEnd"/>
    </w:p>
    <w:p w:rsidR="0069722E" w:rsidRPr="00982D8B" w:rsidRDefault="0069722E">
      <w:pPr>
        <w:spacing w:line="360" w:lineRule="exact"/>
        <w:rPr>
          <w:rFonts w:hint="cs"/>
          <w:sz w:val="36"/>
          <w:szCs w:val="36"/>
          <w:rtl/>
        </w:rPr>
      </w:pPr>
      <w:r>
        <w:rPr>
          <w:rFonts w:hint="cs"/>
          <w:sz w:val="36"/>
          <w:szCs w:val="36"/>
          <w:rtl/>
        </w:rPr>
        <w:t>المحتويات</w:t>
      </w:r>
    </w:p>
    <w:p w:rsidR="0069722E" w:rsidRDefault="0069722E" w:rsidP="0069722E">
      <w:pPr>
        <w:spacing w:before="120" w:line="380" w:lineRule="exact"/>
        <w:ind w:left="1247" w:right="1247"/>
        <w:rPr>
          <w:rFonts w:hint="cs"/>
          <w:i/>
          <w:iCs/>
          <w:rtl/>
        </w:rPr>
      </w:pPr>
      <w:r>
        <w:rPr>
          <w:rFonts w:hint="cs"/>
          <w:rtl/>
        </w:rPr>
        <w:t>النظر في التقارير المقدمة من الدول الأطراف بموجب المادة 40</w:t>
      </w:r>
      <w:r>
        <w:rPr>
          <w:rFonts w:hint="cs"/>
          <w:i/>
          <w:iCs/>
          <w:rtl/>
        </w:rPr>
        <w:t xml:space="preserve"> </w:t>
      </w:r>
      <w:r w:rsidRPr="004C1895">
        <w:rPr>
          <w:rFonts w:hint="cs"/>
          <w:rtl/>
        </w:rPr>
        <w:t>من العهد</w:t>
      </w:r>
      <w:r>
        <w:rPr>
          <w:rFonts w:hint="cs"/>
          <w:i/>
          <w:iCs/>
          <w:rtl/>
        </w:rPr>
        <w:t xml:space="preserve"> </w:t>
      </w:r>
      <w:r w:rsidRPr="009D2C99">
        <w:rPr>
          <w:rFonts w:hint="cs"/>
          <w:i/>
          <w:iCs/>
          <w:rtl/>
        </w:rPr>
        <w:t>(</w:t>
      </w:r>
      <w:r>
        <w:rPr>
          <w:rFonts w:hint="cs"/>
          <w:i/>
          <w:iCs/>
          <w:rtl/>
        </w:rPr>
        <w:t>يتبع)</w:t>
      </w:r>
    </w:p>
    <w:p w:rsidR="0069722E" w:rsidRPr="009D2C99" w:rsidRDefault="0069722E" w:rsidP="004C1895">
      <w:pPr>
        <w:spacing w:before="120" w:line="380" w:lineRule="exact"/>
        <w:ind w:left="1247" w:right="1247" w:firstLine="454"/>
        <w:rPr>
          <w:rFonts w:hint="cs"/>
          <w:i/>
          <w:iCs/>
          <w:rtl/>
        </w:rPr>
      </w:pPr>
      <w:r>
        <w:rPr>
          <w:rFonts w:hint="cs"/>
          <w:i/>
          <w:iCs/>
          <w:rtl/>
        </w:rPr>
        <w:t>تقرير ليتوانيا الدوري الثالث (يتبع)</w:t>
      </w:r>
    </w:p>
    <w:p w:rsidR="0069722E" w:rsidRDefault="006305A9" w:rsidP="004C1895">
      <w:pPr>
        <w:pStyle w:val="H4GA"/>
        <w:rPr>
          <w:rFonts w:hint="cs"/>
          <w:rtl/>
        </w:rPr>
      </w:pPr>
      <w:r>
        <w:rPr>
          <w:rtl/>
        </w:rPr>
        <w:br w:type="page"/>
      </w:r>
      <w:r>
        <w:rPr>
          <w:rFonts w:hint="cs"/>
          <w:rtl/>
        </w:rPr>
        <w:tab/>
      </w:r>
      <w:r w:rsidR="0069722E" w:rsidRPr="00917631">
        <w:rPr>
          <w:rFonts w:hint="cs"/>
          <w:rtl/>
        </w:rPr>
        <w:tab/>
        <w:t xml:space="preserve">افتتحت الجلسة الساعة </w:t>
      </w:r>
      <w:r w:rsidR="004635E9">
        <w:rPr>
          <w:rFonts w:hint="cs"/>
          <w:rtl/>
        </w:rPr>
        <w:t>00</w:t>
      </w:r>
      <w:r w:rsidR="0069722E" w:rsidRPr="00917631">
        <w:rPr>
          <w:rFonts w:hint="cs"/>
          <w:rtl/>
        </w:rPr>
        <w:t>/10</w:t>
      </w:r>
    </w:p>
    <w:p w:rsidR="0069722E" w:rsidRPr="00360C8F" w:rsidRDefault="003F1E53" w:rsidP="003F1E53">
      <w:pPr>
        <w:pStyle w:val="H23GA"/>
        <w:rPr>
          <w:rFonts w:hint="cs"/>
          <w:i/>
          <w:iCs/>
          <w:rtl/>
        </w:rPr>
      </w:pPr>
      <w:r>
        <w:rPr>
          <w:rFonts w:hint="cs"/>
          <w:rtl/>
        </w:rPr>
        <w:tab/>
      </w:r>
      <w:r>
        <w:rPr>
          <w:rFonts w:hint="cs"/>
          <w:rtl/>
        </w:rPr>
        <w:tab/>
      </w:r>
      <w:r w:rsidR="0069722E" w:rsidRPr="00360C8F">
        <w:rPr>
          <w:rFonts w:hint="cs"/>
          <w:rtl/>
        </w:rPr>
        <w:t>النظر في التقارير المقد</w:t>
      </w:r>
      <w:r w:rsidR="0069722E">
        <w:rPr>
          <w:rFonts w:hint="cs"/>
          <w:rtl/>
        </w:rPr>
        <w:t>ّ</w:t>
      </w:r>
      <w:r w:rsidR="0069722E" w:rsidRPr="00360C8F">
        <w:rPr>
          <w:rFonts w:hint="cs"/>
          <w:rtl/>
        </w:rPr>
        <w:t>مة من الدول الأطراف بموجب المادة 40</w:t>
      </w:r>
      <w:r w:rsidR="0069722E">
        <w:rPr>
          <w:rFonts w:hint="cs"/>
          <w:i/>
          <w:iCs/>
          <w:rtl/>
        </w:rPr>
        <w:t xml:space="preserve"> </w:t>
      </w:r>
      <w:r w:rsidR="0069722E" w:rsidRPr="004C1895">
        <w:rPr>
          <w:rFonts w:hint="cs"/>
          <w:rtl/>
        </w:rPr>
        <w:t>من العهد</w:t>
      </w:r>
      <w:r w:rsidR="0069722E">
        <w:rPr>
          <w:rFonts w:hint="cs"/>
          <w:i/>
          <w:iCs/>
          <w:rtl/>
        </w:rPr>
        <w:t xml:space="preserve"> </w:t>
      </w:r>
      <w:r w:rsidR="0069722E" w:rsidRPr="004C1895">
        <w:rPr>
          <w:rFonts w:hint="cs"/>
          <w:b w:val="0"/>
          <w:bCs w:val="0"/>
          <w:i/>
          <w:iCs/>
          <w:rtl/>
        </w:rPr>
        <w:t>(يتبع)</w:t>
      </w:r>
    </w:p>
    <w:p w:rsidR="0069722E" w:rsidRDefault="003F1E53" w:rsidP="004C1895">
      <w:pPr>
        <w:pStyle w:val="H4GA"/>
        <w:rPr>
          <w:rFonts w:hint="cs"/>
          <w:rtl/>
        </w:rPr>
      </w:pPr>
      <w:r>
        <w:rPr>
          <w:rFonts w:hint="cs"/>
          <w:rtl/>
        </w:rPr>
        <w:tab/>
      </w:r>
      <w:r>
        <w:rPr>
          <w:rFonts w:hint="cs"/>
          <w:rtl/>
        </w:rPr>
        <w:tab/>
      </w:r>
      <w:r w:rsidR="0069722E" w:rsidRPr="004635E9">
        <w:rPr>
          <w:rFonts w:hint="cs"/>
          <w:rtl/>
        </w:rPr>
        <w:t>تقرير ليتوانيا الدوري الثالث</w:t>
      </w:r>
      <w:r w:rsidR="0069722E">
        <w:rPr>
          <w:rFonts w:hint="cs"/>
          <w:rtl/>
        </w:rPr>
        <w:t xml:space="preserve"> </w:t>
      </w:r>
      <w:r w:rsidR="0069722E" w:rsidRPr="003F1E53">
        <w:rPr>
          <w:rFonts w:hint="cs"/>
          <w:i w:val="0"/>
          <w:iCs w:val="0"/>
          <w:rtl/>
        </w:rPr>
        <w:t>(</w:t>
      </w:r>
      <w:proofErr w:type="spellStart"/>
      <w:r w:rsidR="0069722E" w:rsidRPr="003F1E53">
        <w:rPr>
          <w:i w:val="0"/>
          <w:iCs w:val="0"/>
        </w:rPr>
        <w:t>CCPR/C/LTU/3</w:t>
      </w:r>
      <w:proofErr w:type="spellEnd"/>
      <w:r w:rsidR="004C1895">
        <w:rPr>
          <w:rFonts w:hint="cs"/>
          <w:i w:val="0"/>
          <w:iCs w:val="0"/>
          <w:rtl/>
          <w:lang w:val="fr-CH"/>
        </w:rPr>
        <w:t xml:space="preserve">؛ </w:t>
      </w:r>
      <w:proofErr w:type="spellStart"/>
      <w:r w:rsidR="0069722E" w:rsidRPr="003F1E53">
        <w:rPr>
          <w:i w:val="0"/>
          <w:iCs w:val="0"/>
          <w:lang w:val="fr-CH"/>
        </w:rPr>
        <w:t>CCPR</w:t>
      </w:r>
      <w:proofErr w:type="spellEnd"/>
      <w:r w:rsidR="0069722E" w:rsidRPr="003F1E53">
        <w:rPr>
          <w:i w:val="0"/>
          <w:iCs w:val="0"/>
          <w:lang w:val="fr-CH"/>
        </w:rPr>
        <w:t>/C/</w:t>
      </w:r>
      <w:proofErr w:type="spellStart"/>
      <w:r w:rsidR="0069722E" w:rsidRPr="003F1E53">
        <w:rPr>
          <w:i w:val="0"/>
          <w:iCs w:val="0"/>
          <w:lang w:val="fr-CH"/>
        </w:rPr>
        <w:t>LTU</w:t>
      </w:r>
      <w:proofErr w:type="spellEnd"/>
      <w:r w:rsidR="0069722E" w:rsidRPr="003F1E53">
        <w:rPr>
          <w:i w:val="0"/>
          <w:iCs w:val="0"/>
          <w:lang w:val="fr-CH"/>
        </w:rPr>
        <w:t>/</w:t>
      </w:r>
      <w:r w:rsidR="004C1895">
        <w:rPr>
          <w:i w:val="0"/>
          <w:iCs w:val="0"/>
          <w:lang w:val="fr-CH"/>
        </w:rPr>
        <w:t>Q/</w:t>
      </w:r>
      <w:r w:rsidR="0069722E" w:rsidRPr="003F1E53">
        <w:rPr>
          <w:i w:val="0"/>
          <w:iCs w:val="0"/>
          <w:lang w:val="fr-CH"/>
        </w:rPr>
        <w:t>3</w:t>
      </w:r>
      <w:r w:rsidR="004635E9" w:rsidRPr="003F1E53">
        <w:rPr>
          <w:rFonts w:hint="cs"/>
          <w:i w:val="0"/>
          <w:iCs w:val="0"/>
          <w:rtl/>
          <w:lang w:val="fr-CH"/>
        </w:rPr>
        <w:t xml:space="preserve"> و</w:t>
      </w:r>
      <w:proofErr w:type="spellStart"/>
      <w:r w:rsidR="0069722E" w:rsidRPr="003F1E53">
        <w:rPr>
          <w:i w:val="0"/>
          <w:iCs w:val="0"/>
          <w:lang w:val="fr-CH"/>
        </w:rPr>
        <w:t>Add</w:t>
      </w:r>
      <w:proofErr w:type="spellEnd"/>
      <w:r w:rsidR="0069722E" w:rsidRPr="003F1E53">
        <w:rPr>
          <w:i w:val="0"/>
          <w:iCs w:val="0"/>
          <w:lang w:val="fr-CH"/>
        </w:rPr>
        <w:t>.1</w:t>
      </w:r>
      <w:r w:rsidR="0069722E" w:rsidRPr="003F1E53">
        <w:rPr>
          <w:rFonts w:hint="cs"/>
          <w:i w:val="0"/>
          <w:iCs w:val="0"/>
          <w:rtl/>
        </w:rPr>
        <w:t>)</w:t>
      </w:r>
      <w:r w:rsidR="0069722E">
        <w:rPr>
          <w:rFonts w:hint="cs"/>
          <w:rtl/>
        </w:rPr>
        <w:t xml:space="preserve"> </w:t>
      </w:r>
      <w:r w:rsidR="0069722E" w:rsidRPr="004C1895">
        <w:rPr>
          <w:rFonts w:hint="cs"/>
          <w:rtl/>
        </w:rPr>
        <w:t>(يتبع)</w:t>
      </w:r>
    </w:p>
    <w:p w:rsidR="0069722E" w:rsidRPr="002D2CAC" w:rsidRDefault="003F1E53" w:rsidP="004C1895">
      <w:pPr>
        <w:pStyle w:val="SingleTxtGA"/>
        <w:rPr>
          <w:rFonts w:hint="cs"/>
        </w:rPr>
      </w:pPr>
      <w:r>
        <w:rPr>
          <w:rFonts w:hint="cs"/>
          <w:rtl/>
          <w:lang w:bidi="ar"/>
        </w:rPr>
        <w:t>1-</w:t>
      </w:r>
      <w:r>
        <w:rPr>
          <w:rFonts w:hint="cs"/>
          <w:rtl/>
          <w:lang w:bidi="ar"/>
        </w:rPr>
        <w:tab/>
      </w:r>
      <w:r w:rsidR="0069722E" w:rsidRPr="004C1895">
        <w:rPr>
          <w:rFonts w:hint="cs"/>
          <w:i/>
          <w:iCs/>
          <w:rtl/>
          <w:lang w:bidi="ar"/>
        </w:rPr>
        <w:t xml:space="preserve">بناء على دعوة الرئيسة، عاد أعضاء وفد </w:t>
      </w:r>
      <w:r w:rsidR="004C1895">
        <w:rPr>
          <w:rFonts w:hint="cs"/>
          <w:i/>
          <w:iCs/>
          <w:rtl/>
          <w:lang w:bidi="ar"/>
        </w:rPr>
        <w:t>ليتوانيا</w:t>
      </w:r>
      <w:r w:rsidR="0069722E" w:rsidRPr="004C1895">
        <w:rPr>
          <w:rFonts w:hint="cs"/>
          <w:i/>
          <w:iCs/>
          <w:rtl/>
          <w:lang w:bidi="ar"/>
        </w:rPr>
        <w:t xml:space="preserve"> إلى مائدة اللجنة</w:t>
      </w:r>
      <w:r w:rsidR="0069722E">
        <w:rPr>
          <w:rFonts w:hint="cs"/>
          <w:rtl/>
        </w:rPr>
        <w:t>.</w:t>
      </w:r>
    </w:p>
    <w:p w:rsidR="0069722E" w:rsidRPr="00F845ED" w:rsidRDefault="003F1E53" w:rsidP="003F1E53">
      <w:pPr>
        <w:pStyle w:val="SingleTxtGA"/>
        <w:rPr>
          <w:rFonts w:hint="cs"/>
          <w:spacing w:val="-4"/>
        </w:rPr>
      </w:pPr>
      <w:r w:rsidRPr="00F845ED">
        <w:rPr>
          <w:rFonts w:hint="cs"/>
          <w:spacing w:val="-4"/>
          <w:rtl/>
        </w:rPr>
        <w:t>2-</w:t>
      </w:r>
      <w:r w:rsidRPr="00F845ED">
        <w:rPr>
          <w:rFonts w:hint="cs"/>
          <w:spacing w:val="-4"/>
          <w:rtl/>
        </w:rPr>
        <w:tab/>
      </w:r>
      <w:r w:rsidR="0069722E" w:rsidRPr="00F845ED">
        <w:rPr>
          <w:rFonts w:hint="cs"/>
          <w:b/>
          <w:bCs/>
          <w:spacing w:val="-4"/>
          <w:rtl/>
        </w:rPr>
        <w:t>الرئيسة:</w:t>
      </w:r>
      <w:r w:rsidR="0069722E" w:rsidRPr="00F845ED">
        <w:rPr>
          <w:rFonts w:hint="cs"/>
          <w:spacing w:val="-4"/>
          <w:rtl/>
        </w:rPr>
        <w:t xml:space="preserve"> دعت الوفد إلى الرد على الأسئلة التي طرح</w:t>
      </w:r>
      <w:r w:rsidR="002342B6" w:rsidRPr="00F845ED">
        <w:rPr>
          <w:rFonts w:hint="cs"/>
          <w:spacing w:val="-4"/>
          <w:rtl/>
        </w:rPr>
        <w:t>ها الأعضاء خلال الجلسة الماضية.</w:t>
      </w:r>
    </w:p>
    <w:p w:rsidR="0069722E" w:rsidRDefault="003F1E53" w:rsidP="003F1E53">
      <w:pPr>
        <w:pStyle w:val="SingleTxtGA"/>
        <w:rPr>
          <w:rFonts w:hint="cs"/>
        </w:rPr>
      </w:pPr>
      <w:r>
        <w:rPr>
          <w:rFonts w:hint="cs"/>
          <w:rtl/>
        </w:rPr>
        <w:t>3-</w:t>
      </w:r>
      <w:r>
        <w:rPr>
          <w:rFonts w:hint="cs"/>
          <w:rtl/>
        </w:rPr>
        <w:tab/>
      </w:r>
      <w:r w:rsidR="0069722E" w:rsidRPr="00F07CF9">
        <w:rPr>
          <w:rFonts w:hint="cs"/>
          <w:b/>
          <w:bCs/>
          <w:rtl/>
        </w:rPr>
        <w:t xml:space="preserve">السيدة </w:t>
      </w:r>
      <w:proofErr w:type="spellStart"/>
      <w:r w:rsidR="0069722E" w:rsidRPr="00F07CF9">
        <w:rPr>
          <w:rFonts w:hint="cs"/>
          <w:b/>
          <w:bCs/>
          <w:rtl/>
        </w:rPr>
        <w:t>أوربوني</w:t>
      </w:r>
      <w:proofErr w:type="spellEnd"/>
      <w:r w:rsidR="0069722E">
        <w:rPr>
          <w:rFonts w:hint="cs"/>
          <w:rtl/>
        </w:rPr>
        <w:t xml:space="preserve"> (ليتوانيا): قالت إن الحكومة تهدف إلى منع أي فعل من أفعال العنف ضد المحتجزين وهي تنظر من ثم في اتخاذ تدابير مختلفة، </w:t>
      </w:r>
      <w:r w:rsidR="00C026A7">
        <w:rPr>
          <w:rFonts w:hint="cs"/>
          <w:rtl/>
        </w:rPr>
        <w:t xml:space="preserve">لا سيما </w:t>
      </w:r>
      <w:r w:rsidR="0069722E">
        <w:rPr>
          <w:rFonts w:hint="cs"/>
          <w:rtl/>
        </w:rPr>
        <w:t xml:space="preserve">إخضاع الأشخاص المحتجزين رهن المحاكمة لفحص طبي على يد ممرضات اجتماعيات </w:t>
      </w:r>
      <w:r>
        <w:rPr>
          <w:rFonts w:hint="cs"/>
          <w:rtl/>
        </w:rPr>
        <w:t xml:space="preserve">للتأكد </w:t>
      </w:r>
      <w:r w:rsidR="0069722E">
        <w:rPr>
          <w:rFonts w:hint="cs"/>
          <w:rtl/>
        </w:rPr>
        <w:t xml:space="preserve">من أنهم يتمتعون بصحة جيدة. </w:t>
      </w:r>
      <w:r>
        <w:rPr>
          <w:rFonts w:hint="cs"/>
          <w:rtl/>
        </w:rPr>
        <w:t xml:space="preserve">وأصدرت </w:t>
      </w:r>
      <w:r w:rsidR="0069722E">
        <w:rPr>
          <w:rFonts w:hint="cs"/>
          <w:rtl/>
        </w:rPr>
        <w:t xml:space="preserve">الشرطة </w:t>
      </w:r>
      <w:r>
        <w:rPr>
          <w:rFonts w:hint="cs"/>
          <w:rtl/>
        </w:rPr>
        <w:t xml:space="preserve">تعليمات </w:t>
      </w:r>
      <w:r w:rsidR="0069722E">
        <w:rPr>
          <w:rFonts w:hint="cs"/>
          <w:rtl/>
        </w:rPr>
        <w:t xml:space="preserve">بإجراء فحص طبي لجميع الأشخاص المحتجزين رهن المحاكمة لتحديد الأضرار البدنية المحتملة </w:t>
      </w:r>
      <w:r>
        <w:rPr>
          <w:rFonts w:hint="cs"/>
          <w:rtl/>
        </w:rPr>
        <w:t xml:space="preserve">السابقة </w:t>
      </w:r>
      <w:r w:rsidR="0069722E">
        <w:rPr>
          <w:rFonts w:hint="cs"/>
          <w:rtl/>
        </w:rPr>
        <w:t xml:space="preserve">وتوثيقها. ويحقَّق في جميع الادعاءات التي تفيد بارتكاب موظفي مراكز الاحتجاز لأعمال عنف في حق المحتجزين، وقد تفضي هذه التحقيقات إلى ملاحقات جزائية. وعندما يقدم شخص </w:t>
      </w:r>
      <w:r w:rsidR="00C026A7">
        <w:rPr>
          <w:rFonts w:hint="cs"/>
          <w:rtl/>
        </w:rPr>
        <w:t>ما </w:t>
      </w:r>
      <w:r w:rsidR="0069722E">
        <w:rPr>
          <w:rFonts w:hint="cs"/>
          <w:rtl/>
        </w:rPr>
        <w:t xml:space="preserve">شكوى بشأن تعرضه لسوء المعاملة أثناء إجراء التحقيقات الأولية، تقوم الإدارة التي تلقّت الشكوى، إذا اعتبرت أنها ليست مختصة </w:t>
      </w:r>
      <w:r>
        <w:rPr>
          <w:rFonts w:hint="cs"/>
          <w:rtl/>
        </w:rPr>
        <w:t>با</w:t>
      </w:r>
      <w:r w:rsidR="0069722E">
        <w:rPr>
          <w:rFonts w:hint="cs"/>
          <w:rtl/>
        </w:rPr>
        <w:t xml:space="preserve">لنظر فيها، بإحالتها إلى </w:t>
      </w:r>
      <w:r>
        <w:rPr>
          <w:rFonts w:hint="cs"/>
          <w:rtl/>
        </w:rPr>
        <w:t xml:space="preserve">هيئة </w:t>
      </w:r>
      <w:r w:rsidR="0069722E">
        <w:rPr>
          <w:rFonts w:hint="cs"/>
          <w:rtl/>
        </w:rPr>
        <w:t>مختص</w:t>
      </w:r>
      <w:r>
        <w:rPr>
          <w:rFonts w:hint="cs"/>
          <w:rtl/>
        </w:rPr>
        <w:t>ة</w:t>
      </w:r>
      <w:r w:rsidR="0069722E">
        <w:rPr>
          <w:rFonts w:hint="cs"/>
          <w:rtl/>
        </w:rPr>
        <w:t xml:space="preserve">؛ ويترتب على عدم قيامها بذلك فتح تحقيق ومعاقبة المسؤولين. ويودع الأحداث والبالغون المعتقلون والمحتجزون رهن المحاكمة في زنزانات منفصلة. وفي مراكز الاحتجاز رهن المحاكمة يجمع الأحداث بحسب سنّهم وحالتهم البدنية والعقلية. </w:t>
      </w:r>
    </w:p>
    <w:p w:rsidR="0069722E" w:rsidRDefault="002342B6" w:rsidP="002342B6">
      <w:pPr>
        <w:pStyle w:val="SingleTxtGA"/>
        <w:rPr>
          <w:rFonts w:hint="cs"/>
        </w:rPr>
      </w:pPr>
      <w:r>
        <w:rPr>
          <w:rFonts w:hint="cs"/>
          <w:rtl/>
        </w:rPr>
        <w:t>4-</w:t>
      </w:r>
      <w:r>
        <w:rPr>
          <w:rFonts w:hint="cs"/>
          <w:rtl/>
        </w:rPr>
        <w:tab/>
      </w:r>
      <w:r w:rsidR="0069722E" w:rsidRPr="002609AB">
        <w:rPr>
          <w:rFonts w:hint="cs"/>
          <w:b/>
          <w:bCs/>
          <w:rtl/>
        </w:rPr>
        <w:t xml:space="preserve">السيدة </w:t>
      </w:r>
      <w:proofErr w:type="spellStart"/>
      <w:r w:rsidR="0069722E" w:rsidRPr="002609AB">
        <w:rPr>
          <w:rFonts w:hint="cs"/>
          <w:b/>
          <w:bCs/>
          <w:rtl/>
        </w:rPr>
        <w:t>بوكانتايتي</w:t>
      </w:r>
      <w:proofErr w:type="spellEnd"/>
      <w:r w:rsidR="004C1895">
        <w:rPr>
          <w:rFonts w:hint="cs"/>
          <w:b/>
          <w:bCs/>
          <w:rtl/>
        </w:rPr>
        <w:t xml:space="preserve"> </w:t>
      </w:r>
      <w:r w:rsidR="0069722E" w:rsidRPr="002609AB">
        <w:rPr>
          <w:rFonts w:hint="cs"/>
          <w:b/>
          <w:bCs/>
          <w:rtl/>
        </w:rPr>
        <w:t>-</w:t>
      </w:r>
      <w:r w:rsidR="004C1895">
        <w:rPr>
          <w:rFonts w:hint="cs"/>
          <w:b/>
          <w:bCs/>
          <w:rtl/>
        </w:rPr>
        <w:t xml:space="preserve"> </w:t>
      </w:r>
      <w:proofErr w:type="spellStart"/>
      <w:r w:rsidR="0069722E" w:rsidRPr="002609AB">
        <w:rPr>
          <w:rFonts w:hint="cs"/>
          <w:b/>
          <w:bCs/>
          <w:rtl/>
        </w:rPr>
        <w:t>كوتكيف</w:t>
      </w:r>
      <w:r w:rsidR="0069722E">
        <w:rPr>
          <w:rFonts w:hint="cs"/>
          <w:b/>
          <w:bCs/>
          <w:rtl/>
        </w:rPr>
        <w:t>يشيين</w:t>
      </w:r>
      <w:proofErr w:type="spellEnd"/>
      <w:r w:rsidR="0069722E">
        <w:rPr>
          <w:rFonts w:hint="cs"/>
          <w:rtl/>
        </w:rPr>
        <w:t xml:space="preserve"> (ليتوانيا): قالت إن الحكومة تدرك أن مراكز الاحتجاز في ليتوانيا تخالف المعايير الدولية المتعلقة باحتجاز الأحداث وأن هذه المراكز مكتظة. لكن القانون الجنائي يتضمن أحكام</w:t>
      </w:r>
      <w:r w:rsidR="00C026A7">
        <w:rPr>
          <w:rFonts w:hint="cs"/>
          <w:rtl/>
        </w:rPr>
        <w:t xml:space="preserve">اً </w:t>
      </w:r>
      <w:r w:rsidR="0069722E">
        <w:rPr>
          <w:rFonts w:hint="cs"/>
          <w:rtl/>
        </w:rPr>
        <w:t>صارمة جد</w:t>
      </w:r>
      <w:r w:rsidR="00C026A7">
        <w:rPr>
          <w:rFonts w:hint="cs"/>
          <w:rtl/>
        </w:rPr>
        <w:t xml:space="preserve">اً </w:t>
      </w:r>
      <w:r w:rsidR="0069722E">
        <w:rPr>
          <w:rFonts w:hint="cs"/>
          <w:rtl/>
        </w:rPr>
        <w:t>تنص على الفصل بين المحتجزين الأحداث والبالغين، و</w:t>
      </w:r>
      <w:r w:rsidR="00C026A7">
        <w:rPr>
          <w:rFonts w:hint="cs"/>
          <w:rtl/>
        </w:rPr>
        <w:t>لم </w:t>
      </w:r>
      <w:r w:rsidR="003F1E53">
        <w:rPr>
          <w:rFonts w:hint="cs"/>
          <w:rtl/>
        </w:rPr>
        <w:t xml:space="preserve">يسجل في </w:t>
      </w:r>
      <w:r w:rsidR="0069722E">
        <w:rPr>
          <w:rFonts w:hint="cs"/>
          <w:rtl/>
        </w:rPr>
        <w:t xml:space="preserve">الدولة الطرف أية شكوى في هذا الصدد. </w:t>
      </w:r>
    </w:p>
    <w:p w:rsidR="0069722E" w:rsidRDefault="002342B6" w:rsidP="002342B6">
      <w:pPr>
        <w:pStyle w:val="SingleTxtGA"/>
        <w:rPr>
          <w:rFonts w:hint="cs"/>
        </w:rPr>
      </w:pPr>
      <w:r>
        <w:rPr>
          <w:rFonts w:hint="cs"/>
          <w:rtl/>
        </w:rPr>
        <w:t>5-</w:t>
      </w:r>
      <w:r>
        <w:rPr>
          <w:rFonts w:hint="cs"/>
          <w:rtl/>
        </w:rPr>
        <w:tab/>
      </w:r>
      <w:r w:rsidR="0069722E" w:rsidRPr="00CF1C61">
        <w:rPr>
          <w:rFonts w:hint="cs"/>
          <w:b/>
          <w:bCs/>
          <w:rtl/>
        </w:rPr>
        <w:t xml:space="preserve">السيدة </w:t>
      </w:r>
      <w:proofErr w:type="spellStart"/>
      <w:r w:rsidR="0069722E" w:rsidRPr="00CF1C61">
        <w:rPr>
          <w:rFonts w:hint="cs"/>
          <w:b/>
          <w:bCs/>
          <w:rtl/>
        </w:rPr>
        <w:t>فيزنيوسك</w:t>
      </w:r>
      <w:r w:rsidR="0069722E">
        <w:rPr>
          <w:rFonts w:hint="cs"/>
          <w:b/>
          <w:bCs/>
          <w:rtl/>
        </w:rPr>
        <w:t>ا</w:t>
      </w:r>
      <w:r w:rsidR="0069722E" w:rsidRPr="00CF1C61">
        <w:rPr>
          <w:rFonts w:hint="cs"/>
          <w:b/>
          <w:bCs/>
          <w:rtl/>
        </w:rPr>
        <w:t>يتي</w:t>
      </w:r>
      <w:proofErr w:type="spellEnd"/>
      <w:r w:rsidR="004C1895">
        <w:rPr>
          <w:rFonts w:hint="cs"/>
          <w:b/>
          <w:bCs/>
          <w:rtl/>
        </w:rPr>
        <w:t xml:space="preserve"> </w:t>
      </w:r>
      <w:r w:rsidR="0069722E" w:rsidRPr="00CF1C61">
        <w:rPr>
          <w:rFonts w:hint="cs"/>
          <w:b/>
          <w:bCs/>
          <w:rtl/>
        </w:rPr>
        <w:t>-</w:t>
      </w:r>
      <w:r w:rsidR="004C1895">
        <w:rPr>
          <w:rFonts w:hint="cs"/>
          <w:b/>
          <w:bCs/>
          <w:rtl/>
        </w:rPr>
        <w:t xml:space="preserve"> </w:t>
      </w:r>
      <w:proofErr w:type="spellStart"/>
      <w:r w:rsidR="0069722E" w:rsidRPr="00CF1C61">
        <w:rPr>
          <w:rFonts w:hint="cs"/>
          <w:b/>
          <w:bCs/>
          <w:rtl/>
        </w:rPr>
        <w:t>رادينسكي</w:t>
      </w:r>
      <w:r w:rsidR="0069722E">
        <w:rPr>
          <w:rFonts w:hint="cs"/>
          <w:b/>
          <w:bCs/>
          <w:rtl/>
        </w:rPr>
        <w:t>ي</w:t>
      </w:r>
      <w:r w:rsidR="0069722E" w:rsidRPr="00CF1C61">
        <w:rPr>
          <w:rFonts w:hint="cs"/>
          <w:b/>
          <w:bCs/>
          <w:rtl/>
        </w:rPr>
        <w:t>ني</w:t>
      </w:r>
      <w:proofErr w:type="spellEnd"/>
      <w:r w:rsidR="0069722E">
        <w:rPr>
          <w:rFonts w:hint="cs"/>
          <w:rtl/>
        </w:rPr>
        <w:t xml:space="preserve"> (ليتوانيا): أكّدت أن القانون يحظر جميع أشكال </w:t>
      </w:r>
      <w:r w:rsidR="003F1E53">
        <w:rPr>
          <w:rFonts w:hint="cs"/>
          <w:rtl/>
        </w:rPr>
        <w:t>العقوبة البدنية على ا</w:t>
      </w:r>
      <w:r w:rsidR="0069722E">
        <w:rPr>
          <w:rFonts w:hint="cs"/>
          <w:rtl/>
        </w:rPr>
        <w:t>لأطفال في مراكز الاحتجاز. ونظر</w:t>
      </w:r>
      <w:r w:rsidR="00C026A7">
        <w:rPr>
          <w:rFonts w:hint="cs"/>
          <w:rtl/>
        </w:rPr>
        <w:t xml:space="preserve">اً </w:t>
      </w:r>
      <w:r w:rsidR="0069722E">
        <w:rPr>
          <w:rFonts w:hint="cs"/>
          <w:rtl/>
        </w:rPr>
        <w:t xml:space="preserve">لعدم وجود أي نص عام يحظر العنف ضد الأطفال في سياقات أخرى، </w:t>
      </w:r>
      <w:r w:rsidR="00C026A7">
        <w:rPr>
          <w:rFonts w:hint="cs"/>
          <w:rtl/>
        </w:rPr>
        <w:t xml:space="preserve">لا سيما </w:t>
      </w:r>
      <w:r w:rsidR="0069722E">
        <w:rPr>
          <w:rFonts w:hint="cs"/>
          <w:rtl/>
        </w:rPr>
        <w:t xml:space="preserve">في المدرسة، وضعت ليتوانيا مشروع قانون </w:t>
      </w:r>
      <w:r w:rsidR="003F1E53">
        <w:rPr>
          <w:rFonts w:hint="cs"/>
          <w:rtl/>
        </w:rPr>
        <w:t xml:space="preserve">يحظر العقوبة البدنية </w:t>
      </w:r>
      <w:r w:rsidR="0069722E">
        <w:rPr>
          <w:rFonts w:hint="cs"/>
          <w:rtl/>
        </w:rPr>
        <w:t>وغيره</w:t>
      </w:r>
      <w:r w:rsidR="003F1E53">
        <w:rPr>
          <w:rFonts w:hint="cs"/>
          <w:rtl/>
        </w:rPr>
        <w:t>ا</w:t>
      </w:r>
      <w:r w:rsidR="0069722E">
        <w:rPr>
          <w:rFonts w:hint="cs"/>
          <w:rtl/>
        </w:rPr>
        <w:t xml:space="preserve"> من ضروب المعاملة القاسية </w:t>
      </w:r>
      <w:r w:rsidR="004C63C2">
        <w:rPr>
          <w:rFonts w:hint="cs"/>
          <w:rtl/>
        </w:rPr>
        <w:t>أو </w:t>
      </w:r>
      <w:r w:rsidR="0069722E">
        <w:rPr>
          <w:rFonts w:hint="cs"/>
          <w:rtl/>
        </w:rPr>
        <w:t xml:space="preserve">التي تمس بشرف الأطفال </w:t>
      </w:r>
      <w:r w:rsidR="004C63C2">
        <w:rPr>
          <w:rFonts w:hint="cs"/>
          <w:rtl/>
        </w:rPr>
        <w:t>أو </w:t>
      </w:r>
      <w:r w:rsidR="0069722E">
        <w:rPr>
          <w:rFonts w:hint="cs"/>
          <w:rtl/>
        </w:rPr>
        <w:t>تحط من كرامتهم. و</w:t>
      </w:r>
      <w:r w:rsidR="003F1E53">
        <w:rPr>
          <w:rFonts w:hint="cs"/>
          <w:rtl/>
        </w:rPr>
        <w:t xml:space="preserve">أشارت إلى أن </w:t>
      </w:r>
      <w:r w:rsidR="0069722E">
        <w:rPr>
          <w:rFonts w:hint="cs"/>
          <w:rtl/>
        </w:rPr>
        <w:t xml:space="preserve">قانون مكافحة العنف المنزلي </w:t>
      </w:r>
      <w:r w:rsidR="003F1E53">
        <w:rPr>
          <w:rFonts w:hint="cs"/>
          <w:rtl/>
        </w:rPr>
        <w:t xml:space="preserve">يحمي </w:t>
      </w:r>
      <w:r w:rsidR="0069722E">
        <w:rPr>
          <w:rFonts w:hint="cs"/>
          <w:rtl/>
        </w:rPr>
        <w:t>الأطفال</w:t>
      </w:r>
      <w:r w:rsidR="0069722E" w:rsidRPr="00B51980">
        <w:rPr>
          <w:rFonts w:hint="cs"/>
          <w:rtl/>
        </w:rPr>
        <w:t xml:space="preserve"> </w:t>
      </w:r>
      <w:r w:rsidR="0069722E">
        <w:rPr>
          <w:rFonts w:hint="cs"/>
          <w:rtl/>
        </w:rPr>
        <w:t>بالفعل.</w:t>
      </w:r>
    </w:p>
    <w:p w:rsidR="0069722E" w:rsidRDefault="002342B6" w:rsidP="002342B6">
      <w:pPr>
        <w:pStyle w:val="SingleTxtGA"/>
        <w:rPr>
          <w:rFonts w:hint="cs"/>
        </w:rPr>
      </w:pPr>
      <w:r>
        <w:rPr>
          <w:rFonts w:hint="cs"/>
          <w:rtl/>
        </w:rPr>
        <w:t>6-</w:t>
      </w:r>
      <w:r>
        <w:rPr>
          <w:rFonts w:hint="cs"/>
          <w:rtl/>
        </w:rPr>
        <w:tab/>
      </w:r>
      <w:r w:rsidR="0069722E">
        <w:rPr>
          <w:rFonts w:hint="cs"/>
          <w:rtl/>
        </w:rPr>
        <w:t xml:space="preserve">وتشغل المرأة حصة </w:t>
      </w:r>
      <w:r w:rsidR="00892F93">
        <w:rPr>
          <w:rFonts w:hint="cs"/>
          <w:rtl/>
        </w:rPr>
        <w:t xml:space="preserve">كبيرة </w:t>
      </w:r>
      <w:r w:rsidR="0069722E">
        <w:rPr>
          <w:rFonts w:hint="cs"/>
          <w:rtl/>
        </w:rPr>
        <w:t>من الوظيفة العامة حيث تمثل 75 في المائة من الموظفين. وتشغل امرأتان أعلى وظيفتين في الدولة</w:t>
      </w:r>
      <w:r w:rsidR="00892F93">
        <w:rPr>
          <w:rFonts w:hint="cs"/>
          <w:rtl/>
        </w:rPr>
        <w:t>،</w:t>
      </w:r>
      <w:r w:rsidR="0069722E">
        <w:rPr>
          <w:rFonts w:hint="cs"/>
          <w:rtl/>
        </w:rPr>
        <w:t xml:space="preserve"> أي منصب الرئيس ونائب الرئيس. ك</w:t>
      </w:r>
      <w:r w:rsidR="00C026A7">
        <w:rPr>
          <w:rFonts w:hint="cs"/>
          <w:rtl/>
        </w:rPr>
        <w:t>ما </w:t>
      </w:r>
      <w:r w:rsidR="0069722E">
        <w:rPr>
          <w:rFonts w:hint="cs"/>
          <w:rtl/>
        </w:rPr>
        <w:t xml:space="preserve">تشغل امرأتان منصب وزير الدفاع ووزير المالية. </w:t>
      </w:r>
    </w:p>
    <w:p w:rsidR="0069722E" w:rsidRDefault="00F50A2F" w:rsidP="00F50A2F">
      <w:pPr>
        <w:pStyle w:val="SingleTxtGA"/>
        <w:rPr>
          <w:rFonts w:hint="cs"/>
        </w:rPr>
      </w:pPr>
      <w:r>
        <w:rPr>
          <w:rFonts w:hint="cs"/>
          <w:rtl/>
        </w:rPr>
        <w:t>7-</w:t>
      </w:r>
      <w:r>
        <w:rPr>
          <w:rFonts w:hint="cs"/>
          <w:rtl/>
        </w:rPr>
        <w:tab/>
      </w:r>
      <w:r w:rsidR="0069722E" w:rsidRPr="003F6B2B">
        <w:rPr>
          <w:rFonts w:hint="cs"/>
          <w:b/>
          <w:bCs/>
          <w:rtl/>
        </w:rPr>
        <w:t xml:space="preserve">السيد </w:t>
      </w:r>
      <w:proofErr w:type="spellStart"/>
      <w:r w:rsidR="0069722E" w:rsidRPr="003F6B2B">
        <w:rPr>
          <w:rFonts w:hint="cs"/>
          <w:b/>
          <w:bCs/>
          <w:rtl/>
        </w:rPr>
        <w:t>فال</w:t>
      </w:r>
      <w:r w:rsidR="0069722E">
        <w:rPr>
          <w:rFonts w:hint="cs"/>
          <w:b/>
          <w:bCs/>
          <w:rtl/>
        </w:rPr>
        <w:t>ينتوكفيشي</w:t>
      </w:r>
      <w:r w:rsidR="0069722E" w:rsidRPr="003F6B2B">
        <w:rPr>
          <w:rFonts w:hint="cs"/>
          <w:b/>
          <w:bCs/>
          <w:rtl/>
        </w:rPr>
        <w:t>وس</w:t>
      </w:r>
      <w:proofErr w:type="spellEnd"/>
      <w:r w:rsidR="0069722E">
        <w:rPr>
          <w:rFonts w:hint="cs"/>
          <w:rtl/>
        </w:rPr>
        <w:t xml:space="preserve"> (ليتوانيا): قال إن القانون ينص، في حال ارتكاب جريمة إدارية، على أ</w:t>
      </w:r>
      <w:r w:rsidR="00C026A7">
        <w:rPr>
          <w:rFonts w:hint="cs"/>
          <w:rtl/>
        </w:rPr>
        <w:t>لا </w:t>
      </w:r>
      <w:r w:rsidR="00892F93">
        <w:rPr>
          <w:rFonts w:hint="cs"/>
          <w:rtl/>
        </w:rPr>
        <w:t>ت</w:t>
      </w:r>
      <w:r w:rsidR="0069722E">
        <w:rPr>
          <w:rFonts w:hint="cs"/>
          <w:rtl/>
        </w:rPr>
        <w:t xml:space="preserve">تجاوز </w:t>
      </w:r>
      <w:r w:rsidR="00892F93">
        <w:rPr>
          <w:rFonts w:hint="cs"/>
          <w:rtl/>
        </w:rPr>
        <w:t xml:space="preserve">مدة الحبس الاحتياطي </w:t>
      </w:r>
      <w:r w:rsidR="0069722E">
        <w:rPr>
          <w:rFonts w:hint="cs"/>
          <w:rtl/>
        </w:rPr>
        <w:t>خمس ساعات. وتطبق أحكام أخرى على جرائم مثل عبور الحدود بصورة غير قانونية. وأضاف أنه يمكن احتجاز أي شخص تعذّر تحديد هويته لعدم استظهاره ببطاقة الهوية مثل</w:t>
      </w:r>
      <w:r w:rsidR="00C026A7">
        <w:rPr>
          <w:rFonts w:hint="cs"/>
          <w:rtl/>
        </w:rPr>
        <w:t>اً،</w:t>
      </w:r>
      <w:r w:rsidR="0069722E">
        <w:rPr>
          <w:rFonts w:hint="cs"/>
          <w:rtl/>
        </w:rPr>
        <w:t xml:space="preserve"> احتجاز</w:t>
      </w:r>
      <w:r w:rsidR="00C026A7">
        <w:rPr>
          <w:rFonts w:hint="cs"/>
          <w:rtl/>
        </w:rPr>
        <w:t xml:space="preserve">اً </w:t>
      </w:r>
      <w:r w:rsidR="0069722E">
        <w:rPr>
          <w:rFonts w:hint="cs"/>
          <w:rtl/>
        </w:rPr>
        <w:t>مؤقت</w:t>
      </w:r>
      <w:r w:rsidR="00C026A7">
        <w:rPr>
          <w:rFonts w:hint="cs"/>
          <w:rtl/>
        </w:rPr>
        <w:t>اً لا </w:t>
      </w:r>
      <w:r w:rsidR="0069722E">
        <w:rPr>
          <w:rFonts w:hint="cs"/>
          <w:rtl/>
        </w:rPr>
        <w:t>تتجاوز مدته القصوى</w:t>
      </w:r>
      <w:r w:rsidR="00C026A7">
        <w:rPr>
          <w:rFonts w:hint="cs"/>
          <w:rtl/>
        </w:rPr>
        <w:t xml:space="preserve"> </w:t>
      </w:r>
      <w:r w:rsidR="0069722E">
        <w:rPr>
          <w:rFonts w:hint="cs"/>
          <w:rtl/>
        </w:rPr>
        <w:t>48 ساعة. وفي</w:t>
      </w:r>
      <w:r w:rsidR="00C026A7">
        <w:rPr>
          <w:rFonts w:hint="cs"/>
          <w:rtl/>
        </w:rPr>
        <w:t>ما </w:t>
      </w:r>
      <w:r w:rsidR="0069722E">
        <w:rPr>
          <w:rFonts w:hint="cs"/>
          <w:rtl/>
        </w:rPr>
        <w:t xml:space="preserve">يتعلق بالجنايات، </w:t>
      </w:r>
      <w:r w:rsidR="00C026A7">
        <w:rPr>
          <w:rFonts w:hint="cs"/>
          <w:rtl/>
        </w:rPr>
        <w:t>لا </w:t>
      </w:r>
      <w:r w:rsidR="0069722E">
        <w:rPr>
          <w:rFonts w:hint="cs"/>
          <w:rtl/>
        </w:rPr>
        <w:t xml:space="preserve">تتجاوز مدة الحبس الاحتياطي 48 ساعة. وبعد انقضاء هذا المدة يجب أن يقدم </w:t>
      </w:r>
      <w:r w:rsidR="00892F93">
        <w:rPr>
          <w:rFonts w:hint="cs"/>
          <w:rtl/>
        </w:rPr>
        <w:t xml:space="preserve">وكيل النيابة، الذي </w:t>
      </w:r>
      <w:r w:rsidR="00C026A7">
        <w:rPr>
          <w:rFonts w:hint="cs"/>
          <w:rtl/>
        </w:rPr>
        <w:t>لا </w:t>
      </w:r>
      <w:r w:rsidR="00892F93">
        <w:rPr>
          <w:rFonts w:hint="cs"/>
          <w:rtl/>
        </w:rPr>
        <w:t>يتدخل إ</w:t>
      </w:r>
      <w:r w:rsidR="00C026A7">
        <w:rPr>
          <w:rFonts w:hint="cs"/>
          <w:rtl/>
        </w:rPr>
        <w:t>لا </w:t>
      </w:r>
      <w:r w:rsidR="00892F93">
        <w:rPr>
          <w:rFonts w:hint="cs"/>
          <w:rtl/>
        </w:rPr>
        <w:t xml:space="preserve">في </w:t>
      </w:r>
      <w:r w:rsidR="0069722E">
        <w:rPr>
          <w:rFonts w:hint="cs"/>
          <w:rtl/>
        </w:rPr>
        <w:t>القضايا الجنائية</w:t>
      </w:r>
      <w:r w:rsidR="00892F93">
        <w:rPr>
          <w:rFonts w:hint="cs"/>
          <w:rtl/>
        </w:rPr>
        <w:t>،</w:t>
      </w:r>
      <w:r w:rsidR="0069722E">
        <w:rPr>
          <w:rFonts w:hint="cs"/>
          <w:rtl/>
        </w:rPr>
        <w:t xml:space="preserve"> طلب</w:t>
      </w:r>
      <w:r w:rsidR="00C026A7">
        <w:rPr>
          <w:rFonts w:hint="cs"/>
          <w:rtl/>
        </w:rPr>
        <w:t xml:space="preserve">اً </w:t>
      </w:r>
      <w:r w:rsidR="0069722E">
        <w:rPr>
          <w:rFonts w:hint="cs"/>
          <w:rtl/>
        </w:rPr>
        <w:t>مبرَّر</w:t>
      </w:r>
      <w:r w:rsidR="00C026A7">
        <w:rPr>
          <w:rFonts w:hint="cs"/>
          <w:rtl/>
        </w:rPr>
        <w:t xml:space="preserve">اً </w:t>
      </w:r>
      <w:r w:rsidR="0069722E">
        <w:rPr>
          <w:rFonts w:hint="cs"/>
          <w:rtl/>
        </w:rPr>
        <w:t xml:space="preserve">على النحو الواجب إلى قاضي التحقيق </w:t>
      </w:r>
      <w:r w:rsidR="00892F93">
        <w:rPr>
          <w:rFonts w:hint="cs"/>
          <w:rtl/>
        </w:rPr>
        <w:t xml:space="preserve">من أجل </w:t>
      </w:r>
      <w:r w:rsidR="0069722E">
        <w:rPr>
          <w:rFonts w:hint="cs"/>
          <w:rtl/>
        </w:rPr>
        <w:t xml:space="preserve">تمديد الحبس الاحتياطي </w:t>
      </w:r>
      <w:r w:rsidR="004C63C2">
        <w:rPr>
          <w:rFonts w:hint="cs"/>
          <w:rtl/>
        </w:rPr>
        <w:t>أو </w:t>
      </w:r>
      <w:r w:rsidR="0069722E">
        <w:rPr>
          <w:rFonts w:hint="cs"/>
          <w:rtl/>
        </w:rPr>
        <w:t xml:space="preserve">تطبيق تدابير أخرى مثل منع الجاني من مغادرة البلد </w:t>
      </w:r>
      <w:r w:rsidR="004C63C2">
        <w:rPr>
          <w:rFonts w:hint="cs"/>
          <w:rtl/>
        </w:rPr>
        <w:t>أو </w:t>
      </w:r>
      <w:r w:rsidR="0069722E">
        <w:rPr>
          <w:rFonts w:hint="cs"/>
          <w:rtl/>
        </w:rPr>
        <w:t xml:space="preserve">وضعه تحت الإقامة الجبرية. ويعود إلى القاضي قرار اتخاذ تدابير أكثر صرامة. وينص قانون الإجراءات الجنائية على مدة الاحتجاز رهن المحاكمة، وهي تتراوح، بحسب خطورة الجريمة، بين ثلاثة أشهر وتسعة أشهر. وعند انقضاء هذه المدة، يمكن أن يطلب </w:t>
      </w:r>
      <w:r w:rsidR="00892F93">
        <w:rPr>
          <w:rFonts w:hint="cs"/>
          <w:rtl/>
        </w:rPr>
        <w:t xml:space="preserve">وكيل النيابة </w:t>
      </w:r>
      <w:r w:rsidR="0069722E">
        <w:rPr>
          <w:rFonts w:hint="cs"/>
          <w:rtl/>
        </w:rPr>
        <w:t>إلى المدعي العام ترخيص</w:t>
      </w:r>
      <w:r w:rsidR="00C026A7">
        <w:rPr>
          <w:rFonts w:hint="cs"/>
          <w:rtl/>
        </w:rPr>
        <w:t xml:space="preserve">اً </w:t>
      </w:r>
      <w:r w:rsidR="0069722E">
        <w:rPr>
          <w:rFonts w:hint="cs"/>
          <w:rtl/>
        </w:rPr>
        <w:t xml:space="preserve">من أجل تمديدها. وفي حال مرور أكثر من شهر على تاريخ أول استجواب للمشتبه </w:t>
      </w:r>
      <w:r w:rsidR="00892F93">
        <w:rPr>
          <w:rFonts w:hint="cs"/>
          <w:rtl/>
        </w:rPr>
        <w:t>به</w:t>
      </w:r>
      <w:r w:rsidR="0069722E">
        <w:rPr>
          <w:rFonts w:hint="cs"/>
          <w:rtl/>
        </w:rPr>
        <w:t>، يمكن أن تقدم هيئة الدفاع طعن</w:t>
      </w:r>
      <w:r w:rsidR="00C026A7">
        <w:rPr>
          <w:rFonts w:hint="cs"/>
          <w:rtl/>
        </w:rPr>
        <w:t xml:space="preserve">اً </w:t>
      </w:r>
      <w:r w:rsidR="0069722E">
        <w:rPr>
          <w:rFonts w:hint="cs"/>
          <w:rtl/>
        </w:rPr>
        <w:t xml:space="preserve">أمام المحاكم لمعرفة </w:t>
      </w:r>
      <w:r w:rsidR="00C026A7">
        <w:rPr>
          <w:rFonts w:hint="cs"/>
          <w:rtl/>
        </w:rPr>
        <w:t>ما </w:t>
      </w:r>
      <w:r w:rsidR="0069722E">
        <w:rPr>
          <w:rFonts w:hint="cs"/>
          <w:rtl/>
        </w:rPr>
        <w:t>إذا كان سيُبتّ في القضية أم لا. ويمكن أن تطلب هيئة الدفاع تعليق المحاكمة إذا ا</w:t>
      </w:r>
      <w:r>
        <w:rPr>
          <w:rFonts w:hint="cs"/>
          <w:rtl/>
        </w:rPr>
        <w:t>عتبرت أن الإجراءات بطيئة جد</w:t>
      </w:r>
      <w:r w:rsidR="00C026A7">
        <w:rPr>
          <w:rFonts w:hint="cs"/>
          <w:rtl/>
        </w:rPr>
        <w:t>اً.</w:t>
      </w:r>
    </w:p>
    <w:p w:rsidR="0069722E" w:rsidRDefault="00F50A2F" w:rsidP="004C1895">
      <w:pPr>
        <w:pStyle w:val="SingleTxtGA"/>
        <w:rPr>
          <w:rFonts w:hint="cs"/>
        </w:rPr>
      </w:pPr>
      <w:r>
        <w:rPr>
          <w:rFonts w:hint="cs"/>
          <w:rtl/>
        </w:rPr>
        <w:t>8-</w:t>
      </w:r>
      <w:r>
        <w:rPr>
          <w:rFonts w:hint="cs"/>
          <w:rtl/>
        </w:rPr>
        <w:tab/>
      </w:r>
      <w:r w:rsidR="0069722E">
        <w:rPr>
          <w:rFonts w:hint="cs"/>
          <w:rtl/>
        </w:rPr>
        <w:t xml:space="preserve">وقال إن ميثاق المحكمة العسكرية الدولية </w:t>
      </w:r>
      <w:proofErr w:type="spellStart"/>
      <w:r w:rsidR="0069722E">
        <w:rPr>
          <w:rFonts w:hint="cs"/>
          <w:rtl/>
        </w:rPr>
        <w:t>لنورمبرغ</w:t>
      </w:r>
      <w:proofErr w:type="spellEnd"/>
      <w:r w:rsidR="0069722E">
        <w:rPr>
          <w:rFonts w:hint="cs"/>
          <w:rtl/>
        </w:rPr>
        <w:t xml:space="preserve"> و</w:t>
      </w:r>
      <w:r w:rsidR="00C026A7">
        <w:rPr>
          <w:rFonts w:hint="cs"/>
          <w:rtl/>
        </w:rPr>
        <w:t>ما </w:t>
      </w:r>
      <w:r w:rsidR="0069722E">
        <w:rPr>
          <w:rFonts w:hint="cs"/>
          <w:rtl/>
        </w:rPr>
        <w:t xml:space="preserve">أصدرته من أحكام </w:t>
      </w:r>
      <w:r w:rsidR="00892F93">
        <w:rPr>
          <w:rFonts w:hint="cs"/>
          <w:rtl/>
        </w:rPr>
        <w:t>جزءٌ</w:t>
      </w:r>
      <w:r w:rsidR="0069722E">
        <w:rPr>
          <w:rFonts w:hint="cs"/>
          <w:rtl/>
        </w:rPr>
        <w:t xml:space="preserve"> من </w:t>
      </w:r>
      <w:r w:rsidR="00892F93">
        <w:rPr>
          <w:rFonts w:hint="cs"/>
          <w:rtl/>
        </w:rPr>
        <w:t>الاجتهاد القضائي الدولي</w:t>
      </w:r>
      <w:r w:rsidR="0069722E">
        <w:rPr>
          <w:rFonts w:hint="cs"/>
          <w:rtl/>
        </w:rPr>
        <w:t xml:space="preserve">، وإن الإجراءات الجنائية المتخذة في حق مجرمي الحرب </w:t>
      </w:r>
      <w:r w:rsidR="004C63C2">
        <w:rPr>
          <w:rFonts w:hint="cs"/>
          <w:rtl/>
        </w:rPr>
        <w:t>أو </w:t>
      </w:r>
      <w:r w:rsidR="0069722E">
        <w:rPr>
          <w:rFonts w:hint="cs"/>
          <w:rtl/>
        </w:rPr>
        <w:t xml:space="preserve">المشتبه في أنهم ارتكبوا جرائم في حق الإنسانية تراعي هذا الميثاق وهذه الأحكام. وتطبق ليتوانيا القانون الدولي، </w:t>
      </w:r>
      <w:r w:rsidR="00C026A7">
        <w:rPr>
          <w:rFonts w:hint="cs"/>
          <w:rtl/>
        </w:rPr>
        <w:t xml:space="preserve">لا سيما </w:t>
      </w:r>
      <w:r w:rsidR="0069722E">
        <w:rPr>
          <w:rFonts w:hint="cs"/>
          <w:rtl/>
        </w:rPr>
        <w:t>اتفاقيات جنيف واتفاق</w:t>
      </w:r>
      <w:r w:rsidR="00892F93">
        <w:rPr>
          <w:rFonts w:hint="cs"/>
          <w:rtl/>
        </w:rPr>
        <w:t>ي</w:t>
      </w:r>
      <w:r w:rsidR="0069722E">
        <w:rPr>
          <w:rFonts w:hint="cs"/>
          <w:rtl/>
        </w:rPr>
        <w:t>ات لاهاي. ومنذ أن حصلت ليتوانيا على استقلالها في عام</w:t>
      </w:r>
      <w:r w:rsidR="00F845ED">
        <w:rPr>
          <w:rFonts w:hint="eastAsia"/>
          <w:rtl/>
        </w:rPr>
        <w:t> </w:t>
      </w:r>
      <w:r w:rsidR="0069722E">
        <w:rPr>
          <w:rFonts w:hint="cs"/>
          <w:rtl/>
        </w:rPr>
        <w:t>1990 رُفعت حوالي 70 دعوى جنائية ضد مجرمين نازيين متهمين بجرائم إبادة وجرائم حرب وجرائم مرتكبة في حق الإنسانية. وفي ثل</w:t>
      </w:r>
      <w:r w:rsidR="004C1895">
        <w:rPr>
          <w:rFonts w:hint="cs"/>
          <w:rtl/>
        </w:rPr>
        <w:t>اث قضايا،</w:t>
      </w:r>
      <w:r w:rsidR="0069722E">
        <w:rPr>
          <w:rFonts w:hint="cs"/>
          <w:rtl/>
        </w:rPr>
        <w:t xml:space="preserve"> </w:t>
      </w:r>
      <w:r w:rsidR="00892F93">
        <w:rPr>
          <w:rFonts w:hint="cs"/>
          <w:rtl/>
        </w:rPr>
        <w:t xml:space="preserve">قُدِّم </w:t>
      </w:r>
      <w:r w:rsidR="0069722E">
        <w:rPr>
          <w:rFonts w:hint="cs"/>
          <w:rtl/>
        </w:rPr>
        <w:t xml:space="preserve">إداريون في عهد الاحتلال الألماني </w:t>
      </w:r>
      <w:r w:rsidR="00892F93">
        <w:rPr>
          <w:rFonts w:hint="cs"/>
          <w:rtl/>
        </w:rPr>
        <w:t>إ</w:t>
      </w:r>
      <w:r w:rsidR="0069722E">
        <w:rPr>
          <w:rFonts w:hint="cs"/>
          <w:rtl/>
        </w:rPr>
        <w:t xml:space="preserve">لى العدالة غير أنه </w:t>
      </w:r>
      <w:r w:rsidR="00C026A7">
        <w:rPr>
          <w:rFonts w:hint="cs"/>
          <w:rtl/>
        </w:rPr>
        <w:t>لم </w:t>
      </w:r>
      <w:r w:rsidR="0069722E">
        <w:rPr>
          <w:rFonts w:hint="cs"/>
          <w:rtl/>
        </w:rPr>
        <w:t xml:space="preserve">يحكم عليهم بعقوبة السجن لمعاناتهم أمراض متصلة بالشيخوخة. وقال إن وحدات تنظيم قوات الحماية المسلحة </w:t>
      </w:r>
      <w:r w:rsidR="00892F93">
        <w:rPr>
          <w:rFonts w:hint="cs"/>
          <w:rtl/>
        </w:rPr>
        <w:t>(</w:t>
      </w:r>
      <w:r w:rsidR="0069722E">
        <w:rPr>
          <w:lang w:val="fr-CH"/>
        </w:rPr>
        <w:t>SS</w:t>
      </w:r>
      <w:r w:rsidR="00892F93">
        <w:rPr>
          <w:rFonts w:hint="cs"/>
          <w:rtl/>
        </w:rPr>
        <w:t>)</w:t>
      </w:r>
      <w:r w:rsidR="0069722E">
        <w:rPr>
          <w:rFonts w:hint="cs"/>
          <w:rtl/>
        </w:rPr>
        <w:t xml:space="preserve"> </w:t>
      </w:r>
      <w:r w:rsidR="00892F93">
        <w:rPr>
          <w:rFonts w:hint="cs"/>
          <w:rtl/>
        </w:rPr>
        <w:t>والقوات المسلحة الم</w:t>
      </w:r>
      <w:r w:rsidR="004C1895">
        <w:rPr>
          <w:rFonts w:hint="cs"/>
          <w:rtl/>
        </w:rPr>
        <w:t>ُ</w:t>
      </w:r>
      <w:r w:rsidR="00892F93">
        <w:rPr>
          <w:rFonts w:hint="cs"/>
          <w:rtl/>
        </w:rPr>
        <w:t>وح</w:t>
      </w:r>
      <w:r w:rsidR="004C1895">
        <w:rPr>
          <w:rFonts w:hint="cs"/>
          <w:rtl/>
        </w:rPr>
        <w:t>ّ</w:t>
      </w:r>
      <w:r w:rsidR="00892F93">
        <w:rPr>
          <w:rFonts w:hint="cs"/>
          <w:rtl/>
        </w:rPr>
        <w:t>دة (</w:t>
      </w:r>
      <w:proofErr w:type="spellStart"/>
      <w:r w:rsidR="0069722E">
        <w:rPr>
          <w:lang w:val="fr-CH"/>
        </w:rPr>
        <w:t>Wermacht</w:t>
      </w:r>
      <w:proofErr w:type="spellEnd"/>
      <w:r w:rsidR="00892F93">
        <w:rPr>
          <w:rFonts w:hint="cs"/>
          <w:rtl/>
          <w:lang w:val="fr-CH"/>
        </w:rPr>
        <w:t>)</w:t>
      </w:r>
      <w:r w:rsidR="0069722E">
        <w:rPr>
          <w:rFonts w:hint="cs"/>
          <w:rtl/>
          <w:lang w:val="fr-CH"/>
        </w:rPr>
        <w:t xml:space="preserve"> الموجودة في ليتوانيا</w:t>
      </w:r>
      <w:r w:rsidR="0069722E">
        <w:rPr>
          <w:rFonts w:hint="cs"/>
          <w:rtl/>
        </w:rPr>
        <w:t xml:space="preserve"> </w:t>
      </w:r>
      <w:r w:rsidR="00C026A7">
        <w:rPr>
          <w:rFonts w:hint="cs"/>
          <w:rtl/>
        </w:rPr>
        <w:t>لم </w:t>
      </w:r>
      <w:r w:rsidR="0069722E">
        <w:rPr>
          <w:rFonts w:hint="cs"/>
          <w:rtl/>
        </w:rPr>
        <w:t xml:space="preserve">تكن تضم </w:t>
      </w:r>
      <w:proofErr w:type="spellStart"/>
      <w:r w:rsidR="0069722E">
        <w:rPr>
          <w:rFonts w:hint="cs"/>
          <w:rtl/>
          <w:lang w:val="fr-CH"/>
        </w:rPr>
        <w:t>مواطنيين</w:t>
      </w:r>
      <w:proofErr w:type="spellEnd"/>
      <w:r w:rsidR="0069722E">
        <w:rPr>
          <w:rFonts w:hint="cs"/>
          <w:rtl/>
          <w:lang w:val="fr-CH"/>
        </w:rPr>
        <w:t xml:space="preserve"> </w:t>
      </w:r>
      <w:proofErr w:type="spellStart"/>
      <w:r w:rsidR="0069722E">
        <w:rPr>
          <w:rFonts w:hint="cs"/>
          <w:rtl/>
          <w:lang w:val="fr-CH"/>
        </w:rPr>
        <w:t>ليتوانيين</w:t>
      </w:r>
      <w:proofErr w:type="spellEnd"/>
      <w:r w:rsidR="0069722E">
        <w:rPr>
          <w:rFonts w:hint="cs"/>
          <w:rtl/>
          <w:lang w:val="fr-CH"/>
        </w:rPr>
        <w:t xml:space="preserve">. </w:t>
      </w:r>
    </w:p>
    <w:p w:rsidR="0069722E" w:rsidRDefault="00F50A2F" w:rsidP="00F50A2F">
      <w:pPr>
        <w:pStyle w:val="SingleTxtGA"/>
        <w:rPr>
          <w:rFonts w:hint="cs"/>
        </w:rPr>
      </w:pPr>
      <w:r>
        <w:rPr>
          <w:rFonts w:hint="cs"/>
          <w:rtl/>
        </w:rPr>
        <w:t>9-</w:t>
      </w:r>
      <w:r>
        <w:rPr>
          <w:rFonts w:hint="cs"/>
          <w:rtl/>
        </w:rPr>
        <w:tab/>
      </w:r>
      <w:r w:rsidR="0069722E" w:rsidRPr="00BB2B66">
        <w:rPr>
          <w:rFonts w:hint="cs"/>
          <w:b/>
          <w:bCs/>
          <w:rtl/>
        </w:rPr>
        <w:t>الرئيسة</w:t>
      </w:r>
      <w:r w:rsidR="0069722E">
        <w:rPr>
          <w:rFonts w:hint="cs"/>
          <w:rtl/>
        </w:rPr>
        <w:t xml:space="preserve">: </w:t>
      </w:r>
      <w:r w:rsidR="00892F93">
        <w:rPr>
          <w:rFonts w:hint="cs"/>
          <w:rtl/>
        </w:rPr>
        <w:t xml:space="preserve">شكرت </w:t>
      </w:r>
      <w:r w:rsidR="0069722E">
        <w:rPr>
          <w:rFonts w:hint="cs"/>
          <w:rtl/>
        </w:rPr>
        <w:t xml:space="preserve">الوفد </w:t>
      </w:r>
      <w:r w:rsidR="00892F93">
        <w:rPr>
          <w:rFonts w:hint="cs"/>
          <w:rtl/>
        </w:rPr>
        <w:t xml:space="preserve">على </w:t>
      </w:r>
      <w:r w:rsidR="00C026A7">
        <w:rPr>
          <w:rFonts w:hint="cs"/>
          <w:rtl/>
        </w:rPr>
        <w:t>ما </w:t>
      </w:r>
      <w:r w:rsidR="0069722E">
        <w:rPr>
          <w:rFonts w:hint="cs"/>
          <w:rtl/>
        </w:rPr>
        <w:t>قدّمه من ردود ودعت الأعضاء إلى تقديم ملاحظات إضافية.</w:t>
      </w:r>
    </w:p>
    <w:p w:rsidR="0069722E" w:rsidRPr="002F44BD" w:rsidRDefault="00F50A2F" w:rsidP="00F50A2F">
      <w:pPr>
        <w:pStyle w:val="SingleTxtGA"/>
        <w:rPr>
          <w:rFonts w:hint="cs"/>
          <w:spacing w:val="-1"/>
        </w:rPr>
      </w:pPr>
      <w:r w:rsidRPr="002F44BD">
        <w:rPr>
          <w:rFonts w:hint="cs"/>
          <w:spacing w:val="-1"/>
          <w:rtl/>
        </w:rPr>
        <w:t>10-</w:t>
      </w:r>
      <w:r w:rsidRPr="002F44BD">
        <w:rPr>
          <w:rFonts w:hint="cs"/>
          <w:spacing w:val="-1"/>
          <w:rtl/>
        </w:rPr>
        <w:tab/>
      </w:r>
      <w:r w:rsidR="0069722E" w:rsidRPr="002F44BD">
        <w:rPr>
          <w:rFonts w:hint="cs"/>
          <w:b/>
          <w:bCs/>
          <w:spacing w:val="-1"/>
          <w:rtl/>
        </w:rPr>
        <w:t xml:space="preserve">السيد </w:t>
      </w:r>
      <w:proofErr w:type="spellStart"/>
      <w:r w:rsidR="00892F93" w:rsidRPr="002F44BD">
        <w:rPr>
          <w:rFonts w:hint="cs"/>
          <w:b/>
          <w:bCs/>
          <w:spacing w:val="-1"/>
          <w:rtl/>
        </w:rPr>
        <w:t>تي</w:t>
      </w:r>
      <w:r w:rsidR="0069722E" w:rsidRPr="002F44BD">
        <w:rPr>
          <w:rFonts w:hint="cs"/>
          <w:b/>
          <w:bCs/>
          <w:spacing w:val="-1"/>
          <w:rtl/>
        </w:rPr>
        <w:t>لين</w:t>
      </w:r>
      <w:proofErr w:type="spellEnd"/>
      <w:r w:rsidR="0069722E" w:rsidRPr="002F44BD">
        <w:rPr>
          <w:rFonts w:hint="cs"/>
          <w:spacing w:val="-1"/>
          <w:rtl/>
        </w:rPr>
        <w:t xml:space="preserve">: شكر الوفد </w:t>
      </w:r>
      <w:r w:rsidR="00892F93" w:rsidRPr="002F44BD">
        <w:rPr>
          <w:rFonts w:hint="cs"/>
          <w:spacing w:val="-1"/>
          <w:rtl/>
        </w:rPr>
        <w:t xml:space="preserve">على </w:t>
      </w:r>
      <w:r w:rsidR="00C026A7" w:rsidRPr="002F44BD">
        <w:rPr>
          <w:rFonts w:hint="cs"/>
          <w:spacing w:val="-1"/>
          <w:rtl/>
        </w:rPr>
        <w:t>ما </w:t>
      </w:r>
      <w:r w:rsidR="00892F93" w:rsidRPr="002F44BD">
        <w:rPr>
          <w:rFonts w:hint="cs"/>
          <w:spacing w:val="-1"/>
          <w:rtl/>
        </w:rPr>
        <w:t xml:space="preserve">قدمه من معلومات تُبيِّن </w:t>
      </w:r>
      <w:r w:rsidR="0069722E" w:rsidRPr="002F44BD">
        <w:rPr>
          <w:rFonts w:hint="cs"/>
          <w:spacing w:val="-1"/>
          <w:rtl/>
        </w:rPr>
        <w:t xml:space="preserve">مكانة العهد في التشريعات الوطنية. وأوصى بأن تنظر الدولة الطرف في تضمين القانون الداخلي إشارة </w:t>
      </w:r>
      <w:r w:rsidR="00892F93" w:rsidRPr="002F44BD">
        <w:rPr>
          <w:rFonts w:hint="cs"/>
          <w:spacing w:val="-1"/>
          <w:rtl/>
        </w:rPr>
        <w:t xml:space="preserve">واضحة إلى </w:t>
      </w:r>
      <w:r w:rsidR="0069722E" w:rsidRPr="002F44BD">
        <w:rPr>
          <w:rFonts w:hint="cs"/>
          <w:spacing w:val="-1"/>
          <w:rtl/>
        </w:rPr>
        <w:t xml:space="preserve">أن تعريف التعذيب الذي يجب تطبيقه هو نفسه المنصوص عليه في المادة الأولى من اتفاقية مناهضة التعذيب </w:t>
      </w:r>
      <w:r w:rsidR="0069722E" w:rsidRPr="002F44BD">
        <w:rPr>
          <w:rFonts w:hint="cs"/>
          <w:spacing w:val="-1"/>
          <w:rtl/>
          <w:lang w:bidi="ar"/>
        </w:rPr>
        <w:t xml:space="preserve">وغيره من ضروب المعاملة </w:t>
      </w:r>
      <w:r w:rsidR="004C63C2" w:rsidRPr="002F44BD">
        <w:rPr>
          <w:rFonts w:hint="cs"/>
          <w:spacing w:val="-1"/>
          <w:rtl/>
          <w:lang w:bidi="ar"/>
        </w:rPr>
        <w:t>أو </w:t>
      </w:r>
      <w:r w:rsidR="0069722E" w:rsidRPr="002F44BD">
        <w:rPr>
          <w:rFonts w:hint="cs"/>
          <w:spacing w:val="-1"/>
          <w:rtl/>
          <w:lang w:bidi="ar"/>
        </w:rPr>
        <w:t xml:space="preserve">العقوبة القاسية </w:t>
      </w:r>
      <w:r w:rsidR="004C63C2" w:rsidRPr="002F44BD">
        <w:rPr>
          <w:rFonts w:hint="cs"/>
          <w:spacing w:val="-1"/>
          <w:rtl/>
          <w:lang w:bidi="ar"/>
        </w:rPr>
        <w:t>أو </w:t>
      </w:r>
      <w:r w:rsidR="0069722E" w:rsidRPr="002F44BD">
        <w:rPr>
          <w:rFonts w:hint="cs"/>
          <w:spacing w:val="-1"/>
          <w:rtl/>
          <w:lang w:bidi="ar"/>
        </w:rPr>
        <w:t xml:space="preserve">اللاإنسانية </w:t>
      </w:r>
      <w:r w:rsidR="004C63C2" w:rsidRPr="002F44BD">
        <w:rPr>
          <w:rFonts w:hint="cs"/>
          <w:spacing w:val="-1"/>
          <w:rtl/>
          <w:lang w:bidi="ar"/>
        </w:rPr>
        <w:t>أو </w:t>
      </w:r>
      <w:r w:rsidR="0069722E" w:rsidRPr="002F44BD">
        <w:rPr>
          <w:rFonts w:hint="cs"/>
          <w:spacing w:val="-1"/>
          <w:rtl/>
          <w:lang w:bidi="ar"/>
        </w:rPr>
        <w:t>المهينة.</w:t>
      </w:r>
    </w:p>
    <w:p w:rsidR="0069722E" w:rsidRPr="002F44BD" w:rsidRDefault="00F50A2F" w:rsidP="00F50A2F">
      <w:pPr>
        <w:pStyle w:val="SingleTxtGA"/>
        <w:rPr>
          <w:rFonts w:hint="cs"/>
          <w:spacing w:val="-1"/>
        </w:rPr>
      </w:pPr>
      <w:r w:rsidRPr="002F44BD">
        <w:rPr>
          <w:rFonts w:hint="cs"/>
          <w:spacing w:val="-1"/>
          <w:rtl/>
          <w:lang w:bidi="ar"/>
        </w:rPr>
        <w:t>11-</w:t>
      </w:r>
      <w:r w:rsidRPr="002F44BD">
        <w:rPr>
          <w:rFonts w:hint="cs"/>
          <w:spacing w:val="-1"/>
          <w:rtl/>
          <w:lang w:bidi="ar"/>
        </w:rPr>
        <w:tab/>
      </w:r>
      <w:r w:rsidR="0069722E" w:rsidRPr="002F44BD">
        <w:rPr>
          <w:rFonts w:hint="cs"/>
          <w:spacing w:val="-1"/>
          <w:rtl/>
          <w:lang w:bidi="ar"/>
        </w:rPr>
        <w:t xml:space="preserve">ولاحظ السيد </w:t>
      </w:r>
      <w:proofErr w:type="spellStart"/>
      <w:r w:rsidR="00892F93" w:rsidRPr="002F44BD">
        <w:rPr>
          <w:rFonts w:hint="cs"/>
          <w:spacing w:val="-1"/>
          <w:rtl/>
          <w:lang w:bidi="ar"/>
        </w:rPr>
        <w:t>تي</w:t>
      </w:r>
      <w:r w:rsidR="0069722E" w:rsidRPr="002F44BD">
        <w:rPr>
          <w:rFonts w:hint="cs"/>
          <w:spacing w:val="-1"/>
          <w:rtl/>
          <w:lang w:bidi="ar"/>
        </w:rPr>
        <w:t>لين</w:t>
      </w:r>
      <w:proofErr w:type="spellEnd"/>
      <w:r w:rsidR="0069722E" w:rsidRPr="002F44BD">
        <w:rPr>
          <w:rFonts w:hint="cs"/>
          <w:spacing w:val="-1"/>
          <w:rtl/>
          <w:lang w:bidi="ar"/>
        </w:rPr>
        <w:t xml:space="preserve"> أن القانون </w:t>
      </w:r>
      <w:r w:rsidR="00C026A7" w:rsidRPr="002F44BD">
        <w:rPr>
          <w:rFonts w:hint="cs"/>
          <w:spacing w:val="-1"/>
          <w:rtl/>
          <w:lang w:bidi="ar"/>
        </w:rPr>
        <w:t>لا </w:t>
      </w:r>
      <w:r w:rsidR="0069722E" w:rsidRPr="002F44BD">
        <w:rPr>
          <w:rFonts w:hint="cs"/>
          <w:spacing w:val="-1"/>
          <w:rtl/>
          <w:lang w:bidi="ar"/>
        </w:rPr>
        <w:t>يحدد الفترة الزمنية لإنهاء التحقيق. وفي</w:t>
      </w:r>
      <w:r w:rsidR="00C026A7" w:rsidRPr="002F44BD">
        <w:rPr>
          <w:rFonts w:hint="cs"/>
          <w:spacing w:val="-1"/>
          <w:rtl/>
          <w:lang w:bidi="ar"/>
        </w:rPr>
        <w:t>ما </w:t>
      </w:r>
      <w:r w:rsidR="0069722E" w:rsidRPr="002F44BD">
        <w:rPr>
          <w:rFonts w:hint="cs"/>
          <w:spacing w:val="-1"/>
          <w:rtl/>
          <w:lang w:bidi="ar"/>
        </w:rPr>
        <w:t>يتعلق بالفترة الزمنية القصوى للتحقيق قبل إصدار قرار الاتهام، ومدتها 18 شهر</w:t>
      </w:r>
      <w:r w:rsidR="00C026A7" w:rsidRPr="002F44BD">
        <w:rPr>
          <w:rFonts w:hint="cs"/>
          <w:spacing w:val="-1"/>
          <w:rtl/>
          <w:lang w:bidi="ar"/>
        </w:rPr>
        <w:t>اً،</w:t>
      </w:r>
      <w:r w:rsidR="0069722E" w:rsidRPr="002F44BD">
        <w:rPr>
          <w:rFonts w:hint="cs"/>
          <w:spacing w:val="-1"/>
          <w:rtl/>
          <w:lang w:bidi="ar"/>
        </w:rPr>
        <w:t xml:space="preserve"> قال إنه ليس متيقن</w:t>
      </w:r>
      <w:r w:rsidR="00C026A7" w:rsidRPr="002F44BD">
        <w:rPr>
          <w:rFonts w:hint="cs"/>
          <w:spacing w:val="-1"/>
          <w:rtl/>
          <w:lang w:bidi="ar"/>
        </w:rPr>
        <w:t xml:space="preserve">اً </w:t>
      </w:r>
      <w:r w:rsidR="0069722E" w:rsidRPr="002F44BD">
        <w:rPr>
          <w:rFonts w:hint="cs"/>
          <w:spacing w:val="-1"/>
          <w:rtl/>
          <w:lang w:bidi="ar"/>
        </w:rPr>
        <w:t>م</w:t>
      </w:r>
      <w:r w:rsidR="00C026A7" w:rsidRPr="002F44BD">
        <w:rPr>
          <w:rFonts w:hint="cs"/>
          <w:spacing w:val="-1"/>
          <w:rtl/>
          <w:lang w:bidi="ar"/>
        </w:rPr>
        <w:t>ما </w:t>
      </w:r>
      <w:r w:rsidR="0069722E" w:rsidRPr="002F44BD">
        <w:rPr>
          <w:rFonts w:hint="cs"/>
          <w:spacing w:val="-1"/>
          <w:rtl/>
          <w:lang w:bidi="ar"/>
        </w:rPr>
        <w:t>إذا كانت هذه الفترة الزمنية نهائية أم قابلة للتمديد. و</w:t>
      </w:r>
      <w:r w:rsidR="00C026A7" w:rsidRPr="002F44BD">
        <w:rPr>
          <w:rFonts w:hint="cs"/>
          <w:spacing w:val="-1"/>
          <w:rtl/>
          <w:lang w:bidi="ar"/>
        </w:rPr>
        <w:t>لم </w:t>
      </w:r>
      <w:r w:rsidR="0069722E" w:rsidRPr="002F44BD">
        <w:rPr>
          <w:rFonts w:hint="cs"/>
          <w:spacing w:val="-1"/>
          <w:rtl/>
          <w:lang w:bidi="ar"/>
        </w:rPr>
        <w:t>يرد الوفد على التساؤل المتعلق ب</w:t>
      </w:r>
      <w:r w:rsidR="00C026A7" w:rsidRPr="002F44BD">
        <w:rPr>
          <w:rFonts w:hint="cs"/>
          <w:spacing w:val="-1"/>
          <w:rtl/>
          <w:lang w:bidi="ar"/>
        </w:rPr>
        <w:t>ما </w:t>
      </w:r>
      <w:r w:rsidR="0069722E" w:rsidRPr="002F44BD">
        <w:rPr>
          <w:rFonts w:hint="cs"/>
          <w:spacing w:val="-1"/>
          <w:rtl/>
          <w:lang w:bidi="ar"/>
        </w:rPr>
        <w:t>إذا كان ينبغي خصم فترة الاحتجاز رهن المحاكمة من عقوبة السجن أم أن القاضي يقرر ذلك باستخدام سلطته التقديرية. ك</w:t>
      </w:r>
      <w:r w:rsidR="00C026A7" w:rsidRPr="002F44BD">
        <w:rPr>
          <w:rFonts w:hint="cs"/>
          <w:spacing w:val="-1"/>
          <w:rtl/>
          <w:lang w:bidi="ar"/>
        </w:rPr>
        <w:t>ما </w:t>
      </w:r>
      <w:r w:rsidR="0069722E" w:rsidRPr="002F44BD">
        <w:rPr>
          <w:rFonts w:hint="cs"/>
          <w:spacing w:val="-1"/>
          <w:rtl/>
          <w:lang w:bidi="ar"/>
        </w:rPr>
        <w:t xml:space="preserve">أنه </w:t>
      </w:r>
      <w:r w:rsidR="00C026A7" w:rsidRPr="002F44BD">
        <w:rPr>
          <w:rFonts w:hint="cs"/>
          <w:spacing w:val="-1"/>
          <w:rtl/>
          <w:lang w:bidi="ar"/>
        </w:rPr>
        <w:t>لم </w:t>
      </w:r>
      <w:r w:rsidR="0069722E" w:rsidRPr="002F44BD">
        <w:rPr>
          <w:rFonts w:hint="cs"/>
          <w:spacing w:val="-1"/>
          <w:rtl/>
          <w:lang w:bidi="ar"/>
        </w:rPr>
        <w:t>يرد على السؤال المتعلق بتعويض الأشخاص المبرئين الذين قضوا فترة في الاحتجاز رهن المحاكمة. وقال إن من المفيد أيض</w:t>
      </w:r>
      <w:r w:rsidR="00C026A7" w:rsidRPr="002F44BD">
        <w:rPr>
          <w:rFonts w:hint="cs"/>
          <w:spacing w:val="-1"/>
          <w:rtl/>
          <w:lang w:bidi="ar"/>
        </w:rPr>
        <w:t xml:space="preserve">اً </w:t>
      </w:r>
      <w:r w:rsidR="0069722E" w:rsidRPr="002F44BD">
        <w:rPr>
          <w:rFonts w:hint="cs"/>
          <w:spacing w:val="-1"/>
          <w:rtl/>
          <w:lang w:bidi="ar"/>
        </w:rPr>
        <w:t>تقديم معلومات إضافية بشأن نسبة التدابير غير الاحتجازية مقارنة بتدبير الاحتجاز رهن المحاكمة.</w:t>
      </w:r>
    </w:p>
    <w:p w:rsidR="0069722E" w:rsidRPr="002F44BD" w:rsidRDefault="00F50A2F" w:rsidP="00F50A2F">
      <w:pPr>
        <w:pStyle w:val="SingleTxtGA"/>
        <w:rPr>
          <w:rFonts w:hint="cs"/>
          <w:spacing w:val="-4"/>
        </w:rPr>
      </w:pPr>
      <w:r w:rsidRPr="002F44BD">
        <w:rPr>
          <w:rFonts w:hint="cs"/>
          <w:spacing w:val="-4"/>
          <w:rtl/>
        </w:rPr>
        <w:t>12-</w:t>
      </w:r>
      <w:r w:rsidRPr="002F44BD">
        <w:rPr>
          <w:rFonts w:hint="cs"/>
          <w:spacing w:val="-4"/>
          <w:rtl/>
        </w:rPr>
        <w:tab/>
      </w:r>
      <w:r w:rsidR="0069722E" w:rsidRPr="002F44BD">
        <w:rPr>
          <w:rFonts w:hint="cs"/>
          <w:b/>
          <w:bCs/>
          <w:spacing w:val="-4"/>
          <w:rtl/>
        </w:rPr>
        <w:t xml:space="preserve">السيد </w:t>
      </w:r>
      <w:proofErr w:type="spellStart"/>
      <w:r w:rsidR="0069722E" w:rsidRPr="002F44BD">
        <w:rPr>
          <w:rFonts w:hint="cs"/>
          <w:b/>
          <w:bCs/>
          <w:spacing w:val="-4"/>
          <w:rtl/>
        </w:rPr>
        <w:t>سالفيولي</w:t>
      </w:r>
      <w:proofErr w:type="spellEnd"/>
      <w:r w:rsidR="0069722E" w:rsidRPr="002F44BD">
        <w:rPr>
          <w:rFonts w:hint="cs"/>
          <w:b/>
          <w:bCs/>
          <w:spacing w:val="-4"/>
          <w:rtl/>
        </w:rPr>
        <w:t>:</w:t>
      </w:r>
      <w:r w:rsidR="0069722E" w:rsidRPr="002F44BD">
        <w:rPr>
          <w:rFonts w:hint="cs"/>
          <w:spacing w:val="-4"/>
          <w:rtl/>
        </w:rPr>
        <w:t xml:space="preserve"> سأل عن طريقة تمويل البرامج الجديدة المتعلقة بمكافحة العنف الجنساني والعنف المنزلي. أ</w:t>
      </w:r>
      <w:r w:rsidR="00C026A7" w:rsidRPr="002F44BD">
        <w:rPr>
          <w:rFonts w:hint="cs"/>
          <w:spacing w:val="-4"/>
          <w:rtl/>
        </w:rPr>
        <w:t>ما </w:t>
      </w:r>
      <w:r w:rsidR="0069722E" w:rsidRPr="002F44BD">
        <w:rPr>
          <w:rFonts w:hint="cs"/>
          <w:spacing w:val="-4"/>
          <w:rtl/>
        </w:rPr>
        <w:t>في</w:t>
      </w:r>
      <w:r w:rsidR="00C026A7" w:rsidRPr="002F44BD">
        <w:rPr>
          <w:rFonts w:hint="cs"/>
          <w:spacing w:val="-4"/>
          <w:rtl/>
        </w:rPr>
        <w:t>ما </w:t>
      </w:r>
      <w:r w:rsidR="0069722E" w:rsidRPr="002F44BD">
        <w:rPr>
          <w:rFonts w:hint="cs"/>
          <w:spacing w:val="-4"/>
          <w:rtl/>
        </w:rPr>
        <w:t>يتعلق بعمليات الإجهاض غير الطوعي للأشخاص ذوي الإعاقة، فسأل ع</w:t>
      </w:r>
      <w:r w:rsidR="00C026A7" w:rsidRPr="002F44BD">
        <w:rPr>
          <w:rFonts w:hint="cs"/>
          <w:spacing w:val="-4"/>
          <w:rtl/>
        </w:rPr>
        <w:t>ما </w:t>
      </w:r>
      <w:r w:rsidR="0069722E" w:rsidRPr="002F44BD">
        <w:rPr>
          <w:rFonts w:hint="cs"/>
          <w:spacing w:val="-4"/>
          <w:rtl/>
        </w:rPr>
        <w:t>إذا كانت الدولة الطرف تنظر في اتخاذ تدابير ملمو</w:t>
      </w:r>
      <w:r w:rsidR="002F44BD" w:rsidRPr="002F44BD">
        <w:rPr>
          <w:rFonts w:hint="cs"/>
          <w:spacing w:val="-4"/>
          <w:rtl/>
        </w:rPr>
        <w:t>سة لمراعاة إرادة هؤلاء الأشخاص.</w:t>
      </w:r>
    </w:p>
    <w:p w:rsidR="0069722E" w:rsidRDefault="00F50A2F" w:rsidP="00F50A2F">
      <w:pPr>
        <w:pStyle w:val="SingleTxtGA"/>
        <w:rPr>
          <w:rFonts w:hint="cs"/>
        </w:rPr>
      </w:pPr>
      <w:r>
        <w:rPr>
          <w:rFonts w:hint="cs"/>
          <w:rtl/>
        </w:rPr>
        <w:t>13-</w:t>
      </w:r>
      <w:r>
        <w:rPr>
          <w:rFonts w:hint="cs"/>
          <w:rtl/>
        </w:rPr>
        <w:tab/>
      </w:r>
      <w:r w:rsidR="0069722E" w:rsidRPr="00A239B2">
        <w:rPr>
          <w:rFonts w:hint="cs"/>
          <w:b/>
          <w:bCs/>
          <w:rtl/>
        </w:rPr>
        <w:t xml:space="preserve">السيد </w:t>
      </w:r>
      <w:proofErr w:type="spellStart"/>
      <w:r w:rsidR="0069722E" w:rsidRPr="00A239B2">
        <w:rPr>
          <w:rFonts w:hint="cs"/>
          <w:b/>
          <w:bCs/>
          <w:rtl/>
        </w:rPr>
        <w:t>أوفلاهرتي</w:t>
      </w:r>
      <w:proofErr w:type="spellEnd"/>
      <w:r w:rsidR="0069722E">
        <w:rPr>
          <w:rFonts w:hint="cs"/>
          <w:rtl/>
        </w:rPr>
        <w:t>: تساءل ع</w:t>
      </w:r>
      <w:r w:rsidR="00C026A7">
        <w:rPr>
          <w:rFonts w:hint="cs"/>
          <w:rtl/>
        </w:rPr>
        <w:t>ما </w:t>
      </w:r>
      <w:r w:rsidR="0069722E">
        <w:rPr>
          <w:rFonts w:hint="cs"/>
          <w:rtl/>
        </w:rPr>
        <w:t xml:space="preserve">إذا كانت الدولة الطرف تنظر في إعادة فتح التحقيق المتعلق بأماكن الاحتجاز السرية وإمكانية تواطئها في عمليات نقل المشتبه </w:t>
      </w:r>
      <w:r w:rsidR="00892F93">
        <w:rPr>
          <w:rFonts w:hint="cs"/>
          <w:rtl/>
        </w:rPr>
        <w:t xml:space="preserve">بهم </w:t>
      </w:r>
      <w:r w:rsidR="0069722E">
        <w:rPr>
          <w:rFonts w:hint="cs"/>
          <w:rtl/>
        </w:rPr>
        <w:t xml:space="preserve">غير المشروعة، وذلك في ضوء استنتاجات المقررين الخاصين </w:t>
      </w:r>
      <w:r w:rsidR="00892F93">
        <w:rPr>
          <w:rFonts w:hint="cs"/>
          <w:rtl/>
        </w:rPr>
        <w:t xml:space="preserve">التابعين </w:t>
      </w:r>
      <w:r w:rsidR="0069722E">
        <w:rPr>
          <w:rFonts w:hint="cs"/>
          <w:rtl/>
        </w:rPr>
        <w:t>لمجلس حقوق الإنسان والبرلمان الأوروبي والمعلومات المقدمة مؤخر</w:t>
      </w:r>
      <w:r w:rsidR="00C026A7">
        <w:rPr>
          <w:rFonts w:hint="cs"/>
          <w:rtl/>
        </w:rPr>
        <w:t xml:space="preserve">اً </w:t>
      </w:r>
      <w:r w:rsidR="0069722E">
        <w:rPr>
          <w:rFonts w:hint="cs"/>
          <w:rtl/>
        </w:rPr>
        <w:t>من منظمات غير حكومية.</w:t>
      </w:r>
      <w:r w:rsidR="00C026A7">
        <w:rPr>
          <w:rFonts w:hint="cs"/>
          <w:rtl/>
        </w:rPr>
        <w:t xml:space="preserve"> </w:t>
      </w:r>
    </w:p>
    <w:p w:rsidR="0069722E" w:rsidRDefault="00F50A2F" w:rsidP="00F50A2F">
      <w:pPr>
        <w:pStyle w:val="SingleTxtGA"/>
        <w:rPr>
          <w:rFonts w:hint="cs"/>
        </w:rPr>
      </w:pPr>
      <w:r>
        <w:rPr>
          <w:rFonts w:hint="cs"/>
          <w:rtl/>
        </w:rPr>
        <w:t>14-</w:t>
      </w:r>
      <w:r>
        <w:rPr>
          <w:rFonts w:hint="cs"/>
          <w:rtl/>
        </w:rPr>
        <w:tab/>
      </w:r>
      <w:r w:rsidR="0069722E">
        <w:rPr>
          <w:rFonts w:hint="cs"/>
          <w:rtl/>
        </w:rPr>
        <w:t xml:space="preserve">وقال إن بعض أحكام القانون المتعلّق بحماية الأحداث من </w:t>
      </w:r>
      <w:r w:rsidR="00892F93">
        <w:rPr>
          <w:rFonts w:hint="cs"/>
          <w:rtl/>
        </w:rPr>
        <w:t>ال</w:t>
      </w:r>
      <w:r w:rsidR="0069722E">
        <w:rPr>
          <w:rFonts w:hint="cs"/>
          <w:rtl/>
        </w:rPr>
        <w:t xml:space="preserve">آثار </w:t>
      </w:r>
      <w:r w:rsidR="00892F93">
        <w:rPr>
          <w:rFonts w:hint="cs"/>
          <w:rtl/>
        </w:rPr>
        <w:t xml:space="preserve">الضارة التي قد يسببها </w:t>
      </w:r>
      <w:r w:rsidR="0069722E">
        <w:rPr>
          <w:rFonts w:hint="cs"/>
          <w:rtl/>
        </w:rPr>
        <w:t xml:space="preserve">الإعلام العام تتجاوز </w:t>
      </w:r>
      <w:r w:rsidR="00C026A7">
        <w:rPr>
          <w:rFonts w:hint="cs"/>
          <w:rtl/>
        </w:rPr>
        <w:t>ما </w:t>
      </w:r>
      <w:r w:rsidR="0069722E">
        <w:rPr>
          <w:rFonts w:hint="cs"/>
          <w:rtl/>
        </w:rPr>
        <w:t xml:space="preserve">تسمح به المادة 19 من العهد. وأضاف أن المنظمات غير الحكومية تدّعي أن الأحكام الرامية إلى منع تشجيع العلاقات الجنسية للمثليات والمثليين ومزدوجي الميل الجنسي والعلاقات الزوجية المتعددة </w:t>
      </w:r>
      <w:r w:rsidR="00C026A7">
        <w:rPr>
          <w:rFonts w:hint="cs"/>
          <w:rtl/>
        </w:rPr>
        <w:t>لا </w:t>
      </w:r>
      <w:r w:rsidR="0069722E">
        <w:rPr>
          <w:rFonts w:hint="cs"/>
          <w:rtl/>
        </w:rPr>
        <w:t>تزال سارية المفعول، وطلب من الوفد أن يؤكد أنها ألغيت بالفعل. ك</w:t>
      </w:r>
      <w:r w:rsidR="00C026A7">
        <w:rPr>
          <w:rFonts w:hint="cs"/>
          <w:rtl/>
        </w:rPr>
        <w:t>ما </w:t>
      </w:r>
      <w:r w:rsidR="0069722E">
        <w:rPr>
          <w:rFonts w:hint="cs"/>
          <w:rtl/>
        </w:rPr>
        <w:t>تساءل عمّا تؤكده بعض المنظمات غير الحكومية من وجود مشروع فعلي لتعديل القانون المدني بغية منع تغيير الجنس.</w:t>
      </w:r>
      <w:r w:rsidR="00C026A7">
        <w:rPr>
          <w:rFonts w:hint="cs"/>
          <w:rtl/>
        </w:rPr>
        <w:t xml:space="preserve"> </w:t>
      </w:r>
    </w:p>
    <w:p w:rsidR="0069722E" w:rsidRDefault="00F50A2F" w:rsidP="00F50A2F">
      <w:pPr>
        <w:pStyle w:val="SingleTxtGA"/>
        <w:rPr>
          <w:rFonts w:hint="cs"/>
        </w:rPr>
      </w:pPr>
      <w:r>
        <w:rPr>
          <w:rFonts w:hint="cs"/>
          <w:rtl/>
        </w:rPr>
        <w:t>15-</w:t>
      </w:r>
      <w:r>
        <w:rPr>
          <w:rFonts w:hint="cs"/>
          <w:rtl/>
        </w:rPr>
        <w:tab/>
      </w:r>
      <w:r w:rsidR="0069722E">
        <w:rPr>
          <w:rFonts w:hint="cs"/>
          <w:rtl/>
        </w:rPr>
        <w:t>وقال إن تشديد خطة العمل الوطنية على ثقافة مجتمع الروما أمر يستحق التقدير غير أنه يجب أيض</w:t>
      </w:r>
      <w:r w:rsidR="00C026A7">
        <w:rPr>
          <w:rFonts w:hint="cs"/>
          <w:rtl/>
        </w:rPr>
        <w:t xml:space="preserve">اً </w:t>
      </w:r>
      <w:r w:rsidR="00892F93">
        <w:rPr>
          <w:rFonts w:hint="cs"/>
          <w:rtl/>
        </w:rPr>
        <w:t xml:space="preserve">زيادة فرص </w:t>
      </w:r>
      <w:r w:rsidR="0069722E">
        <w:rPr>
          <w:rFonts w:hint="cs"/>
          <w:rtl/>
        </w:rPr>
        <w:t>وصول أفراد هذا المجتمع إلى مختلف الخدمات العامة. وتبيّن الأرقام التي قدّمها الوفد في</w:t>
      </w:r>
      <w:r w:rsidR="00C026A7">
        <w:rPr>
          <w:rFonts w:hint="cs"/>
          <w:rtl/>
        </w:rPr>
        <w:t>ما </w:t>
      </w:r>
      <w:r w:rsidR="0069722E">
        <w:rPr>
          <w:rFonts w:hint="cs"/>
          <w:rtl/>
        </w:rPr>
        <w:t xml:space="preserve">يتعلق بجرائم الكراهية أن مكتب </w:t>
      </w:r>
      <w:r w:rsidR="00892F93">
        <w:rPr>
          <w:rFonts w:hint="cs"/>
          <w:rtl/>
        </w:rPr>
        <w:t xml:space="preserve">وكيل النيابة </w:t>
      </w:r>
      <w:r w:rsidR="0069722E">
        <w:rPr>
          <w:rFonts w:hint="cs"/>
          <w:rtl/>
        </w:rPr>
        <w:t xml:space="preserve">يتابع الموضوع بجدية؛ لكن السيد </w:t>
      </w:r>
      <w:proofErr w:type="spellStart"/>
      <w:r w:rsidR="0069722E">
        <w:rPr>
          <w:rFonts w:hint="cs"/>
          <w:rtl/>
        </w:rPr>
        <w:t>أوفلاهرتي</w:t>
      </w:r>
      <w:proofErr w:type="spellEnd"/>
      <w:r w:rsidR="0069722E">
        <w:rPr>
          <w:rFonts w:hint="cs"/>
          <w:rtl/>
        </w:rPr>
        <w:t xml:space="preserve"> أراد معرفة نسبة القضايا التي أفضت إلى إدانة. وفي</w:t>
      </w:r>
      <w:r w:rsidR="00C026A7">
        <w:rPr>
          <w:rFonts w:hint="cs"/>
          <w:rtl/>
        </w:rPr>
        <w:t>ما </w:t>
      </w:r>
      <w:r w:rsidR="0069722E">
        <w:rPr>
          <w:rFonts w:hint="cs"/>
          <w:rtl/>
        </w:rPr>
        <w:t xml:space="preserve">يتعلق بالعرض الذي نُظّم في </w:t>
      </w:r>
      <w:proofErr w:type="spellStart"/>
      <w:r w:rsidR="0069722E">
        <w:rPr>
          <w:rFonts w:hint="cs"/>
          <w:rtl/>
        </w:rPr>
        <w:t>كلايبدا</w:t>
      </w:r>
      <w:proofErr w:type="spellEnd"/>
      <w:r w:rsidR="0069722E">
        <w:rPr>
          <w:rFonts w:hint="cs"/>
          <w:rtl/>
        </w:rPr>
        <w:t xml:space="preserve"> على هامش الاحتفال بعيد الاستقلال حيث استخدمت ملصقات تمثل الصلبان المعقوفة، شاهد السيد </w:t>
      </w:r>
      <w:proofErr w:type="spellStart"/>
      <w:r w:rsidR="0069722E">
        <w:rPr>
          <w:rFonts w:hint="cs"/>
          <w:rtl/>
        </w:rPr>
        <w:t>أوفلاهرتي</w:t>
      </w:r>
      <w:proofErr w:type="spellEnd"/>
      <w:r w:rsidR="0069722E">
        <w:rPr>
          <w:rFonts w:hint="cs"/>
          <w:rtl/>
        </w:rPr>
        <w:t xml:space="preserve"> صور</w:t>
      </w:r>
      <w:r w:rsidR="00C026A7">
        <w:rPr>
          <w:rFonts w:hint="cs"/>
          <w:rtl/>
        </w:rPr>
        <w:t xml:space="preserve">اً </w:t>
      </w:r>
      <w:r w:rsidR="0069722E">
        <w:rPr>
          <w:rFonts w:hint="cs"/>
          <w:rtl/>
        </w:rPr>
        <w:t>من</w:t>
      </w:r>
      <w:r w:rsidR="00C026A7">
        <w:rPr>
          <w:rFonts w:hint="cs"/>
          <w:rtl/>
        </w:rPr>
        <w:t xml:space="preserve"> </w:t>
      </w:r>
      <w:r w:rsidR="0069722E">
        <w:rPr>
          <w:rFonts w:hint="cs"/>
          <w:rtl/>
        </w:rPr>
        <w:t xml:space="preserve">هذه الملصقات واعتبر أنها ذات </w:t>
      </w:r>
      <w:r w:rsidR="00892F93">
        <w:rPr>
          <w:rFonts w:hint="cs"/>
          <w:rtl/>
        </w:rPr>
        <w:t xml:space="preserve">دلالة </w:t>
      </w:r>
      <w:r w:rsidR="0069722E">
        <w:rPr>
          <w:rFonts w:hint="cs"/>
          <w:rtl/>
        </w:rPr>
        <w:t xml:space="preserve">واضحة في هذا السياق. وأفادت معلومات بأن مكتب </w:t>
      </w:r>
      <w:r w:rsidR="00892F93">
        <w:rPr>
          <w:rFonts w:hint="cs"/>
          <w:rtl/>
        </w:rPr>
        <w:t xml:space="preserve">وكيل النيابة </w:t>
      </w:r>
      <w:r w:rsidR="0069722E">
        <w:rPr>
          <w:rFonts w:hint="cs"/>
          <w:rtl/>
        </w:rPr>
        <w:t xml:space="preserve">استأنف </w:t>
      </w:r>
      <w:r w:rsidR="00892F93">
        <w:rPr>
          <w:rFonts w:hint="cs"/>
          <w:rtl/>
        </w:rPr>
        <w:t>ال</w:t>
      </w:r>
      <w:r w:rsidR="0069722E">
        <w:rPr>
          <w:rFonts w:hint="cs"/>
          <w:rtl/>
        </w:rPr>
        <w:t xml:space="preserve">قرارات </w:t>
      </w:r>
      <w:r w:rsidR="00892F93">
        <w:rPr>
          <w:rFonts w:hint="cs"/>
          <w:rtl/>
        </w:rPr>
        <w:t xml:space="preserve">التي اتخذتها </w:t>
      </w:r>
      <w:r w:rsidR="0069722E">
        <w:rPr>
          <w:rFonts w:hint="cs"/>
          <w:rtl/>
        </w:rPr>
        <w:t xml:space="preserve">القضاة في </w:t>
      </w:r>
      <w:r w:rsidR="00892F93">
        <w:rPr>
          <w:rFonts w:hint="cs"/>
          <w:rtl/>
        </w:rPr>
        <w:t>إطار هذه</w:t>
      </w:r>
      <w:r w:rsidR="0069722E">
        <w:rPr>
          <w:rFonts w:hint="cs"/>
          <w:rtl/>
        </w:rPr>
        <w:t xml:space="preserve"> </w:t>
      </w:r>
      <w:r w:rsidR="00892F93">
        <w:rPr>
          <w:rFonts w:hint="cs"/>
          <w:rtl/>
        </w:rPr>
        <w:t>القضية</w:t>
      </w:r>
      <w:r w:rsidR="0069722E">
        <w:rPr>
          <w:rFonts w:hint="cs"/>
          <w:rtl/>
        </w:rPr>
        <w:t xml:space="preserve">، وقد يكون من المستحسن، في هذه الحالة، معرفة الأشواط التي قطعتها هذه الإجراءات. ولأن معظم أعمال التحريض على الكراهية على شبكة الإنترنت موجّهة </w:t>
      </w:r>
      <w:r w:rsidR="0069722E">
        <w:rPr>
          <w:rFonts w:hint="cs"/>
          <w:rtl/>
          <w:lang w:bidi="ar"/>
        </w:rPr>
        <w:t xml:space="preserve">ضد المثليات والمثليين ومزدوجي الميل الجنسي ومغايري الهوية الجنسانية، فقد سأل السيد </w:t>
      </w:r>
      <w:proofErr w:type="spellStart"/>
      <w:r w:rsidR="0069722E">
        <w:rPr>
          <w:rFonts w:hint="cs"/>
          <w:rtl/>
          <w:lang w:bidi="ar"/>
        </w:rPr>
        <w:t>أوفلاهرتي</w:t>
      </w:r>
      <w:proofErr w:type="spellEnd"/>
      <w:r w:rsidR="0069722E">
        <w:rPr>
          <w:rFonts w:hint="cs"/>
          <w:rtl/>
          <w:lang w:bidi="ar"/>
        </w:rPr>
        <w:t xml:space="preserve"> عن التدابير التي اتخذتها الدولة من أجل ضمان احترام هذه الفئة المستضعفة والمهددة في المجتمع.</w:t>
      </w:r>
    </w:p>
    <w:p w:rsidR="0069722E" w:rsidRDefault="00F50A2F" w:rsidP="00074117">
      <w:pPr>
        <w:pStyle w:val="SingleTxtGA"/>
        <w:rPr>
          <w:rFonts w:hint="cs"/>
        </w:rPr>
      </w:pPr>
      <w:r>
        <w:rPr>
          <w:rFonts w:hint="cs"/>
          <w:rtl/>
          <w:lang w:bidi="ar"/>
        </w:rPr>
        <w:t>16-</w:t>
      </w:r>
      <w:r>
        <w:rPr>
          <w:rFonts w:hint="cs"/>
          <w:rtl/>
          <w:lang w:bidi="ar"/>
        </w:rPr>
        <w:tab/>
      </w:r>
      <w:r w:rsidR="0069722E" w:rsidRPr="002B4ED4">
        <w:rPr>
          <w:rFonts w:hint="cs"/>
          <w:b/>
          <w:bCs/>
          <w:rtl/>
          <w:lang w:bidi="ar"/>
        </w:rPr>
        <w:t xml:space="preserve">السيد </w:t>
      </w:r>
      <w:proofErr w:type="spellStart"/>
      <w:r w:rsidR="0069722E" w:rsidRPr="002B4ED4">
        <w:rPr>
          <w:rFonts w:hint="cs"/>
          <w:b/>
          <w:bCs/>
          <w:rtl/>
          <w:lang w:bidi="ar"/>
        </w:rPr>
        <w:t>بوزيد</w:t>
      </w:r>
      <w:proofErr w:type="spellEnd"/>
      <w:r w:rsidR="0069722E">
        <w:rPr>
          <w:rFonts w:hint="cs"/>
          <w:rtl/>
          <w:lang w:bidi="ar"/>
        </w:rPr>
        <w:t xml:space="preserve">: لاحظ </w:t>
      </w:r>
      <w:r w:rsidR="00C026A7">
        <w:rPr>
          <w:rFonts w:hint="cs"/>
          <w:rtl/>
          <w:lang w:bidi="ar"/>
        </w:rPr>
        <w:t>ما </w:t>
      </w:r>
      <w:r w:rsidR="00892F93">
        <w:rPr>
          <w:rFonts w:hint="cs"/>
          <w:rtl/>
          <w:lang w:bidi="ar"/>
        </w:rPr>
        <w:t xml:space="preserve">جاء على لسان </w:t>
      </w:r>
      <w:r w:rsidR="0069722E">
        <w:rPr>
          <w:rFonts w:hint="cs"/>
          <w:rtl/>
          <w:lang w:bidi="ar"/>
        </w:rPr>
        <w:t xml:space="preserve">الوفد </w:t>
      </w:r>
      <w:r w:rsidR="00892F93">
        <w:rPr>
          <w:rFonts w:hint="cs"/>
          <w:rtl/>
          <w:lang w:bidi="ar"/>
        </w:rPr>
        <w:t xml:space="preserve">من </w:t>
      </w:r>
      <w:r w:rsidR="0069722E">
        <w:rPr>
          <w:rFonts w:hint="cs"/>
          <w:rtl/>
          <w:lang w:bidi="ar"/>
        </w:rPr>
        <w:t xml:space="preserve">أن قانون مكافحة العنف المنزلي يمنع </w:t>
      </w:r>
      <w:r w:rsidR="00892F93">
        <w:rPr>
          <w:rFonts w:hint="cs"/>
          <w:rtl/>
          <w:lang w:bidi="ar"/>
        </w:rPr>
        <w:t>العقوبة البدنية على ا</w:t>
      </w:r>
      <w:r w:rsidR="0069722E">
        <w:rPr>
          <w:rFonts w:hint="cs"/>
          <w:rtl/>
          <w:lang w:bidi="ar"/>
        </w:rPr>
        <w:t>لأطفال. وقال إن الدولة الطرف تراجعت في</w:t>
      </w:r>
      <w:r w:rsidR="00C026A7">
        <w:rPr>
          <w:rFonts w:hint="cs"/>
          <w:rtl/>
          <w:lang w:bidi="ar"/>
        </w:rPr>
        <w:t>ما </w:t>
      </w:r>
      <w:r w:rsidR="0069722E">
        <w:rPr>
          <w:rFonts w:hint="cs"/>
          <w:rtl/>
          <w:lang w:bidi="ar"/>
        </w:rPr>
        <w:t>يبدو ع</w:t>
      </w:r>
      <w:r w:rsidR="00C026A7">
        <w:rPr>
          <w:rFonts w:hint="cs"/>
          <w:rtl/>
          <w:lang w:bidi="ar"/>
        </w:rPr>
        <w:t>ما </w:t>
      </w:r>
      <w:r w:rsidR="0069722E">
        <w:rPr>
          <w:rFonts w:hint="cs"/>
          <w:rtl/>
          <w:lang w:bidi="ar"/>
        </w:rPr>
        <w:t>تعهّدت به في</w:t>
      </w:r>
      <w:r w:rsidR="00074117">
        <w:rPr>
          <w:rFonts w:hint="eastAsia"/>
          <w:rtl/>
          <w:lang w:bidi="ar"/>
        </w:rPr>
        <w:t> </w:t>
      </w:r>
      <w:r w:rsidR="0069722E">
        <w:rPr>
          <w:rFonts w:hint="cs"/>
          <w:rtl/>
          <w:lang w:bidi="ar"/>
        </w:rPr>
        <w:t xml:space="preserve">24 تشرين الثاني/نوفمبر 2011 </w:t>
      </w:r>
      <w:r w:rsidR="00892F93">
        <w:rPr>
          <w:rFonts w:hint="cs"/>
          <w:rtl/>
          <w:lang w:bidi="ar"/>
        </w:rPr>
        <w:t xml:space="preserve">بخصوص </w:t>
      </w:r>
      <w:r w:rsidR="0069722E">
        <w:rPr>
          <w:rFonts w:hint="cs"/>
          <w:rtl/>
          <w:lang w:bidi="ar"/>
        </w:rPr>
        <w:t xml:space="preserve">اعتماد قانون يتعلق برفاه الأطفال. وسأل السيد </w:t>
      </w:r>
      <w:proofErr w:type="spellStart"/>
      <w:r w:rsidR="0069722E">
        <w:rPr>
          <w:rFonts w:hint="cs"/>
          <w:rtl/>
          <w:lang w:bidi="ar"/>
        </w:rPr>
        <w:t>بوزيد</w:t>
      </w:r>
      <w:proofErr w:type="spellEnd"/>
      <w:r w:rsidR="0069722E">
        <w:rPr>
          <w:rFonts w:hint="cs"/>
          <w:rtl/>
          <w:lang w:bidi="ar"/>
        </w:rPr>
        <w:t xml:space="preserve"> ع</w:t>
      </w:r>
      <w:r w:rsidR="00C026A7">
        <w:rPr>
          <w:rFonts w:hint="cs"/>
          <w:rtl/>
          <w:lang w:bidi="ar"/>
        </w:rPr>
        <w:t>ما </w:t>
      </w:r>
      <w:r w:rsidR="0069722E">
        <w:rPr>
          <w:rFonts w:hint="cs"/>
          <w:rtl/>
          <w:lang w:bidi="ar"/>
        </w:rPr>
        <w:t>إذا كان هذا التحول ناجم</w:t>
      </w:r>
      <w:r w:rsidR="00C026A7">
        <w:rPr>
          <w:rFonts w:hint="cs"/>
          <w:rtl/>
          <w:lang w:bidi="ar"/>
        </w:rPr>
        <w:t xml:space="preserve">اً </w:t>
      </w:r>
      <w:r w:rsidR="0069722E">
        <w:rPr>
          <w:rFonts w:hint="cs"/>
          <w:rtl/>
          <w:lang w:bidi="ar"/>
        </w:rPr>
        <w:t>عن المقاومة التي أبداها الرأي العام إزاء مبدأ تجريم هذه الممارسات نظر</w:t>
      </w:r>
      <w:r w:rsidR="00C026A7">
        <w:rPr>
          <w:rFonts w:hint="cs"/>
          <w:rtl/>
          <w:lang w:bidi="ar"/>
        </w:rPr>
        <w:t xml:space="preserve">اً </w:t>
      </w:r>
      <w:r w:rsidR="0069722E">
        <w:rPr>
          <w:rFonts w:hint="cs"/>
          <w:rtl/>
          <w:lang w:bidi="ar"/>
        </w:rPr>
        <w:t xml:space="preserve">لموقعها في العادات الليتوانية. </w:t>
      </w:r>
    </w:p>
    <w:p w:rsidR="0069722E" w:rsidRPr="00074117" w:rsidRDefault="00F50A2F" w:rsidP="00F50A2F">
      <w:pPr>
        <w:pStyle w:val="SingleTxtGA"/>
        <w:rPr>
          <w:rFonts w:hint="cs"/>
          <w:spacing w:val="-1"/>
        </w:rPr>
      </w:pPr>
      <w:r w:rsidRPr="00074117">
        <w:rPr>
          <w:rFonts w:hint="cs"/>
          <w:spacing w:val="-1"/>
          <w:rtl/>
          <w:lang w:bidi="ar"/>
        </w:rPr>
        <w:t>17-</w:t>
      </w:r>
      <w:r w:rsidRPr="00074117">
        <w:rPr>
          <w:rFonts w:hint="cs"/>
          <w:spacing w:val="-1"/>
          <w:rtl/>
          <w:lang w:bidi="ar"/>
        </w:rPr>
        <w:tab/>
      </w:r>
      <w:r w:rsidR="0069722E" w:rsidRPr="00074117">
        <w:rPr>
          <w:rFonts w:hint="cs"/>
          <w:b/>
          <w:bCs/>
          <w:spacing w:val="-1"/>
          <w:rtl/>
          <w:lang w:bidi="ar"/>
        </w:rPr>
        <w:t xml:space="preserve">السيدة </w:t>
      </w:r>
      <w:proofErr w:type="spellStart"/>
      <w:r w:rsidR="0069722E" w:rsidRPr="00074117">
        <w:rPr>
          <w:rFonts w:hint="cs"/>
          <w:b/>
          <w:bCs/>
          <w:spacing w:val="-1"/>
          <w:rtl/>
          <w:lang w:bidi="ar"/>
        </w:rPr>
        <w:t>أوربوني</w:t>
      </w:r>
      <w:proofErr w:type="spellEnd"/>
      <w:r w:rsidR="0069722E" w:rsidRPr="00074117">
        <w:rPr>
          <w:rFonts w:hint="cs"/>
          <w:spacing w:val="-1"/>
          <w:rtl/>
          <w:lang w:bidi="ar"/>
        </w:rPr>
        <w:t xml:space="preserve"> (ليتوانيا): قالت إن المادة 127 من القانون الجنائي تنص على أن المدة القصوى للتحقيق قبل المحاكمة هي </w:t>
      </w:r>
      <w:r w:rsidR="00892F93" w:rsidRPr="00074117">
        <w:rPr>
          <w:rFonts w:hint="cs"/>
          <w:spacing w:val="-1"/>
          <w:rtl/>
        </w:rPr>
        <w:t xml:space="preserve">18 </w:t>
      </w:r>
      <w:r w:rsidR="0069722E" w:rsidRPr="00074117">
        <w:rPr>
          <w:rFonts w:hint="cs"/>
          <w:spacing w:val="-1"/>
          <w:rtl/>
        </w:rPr>
        <w:t>شهر</w:t>
      </w:r>
      <w:r w:rsidR="00C026A7" w:rsidRPr="00074117">
        <w:rPr>
          <w:rFonts w:hint="cs"/>
          <w:spacing w:val="-1"/>
          <w:rtl/>
        </w:rPr>
        <w:t xml:space="preserve">اً </w:t>
      </w:r>
      <w:r w:rsidR="0069722E" w:rsidRPr="00074117">
        <w:rPr>
          <w:rFonts w:hint="cs"/>
          <w:spacing w:val="-1"/>
          <w:rtl/>
        </w:rPr>
        <w:t xml:space="preserve">بالنسبة إلى البالغين </w:t>
      </w:r>
      <w:r w:rsidR="00892F93" w:rsidRPr="00074117">
        <w:rPr>
          <w:rFonts w:hint="cs"/>
          <w:spacing w:val="-1"/>
          <w:rtl/>
        </w:rPr>
        <w:t xml:space="preserve">و12 </w:t>
      </w:r>
      <w:r w:rsidR="0069722E" w:rsidRPr="00074117">
        <w:rPr>
          <w:rFonts w:hint="cs"/>
          <w:spacing w:val="-1"/>
          <w:rtl/>
        </w:rPr>
        <w:t>شهر</w:t>
      </w:r>
      <w:r w:rsidR="00C026A7" w:rsidRPr="00074117">
        <w:rPr>
          <w:rFonts w:hint="cs"/>
          <w:spacing w:val="-1"/>
          <w:rtl/>
        </w:rPr>
        <w:t xml:space="preserve">اً </w:t>
      </w:r>
      <w:r w:rsidR="0069722E" w:rsidRPr="00074117">
        <w:rPr>
          <w:rFonts w:hint="cs"/>
          <w:spacing w:val="-1"/>
          <w:rtl/>
        </w:rPr>
        <w:t xml:space="preserve">بالنسبة إلى الأحداث. وعلاوة على ذلك، يعد </w:t>
      </w:r>
      <w:r w:rsidR="00892F93" w:rsidRPr="00074117">
        <w:rPr>
          <w:rFonts w:hint="cs"/>
          <w:spacing w:val="-1"/>
          <w:rtl/>
        </w:rPr>
        <w:t xml:space="preserve">الحبس الاحتياطي </w:t>
      </w:r>
      <w:r w:rsidR="0069722E" w:rsidRPr="00074117">
        <w:rPr>
          <w:rFonts w:hint="cs"/>
          <w:spacing w:val="-1"/>
          <w:rtl/>
        </w:rPr>
        <w:t>إجراء استثنائي</w:t>
      </w:r>
      <w:r w:rsidR="00C026A7" w:rsidRPr="00074117">
        <w:rPr>
          <w:rFonts w:hint="cs"/>
          <w:spacing w:val="-1"/>
          <w:rtl/>
        </w:rPr>
        <w:t xml:space="preserve">اً </w:t>
      </w:r>
      <w:r w:rsidR="0069722E" w:rsidRPr="00074117">
        <w:rPr>
          <w:rFonts w:hint="cs"/>
          <w:spacing w:val="-1"/>
          <w:rtl/>
        </w:rPr>
        <w:t xml:space="preserve">يتوقف تنفيذه على الفشل في بلوغ أهداف التحقيق بواسطة غيره من التدابير. </w:t>
      </w:r>
      <w:r w:rsidR="00892F93" w:rsidRPr="00074117">
        <w:rPr>
          <w:rFonts w:hint="cs"/>
          <w:spacing w:val="-1"/>
          <w:rtl/>
        </w:rPr>
        <w:t xml:space="preserve">ويشير </w:t>
      </w:r>
      <w:r w:rsidR="0069722E" w:rsidRPr="00074117">
        <w:rPr>
          <w:rFonts w:hint="cs"/>
          <w:spacing w:val="-1"/>
          <w:rtl/>
        </w:rPr>
        <w:t xml:space="preserve">السجلّ الوطني للأشخاص المشتبه </w:t>
      </w:r>
      <w:r w:rsidR="00892F93" w:rsidRPr="00074117">
        <w:rPr>
          <w:rFonts w:hint="cs"/>
          <w:spacing w:val="-1"/>
          <w:rtl/>
        </w:rPr>
        <w:t>ب</w:t>
      </w:r>
      <w:r w:rsidR="0069722E" w:rsidRPr="00074117">
        <w:rPr>
          <w:rFonts w:hint="cs"/>
          <w:spacing w:val="-1"/>
          <w:rtl/>
        </w:rPr>
        <w:t>هم والمدانين إلى أن 711 شخص</w:t>
      </w:r>
      <w:r w:rsidR="00C026A7" w:rsidRPr="00074117">
        <w:rPr>
          <w:rFonts w:hint="cs"/>
          <w:spacing w:val="-1"/>
          <w:rtl/>
        </w:rPr>
        <w:t xml:space="preserve">اً </w:t>
      </w:r>
      <w:r w:rsidR="0069722E" w:rsidRPr="00074117">
        <w:rPr>
          <w:rFonts w:hint="cs"/>
          <w:spacing w:val="-1"/>
          <w:rtl/>
        </w:rPr>
        <w:t>كانوا قد احتجزوا بصفة مؤقتة في عام 2010. ويجيز القانون المدني لأي شخص أن يطلب التعويض ع</w:t>
      </w:r>
      <w:r w:rsidR="00C026A7" w:rsidRPr="00074117">
        <w:rPr>
          <w:rFonts w:hint="cs"/>
          <w:spacing w:val="-1"/>
          <w:rtl/>
        </w:rPr>
        <w:t>ما </w:t>
      </w:r>
      <w:r w:rsidR="0069722E" w:rsidRPr="00074117">
        <w:rPr>
          <w:rFonts w:hint="cs"/>
          <w:spacing w:val="-1"/>
          <w:rtl/>
        </w:rPr>
        <w:t>لحقه من أضرار جراء فعل غير قانوني يقوم به موظف حكومي. وتأخذ مدة عقوبة السجن في الحس</w:t>
      </w:r>
      <w:r w:rsidR="00074117" w:rsidRPr="00074117">
        <w:rPr>
          <w:rFonts w:hint="cs"/>
          <w:spacing w:val="-1"/>
          <w:rtl/>
        </w:rPr>
        <w:t>بان فترة الاحتجاز رهن المحاكمة.</w:t>
      </w:r>
    </w:p>
    <w:p w:rsidR="0069722E" w:rsidRDefault="00F50A2F" w:rsidP="00F50A2F">
      <w:pPr>
        <w:pStyle w:val="SingleTxtGA"/>
        <w:rPr>
          <w:rFonts w:hint="cs"/>
        </w:rPr>
      </w:pPr>
      <w:r w:rsidRPr="00F50A2F">
        <w:rPr>
          <w:rFonts w:hint="cs"/>
          <w:rtl/>
        </w:rPr>
        <w:t>18-</w:t>
      </w:r>
      <w:r w:rsidRPr="00F50A2F">
        <w:rPr>
          <w:rFonts w:hint="cs"/>
          <w:rtl/>
        </w:rPr>
        <w:tab/>
      </w:r>
      <w:r w:rsidR="0069722E" w:rsidRPr="002609AB">
        <w:rPr>
          <w:rFonts w:hint="cs"/>
          <w:b/>
          <w:bCs/>
          <w:rtl/>
        </w:rPr>
        <w:t xml:space="preserve">السيدة </w:t>
      </w:r>
      <w:proofErr w:type="spellStart"/>
      <w:r w:rsidR="0069722E" w:rsidRPr="002609AB">
        <w:rPr>
          <w:rFonts w:hint="cs"/>
          <w:b/>
          <w:bCs/>
          <w:rtl/>
        </w:rPr>
        <w:t>بوكانتايتي</w:t>
      </w:r>
      <w:proofErr w:type="spellEnd"/>
      <w:r w:rsidR="004C1895">
        <w:rPr>
          <w:rFonts w:hint="cs"/>
          <w:b/>
          <w:bCs/>
          <w:rtl/>
        </w:rPr>
        <w:t xml:space="preserve"> </w:t>
      </w:r>
      <w:r w:rsidR="0069722E" w:rsidRPr="002609AB">
        <w:rPr>
          <w:rFonts w:hint="cs"/>
          <w:b/>
          <w:bCs/>
          <w:rtl/>
        </w:rPr>
        <w:t>-</w:t>
      </w:r>
      <w:r w:rsidR="004C1895">
        <w:rPr>
          <w:rFonts w:hint="cs"/>
          <w:b/>
          <w:bCs/>
          <w:rtl/>
        </w:rPr>
        <w:t xml:space="preserve"> </w:t>
      </w:r>
      <w:proofErr w:type="spellStart"/>
      <w:r w:rsidR="0069722E" w:rsidRPr="002609AB">
        <w:rPr>
          <w:rFonts w:hint="cs"/>
          <w:b/>
          <w:bCs/>
          <w:rtl/>
        </w:rPr>
        <w:t>كوتكيف</w:t>
      </w:r>
      <w:r w:rsidR="0069722E">
        <w:rPr>
          <w:rFonts w:hint="cs"/>
          <w:b/>
          <w:bCs/>
          <w:rtl/>
        </w:rPr>
        <w:t>يشيين</w:t>
      </w:r>
      <w:proofErr w:type="spellEnd"/>
      <w:r w:rsidR="0069722E">
        <w:rPr>
          <w:rFonts w:hint="cs"/>
          <w:rtl/>
        </w:rPr>
        <w:t xml:space="preserve"> </w:t>
      </w:r>
      <w:r w:rsidR="0069722E" w:rsidRPr="00880950">
        <w:rPr>
          <w:rFonts w:hint="cs"/>
          <w:rtl/>
          <w:lang w:bidi="ar"/>
        </w:rPr>
        <w:t>(ل</w:t>
      </w:r>
      <w:r w:rsidR="004C1895">
        <w:rPr>
          <w:rFonts w:hint="cs"/>
          <w:rtl/>
          <w:lang w:bidi="ar"/>
        </w:rPr>
        <w:t>ي</w:t>
      </w:r>
      <w:r w:rsidR="0069722E" w:rsidRPr="00880950">
        <w:rPr>
          <w:rFonts w:hint="cs"/>
          <w:rtl/>
          <w:lang w:bidi="ar"/>
        </w:rPr>
        <w:t>توانيا)</w:t>
      </w:r>
      <w:r w:rsidR="0069722E">
        <w:rPr>
          <w:rFonts w:hint="cs"/>
          <w:rtl/>
          <w:lang w:bidi="ar"/>
        </w:rPr>
        <w:t>:</w:t>
      </w:r>
      <w:r w:rsidR="0069722E" w:rsidRPr="00880950">
        <w:rPr>
          <w:rFonts w:hint="cs"/>
          <w:rtl/>
          <w:lang w:bidi="ar"/>
        </w:rPr>
        <w:t xml:space="preserve"> </w:t>
      </w:r>
      <w:r w:rsidR="0069722E">
        <w:rPr>
          <w:rFonts w:hint="cs"/>
          <w:rtl/>
        </w:rPr>
        <w:t xml:space="preserve">قالت إنها تود تقديم معلومات إضافية بشأن إمكانية تخفيف عقوبة السجن إذا </w:t>
      </w:r>
      <w:r w:rsidR="00C026A7">
        <w:rPr>
          <w:rFonts w:hint="cs"/>
          <w:rtl/>
        </w:rPr>
        <w:t>ما </w:t>
      </w:r>
      <w:r w:rsidR="0069722E">
        <w:rPr>
          <w:rFonts w:hint="cs"/>
          <w:rtl/>
        </w:rPr>
        <w:t xml:space="preserve">طالت مدة المحاكمة على نحو غير معقول؛ </w:t>
      </w:r>
      <w:r w:rsidR="00892F93">
        <w:rPr>
          <w:rFonts w:hint="cs"/>
          <w:rtl/>
        </w:rPr>
        <w:t>ف</w:t>
      </w:r>
      <w:r w:rsidR="0069722E">
        <w:rPr>
          <w:rFonts w:hint="cs"/>
          <w:rtl/>
        </w:rPr>
        <w:t>المحاكم في ليتوانيا</w:t>
      </w:r>
      <w:r w:rsidR="0069722E" w:rsidRPr="00880950">
        <w:rPr>
          <w:rFonts w:hint="cs"/>
          <w:rtl/>
        </w:rPr>
        <w:t xml:space="preserve"> </w:t>
      </w:r>
      <w:r w:rsidR="00892F93">
        <w:rPr>
          <w:rFonts w:hint="cs"/>
          <w:rtl/>
        </w:rPr>
        <w:t xml:space="preserve">باتت </w:t>
      </w:r>
      <w:r w:rsidR="0069722E">
        <w:rPr>
          <w:rFonts w:hint="cs"/>
          <w:rtl/>
        </w:rPr>
        <w:t>تتبع القرارات الصادرة عن المحكمة الأوروبية لحقوق الإنسان في هذا المجال وتخفف من ثم عقوبات السجن عند الاقتضاء. وقدّمت الحكومة أيض</w:t>
      </w:r>
      <w:r w:rsidR="00C026A7">
        <w:rPr>
          <w:rFonts w:hint="cs"/>
          <w:rtl/>
        </w:rPr>
        <w:t xml:space="preserve">اً </w:t>
      </w:r>
      <w:r w:rsidR="0069722E">
        <w:rPr>
          <w:rFonts w:hint="cs"/>
          <w:rtl/>
        </w:rPr>
        <w:t>مشروع قانون يرمي إلى تعديل القانون المدني على نحو يسمح بتعويض الأشخاص الذين استغرق</w:t>
      </w:r>
      <w:r w:rsidR="00892F93">
        <w:rPr>
          <w:rFonts w:hint="cs"/>
          <w:rtl/>
        </w:rPr>
        <w:t>ت إجراءات</w:t>
      </w:r>
      <w:r w:rsidR="0069722E">
        <w:rPr>
          <w:rFonts w:hint="cs"/>
          <w:rtl/>
        </w:rPr>
        <w:t xml:space="preserve"> التحقيق معهم </w:t>
      </w:r>
      <w:r w:rsidR="004C63C2">
        <w:rPr>
          <w:rFonts w:hint="cs"/>
          <w:rtl/>
        </w:rPr>
        <w:t>أو </w:t>
      </w:r>
      <w:r w:rsidR="00892F93">
        <w:rPr>
          <w:rFonts w:hint="cs"/>
          <w:rtl/>
        </w:rPr>
        <w:t>إجراءات محاكمتهم مدة طويلة جد</w:t>
      </w:r>
      <w:r w:rsidR="00C026A7">
        <w:rPr>
          <w:rFonts w:hint="cs"/>
          <w:rtl/>
        </w:rPr>
        <w:t>اً.</w:t>
      </w:r>
    </w:p>
    <w:p w:rsidR="0069722E" w:rsidRDefault="00F50A2F" w:rsidP="00F50A2F">
      <w:pPr>
        <w:pStyle w:val="SingleTxtGA"/>
        <w:rPr>
          <w:rFonts w:hint="cs"/>
        </w:rPr>
      </w:pPr>
      <w:r>
        <w:rPr>
          <w:rFonts w:hint="cs"/>
          <w:rtl/>
          <w:lang w:bidi="ar"/>
        </w:rPr>
        <w:t>19-</w:t>
      </w:r>
      <w:r>
        <w:rPr>
          <w:rFonts w:hint="cs"/>
          <w:rtl/>
          <w:lang w:bidi="ar"/>
        </w:rPr>
        <w:tab/>
      </w:r>
      <w:r w:rsidR="0069722E">
        <w:rPr>
          <w:rFonts w:hint="cs"/>
          <w:b/>
          <w:bCs/>
          <w:rtl/>
          <w:lang w:bidi="ar"/>
        </w:rPr>
        <w:t xml:space="preserve">السيدة </w:t>
      </w:r>
      <w:proofErr w:type="spellStart"/>
      <w:r w:rsidR="0069722E">
        <w:rPr>
          <w:rFonts w:hint="cs"/>
          <w:b/>
          <w:bCs/>
          <w:rtl/>
          <w:lang w:bidi="ar"/>
        </w:rPr>
        <w:t>سكايسغيريتي</w:t>
      </w:r>
      <w:proofErr w:type="spellEnd"/>
      <w:r w:rsidR="0069722E">
        <w:rPr>
          <w:rFonts w:hint="cs"/>
          <w:b/>
          <w:bCs/>
          <w:rtl/>
          <w:lang w:bidi="ar"/>
        </w:rPr>
        <w:t xml:space="preserve"> </w:t>
      </w:r>
      <w:proofErr w:type="spellStart"/>
      <w:r w:rsidR="0069722E">
        <w:rPr>
          <w:rFonts w:hint="cs"/>
          <w:b/>
          <w:bCs/>
          <w:rtl/>
          <w:lang w:bidi="ar"/>
        </w:rPr>
        <w:t>ليوسكييني</w:t>
      </w:r>
      <w:proofErr w:type="spellEnd"/>
      <w:r w:rsidR="0069722E">
        <w:rPr>
          <w:rFonts w:hint="cs"/>
          <w:b/>
          <w:bCs/>
          <w:rtl/>
          <w:lang w:bidi="ar"/>
        </w:rPr>
        <w:t xml:space="preserve"> </w:t>
      </w:r>
      <w:r w:rsidR="0069722E" w:rsidRPr="003F087B">
        <w:rPr>
          <w:rFonts w:hint="cs"/>
          <w:rtl/>
          <w:lang w:bidi="ar"/>
        </w:rPr>
        <w:t>(ليتوانيا)</w:t>
      </w:r>
      <w:r w:rsidR="0069722E">
        <w:rPr>
          <w:rFonts w:hint="cs"/>
          <w:b/>
          <w:bCs/>
          <w:rtl/>
          <w:lang w:bidi="ar"/>
        </w:rPr>
        <w:t xml:space="preserve">: </w:t>
      </w:r>
      <w:r w:rsidR="0069722E">
        <w:rPr>
          <w:rFonts w:hint="cs"/>
          <w:rtl/>
          <w:lang w:bidi="ar"/>
        </w:rPr>
        <w:t xml:space="preserve">ردّت على سؤال السيد </w:t>
      </w:r>
      <w:proofErr w:type="spellStart"/>
      <w:r w:rsidR="0069722E">
        <w:rPr>
          <w:rFonts w:hint="cs"/>
          <w:rtl/>
          <w:lang w:bidi="ar"/>
        </w:rPr>
        <w:t>سالفيولي</w:t>
      </w:r>
      <w:proofErr w:type="spellEnd"/>
      <w:r w:rsidR="0069722E">
        <w:rPr>
          <w:rFonts w:hint="cs"/>
          <w:rtl/>
          <w:lang w:bidi="ar"/>
        </w:rPr>
        <w:t xml:space="preserve"> المتعلق بالعنف المنزلي وقالت إن الوفد سيقدم كتابة البيانات الإحصائية المطلوبة. </w:t>
      </w:r>
    </w:p>
    <w:p w:rsidR="0069722E" w:rsidRDefault="00F50A2F" w:rsidP="00F50A2F">
      <w:pPr>
        <w:pStyle w:val="SingleTxtGA"/>
        <w:rPr>
          <w:rFonts w:hint="cs"/>
        </w:rPr>
      </w:pPr>
      <w:r>
        <w:rPr>
          <w:rFonts w:hint="cs"/>
          <w:rtl/>
          <w:lang w:bidi="ar"/>
        </w:rPr>
        <w:t>20-</w:t>
      </w:r>
      <w:r>
        <w:rPr>
          <w:rFonts w:hint="cs"/>
          <w:rtl/>
          <w:lang w:bidi="ar"/>
        </w:rPr>
        <w:tab/>
      </w:r>
      <w:r w:rsidR="0069722E">
        <w:rPr>
          <w:rFonts w:hint="cs"/>
          <w:b/>
          <w:bCs/>
          <w:rtl/>
          <w:lang w:bidi="ar"/>
        </w:rPr>
        <w:t xml:space="preserve">السيدة </w:t>
      </w:r>
      <w:proofErr w:type="spellStart"/>
      <w:r w:rsidR="0069722E">
        <w:rPr>
          <w:rFonts w:hint="cs"/>
          <w:b/>
          <w:bCs/>
          <w:rtl/>
          <w:lang w:bidi="ar"/>
        </w:rPr>
        <w:t>أوربوني</w:t>
      </w:r>
      <w:proofErr w:type="spellEnd"/>
      <w:r w:rsidR="0069722E">
        <w:rPr>
          <w:rFonts w:hint="cs"/>
          <w:b/>
          <w:bCs/>
          <w:rtl/>
          <w:lang w:bidi="ar"/>
        </w:rPr>
        <w:t xml:space="preserve"> </w:t>
      </w:r>
      <w:r w:rsidR="0069722E" w:rsidRPr="003F087B">
        <w:rPr>
          <w:rFonts w:hint="cs"/>
          <w:rtl/>
          <w:lang w:bidi="ar"/>
        </w:rPr>
        <w:t>(ليتوانيا)</w:t>
      </w:r>
      <w:r w:rsidR="0069722E">
        <w:rPr>
          <w:rFonts w:hint="cs"/>
          <w:b/>
          <w:bCs/>
          <w:rtl/>
          <w:lang w:bidi="ar"/>
        </w:rPr>
        <w:t xml:space="preserve">: </w:t>
      </w:r>
      <w:r w:rsidR="0069722E">
        <w:rPr>
          <w:rFonts w:hint="cs"/>
          <w:rtl/>
          <w:lang w:bidi="ar"/>
        </w:rPr>
        <w:t xml:space="preserve">ردّت على سؤال السيد </w:t>
      </w:r>
      <w:proofErr w:type="spellStart"/>
      <w:r w:rsidR="0069722E">
        <w:rPr>
          <w:rFonts w:hint="cs"/>
          <w:rtl/>
          <w:lang w:bidi="ar"/>
        </w:rPr>
        <w:t>سالفيولي</w:t>
      </w:r>
      <w:proofErr w:type="spellEnd"/>
      <w:r w:rsidR="0069722E">
        <w:rPr>
          <w:rFonts w:hint="cs"/>
          <w:rtl/>
          <w:lang w:bidi="ar"/>
        </w:rPr>
        <w:t xml:space="preserve"> المتعلق بالحصول على موافقة الأشخاص ذوي الإعاقات العقلية في حال إخضاعهم للإجهاض وغيره من العمليات الطبية، وفسّرت أن هذه القرارات تتخذها المحاكم</w:t>
      </w:r>
      <w:r w:rsidR="00892F93">
        <w:rPr>
          <w:rFonts w:hint="cs"/>
          <w:rtl/>
          <w:lang w:bidi="ar"/>
        </w:rPr>
        <w:t xml:space="preserve"> في إطار إجراءات </w:t>
      </w:r>
      <w:r w:rsidR="0069722E">
        <w:rPr>
          <w:rFonts w:hint="cs"/>
          <w:rtl/>
          <w:lang w:bidi="ar"/>
        </w:rPr>
        <w:t>ي</w:t>
      </w:r>
      <w:r w:rsidR="00892F93">
        <w:rPr>
          <w:rFonts w:hint="cs"/>
          <w:rtl/>
          <w:lang w:bidi="ar"/>
        </w:rPr>
        <w:t>ُ</w:t>
      </w:r>
      <w:r w:rsidR="0069722E">
        <w:rPr>
          <w:rFonts w:hint="cs"/>
          <w:rtl/>
          <w:lang w:bidi="ar"/>
        </w:rPr>
        <w:t>م</w:t>
      </w:r>
      <w:r w:rsidR="00892F93">
        <w:rPr>
          <w:rFonts w:hint="cs"/>
          <w:rtl/>
          <w:lang w:bidi="ar"/>
        </w:rPr>
        <w:t>ثَّ</w:t>
      </w:r>
      <w:r w:rsidR="0069722E">
        <w:rPr>
          <w:rFonts w:hint="cs"/>
          <w:rtl/>
          <w:lang w:bidi="ar"/>
        </w:rPr>
        <w:t xml:space="preserve">ل </w:t>
      </w:r>
      <w:r w:rsidR="00892F93">
        <w:rPr>
          <w:rFonts w:hint="cs"/>
          <w:rtl/>
          <w:lang w:bidi="ar"/>
        </w:rPr>
        <w:t xml:space="preserve">فيها </w:t>
      </w:r>
      <w:r w:rsidR="0069722E">
        <w:rPr>
          <w:rFonts w:hint="cs"/>
          <w:rtl/>
          <w:lang w:bidi="ar"/>
        </w:rPr>
        <w:t xml:space="preserve">المعنيون بواسطة الأوصياء عليهم. </w:t>
      </w:r>
    </w:p>
    <w:p w:rsidR="0069722E" w:rsidRDefault="00F50A2F" w:rsidP="00F50A2F">
      <w:pPr>
        <w:pStyle w:val="SingleTxtGA"/>
        <w:rPr>
          <w:rFonts w:hint="cs"/>
        </w:rPr>
      </w:pPr>
      <w:r>
        <w:rPr>
          <w:rFonts w:hint="cs"/>
          <w:rtl/>
          <w:lang w:bidi="ar"/>
        </w:rPr>
        <w:t>21-</w:t>
      </w:r>
      <w:r>
        <w:rPr>
          <w:rFonts w:hint="cs"/>
          <w:rtl/>
          <w:lang w:bidi="ar"/>
        </w:rPr>
        <w:tab/>
      </w:r>
      <w:r w:rsidR="0069722E">
        <w:rPr>
          <w:rFonts w:hint="cs"/>
          <w:b/>
          <w:bCs/>
          <w:rtl/>
          <w:lang w:bidi="ar"/>
        </w:rPr>
        <w:t xml:space="preserve">السيدة </w:t>
      </w:r>
      <w:proofErr w:type="spellStart"/>
      <w:r w:rsidR="0069722E">
        <w:rPr>
          <w:rFonts w:hint="cs"/>
          <w:b/>
          <w:bCs/>
          <w:rtl/>
          <w:lang w:bidi="ar"/>
        </w:rPr>
        <w:t>سكايسغيريتي</w:t>
      </w:r>
      <w:proofErr w:type="spellEnd"/>
      <w:r w:rsidR="0069722E">
        <w:rPr>
          <w:rFonts w:hint="cs"/>
          <w:b/>
          <w:bCs/>
          <w:rtl/>
          <w:lang w:bidi="ar"/>
        </w:rPr>
        <w:t xml:space="preserve"> </w:t>
      </w:r>
      <w:proofErr w:type="spellStart"/>
      <w:r w:rsidR="0069722E">
        <w:rPr>
          <w:rFonts w:hint="cs"/>
          <w:b/>
          <w:bCs/>
          <w:rtl/>
          <w:lang w:bidi="ar"/>
        </w:rPr>
        <w:t>ليوسكييني</w:t>
      </w:r>
      <w:proofErr w:type="spellEnd"/>
      <w:r w:rsidR="0069722E">
        <w:rPr>
          <w:rFonts w:hint="cs"/>
          <w:b/>
          <w:bCs/>
          <w:rtl/>
          <w:lang w:bidi="ar"/>
        </w:rPr>
        <w:t xml:space="preserve"> </w:t>
      </w:r>
      <w:r w:rsidR="0069722E" w:rsidRPr="00124D69">
        <w:rPr>
          <w:rFonts w:hint="cs"/>
          <w:rtl/>
          <w:lang w:bidi="ar"/>
        </w:rPr>
        <w:t>(ليتوانيا)</w:t>
      </w:r>
      <w:r w:rsidR="0069722E">
        <w:rPr>
          <w:rFonts w:hint="cs"/>
          <w:b/>
          <w:bCs/>
          <w:rtl/>
          <w:lang w:bidi="ar"/>
        </w:rPr>
        <w:t xml:space="preserve">: </w:t>
      </w:r>
      <w:r w:rsidR="0069722E">
        <w:rPr>
          <w:rFonts w:hint="cs"/>
          <w:rtl/>
          <w:lang w:val="fr-CH"/>
        </w:rPr>
        <w:t xml:space="preserve">ردّت على أسئلة السيد </w:t>
      </w:r>
      <w:proofErr w:type="spellStart"/>
      <w:r w:rsidR="0069722E">
        <w:rPr>
          <w:rFonts w:hint="cs"/>
          <w:rtl/>
          <w:lang w:val="fr-CH"/>
        </w:rPr>
        <w:t>أوفلاهرتي</w:t>
      </w:r>
      <w:proofErr w:type="spellEnd"/>
      <w:r w:rsidR="0069722E">
        <w:rPr>
          <w:rFonts w:hint="cs"/>
          <w:rtl/>
          <w:lang w:val="fr-CH"/>
        </w:rPr>
        <w:t xml:space="preserve"> وقالت إن الحكومة </w:t>
      </w:r>
      <w:r w:rsidR="00C026A7">
        <w:rPr>
          <w:rFonts w:hint="cs"/>
          <w:rtl/>
          <w:lang w:val="fr-CH"/>
        </w:rPr>
        <w:t>لم </w:t>
      </w:r>
      <w:r w:rsidR="0069722E">
        <w:rPr>
          <w:rFonts w:hint="cs"/>
          <w:rtl/>
          <w:lang w:val="fr-CH"/>
        </w:rPr>
        <w:t xml:space="preserve">تضع مشاريع القوانين التي أشار إليها وإن </w:t>
      </w:r>
      <w:r w:rsidR="00C026A7">
        <w:rPr>
          <w:rFonts w:hint="cs"/>
          <w:rtl/>
          <w:lang w:val="fr-CH"/>
        </w:rPr>
        <w:t>لا </w:t>
      </w:r>
      <w:r w:rsidR="0069722E">
        <w:rPr>
          <w:rFonts w:hint="cs"/>
          <w:rtl/>
          <w:lang w:val="fr-CH"/>
        </w:rPr>
        <w:t>شيء يدل على أنها ستعتمد بهذه الصيغة. وهكذا يستحيل تقديم جواب دقيق على سؤال</w:t>
      </w:r>
      <w:r w:rsidR="0069722E">
        <w:rPr>
          <w:rFonts w:hint="cs"/>
          <w:rtl/>
          <w:lang w:bidi="ar"/>
        </w:rPr>
        <w:t xml:space="preserve"> افتراضي. وفي</w:t>
      </w:r>
      <w:r w:rsidR="00C026A7">
        <w:rPr>
          <w:rFonts w:hint="cs"/>
          <w:rtl/>
          <w:lang w:bidi="ar"/>
        </w:rPr>
        <w:t>ما </w:t>
      </w:r>
      <w:r w:rsidR="0069722E">
        <w:rPr>
          <w:rFonts w:hint="cs"/>
          <w:rtl/>
          <w:lang w:bidi="ar"/>
        </w:rPr>
        <w:t xml:space="preserve">يتعلق بوجود مراكز احتجاز سرية </w:t>
      </w:r>
      <w:r w:rsidR="00C026A7">
        <w:rPr>
          <w:rFonts w:hint="cs"/>
          <w:rtl/>
          <w:lang w:bidi="ar"/>
        </w:rPr>
        <w:t>لم </w:t>
      </w:r>
      <w:r w:rsidR="0069722E">
        <w:rPr>
          <w:rFonts w:hint="cs"/>
          <w:rtl/>
          <w:lang w:bidi="ar"/>
        </w:rPr>
        <w:t>يقف المدّعي العام واللجنة الخاصة التي أنشأها البرلمان على أي مستجدّ يبرر إعادة فتح التحقيق.</w:t>
      </w:r>
    </w:p>
    <w:p w:rsidR="0069722E" w:rsidRDefault="00F50A2F" w:rsidP="00F50A2F">
      <w:pPr>
        <w:pStyle w:val="SingleTxtGA"/>
        <w:rPr>
          <w:rFonts w:hint="cs"/>
        </w:rPr>
      </w:pPr>
      <w:r>
        <w:rPr>
          <w:rFonts w:hint="cs"/>
          <w:rtl/>
          <w:lang w:bidi="ar"/>
        </w:rPr>
        <w:t>22-</w:t>
      </w:r>
      <w:r>
        <w:rPr>
          <w:rFonts w:hint="cs"/>
          <w:rtl/>
          <w:lang w:bidi="ar"/>
        </w:rPr>
        <w:tab/>
      </w:r>
      <w:r w:rsidR="0069722E">
        <w:rPr>
          <w:rFonts w:hint="cs"/>
          <w:rtl/>
          <w:lang w:bidi="ar"/>
        </w:rPr>
        <w:t>وفي</w:t>
      </w:r>
      <w:r w:rsidR="00C026A7">
        <w:rPr>
          <w:rFonts w:hint="cs"/>
          <w:rtl/>
          <w:lang w:bidi="ar"/>
        </w:rPr>
        <w:t>ما </w:t>
      </w:r>
      <w:r w:rsidR="0069722E">
        <w:rPr>
          <w:rFonts w:hint="cs"/>
          <w:rtl/>
          <w:lang w:bidi="ar"/>
        </w:rPr>
        <w:t xml:space="preserve">يتعلق بحرية التعبير واستخدام الرموز التي يمكن تفسيرها حسب السياق بأنها ذات دلالة نازية </w:t>
      </w:r>
      <w:r w:rsidR="004C63C2">
        <w:rPr>
          <w:rFonts w:hint="cs"/>
          <w:rtl/>
          <w:lang w:bidi="ar"/>
        </w:rPr>
        <w:t>أو </w:t>
      </w:r>
      <w:r w:rsidR="0069722E">
        <w:rPr>
          <w:rFonts w:hint="cs"/>
          <w:rtl/>
          <w:lang w:bidi="ar"/>
        </w:rPr>
        <w:t>هندوسية، قالت إن حكومة ليتوانيا تدرك تمام</w:t>
      </w:r>
      <w:r w:rsidR="00C026A7">
        <w:rPr>
          <w:rFonts w:hint="cs"/>
          <w:rtl/>
          <w:lang w:bidi="ar"/>
        </w:rPr>
        <w:t xml:space="preserve">اً </w:t>
      </w:r>
      <w:r w:rsidR="0069722E">
        <w:rPr>
          <w:rFonts w:hint="cs"/>
          <w:rtl/>
          <w:lang w:bidi="ar"/>
        </w:rPr>
        <w:t xml:space="preserve">أن المسألة حساسة. وتجدر الإشارة إلى أن حادث المحرقة بات يدرّس في ليتوانيا منذ عقد من الزمن فقط وأن هذا الجانب من الحرب العالمية الثانية </w:t>
      </w:r>
      <w:r w:rsidR="00C026A7">
        <w:rPr>
          <w:rFonts w:hint="cs"/>
          <w:rtl/>
          <w:lang w:bidi="ar"/>
        </w:rPr>
        <w:t>لم </w:t>
      </w:r>
      <w:r w:rsidR="0069722E">
        <w:rPr>
          <w:rFonts w:hint="cs"/>
          <w:rtl/>
          <w:lang w:bidi="ar"/>
        </w:rPr>
        <w:t xml:space="preserve">تدرسه الأجيال طيلة فترة العهد السوفييتي. وهكذا فإن المجتمع الليتواني برمته </w:t>
      </w:r>
      <w:r w:rsidR="00AB6C46">
        <w:rPr>
          <w:rFonts w:hint="cs"/>
          <w:rtl/>
          <w:lang w:bidi="ar"/>
        </w:rPr>
        <w:t xml:space="preserve">بدأ يكتشف </w:t>
      </w:r>
      <w:r w:rsidR="0069722E">
        <w:rPr>
          <w:rFonts w:hint="cs"/>
          <w:rtl/>
          <w:lang w:bidi="ar"/>
        </w:rPr>
        <w:t>تدريجي</w:t>
      </w:r>
      <w:r w:rsidR="00C026A7">
        <w:rPr>
          <w:rFonts w:hint="cs"/>
          <w:rtl/>
          <w:lang w:bidi="ar"/>
        </w:rPr>
        <w:t xml:space="preserve">اً </w:t>
      </w:r>
      <w:r w:rsidR="00AB6C46">
        <w:rPr>
          <w:rFonts w:hint="cs"/>
          <w:rtl/>
          <w:lang w:bidi="ar"/>
        </w:rPr>
        <w:t>هذا الجانب من التاريخ</w:t>
      </w:r>
      <w:r w:rsidR="0069722E">
        <w:rPr>
          <w:rFonts w:hint="cs"/>
          <w:rtl/>
          <w:lang w:bidi="ar"/>
        </w:rPr>
        <w:t>.</w:t>
      </w:r>
    </w:p>
    <w:p w:rsidR="0069722E" w:rsidRPr="000B1C7D" w:rsidRDefault="00F50A2F" w:rsidP="004C1895">
      <w:pPr>
        <w:pStyle w:val="SingleTxtGA"/>
        <w:rPr>
          <w:rFonts w:hint="cs"/>
          <w:spacing w:val="-2"/>
        </w:rPr>
      </w:pPr>
      <w:r w:rsidRPr="000B1C7D">
        <w:rPr>
          <w:rFonts w:hint="cs"/>
          <w:spacing w:val="-2"/>
          <w:rtl/>
        </w:rPr>
        <w:t>23-</w:t>
      </w:r>
      <w:r w:rsidRPr="000B1C7D">
        <w:rPr>
          <w:rFonts w:hint="cs"/>
          <w:spacing w:val="-2"/>
          <w:rtl/>
        </w:rPr>
        <w:tab/>
      </w:r>
      <w:r w:rsidR="0069722E" w:rsidRPr="000B1C7D">
        <w:rPr>
          <w:rFonts w:hint="cs"/>
          <w:b/>
          <w:bCs/>
          <w:spacing w:val="-2"/>
          <w:rtl/>
        </w:rPr>
        <w:t xml:space="preserve">السيدة </w:t>
      </w:r>
      <w:proofErr w:type="spellStart"/>
      <w:r w:rsidR="0069722E" w:rsidRPr="000B1C7D">
        <w:rPr>
          <w:rFonts w:hint="cs"/>
          <w:b/>
          <w:bCs/>
          <w:spacing w:val="-2"/>
          <w:rtl/>
        </w:rPr>
        <w:t>فيزنيوسكايتي</w:t>
      </w:r>
      <w:proofErr w:type="spellEnd"/>
      <w:r w:rsidR="004C1895">
        <w:rPr>
          <w:rFonts w:hint="cs"/>
          <w:b/>
          <w:bCs/>
          <w:spacing w:val="-2"/>
          <w:rtl/>
        </w:rPr>
        <w:t xml:space="preserve"> - </w:t>
      </w:r>
      <w:proofErr w:type="spellStart"/>
      <w:r w:rsidR="0069722E" w:rsidRPr="000B1C7D">
        <w:rPr>
          <w:rFonts w:hint="cs"/>
          <w:b/>
          <w:bCs/>
          <w:spacing w:val="-2"/>
          <w:rtl/>
        </w:rPr>
        <w:t>رادينسكييني</w:t>
      </w:r>
      <w:proofErr w:type="spellEnd"/>
      <w:r w:rsidR="0069722E" w:rsidRPr="000B1C7D">
        <w:rPr>
          <w:rFonts w:hint="cs"/>
          <w:spacing w:val="-2"/>
          <w:rtl/>
        </w:rPr>
        <w:t xml:space="preserve"> </w:t>
      </w:r>
      <w:r w:rsidR="0069722E" w:rsidRPr="000B1C7D">
        <w:rPr>
          <w:rFonts w:hint="cs"/>
          <w:spacing w:val="-2"/>
          <w:rtl/>
          <w:lang w:bidi="ar"/>
        </w:rPr>
        <w:t xml:space="preserve">(ليتوانيا): ردّت على سؤال السيد </w:t>
      </w:r>
      <w:proofErr w:type="spellStart"/>
      <w:r w:rsidR="0069722E" w:rsidRPr="000B1C7D">
        <w:rPr>
          <w:rFonts w:hint="cs"/>
          <w:spacing w:val="-2"/>
          <w:rtl/>
          <w:lang w:bidi="ar"/>
        </w:rPr>
        <w:t>بوزيد</w:t>
      </w:r>
      <w:proofErr w:type="spellEnd"/>
      <w:r w:rsidR="0069722E" w:rsidRPr="000B1C7D">
        <w:rPr>
          <w:rFonts w:hint="cs"/>
          <w:spacing w:val="-2"/>
          <w:rtl/>
          <w:lang w:bidi="ar"/>
        </w:rPr>
        <w:t xml:space="preserve"> المتعلق </w:t>
      </w:r>
      <w:r w:rsidR="00AB6C46" w:rsidRPr="000B1C7D">
        <w:rPr>
          <w:rFonts w:hint="cs"/>
          <w:spacing w:val="-2"/>
          <w:rtl/>
          <w:lang w:bidi="ar"/>
        </w:rPr>
        <w:t>بالعقوبة البدنية على ا</w:t>
      </w:r>
      <w:r w:rsidR="0069722E" w:rsidRPr="000B1C7D">
        <w:rPr>
          <w:rFonts w:hint="cs"/>
          <w:spacing w:val="-2"/>
          <w:rtl/>
          <w:lang w:bidi="ar"/>
        </w:rPr>
        <w:t>ل</w:t>
      </w:r>
      <w:r w:rsidR="00AB6C46" w:rsidRPr="000B1C7D">
        <w:rPr>
          <w:rFonts w:hint="cs"/>
          <w:spacing w:val="-2"/>
          <w:rtl/>
          <w:lang w:bidi="ar"/>
        </w:rPr>
        <w:t xml:space="preserve">أطفال، وقالت إن القانون يحظر هذه العقوبة </w:t>
      </w:r>
      <w:r w:rsidR="0069722E" w:rsidRPr="000B1C7D">
        <w:rPr>
          <w:rFonts w:hint="cs"/>
          <w:spacing w:val="-2"/>
          <w:rtl/>
          <w:lang w:bidi="ar"/>
        </w:rPr>
        <w:t>في مراكز الاحتجاز وإنه يعاقب جزائي</w:t>
      </w:r>
      <w:r w:rsidR="00C026A7" w:rsidRPr="000B1C7D">
        <w:rPr>
          <w:rFonts w:hint="cs"/>
          <w:spacing w:val="-2"/>
          <w:rtl/>
          <w:lang w:bidi="ar"/>
        </w:rPr>
        <w:t xml:space="preserve">اً </w:t>
      </w:r>
      <w:r w:rsidR="0069722E" w:rsidRPr="000B1C7D">
        <w:rPr>
          <w:rFonts w:hint="cs"/>
          <w:spacing w:val="-2"/>
          <w:rtl/>
          <w:lang w:bidi="ar"/>
        </w:rPr>
        <w:t xml:space="preserve">على العنف </w:t>
      </w:r>
      <w:r w:rsidR="00AB6C46" w:rsidRPr="000B1C7D">
        <w:rPr>
          <w:rFonts w:hint="cs"/>
          <w:spacing w:val="-2"/>
          <w:rtl/>
          <w:lang w:bidi="ar"/>
        </w:rPr>
        <w:t>ب</w:t>
      </w:r>
      <w:r w:rsidR="0069722E" w:rsidRPr="000B1C7D">
        <w:rPr>
          <w:rFonts w:hint="cs"/>
          <w:spacing w:val="-2"/>
          <w:rtl/>
          <w:lang w:bidi="ar"/>
        </w:rPr>
        <w:t xml:space="preserve">الأطفال. وتحظر التشريعات جميع ضروب العنف، </w:t>
      </w:r>
      <w:r w:rsidR="00C026A7" w:rsidRPr="000B1C7D">
        <w:rPr>
          <w:rFonts w:hint="cs"/>
          <w:spacing w:val="-2"/>
          <w:rtl/>
          <w:lang w:bidi="ar"/>
        </w:rPr>
        <w:t xml:space="preserve">لا سيما </w:t>
      </w:r>
      <w:r w:rsidR="0069722E" w:rsidRPr="000B1C7D">
        <w:rPr>
          <w:rFonts w:hint="cs"/>
          <w:spacing w:val="-2"/>
          <w:rtl/>
          <w:lang w:bidi="ar"/>
        </w:rPr>
        <w:t xml:space="preserve">العنف المنزلي، غير أنه </w:t>
      </w:r>
      <w:r w:rsidR="00C026A7" w:rsidRPr="000B1C7D">
        <w:rPr>
          <w:rFonts w:hint="cs"/>
          <w:spacing w:val="-2"/>
          <w:rtl/>
          <w:lang w:bidi="ar"/>
        </w:rPr>
        <w:t>لا </w:t>
      </w:r>
      <w:r w:rsidR="0069722E" w:rsidRPr="000B1C7D">
        <w:rPr>
          <w:rFonts w:hint="cs"/>
          <w:spacing w:val="-2"/>
          <w:rtl/>
          <w:lang w:bidi="ar"/>
        </w:rPr>
        <w:t>يوجد حالي</w:t>
      </w:r>
      <w:r w:rsidR="00C026A7" w:rsidRPr="000B1C7D">
        <w:rPr>
          <w:rFonts w:hint="cs"/>
          <w:spacing w:val="-2"/>
          <w:rtl/>
          <w:lang w:bidi="ar"/>
        </w:rPr>
        <w:t xml:space="preserve">اً </w:t>
      </w:r>
      <w:r w:rsidR="0069722E" w:rsidRPr="000B1C7D">
        <w:rPr>
          <w:rFonts w:hint="cs"/>
          <w:spacing w:val="-2"/>
          <w:rtl/>
          <w:lang w:bidi="ar"/>
        </w:rPr>
        <w:t xml:space="preserve">قانون يحظر صراحة </w:t>
      </w:r>
      <w:r w:rsidR="00AB6C46" w:rsidRPr="000B1C7D">
        <w:rPr>
          <w:rFonts w:hint="cs"/>
          <w:spacing w:val="-2"/>
          <w:rtl/>
          <w:lang w:bidi="ar"/>
        </w:rPr>
        <w:t xml:space="preserve">العقوبة </w:t>
      </w:r>
      <w:r w:rsidR="0069722E" w:rsidRPr="000B1C7D">
        <w:rPr>
          <w:rFonts w:hint="cs"/>
          <w:spacing w:val="-2"/>
          <w:rtl/>
          <w:lang w:bidi="ar"/>
        </w:rPr>
        <w:t>البدني</w:t>
      </w:r>
      <w:r w:rsidR="00AB6C46" w:rsidRPr="000B1C7D">
        <w:rPr>
          <w:rFonts w:hint="cs"/>
          <w:spacing w:val="-2"/>
          <w:rtl/>
          <w:lang w:bidi="ar"/>
        </w:rPr>
        <w:t>ة</w:t>
      </w:r>
      <w:r w:rsidR="0069722E" w:rsidRPr="000B1C7D">
        <w:rPr>
          <w:rFonts w:hint="cs"/>
          <w:spacing w:val="-2"/>
          <w:rtl/>
          <w:lang w:bidi="ar"/>
        </w:rPr>
        <w:t xml:space="preserve"> في المدرسة. ومن المزمع سد هذه الثغرة من خلال اعتماد مشروع قانون يشمل جميع السياقات وجميع أشكال المؤسسات.</w:t>
      </w:r>
    </w:p>
    <w:p w:rsidR="0069722E" w:rsidRDefault="00F50A2F" w:rsidP="00F50A2F">
      <w:pPr>
        <w:pStyle w:val="SingleTxtGA"/>
        <w:rPr>
          <w:rFonts w:hint="cs"/>
        </w:rPr>
      </w:pPr>
      <w:r>
        <w:rPr>
          <w:rFonts w:hint="cs"/>
          <w:rtl/>
        </w:rPr>
        <w:t>24-</w:t>
      </w:r>
      <w:r>
        <w:rPr>
          <w:rFonts w:hint="cs"/>
          <w:rtl/>
        </w:rPr>
        <w:tab/>
      </w:r>
      <w:r w:rsidR="0069722E" w:rsidRPr="002609AB">
        <w:rPr>
          <w:rFonts w:hint="cs"/>
          <w:b/>
          <w:bCs/>
          <w:rtl/>
        </w:rPr>
        <w:t xml:space="preserve">السيدة </w:t>
      </w:r>
      <w:proofErr w:type="spellStart"/>
      <w:r w:rsidR="0069722E" w:rsidRPr="002609AB">
        <w:rPr>
          <w:rFonts w:hint="cs"/>
          <w:b/>
          <w:bCs/>
          <w:rtl/>
        </w:rPr>
        <w:t>بوكانتايتي</w:t>
      </w:r>
      <w:proofErr w:type="spellEnd"/>
      <w:r w:rsidR="004C1895">
        <w:rPr>
          <w:rFonts w:hint="cs"/>
          <w:b/>
          <w:bCs/>
          <w:rtl/>
        </w:rPr>
        <w:t xml:space="preserve"> </w:t>
      </w:r>
      <w:r w:rsidR="0069722E" w:rsidRPr="002609AB">
        <w:rPr>
          <w:rFonts w:hint="cs"/>
          <w:b/>
          <w:bCs/>
          <w:rtl/>
        </w:rPr>
        <w:t>-</w:t>
      </w:r>
      <w:r w:rsidR="004C1895">
        <w:rPr>
          <w:rFonts w:hint="cs"/>
          <w:b/>
          <w:bCs/>
          <w:rtl/>
        </w:rPr>
        <w:t xml:space="preserve"> </w:t>
      </w:r>
      <w:proofErr w:type="spellStart"/>
      <w:r w:rsidR="0069722E" w:rsidRPr="002609AB">
        <w:rPr>
          <w:rFonts w:hint="cs"/>
          <w:b/>
          <w:bCs/>
          <w:rtl/>
        </w:rPr>
        <w:t>كوتكيف</w:t>
      </w:r>
      <w:r w:rsidR="0069722E">
        <w:rPr>
          <w:rFonts w:hint="cs"/>
          <w:b/>
          <w:bCs/>
          <w:rtl/>
        </w:rPr>
        <w:t>يشيين</w:t>
      </w:r>
      <w:proofErr w:type="spellEnd"/>
      <w:r w:rsidR="0069722E">
        <w:rPr>
          <w:rFonts w:hint="cs"/>
          <w:rtl/>
        </w:rPr>
        <w:t xml:space="preserve"> </w:t>
      </w:r>
      <w:r w:rsidR="0069722E">
        <w:rPr>
          <w:rFonts w:hint="cs"/>
          <w:rtl/>
          <w:lang w:bidi="ar"/>
        </w:rPr>
        <w:t>(ليتوانيا): قالت إنها تود تقديم معلومات إضافية بشأن سياسة حكومة ليتوانيا في</w:t>
      </w:r>
      <w:r w:rsidR="00C026A7">
        <w:rPr>
          <w:rFonts w:hint="cs"/>
          <w:rtl/>
          <w:lang w:bidi="ar"/>
        </w:rPr>
        <w:t>ما </w:t>
      </w:r>
      <w:r w:rsidR="0069722E">
        <w:rPr>
          <w:rFonts w:hint="cs"/>
          <w:rtl/>
          <w:lang w:bidi="ar"/>
        </w:rPr>
        <w:t xml:space="preserve">يتعلق بإجراءات تغيير الجنس. وفسّرت أن مشروع القانون المشار إليه البارحة </w:t>
      </w:r>
      <w:r w:rsidR="00AB6C46">
        <w:rPr>
          <w:rFonts w:hint="cs"/>
          <w:rtl/>
          <w:lang w:bidi="ar"/>
        </w:rPr>
        <w:t>يحدد ال</w:t>
      </w:r>
      <w:r w:rsidR="0069722E">
        <w:rPr>
          <w:rFonts w:hint="cs"/>
          <w:rtl/>
          <w:lang w:bidi="ar"/>
        </w:rPr>
        <w:t xml:space="preserve">إجراء </w:t>
      </w:r>
      <w:r w:rsidR="00AB6C46">
        <w:rPr>
          <w:rFonts w:hint="cs"/>
          <w:rtl/>
          <w:lang w:bidi="ar"/>
        </w:rPr>
        <w:t>الخاص ب</w:t>
      </w:r>
      <w:r w:rsidR="0069722E">
        <w:rPr>
          <w:rFonts w:hint="cs"/>
          <w:rtl/>
          <w:lang w:bidi="ar"/>
        </w:rPr>
        <w:t xml:space="preserve">تغيير وثائق الحالة المدنية في أعقاب الخضوع لهذه العملية، وهو الإجراء الذي ينص بالخصوص على تقديم شهادة سكنى. وهكذا فإن الأمر </w:t>
      </w:r>
      <w:r w:rsidR="00C026A7">
        <w:rPr>
          <w:rFonts w:hint="cs"/>
          <w:rtl/>
          <w:lang w:bidi="ar"/>
        </w:rPr>
        <w:t>لا </w:t>
      </w:r>
      <w:r w:rsidR="0069722E">
        <w:rPr>
          <w:rFonts w:hint="cs"/>
          <w:rtl/>
          <w:lang w:bidi="ar"/>
        </w:rPr>
        <w:t>يتعلق البتة ب</w:t>
      </w:r>
      <w:r w:rsidR="00074117">
        <w:rPr>
          <w:rFonts w:hint="cs"/>
          <w:rtl/>
          <w:lang w:bidi="ar"/>
        </w:rPr>
        <w:t>انتهاك الحق في تغيير نوع الجنس.</w:t>
      </w:r>
    </w:p>
    <w:p w:rsidR="0069722E" w:rsidRDefault="00F50A2F" w:rsidP="00F50A2F">
      <w:pPr>
        <w:pStyle w:val="SingleTxtGA"/>
        <w:rPr>
          <w:rFonts w:hint="cs"/>
        </w:rPr>
      </w:pPr>
      <w:r>
        <w:rPr>
          <w:rFonts w:hint="cs"/>
          <w:rtl/>
          <w:lang w:bidi="ar"/>
        </w:rPr>
        <w:t>25-</w:t>
      </w:r>
      <w:r>
        <w:rPr>
          <w:rFonts w:hint="cs"/>
          <w:rtl/>
          <w:lang w:bidi="ar"/>
        </w:rPr>
        <w:tab/>
      </w:r>
      <w:r w:rsidR="0069722E" w:rsidRPr="00AE2DF9">
        <w:rPr>
          <w:rFonts w:hint="cs"/>
          <w:b/>
          <w:bCs/>
          <w:rtl/>
          <w:lang w:bidi="ar"/>
        </w:rPr>
        <w:t>الرئيسة</w:t>
      </w:r>
      <w:r w:rsidR="0069722E">
        <w:rPr>
          <w:rFonts w:hint="cs"/>
          <w:rtl/>
          <w:lang w:bidi="ar"/>
        </w:rPr>
        <w:t xml:space="preserve">: شكرت وفد ليتوانيا على </w:t>
      </w:r>
      <w:r w:rsidR="00C026A7">
        <w:rPr>
          <w:rFonts w:hint="cs"/>
          <w:rtl/>
          <w:lang w:bidi="ar"/>
        </w:rPr>
        <w:t>ما </w:t>
      </w:r>
      <w:r w:rsidR="0069722E">
        <w:rPr>
          <w:rFonts w:hint="cs"/>
          <w:rtl/>
          <w:lang w:bidi="ar"/>
        </w:rPr>
        <w:t>قدّمه من ردود ودعت أعضاء اللجنة إلى طرح أسئلة إضافية بشأن الفقرات من 16 إلى 25 المشمولة بقائمة المسائل المقرر تناولها.</w:t>
      </w:r>
    </w:p>
    <w:p w:rsidR="0069722E" w:rsidRDefault="00F50A2F" w:rsidP="00F50A2F">
      <w:pPr>
        <w:pStyle w:val="SingleTxtGA"/>
        <w:rPr>
          <w:rFonts w:hint="cs"/>
        </w:rPr>
      </w:pPr>
      <w:r>
        <w:rPr>
          <w:rFonts w:hint="cs"/>
          <w:rtl/>
          <w:lang w:bidi="ar"/>
        </w:rPr>
        <w:t>26-</w:t>
      </w:r>
      <w:r>
        <w:rPr>
          <w:rFonts w:hint="cs"/>
          <w:rtl/>
          <w:lang w:bidi="ar"/>
        </w:rPr>
        <w:tab/>
      </w:r>
      <w:r w:rsidR="0069722E" w:rsidRPr="001811BD">
        <w:rPr>
          <w:rFonts w:hint="cs"/>
          <w:b/>
          <w:bCs/>
          <w:rtl/>
          <w:lang w:bidi="ar"/>
        </w:rPr>
        <w:t xml:space="preserve">السيد </w:t>
      </w:r>
      <w:proofErr w:type="spellStart"/>
      <w:r w:rsidR="0069722E" w:rsidRPr="001811BD">
        <w:rPr>
          <w:rFonts w:hint="cs"/>
          <w:b/>
          <w:bCs/>
          <w:rtl/>
          <w:lang w:bidi="ar"/>
        </w:rPr>
        <w:t>أوفلاهرتي</w:t>
      </w:r>
      <w:proofErr w:type="spellEnd"/>
      <w:r w:rsidR="0069722E">
        <w:rPr>
          <w:rFonts w:hint="cs"/>
          <w:rtl/>
          <w:lang w:bidi="ar"/>
        </w:rPr>
        <w:t xml:space="preserve">: شكر الوفد على </w:t>
      </w:r>
      <w:r w:rsidR="00C026A7">
        <w:rPr>
          <w:rFonts w:hint="cs"/>
          <w:rtl/>
          <w:lang w:bidi="ar"/>
        </w:rPr>
        <w:t>ما </w:t>
      </w:r>
      <w:r w:rsidR="0069722E">
        <w:rPr>
          <w:rFonts w:hint="cs"/>
          <w:rtl/>
          <w:lang w:bidi="ar"/>
        </w:rPr>
        <w:t>قدمه من ردود كتابية على المسألة 16، وسأله ع</w:t>
      </w:r>
      <w:r w:rsidR="00C026A7">
        <w:rPr>
          <w:rFonts w:hint="cs"/>
          <w:rtl/>
          <w:lang w:bidi="ar"/>
        </w:rPr>
        <w:t>ما </w:t>
      </w:r>
      <w:r w:rsidR="0069722E">
        <w:rPr>
          <w:rFonts w:hint="cs"/>
          <w:rtl/>
          <w:lang w:bidi="ar"/>
        </w:rPr>
        <w:t>إذا كان يوجد، إلى جانب البيانات المقدمة في</w:t>
      </w:r>
      <w:r w:rsidR="00C026A7">
        <w:rPr>
          <w:rFonts w:hint="cs"/>
          <w:rtl/>
          <w:lang w:bidi="ar"/>
        </w:rPr>
        <w:t>ما </w:t>
      </w:r>
      <w:r w:rsidR="0069722E">
        <w:rPr>
          <w:rFonts w:hint="cs"/>
          <w:rtl/>
          <w:lang w:bidi="ar"/>
        </w:rPr>
        <w:t xml:space="preserve">يتعلق بعدد الضحايا والجناة المشتبه </w:t>
      </w:r>
      <w:r w:rsidR="00AB6C46">
        <w:rPr>
          <w:rFonts w:hint="cs"/>
          <w:rtl/>
          <w:lang w:bidi="ar"/>
        </w:rPr>
        <w:t>ب</w:t>
      </w:r>
      <w:r w:rsidR="0069722E">
        <w:rPr>
          <w:rFonts w:hint="cs"/>
          <w:rtl/>
          <w:lang w:bidi="ar"/>
        </w:rPr>
        <w:t>هم والإدانات، آلية تسمح بدراسة ظاهرة الاتجار بالبشر لمعرفة إلى أي حد تعتبر ليتوانيا بلد مقصد ووجهة وعبور لنشاط الاتجار بالبشر. وقال إنه من المفيد أيض</w:t>
      </w:r>
      <w:r w:rsidR="00C026A7">
        <w:rPr>
          <w:rFonts w:hint="cs"/>
          <w:rtl/>
          <w:lang w:bidi="ar"/>
        </w:rPr>
        <w:t xml:space="preserve">اً </w:t>
      </w:r>
      <w:r w:rsidR="0069722E">
        <w:rPr>
          <w:rFonts w:hint="cs"/>
          <w:rtl/>
          <w:lang w:bidi="ar"/>
        </w:rPr>
        <w:t xml:space="preserve">معرفة </w:t>
      </w:r>
      <w:r w:rsidR="00C026A7">
        <w:rPr>
          <w:rFonts w:hint="cs"/>
          <w:rtl/>
          <w:lang w:bidi="ar"/>
        </w:rPr>
        <w:t>ما </w:t>
      </w:r>
      <w:r w:rsidR="0069722E">
        <w:rPr>
          <w:rFonts w:hint="cs"/>
          <w:rtl/>
          <w:lang w:bidi="ar"/>
        </w:rPr>
        <w:t xml:space="preserve">إذا كان الاتجار يتم لأغراض جنسية بحتة أم لأغراض أخرى مثل العمل الزراعي. ولأن تعداد الضحايا والجناة قليل، طُلب من الوفد أن يحدد </w:t>
      </w:r>
      <w:r w:rsidR="00C026A7">
        <w:rPr>
          <w:rFonts w:hint="cs"/>
          <w:rtl/>
          <w:lang w:bidi="ar"/>
        </w:rPr>
        <w:t>ما </w:t>
      </w:r>
      <w:r w:rsidR="0069722E">
        <w:rPr>
          <w:rFonts w:hint="cs"/>
          <w:rtl/>
          <w:lang w:bidi="ar"/>
        </w:rPr>
        <w:t xml:space="preserve">إذا كانت الحكومة تتخذ تدابير من أجل ضمان رصد جميع الحالات. وسأل السيد </w:t>
      </w:r>
      <w:proofErr w:type="spellStart"/>
      <w:r w:rsidR="0069722E">
        <w:rPr>
          <w:rFonts w:hint="cs"/>
          <w:rtl/>
          <w:lang w:bidi="ar"/>
        </w:rPr>
        <w:t>أوفلاهرتي</w:t>
      </w:r>
      <w:proofErr w:type="spellEnd"/>
      <w:r w:rsidR="0069722E">
        <w:rPr>
          <w:rFonts w:hint="cs"/>
          <w:rtl/>
          <w:lang w:bidi="ar"/>
        </w:rPr>
        <w:t xml:space="preserve"> ع</w:t>
      </w:r>
      <w:r w:rsidR="00C026A7">
        <w:rPr>
          <w:rFonts w:hint="cs"/>
          <w:rtl/>
          <w:lang w:bidi="ar"/>
        </w:rPr>
        <w:t>ما </w:t>
      </w:r>
      <w:r w:rsidR="0069722E">
        <w:rPr>
          <w:rFonts w:hint="cs"/>
          <w:rtl/>
          <w:lang w:bidi="ar"/>
        </w:rPr>
        <w:t>إذا كانت السلطات تدعم الضحايا خارج إطار الإجراءات الجنائية، عند الامتناع عن الإدلاء بشهادتهم مثل</w:t>
      </w:r>
      <w:r w:rsidR="00C026A7">
        <w:rPr>
          <w:rFonts w:hint="cs"/>
          <w:rtl/>
          <w:lang w:bidi="ar"/>
        </w:rPr>
        <w:t>اً.</w:t>
      </w:r>
      <w:r w:rsidR="0069722E">
        <w:rPr>
          <w:rFonts w:hint="cs"/>
          <w:rtl/>
          <w:lang w:bidi="ar"/>
        </w:rPr>
        <w:t xml:space="preserve"> وقد يكون مفيد</w:t>
      </w:r>
      <w:r w:rsidR="00C026A7">
        <w:rPr>
          <w:rFonts w:hint="cs"/>
          <w:rtl/>
          <w:lang w:bidi="ar"/>
        </w:rPr>
        <w:t xml:space="preserve">اً </w:t>
      </w:r>
      <w:r w:rsidR="0069722E">
        <w:rPr>
          <w:rFonts w:hint="cs"/>
          <w:rtl/>
          <w:lang w:bidi="ar"/>
        </w:rPr>
        <w:t>أيض</w:t>
      </w:r>
      <w:r w:rsidR="00C026A7">
        <w:rPr>
          <w:rFonts w:hint="cs"/>
          <w:rtl/>
          <w:lang w:bidi="ar"/>
        </w:rPr>
        <w:t xml:space="preserve">اً </w:t>
      </w:r>
      <w:r w:rsidR="0069722E">
        <w:rPr>
          <w:rFonts w:hint="cs"/>
          <w:rtl/>
          <w:lang w:bidi="ar"/>
        </w:rPr>
        <w:t xml:space="preserve">أن </w:t>
      </w:r>
      <w:r w:rsidR="00AB6C46">
        <w:rPr>
          <w:rFonts w:hint="cs"/>
          <w:rtl/>
          <w:lang w:bidi="ar"/>
        </w:rPr>
        <w:t>يُ</w:t>
      </w:r>
      <w:r w:rsidR="0069722E">
        <w:rPr>
          <w:rFonts w:hint="cs"/>
          <w:rtl/>
          <w:lang w:bidi="ar"/>
        </w:rPr>
        <w:t xml:space="preserve">بين </w:t>
      </w:r>
      <w:r w:rsidR="00AB6C46">
        <w:rPr>
          <w:rFonts w:hint="cs"/>
          <w:rtl/>
          <w:lang w:bidi="ar"/>
        </w:rPr>
        <w:t xml:space="preserve">الوفد </w:t>
      </w:r>
      <w:r w:rsidR="00C026A7">
        <w:rPr>
          <w:rFonts w:hint="cs"/>
          <w:rtl/>
          <w:lang w:bidi="ar"/>
        </w:rPr>
        <w:t>ما </w:t>
      </w:r>
      <w:r w:rsidR="0069722E">
        <w:rPr>
          <w:rFonts w:hint="cs"/>
          <w:rtl/>
          <w:lang w:bidi="ar"/>
        </w:rPr>
        <w:t xml:space="preserve">إذا كانت تتخذ تدابير لمكافحة الطلب على الاتجار بالبشر، من خلال تثقيف السكان والمستفيدين المحتملين من خدمات ضحايا الاتجار بالبشر وتوعيتهم. </w:t>
      </w:r>
    </w:p>
    <w:p w:rsidR="0069722E" w:rsidRDefault="00F50A2F" w:rsidP="00F50A2F">
      <w:pPr>
        <w:pStyle w:val="SingleTxtGA"/>
        <w:rPr>
          <w:rFonts w:hint="cs"/>
        </w:rPr>
      </w:pPr>
      <w:r>
        <w:rPr>
          <w:rFonts w:hint="cs"/>
          <w:rtl/>
          <w:lang w:bidi="ar"/>
        </w:rPr>
        <w:t>27-</w:t>
      </w:r>
      <w:r>
        <w:rPr>
          <w:rFonts w:hint="cs"/>
          <w:rtl/>
          <w:lang w:bidi="ar"/>
        </w:rPr>
        <w:tab/>
      </w:r>
      <w:r w:rsidR="0069722E" w:rsidRPr="001811BD">
        <w:rPr>
          <w:rFonts w:hint="cs"/>
          <w:b/>
          <w:bCs/>
          <w:rtl/>
          <w:lang w:bidi="ar"/>
        </w:rPr>
        <w:t xml:space="preserve">السيد </w:t>
      </w:r>
      <w:proofErr w:type="spellStart"/>
      <w:r w:rsidR="0069722E" w:rsidRPr="001811BD">
        <w:rPr>
          <w:rFonts w:hint="cs"/>
          <w:b/>
          <w:bCs/>
          <w:rtl/>
          <w:lang w:bidi="ar"/>
        </w:rPr>
        <w:t>سالفيولي</w:t>
      </w:r>
      <w:proofErr w:type="spellEnd"/>
      <w:r w:rsidR="0069722E">
        <w:rPr>
          <w:rFonts w:hint="cs"/>
          <w:rtl/>
          <w:lang w:bidi="ar"/>
        </w:rPr>
        <w:t>: أشار إلى الردود المقدمة كتابي</w:t>
      </w:r>
      <w:r w:rsidR="00C026A7">
        <w:rPr>
          <w:rFonts w:hint="cs"/>
          <w:rtl/>
          <w:lang w:bidi="ar"/>
        </w:rPr>
        <w:t xml:space="preserve">اً </w:t>
      </w:r>
      <w:r w:rsidR="0069722E">
        <w:rPr>
          <w:rFonts w:hint="cs"/>
          <w:rtl/>
          <w:lang w:bidi="ar"/>
        </w:rPr>
        <w:t xml:space="preserve">على السؤال المتعلق بالفقرة 18، وأبدى رغبته في الحصول على توضيحات بشأن حدود اللجوء إلى الحراسة بالفيديو بالنظر إلى الحق في </w:t>
      </w:r>
      <w:r w:rsidR="00AB6C46">
        <w:rPr>
          <w:rFonts w:hint="cs"/>
          <w:rtl/>
          <w:lang w:bidi="ar"/>
        </w:rPr>
        <w:t xml:space="preserve">حرمة </w:t>
      </w:r>
      <w:r w:rsidR="0069722E">
        <w:rPr>
          <w:rFonts w:hint="cs"/>
          <w:rtl/>
          <w:lang w:bidi="ar"/>
        </w:rPr>
        <w:t xml:space="preserve">الحياة </w:t>
      </w:r>
      <w:r w:rsidR="00AB6C46">
        <w:rPr>
          <w:rFonts w:hint="cs"/>
          <w:rtl/>
          <w:lang w:bidi="ar"/>
        </w:rPr>
        <w:t>الخاصة.</w:t>
      </w:r>
    </w:p>
    <w:p w:rsidR="0069722E" w:rsidRDefault="00F50A2F" w:rsidP="00F50A2F">
      <w:pPr>
        <w:pStyle w:val="SingleTxtGA"/>
        <w:rPr>
          <w:rFonts w:hint="cs"/>
        </w:rPr>
      </w:pPr>
      <w:r>
        <w:rPr>
          <w:rFonts w:hint="cs"/>
          <w:rtl/>
          <w:lang w:bidi="ar"/>
        </w:rPr>
        <w:t>28-</w:t>
      </w:r>
      <w:r>
        <w:rPr>
          <w:rFonts w:hint="cs"/>
          <w:rtl/>
          <w:lang w:bidi="ar"/>
        </w:rPr>
        <w:tab/>
      </w:r>
      <w:r w:rsidR="0069722E">
        <w:rPr>
          <w:rFonts w:hint="cs"/>
          <w:rtl/>
          <w:lang w:bidi="ar"/>
        </w:rPr>
        <w:t xml:space="preserve">وقال إنه يتفهم </w:t>
      </w:r>
      <w:r w:rsidR="00C026A7">
        <w:rPr>
          <w:rFonts w:hint="cs"/>
          <w:rtl/>
          <w:lang w:bidi="ar"/>
        </w:rPr>
        <w:t>ما </w:t>
      </w:r>
      <w:r w:rsidR="0069722E">
        <w:rPr>
          <w:rFonts w:hint="cs"/>
          <w:rtl/>
          <w:lang w:bidi="ar"/>
        </w:rPr>
        <w:t>أشارت إليه السيدة</w:t>
      </w:r>
      <w:r w:rsidR="0069722E">
        <w:rPr>
          <w:rFonts w:hint="cs"/>
          <w:b/>
          <w:bCs/>
          <w:rtl/>
          <w:lang w:bidi="ar"/>
        </w:rPr>
        <w:t xml:space="preserve"> </w:t>
      </w:r>
      <w:proofErr w:type="spellStart"/>
      <w:r w:rsidR="0069722E" w:rsidRPr="00365A73">
        <w:rPr>
          <w:rFonts w:hint="cs"/>
          <w:rtl/>
          <w:lang w:bidi="ar"/>
        </w:rPr>
        <w:t>سكايسغيريتي</w:t>
      </w:r>
      <w:proofErr w:type="spellEnd"/>
      <w:r w:rsidR="0069722E" w:rsidRPr="00365A73">
        <w:rPr>
          <w:rFonts w:hint="cs"/>
          <w:rtl/>
          <w:lang w:bidi="ar"/>
        </w:rPr>
        <w:t xml:space="preserve"> </w:t>
      </w:r>
      <w:proofErr w:type="spellStart"/>
      <w:r w:rsidR="0069722E" w:rsidRPr="00365A73">
        <w:rPr>
          <w:rFonts w:hint="cs"/>
          <w:rtl/>
          <w:lang w:bidi="ar"/>
        </w:rPr>
        <w:t>ليوسكييني</w:t>
      </w:r>
      <w:proofErr w:type="spellEnd"/>
      <w:r w:rsidR="0069722E">
        <w:rPr>
          <w:rFonts w:hint="cs"/>
          <w:b/>
          <w:bCs/>
          <w:rtl/>
          <w:lang w:bidi="ar"/>
        </w:rPr>
        <w:t xml:space="preserve"> </w:t>
      </w:r>
      <w:r w:rsidR="0069722E">
        <w:rPr>
          <w:rFonts w:hint="cs"/>
          <w:rtl/>
          <w:lang w:bidi="ar"/>
        </w:rPr>
        <w:t>بخصوص ماضي ليتوانيا الأليم، لكنه قلق جد</w:t>
      </w:r>
      <w:r w:rsidR="00C026A7">
        <w:rPr>
          <w:rFonts w:hint="cs"/>
          <w:rtl/>
          <w:lang w:bidi="ar"/>
        </w:rPr>
        <w:t xml:space="preserve">اً </w:t>
      </w:r>
      <w:r w:rsidR="0069722E">
        <w:rPr>
          <w:rFonts w:hint="cs"/>
          <w:rtl/>
          <w:lang w:bidi="ar"/>
        </w:rPr>
        <w:t xml:space="preserve">إزاء </w:t>
      </w:r>
      <w:r w:rsidR="00AB6C46">
        <w:rPr>
          <w:rFonts w:hint="cs"/>
          <w:rtl/>
          <w:lang w:bidi="ar"/>
        </w:rPr>
        <w:t>ال</w:t>
      </w:r>
      <w:r w:rsidR="0069722E">
        <w:rPr>
          <w:rFonts w:hint="cs"/>
          <w:rtl/>
          <w:lang w:bidi="ar"/>
        </w:rPr>
        <w:t>مظاهرات الأخيرة</w:t>
      </w:r>
      <w:r w:rsidR="00AB6C46">
        <w:rPr>
          <w:rFonts w:hint="cs"/>
          <w:rtl/>
          <w:lang w:bidi="ar"/>
        </w:rPr>
        <w:t xml:space="preserve"> التي نظمتها جهات عنصرية ومنتمية إلى تيار النازية الجديدة</w:t>
      </w:r>
      <w:r w:rsidR="0069722E">
        <w:rPr>
          <w:rFonts w:hint="cs"/>
          <w:rtl/>
          <w:lang w:bidi="ar"/>
        </w:rPr>
        <w:t xml:space="preserve">. وإذا كان تنظيم المظاهرة الأولى قد فاجأ السلطات فإن تنظيم </w:t>
      </w:r>
      <w:r w:rsidR="00C026A7">
        <w:rPr>
          <w:rFonts w:hint="cs"/>
          <w:rtl/>
          <w:lang w:bidi="ar"/>
        </w:rPr>
        <w:t>ما </w:t>
      </w:r>
      <w:r w:rsidR="0069722E">
        <w:rPr>
          <w:rFonts w:hint="cs"/>
          <w:rtl/>
          <w:lang w:bidi="ar"/>
        </w:rPr>
        <w:t>تبعها من مظاهرات كان أمر</w:t>
      </w:r>
      <w:r w:rsidR="00C026A7">
        <w:rPr>
          <w:rFonts w:hint="cs"/>
          <w:rtl/>
          <w:lang w:bidi="ar"/>
        </w:rPr>
        <w:t xml:space="preserve">اً </w:t>
      </w:r>
      <w:r w:rsidR="0069722E">
        <w:rPr>
          <w:rFonts w:hint="cs"/>
          <w:rtl/>
          <w:lang w:bidi="ar"/>
        </w:rPr>
        <w:t>منتظر</w:t>
      </w:r>
      <w:r w:rsidR="00C026A7">
        <w:rPr>
          <w:rFonts w:hint="cs"/>
          <w:rtl/>
          <w:lang w:bidi="ar"/>
        </w:rPr>
        <w:t>اً.</w:t>
      </w:r>
      <w:r w:rsidR="0069722E">
        <w:rPr>
          <w:rFonts w:hint="cs"/>
          <w:rtl/>
          <w:lang w:bidi="ar"/>
        </w:rPr>
        <w:t xml:space="preserve"> وتزخر شبكة الإنترنت ب</w:t>
      </w:r>
      <w:r w:rsidR="00C026A7">
        <w:rPr>
          <w:rFonts w:hint="cs"/>
          <w:rtl/>
          <w:lang w:bidi="ar"/>
        </w:rPr>
        <w:t>ما </w:t>
      </w:r>
      <w:r w:rsidR="0069722E">
        <w:rPr>
          <w:rFonts w:hint="cs"/>
          <w:rtl/>
          <w:lang w:bidi="ar"/>
        </w:rPr>
        <w:t xml:space="preserve">تنشره مجموعات مثل المركز الوطني الليتواني من شعارات عنصرية صادمة. وذكّر بأن الدولة الطرف مطالبة باليقظة وبتوفير الحماية وأن من الممكن تحميلها المسؤولية الدولية إذا </w:t>
      </w:r>
      <w:r w:rsidR="00C026A7">
        <w:rPr>
          <w:rFonts w:hint="cs"/>
          <w:rtl/>
          <w:lang w:bidi="ar"/>
        </w:rPr>
        <w:t>لم </w:t>
      </w:r>
      <w:r w:rsidR="0069722E">
        <w:rPr>
          <w:rFonts w:hint="cs"/>
          <w:rtl/>
          <w:lang w:bidi="ar"/>
        </w:rPr>
        <w:t xml:space="preserve">تتخذ </w:t>
      </w:r>
      <w:r w:rsidR="00C026A7">
        <w:rPr>
          <w:rFonts w:hint="cs"/>
          <w:rtl/>
          <w:lang w:bidi="ar"/>
        </w:rPr>
        <w:t>ما </w:t>
      </w:r>
      <w:r w:rsidR="0069722E">
        <w:rPr>
          <w:rFonts w:hint="cs"/>
          <w:rtl/>
          <w:lang w:bidi="ar"/>
        </w:rPr>
        <w:t xml:space="preserve">يلزم من التدابير في هذا الصدد. وعلاوة على ذلك، وبناء على معلومات مفادها أن منظمات </w:t>
      </w:r>
      <w:r w:rsidR="00AB6C46">
        <w:rPr>
          <w:rFonts w:hint="cs"/>
          <w:rtl/>
          <w:lang w:bidi="ar"/>
        </w:rPr>
        <w:t xml:space="preserve">تعمل </w:t>
      </w:r>
      <w:r w:rsidR="0069722E">
        <w:rPr>
          <w:rFonts w:hint="cs"/>
          <w:rtl/>
          <w:lang w:bidi="ar"/>
        </w:rPr>
        <w:t>على نشر التسامح</w:t>
      </w:r>
      <w:r w:rsidR="00AB6C46">
        <w:rPr>
          <w:rFonts w:hint="cs"/>
          <w:rtl/>
          <w:lang w:bidi="ar"/>
        </w:rPr>
        <w:t xml:space="preserve"> </w:t>
      </w:r>
      <w:r w:rsidR="00C026A7">
        <w:rPr>
          <w:rFonts w:hint="cs"/>
          <w:rtl/>
          <w:lang w:bidi="ar"/>
        </w:rPr>
        <w:t>لم </w:t>
      </w:r>
      <w:r w:rsidR="00AB6C46">
        <w:rPr>
          <w:rFonts w:hint="cs"/>
          <w:rtl/>
          <w:lang w:bidi="ar"/>
        </w:rPr>
        <w:t>تحصل على ترخيص للتظاهر</w:t>
      </w:r>
      <w:r w:rsidR="0069722E">
        <w:rPr>
          <w:rFonts w:hint="cs"/>
          <w:rtl/>
          <w:lang w:bidi="ar"/>
        </w:rPr>
        <w:t xml:space="preserve">، يبدو أن </w:t>
      </w:r>
      <w:r w:rsidR="00AB6C46">
        <w:rPr>
          <w:rFonts w:hint="cs"/>
          <w:rtl/>
          <w:lang w:bidi="ar"/>
        </w:rPr>
        <w:t xml:space="preserve">مهلة </w:t>
      </w:r>
      <w:proofErr w:type="spellStart"/>
      <w:r w:rsidR="00AB6C46">
        <w:rPr>
          <w:rFonts w:hint="cs"/>
          <w:rtl/>
          <w:lang w:bidi="ar"/>
        </w:rPr>
        <w:t>ا</w:t>
      </w:r>
      <w:r w:rsidR="00AB6C46" w:rsidRPr="00AB6C46">
        <w:rPr>
          <w:rFonts w:hint="cs"/>
          <w:sz w:val="30"/>
          <w:rtl/>
          <w:lang w:bidi="ar"/>
        </w:rPr>
        <w:t>ل</w:t>
      </w:r>
      <w:proofErr w:type="spellEnd"/>
      <w:r w:rsidR="00AB6C46" w:rsidRPr="00AB6C46">
        <w:rPr>
          <w:rFonts w:hint="cs"/>
          <w:sz w:val="30"/>
          <w:rtl/>
          <w:lang w:bidi="ar"/>
        </w:rPr>
        <w:t>‍</w:t>
      </w:r>
      <w:r w:rsidR="00AB6C46">
        <w:rPr>
          <w:rFonts w:hint="eastAsia"/>
          <w:rtl/>
          <w:lang w:bidi="ar"/>
        </w:rPr>
        <w:t> </w:t>
      </w:r>
      <w:r w:rsidR="00AB6C46">
        <w:rPr>
          <w:rFonts w:hint="cs"/>
          <w:rtl/>
          <w:lang w:bidi="ar"/>
        </w:rPr>
        <w:t xml:space="preserve">48 ساعة </w:t>
      </w:r>
      <w:r w:rsidR="0069722E">
        <w:rPr>
          <w:rFonts w:hint="cs"/>
          <w:rtl/>
          <w:lang w:bidi="ar"/>
        </w:rPr>
        <w:t xml:space="preserve">التي مُنحت لهذه المنظمات من أجل الطعن في القرار </w:t>
      </w:r>
      <w:r w:rsidR="00AB6C46">
        <w:rPr>
          <w:rFonts w:hint="cs"/>
          <w:rtl/>
          <w:lang w:bidi="ar"/>
        </w:rPr>
        <w:t>غير كافية.</w:t>
      </w:r>
    </w:p>
    <w:p w:rsidR="0069722E" w:rsidRDefault="00F50A2F" w:rsidP="00F50A2F">
      <w:pPr>
        <w:pStyle w:val="SingleTxtGA"/>
        <w:rPr>
          <w:rFonts w:hint="cs"/>
        </w:rPr>
      </w:pPr>
      <w:r>
        <w:rPr>
          <w:rFonts w:hint="cs"/>
          <w:rtl/>
          <w:lang w:bidi="ar"/>
        </w:rPr>
        <w:t>29-</w:t>
      </w:r>
      <w:r>
        <w:rPr>
          <w:rFonts w:hint="cs"/>
          <w:rtl/>
          <w:lang w:bidi="ar"/>
        </w:rPr>
        <w:tab/>
      </w:r>
      <w:r w:rsidR="0069722E">
        <w:rPr>
          <w:rFonts w:hint="cs"/>
          <w:rtl/>
          <w:lang w:bidi="ar"/>
        </w:rPr>
        <w:t xml:space="preserve">وطلب من الوفد تحديد </w:t>
      </w:r>
      <w:r w:rsidR="00C026A7">
        <w:rPr>
          <w:rFonts w:hint="cs"/>
          <w:rtl/>
          <w:lang w:bidi="ar"/>
        </w:rPr>
        <w:t>ما </w:t>
      </w:r>
      <w:r w:rsidR="0069722E">
        <w:rPr>
          <w:rFonts w:hint="cs"/>
          <w:rtl/>
          <w:lang w:bidi="ar"/>
        </w:rPr>
        <w:t>إذا اعتمدت السلطات مدونة قواعد سلوك خاصة بالصحافة في ليتوانيا ك</w:t>
      </w:r>
      <w:r w:rsidR="00C026A7">
        <w:rPr>
          <w:rFonts w:hint="cs"/>
          <w:rtl/>
          <w:lang w:bidi="ar"/>
        </w:rPr>
        <w:t>ما </w:t>
      </w:r>
      <w:r w:rsidR="0069722E">
        <w:rPr>
          <w:rFonts w:hint="cs"/>
          <w:rtl/>
          <w:lang w:bidi="ar"/>
        </w:rPr>
        <w:t xml:space="preserve">أوصت بذلك منظمة الأمم المتحدة للتربية والعلم والثقافة. وقال إن من المفيد معرفة </w:t>
      </w:r>
      <w:r w:rsidR="00C026A7">
        <w:rPr>
          <w:rFonts w:hint="cs"/>
          <w:rtl/>
          <w:lang w:bidi="ar"/>
        </w:rPr>
        <w:t>ما </w:t>
      </w:r>
      <w:r w:rsidR="0069722E">
        <w:rPr>
          <w:rFonts w:hint="cs"/>
          <w:rtl/>
          <w:lang w:bidi="ar"/>
        </w:rPr>
        <w:t>إذا كانت توجد تدابير لضمان حرية التعبير للمثليات والمثليين ومزدوجي الميل الجنسي ومغايري الهوية الجنسانية، وهي فئة تعاني حالي</w:t>
      </w:r>
      <w:r w:rsidR="00C026A7">
        <w:rPr>
          <w:rFonts w:hint="cs"/>
          <w:rtl/>
          <w:lang w:bidi="ar"/>
        </w:rPr>
        <w:t xml:space="preserve">اً </w:t>
      </w:r>
      <w:r w:rsidR="0069722E">
        <w:rPr>
          <w:rFonts w:hint="cs"/>
          <w:rtl/>
          <w:lang w:bidi="ar"/>
        </w:rPr>
        <w:t xml:space="preserve">من انتهاكات سافرة. </w:t>
      </w:r>
    </w:p>
    <w:p w:rsidR="0069722E" w:rsidRPr="000B1C7D" w:rsidRDefault="00F50A2F" w:rsidP="00074117">
      <w:pPr>
        <w:pStyle w:val="SingleTxtGA"/>
        <w:rPr>
          <w:rFonts w:hint="cs"/>
        </w:rPr>
      </w:pPr>
      <w:r w:rsidRPr="000B1C7D">
        <w:rPr>
          <w:rFonts w:hint="cs"/>
          <w:rtl/>
          <w:lang w:bidi="ar"/>
        </w:rPr>
        <w:t>30-</w:t>
      </w:r>
      <w:r w:rsidRPr="000B1C7D">
        <w:rPr>
          <w:rFonts w:hint="cs"/>
          <w:rtl/>
          <w:lang w:bidi="ar"/>
        </w:rPr>
        <w:tab/>
      </w:r>
      <w:r w:rsidR="0069722E" w:rsidRPr="000B1C7D">
        <w:rPr>
          <w:rFonts w:hint="cs"/>
          <w:b/>
          <w:bCs/>
          <w:rtl/>
          <w:lang w:bidi="ar"/>
        </w:rPr>
        <w:t xml:space="preserve">السيد </w:t>
      </w:r>
      <w:proofErr w:type="spellStart"/>
      <w:r w:rsidR="0069722E" w:rsidRPr="000B1C7D">
        <w:rPr>
          <w:rFonts w:hint="cs"/>
          <w:b/>
          <w:bCs/>
          <w:rtl/>
          <w:lang w:bidi="ar"/>
        </w:rPr>
        <w:t>بوزيد</w:t>
      </w:r>
      <w:proofErr w:type="spellEnd"/>
      <w:r w:rsidR="0069722E" w:rsidRPr="000B1C7D">
        <w:rPr>
          <w:rFonts w:hint="cs"/>
          <w:rtl/>
          <w:lang w:bidi="ar"/>
        </w:rPr>
        <w:t xml:space="preserve">: شكر الوفد على </w:t>
      </w:r>
      <w:r w:rsidR="00C026A7" w:rsidRPr="000B1C7D">
        <w:rPr>
          <w:rFonts w:hint="cs"/>
          <w:rtl/>
          <w:lang w:bidi="ar"/>
        </w:rPr>
        <w:t>ما </w:t>
      </w:r>
      <w:r w:rsidR="0069722E" w:rsidRPr="000B1C7D">
        <w:rPr>
          <w:rFonts w:hint="cs"/>
          <w:rtl/>
          <w:lang w:bidi="ar"/>
        </w:rPr>
        <w:t>قدّمه من ردود في</w:t>
      </w:r>
      <w:r w:rsidR="00C026A7" w:rsidRPr="000B1C7D">
        <w:rPr>
          <w:rFonts w:hint="cs"/>
          <w:rtl/>
          <w:lang w:bidi="ar"/>
        </w:rPr>
        <w:t>ما </w:t>
      </w:r>
      <w:r w:rsidR="0069722E" w:rsidRPr="000B1C7D">
        <w:rPr>
          <w:rFonts w:hint="cs"/>
          <w:rtl/>
          <w:lang w:bidi="ar"/>
        </w:rPr>
        <w:t>يتعلق بحماية حقوق الطفل وطلب الحصول على بيانات رقمية حول حالة الأطفال المحرومين من بيئة أسرية وسبل مساعدتهم. وفي</w:t>
      </w:r>
      <w:r w:rsidR="00C026A7" w:rsidRPr="000B1C7D">
        <w:rPr>
          <w:rFonts w:hint="cs"/>
          <w:rtl/>
          <w:lang w:bidi="ar"/>
        </w:rPr>
        <w:t>ما </w:t>
      </w:r>
      <w:r w:rsidR="0069722E" w:rsidRPr="000B1C7D">
        <w:rPr>
          <w:rFonts w:hint="cs"/>
          <w:rtl/>
          <w:lang w:bidi="ar"/>
        </w:rPr>
        <w:t xml:space="preserve">يتعلق بالدراسات التي أنجزها أمين المظالم </w:t>
      </w:r>
      <w:r w:rsidR="00285F8B" w:rsidRPr="000B1C7D">
        <w:rPr>
          <w:rFonts w:hint="cs"/>
          <w:rtl/>
          <w:lang w:bidi="ar"/>
        </w:rPr>
        <w:t xml:space="preserve">المعني </w:t>
      </w:r>
      <w:r w:rsidR="0069722E" w:rsidRPr="000B1C7D">
        <w:rPr>
          <w:rFonts w:hint="cs"/>
          <w:rtl/>
          <w:lang w:bidi="ar"/>
        </w:rPr>
        <w:t>بحقوق الطفل، سأل ع</w:t>
      </w:r>
      <w:r w:rsidR="00C026A7" w:rsidRPr="000B1C7D">
        <w:rPr>
          <w:rFonts w:hint="cs"/>
          <w:rtl/>
          <w:lang w:bidi="ar"/>
        </w:rPr>
        <w:t>ما </w:t>
      </w:r>
      <w:r w:rsidR="0069722E" w:rsidRPr="000B1C7D">
        <w:rPr>
          <w:rFonts w:hint="cs"/>
          <w:rtl/>
          <w:lang w:bidi="ar"/>
        </w:rPr>
        <w:t xml:space="preserve">إذا كانت الدراسة التي أنجزت في عام 2008 بشأن الاعتداءات الجنسية على الأطفال المودعين في مراكز الرعاية ومؤسسات التعليم المخصّصة قد كشفت عن وجود مشاكل وأفضت إلى فتح تحقيقات </w:t>
      </w:r>
      <w:r w:rsidR="004C63C2" w:rsidRPr="000B1C7D">
        <w:rPr>
          <w:rFonts w:hint="cs"/>
          <w:rtl/>
          <w:lang w:bidi="ar"/>
        </w:rPr>
        <w:t>أو </w:t>
      </w:r>
      <w:r w:rsidR="0069722E" w:rsidRPr="000B1C7D">
        <w:rPr>
          <w:rFonts w:hint="cs"/>
          <w:rtl/>
          <w:lang w:bidi="ar"/>
        </w:rPr>
        <w:t>إصدار قرارات إدانة. ك</w:t>
      </w:r>
      <w:r w:rsidR="00C026A7" w:rsidRPr="000B1C7D">
        <w:rPr>
          <w:rFonts w:hint="cs"/>
          <w:rtl/>
          <w:lang w:bidi="ar"/>
        </w:rPr>
        <w:t>ما </w:t>
      </w:r>
      <w:r w:rsidR="0069722E" w:rsidRPr="000B1C7D">
        <w:rPr>
          <w:rFonts w:hint="cs"/>
          <w:rtl/>
          <w:lang w:bidi="ar"/>
        </w:rPr>
        <w:t>طلب الحصول على معلومات إضافية عمّا صدر من قرارات إدانة في القضايا المتعلقة بالأحداث وعن نتائج البرنامج المتعلق بعدالة الأحداث للفترة</w:t>
      </w:r>
      <w:r w:rsidR="00074117" w:rsidRPr="000B1C7D">
        <w:rPr>
          <w:rFonts w:hint="eastAsia"/>
          <w:rtl/>
          <w:lang w:bidi="ar"/>
        </w:rPr>
        <w:t> </w:t>
      </w:r>
      <w:r w:rsidR="0069722E" w:rsidRPr="000B1C7D">
        <w:rPr>
          <w:rFonts w:hint="cs"/>
          <w:rtl/>
          <w:lang w:bidi="ar"/>
        </w:rPr>
        <w:t>2009-2013.</w:t>
      </w:r>
    </w:p>
    <w:p w:rsidR="0069722E" w:rsidRPr="007D6180" w:rsidRDefault="00F50A2F" w:rsidP="00F50A2F">
      <w:pPr>
        <w:pStyle w:val="SingleTxtGA"/>
        <w:rPr>
          <w:rFonts w:hint="cs"/>
          <w:spacing w:val="-1"/>
        </w:rPr>
      </w:pPr>
      <w:r w:rsidRPr="007D6180">
        <w:rPr>
          <w:rFonts w:hint="cs"/>
          <w:spacing w:val="-1"/>
          <w:rtl/>
          <w:lang w:bidi="ar"/>
        </w:rPr>
        <w:t>31-</w:t>
      </w:r>
      <w:r w:rsidRPr="007D6180">
        <w:rPr>
          <w:rFonts w:hint="cs"/>
          <w:spacing w:val="-1"/>
          <w:rtl/>
          <w:lang w:bidi="ar"/>
        </w:rPr>
        <w:tab/>
      </w:r>
      <w:r w:rsidR="0069722E" w:rsidRPr="007D6180">
        <w:rPr>
          <w:rFonts w:hint="cs"/>
          <w:b/>
          <w:bCs/>
          <w:spacing w:val="-1"/>
          <w:rtl/>
          <w:lang w:bidi="ar"/>
        </w:rPr>
        <w:t xml:space="preserve">السيد </w:t>
      </w:r>
      <w:proofErr w:type="spellStart"/>
      <w:r w:rsidR="00285F8B" w:rsidRPr="007D6180">
        <w:rPr>
          <w:rFonts w:hint="cs"/>
          <w:b/>
          <w:bCs/>
          <w:spacing w:val="-1"/>
          <w:rtl/>
          <w:lang w:bidi="ar"/>
        </w:rPr>
        <w:t>تي</w:t>
      </w:r>
      <w:r w:rsidR="0069722E" w:rsidRPr="007D6180">
        <w:rPr>
          <w:rFonts w:hint="cs"/>
          <w:b/>
          <w:bCs/>
          <w:spacing w:val="-1"/>
          <w:rtl/>
          <w:lang w:bidi="ar"/>
        </w:rPr>
        <w:t>لين</w:t>
      </w:r>
      <w:proofErr w:type="spellEnd"/>
      <w:r w:rsidR="0069722E" w:rsidRPr="007D6180">
        <w:rPr>
          <w:rFonts w:hint="cs"/>
          <w:spacing w:val="-1"/>
          <w:rtl/>
          <w:lang w:bidi="ar"/>
        </w:rPr>
        <w:t xml:space="preserve">: أشار إلى الردود المقدّمة بشأن الفقرة 17 من قائمة المسائل المقرر تناولها وطلب الحصول على توضيحات بشأن </w:t>
      </w:r>
      <w:r w:rsidR="00285F8B" w:rsidRPr="007D6180">
        <w:rPr>
          <w:rFonts w:hint="cs"/>
          <w:spacing w:val="-1"/>
          <w:rtl/>
          <w:lang w:bidi="ar"/>
        </w:rPr>
        <w:t>نوعي</w:t>
      </w:r>
      <w:r w:rsidR="0069722E" w:rsidRPr="007D6180">
        <w:rPr>
          <w:rFonts w:hint="cs"/>
          <w:spacing w:val="-1"/>
          <w:rtl/>
          <w:lang w:bidi="ar"/>
        </w:rPr>
        <w:t xml:space="preserve"> المساعدة القانونية</w:t>
      </w:r>
      <w:r w:rsidR="00285F8B" w:rsidRPr="007D6180">
        <w:rPr>
          <w:rFonts w:hint="cs"/>
          <w:spacing w:val="-1"/>
          <w:rtl/>
          <w:lang w:bidi="ar"/>
        </w:rPr>
        <w:t xml:space="preserve"> المتاحين في ليتوانيا</w:t>
      </w:r>
      <w:r w:rsidR="0069722E" w:rsidRPr="007D6180">
        <w:rPr>
          <w:rFonts w:hint="cs"/>
          <w:spacing w:val="-1"/>
          <w:rtl/>
          <w:lang w:bidi="ar"/>
        </w:rPr>
        <w:t xml:space="preserve">. وطلب إلى الوفد تحديد </w:t>
      </w:r>
      <w:r w:rsidR="00C026A7" w:rsidRPr="007D6180">
        <w:rPr>
          <w:rFonts w:hint="cs"/>
          <w:spacing w:val="-1"/>
          <w:rtl/>
          <w:lang w:bidi="ar"/>
        </w:rPr>
        <w:t>ما </w:t>
      </w:r>
      <w:r w:rsidR="0069722E" w:rsidRPr="007D6180">
        <w:rPr>
          <w:rFonts w:hint="cs"/>
          <w:spacing w:val="-1"/>
          <w:rtl/>
          <w:lang w:bidi="ar"/>
        </w:rPr>
        <w:t>إذا كانت هذه المساعدة تقدم أيض</w:t>
      </w:r>
      <w:r w:rsidR="00C026A7" w:rsidRPr="007D6180">
        <w:rPr>
          <w:rFonts w:hint="cs"/>
          <w:spacing w:val="-1"/>
          <w:rtl/>
          <w:lang w:bidi="ar"/>
        </w:rPr>
        <w:t xml:space="preserve">اً </w:t>
      </w:r>
      <w:r w:rsidR="0069722E" w:rsidRPr="007D6180">
        <w:rPr>
          <w:rFonts w:hint="cs"/>
          <w:spacing w:val="-1"/>
          <w:rtl/>
          <w:lang w:bidi="ar"/>
        </w:rPr>
        <w:t xml:space="preserve">في القضايا الجنائية وإلى أي حد يتمتع المعنيون بحرية اختيار محاميهم. وقال إن المحاكم </w:t>
      </w:r>
      <w:r w:rsidR="00C026A7" w:rsidRPr="007D6180">
        <w:rPr>
          <w:rFonts w:hint="cs"/>
          <w:spacing w:val="-1"/>
          <w:rtl/>
          <w:lang w:bidi="ar"/>
        </w:rPr>
        <w:t>لا </w:t>
      </w:r>
      <w:r w:rsidR="0069722E" w:rsidRPr="007D6180">
        <w:rPr>
          <w:rFonts w:hint="cs"/>
          <w:spacing w:val="-1"/>
          <w:rtl/>
          <w:lang w:bidi="ar"/>
        </w:rPr>
        <w:t xml:space="preserve">تشارك على </w:t>
      </w:r>
      <w:r w:rsidR="00C026A7" w:rsidRPr="007D6180">
        <w:rPr>
          <w:rFonts w:hint="cs"/>
          <w:spacing w:val="-1"/>
          <w:rtl/>
          <w:lang w:bidi="ar"/>
        </w:rPr>
        <w:t>ما </w:t>
      </w:r>
      <w:r w:rsidR="0069722E" w:rsidRPr="007D6180">
        <w:rPr>
          <w:rFonts w:hint="cs"/>
          <w:spacing w:val="-1"/>
          <w:rtl/>
          <w:lang w:bidi="ar"/>
        </w:rPr>
        <w:t>يبدو في القرارات المتعلقة بتقديم المساعدة القانونية مع أنها ب</w:t>
      </w:r>
      <w:r w:rsidR="00C026A7" w:rsidRPr="007D6180">
        <w:rPr>
          <w:rFonts w:hint="cs"/>
          <w:spacing w:val="-1"/>
          <w:rtl/>
          <w:lang w:bidi="ar"/>
        </w:rPr>
        <w:t>لا </w:t>
      </w:r>
      <w:r w:rsidR="0069722E" w:rsidRPr="007D6180">
        <w:rPr>
          <w:rFonts w:hint="cs"/>
          <w:spacing w:val="-1"/>
          <w:rtl/>
          <w:lang w:bidi="ar"/>
        </w:rPr>
        <w:t>شك أقدر من الإدارة القضائية على البت في ضرورة تقديم هذه المساعدة. ك</w:t>
      </w:r>
      <w:r w:rsidR="00C026A7" w:rsidRPr="007D6180">
        <w:rPr>
          <w:rFonts w:hint="cs"/>
          <w:spacing w:val="-1"/>
          <w:rtl/>
          <w:lang w:bidi="ar"/>
        </w:rPr>
        <w:t>ما </w:t>
      </w:r>
      <w:r w:rsidR="0069722E" w:rsidRPr="007D6180">
        <w:rPr>
          <w:rFonts w:hint="cs"/>
          <w:spacing w:val="-1"/>
          <w:rtl/>
          <w:lang w:bidi="ar"/>
        </w:rPr>
        <w:t xml:space="preserve">سأل السيد </w:t>
      </w:r>
      <w:proofErr w:type="spellStart"/>
      <w:r w:rsidR="00285F8B" w:rsidRPr="007D6180">
        <w:rPr>
          <w:rFonts w:hint="cs"/>
          <w:spacing w:val="-1"/>
          <w:rtl/>
          <w:lang w:bidi="ar"/>
        </w:rPr>
        <w:t>تي</w:t>
      </w:r>
      <w:r w:rsidR="0069722E" w:rsidRPr="007D6180">
        <w:rPr>
          <w:rFonts w:hint="cs"/>
          <w:spacing w:val="-1"/>
          <w:rtl/>
          <w:lang w:bidi="ar"/>
        </w:rPr>
        <w:t>لين</w:t>
      </w:r>
      <w:proofErr w:type="spellEnd"/>
      <w:r w:rsidR="0069722E" w:rsidRPr="007D6180">
        <w:rPr>
          <w:rFonts w:hint="cs"/>
          <w:spacing w:val="-1"/>
          <w:rtl/>
          <w:lang w:bidi="ar"/>
        </w:rPr>
        <w:t xml:space="preserve"> عن عدد الطلبات المرفوضة وأسباب رفضها لكي يتسنى تقييم أداء نظام المساعدة القانونية الذي يبدو أنه يحترم مع ذلك المعايير المتبعة عادة في هذا الصدد. وفي المقابل، تعترض المنظمات غير الحكومية على </w:t>
      </w:r>
      <w:r w:rsidR="00C026A7" w:rsidRPr="007D6180">
        <w:rPr>
          <w:rFonts w:hint="cs"/>
          <w:spacing w:val="-1"/>
          <w:rtl/>
          <w:lang w:bidi="ar"/>
        </w:rPr>
        <w:t>ما </w:t>
      </w:r>
      <w:r w:rsidR="0069722E" w:rsidRPr="007D6180">
        <w:rPr>
          <w:rFonts w:hint="cs"/>
          <w:spacing w:val="-1"/>
          <w:rtl/>
          <w:lang w:bidi="ar"/>
        </w:rPr>
        <w:t xml:space="preserve">أكدته الفقرة 91 من الردود </w:t>
      </w:r>
      <w:r w:rsidR="00285F8B" w:rsidRPr="007D6180">
        <w:rPr>
          <w:rFonts w:hint="cs"/>
          <w:spacing w:val="-1"/>
          <w:rtl/>
          <w:lang w:bidi="ar"/>
        </w:rPr>
        <w:t xml:space="preserve">الخطية </w:t>
      </w:r>
      <w:r w:rsidR="0069722E" w:rsidRPr="007D6180">
        <w:rPr>
          <w:rFonts w:hint="cs"/>
          <w:spacing w:val="-1"/>
          <w:rtl/>
          <w:lang w:bidi="ar"/>
        </w:rPr>
        <w:t xml:space="preserve">بأن إجراءات سحب الأهلية </w:t>
      </w:r>
      <w:r w:rsidR="00285F8B" w:rsidRPr="007D6180">
        <w:rPr>
          <w:rFonts w:hint="cs"/>
          <w:spacing w:val="-1"/>
          <w:rtl/>
          <w:lang w:bidi="ar"/>
        </w:rPr>
        <w:t xml:space="preserve">القانونية </w:t>
      </w:r>
      <w:r w:rsidR="004C63C2" w:rsidRPr="007D6180">
        <w:rPr>
          <w:rFonts w:hint="cs"/>
          <w:spacing w:val="-1"/>
          <w:rtl/>
          <w:lang w:bidi="ar"/>
        </w:rPr>
        <w:t>أو </w:t>
      </w:r>
      <w:r w:rsidR="0069722E" w:rsidRPr="007D6180">
        <w:rPr>
          <w:rFonts w:hint="cs"/>
          <w:spacing w:val="-1"/>
          <w:rtl/>
          <w:lang w:bidi="ar"/>
        </w:rPr>
        <w:t xml:space="preserve">إقرارها </w:t>
      </w:r>
      <w:r w:rsidR="00285F8B" w:rsidRPr="007D6180">
        <w:rPr>
          <w:rFonts w:hint="cs"/>
          <w:spacing w:val="-1"/>
          <w:rtl/>
          <w:lang w:bidi="ar"/>
        </w:rPr>
        <w:t xml:space="preserve">تخوّل </w:t>
      </w:r>
      <w:r w:rsidR="0069722E" w:rsidRPr="007D6180">
        <w:rPr>
          <w:rFonts w:hint="cs"/>
          <w:spacing w:val="-1"/>
          <w:rtl/>
          <w:lang w:bidi="ar"/>
        </w:rPr>
        <w:t xml:space="preserve">الحق في مساعدة قانونية، إذ ترى هذه المنظمات </w:t>
      </w:r>
      <w:r w:rsidR="00285F8B" w:rsidRPr="007D6180">
        <w:rPr>
          <w:rFonts w:hint="cs"/>
          <w:spacing w:val="-1"/>
          <w:rtl/>
          <w:lang w:bidi="ar"/>
        </w:rPr>
        <w:t xml:space="preserve">أن هذه الإجراءات تدخل في نطاق القضاء </w:t>
      </w:r>
      <w:proofErr w:type="spellStart"/>
      <w:r w:rsidR="00285F8B" w:rsidRPr="007D6180">
        <w:rPr>
          <w:rFonts w:hint="cs"/>
          <w:spacing w:val="-1"/>
          <w:rtl/>
          <w:lang w:bidi="ar"/>
        </w:rPr>
        <w:t>الولائي</w:t>
      </w:r>
      <w:proofErr w:type="spellEnd"/>
      <w:r w:rsidR="00285F8B" w:rsidRPr="007D6180">
        <w:rPr>
          <w:rFonts w:hint="cs"/>
          <w:spacing w:val="-1"/>
          <w:rtl/>
          <w:lang w:bidi="ar"/>
        </w:rPr>
        <w:t xml:space="preserve"> </w:t>
      </w:r>
      <w:r w:rsidR="0069722E" w:rsidRPr="007D6180">
        <w:rPr>
          <w:rFonts w:hint="cs"/>
          <w:spacing w:val="-1"/>
          <w:rtl/>
          <w:lang w:bidi="ar"/>
        </w:rPr>
        <w:t>و</w:t>
      </w:r>
      <w:r w:rsidR="00285F8B" w:rsidRPr="007D6180">
        <w:rPr>
          <w:rFonts w:hint="cs"/>
          <w:spacing w:val="-1"/>
          <w:rtl/>
          <w:lang w:bidi="ar"/>
        </w:rPr>
        <w:t xml:space="preserve">بالتالي </w:t>
      </w:r>
      <w:r w:rsidR="00C026A7" w:rsidRPr="007D6180">
        <w:rPr>
          <w:rFonts w:hint="cs"/>
          <w:spacing w:val="-1"/>
          <w:rtl/>
          <w:lang w:bidi="ar"/>
        </w:rPr>
        <w:t>لا </w:t>
      </w:r>
      <w:r w:rsidR="0069722E" w:rsidRPr="007D6180">
        <w:rPr>
          <w:rFonts w:hint="cs"/>
          <w:spacing w:val="-1"/>
          <w:rtl/>
          <w:lang w:bidi="ar"/>
        </w:rPr>
        <w:t>تعطي الفرد حق</w:t>
      </w:r>
      <w:r w:rsidR="00C026A7" w:rsidRPr="007D6180">
        <w:rPr>
          <w:rFonts w:hint="cs"/>
          <w:spacing w:val="-1"/>
          <w:rtl/>
          <w:lang w:bidi="ar"/>
        </w:rPr>
        <w:t xml:space="preserve">اً </w:t>
      </w:r>
      <w:r w:rsidR="0069722E" w:rsidRPr="007D6180">
        <w:rPr>
          <w:rFonts w:hint="cs"/>
          <w:spacing w:val="-1"/>
          <w:rtl/>
          <w:lang w:bidi="ar"/>
        </w:rPr>
        <w:t xml:space="preserve">في أن يمثله محام. وإذ اعتبر السيد </w:t>
      </w:r>
      <w:proofErr w:type="spellStart"/>
      <w:r w:rsidR="00285F8B" w:rsidRPr="007D6180">
        <w:rPr>
          <w:rFonts w:hint="cs"/>
          <w:spacing w:val="-1"/>
          <w:rtl/>
          <w:lang w:bidi="ar"/>
        </w:rPr>
        <w:t>تي</w:t>
      </w:r>
      <w:r w:rsidR="0069722E" w:rsidRPr="007D6180">
        <w:rPr>
          <w:rFonts w:hint="cs"/>
          <w:spacing w:val="-1"/>
          <w:rtl/>
          <w:lang w:bidi="ar"/>
        </w:rPr>
        <w:t>لين</w:t>
      </w:r>
      <w:proofErr w:type="spellEnd"/>
      <w:r w:rsidR="0069722E" w:rsidRPr="007D6180">
        <w:rPr>
          <w:rFonts w:hint="cs"/>
          <w:spacing w:val="-1"/>
          <w:rtl/>
          <w:lang w:bidi="ar"/>
        </w:rPr>
        <w:t xml:space="preserve"> أن الفئات الضعيفة ينبغي أن تستفيد على سبيل</w:t>
      </w:r>
      <w:r w:rsidR="00285F8B" w:rsidRPr="007D6180">
        <w:rPr>
          <w:rFonts w:hint="cs"/>
          <w:spacing w:val="-1"/>
          <w:rtl/>
          <w:lang w:bidi="ar"/>
        </w:rPr>
        <w:t xml:space="preserve"> الأولوية من المساعدة القانونية، </w:t>
      </w:r>
      <w:r w:rsidR="0069722E" w:rsidRPr="007D6180">
        <w:rPr>
          <w:rFonts w:hint="cs"/>
          <w:spacing w:val="-1"/>
          <w:rtl/>
          <w:lang w:bidi="ar"/>
        </w:rPr>
        <w:t>فقد ط</w:t>
      </w:r>
      <w:r w:rsidR="00074117" w:rsidRPr="007D6180">
        <w:rPr>
          <w:rFonts w:hint="cs"/>
          <w:spacing w:val="-1"/>
          <w:rtl/>
          <w:lang w:bidi="ar"/>
        </w:rPr>
        <w:t>لب معلومات إضافية في هذا الصدد.</w:t>
      </w:r>
    </w:p>
    <w:p w:rsidR="0069722E" w:rsidRDefault="00F50A2F" w:rsidP="00F50A2F">
      <w:pPr>
        <w:pStyle w:val="SingleTxtGA"/>
        <w:rPr>
          <w:rFonts w:hint="cs"/>
        </w:rPr>
      </w:pPr>
      <w:r>
        <w:rPr>
          <w:rFonts w:hint="cs"/>
          <w:rtl/>
          <w:lang w:bidi="ar"/>
        </w:rPr>
        <w:t>32-</w:t>
      </w:r>
      <w:r>
        <w:rPr>
          <w:rFonts w:hint="cs"/>
          <w:rtl/>
          <w:lang w:bidi="ar"/>
        </w:rPr>
        <w:tab/>
      </w:r>
      <w:r w:rsidR="0069722E">
        <w:rPr>
          <w:rFonts w:hint="cs"/>
          <w:rtl/>
          <w:lang w:bidi="ar"/>
        </w:rPr>
        <w:t>وفي</w:t>
      </w:r>
      <w:r w:rsidR="00C026A7">
        <w:rPr>
          <w:rFonts w:hint="cs"/>
          <w:rtl/>
          <w:lang w:bidi="ar"/>
        </w:rPr>
        <w:t>ما </w:t>
      </w:r>
      <w:r w:rsidR="0069722E">
        <w:rPr>
          <w:rFonts w:hint="cs"/>
          <w:rtl/>
          <w:lang w:bidi="ar"/>
        </w:rPr>
        <w:t xml:space="preserve">يتعلق بالمشاريع الثقافية الموجّهة إلى الأقليات القومية التي أشار إليها الرد المتعلق بالفقرة 24 من قائمة </w:t>
      </w:r>
      <w:r w:rsidR="00285F8B">
        <w:rPr>
          <w:rFonts w:hint="cs"/>
          <w:rtl/>
          <w:lang w:bidi="ar"/>
        </w:rPr>
        <w:t xml:space="preserve">المسائل </w:t>
      </w:r>
      <w:r w:rsidR="0069722E">
        <w:rPr>
          <w:rFonts w:hint="cs"/>
          <w:rtl/>
          <w:lang w:bidi="ar"/>
        </w:rPr>
        <w:t>المقرر تناولها، قال إن من المفيد أن يقدم الوفد بيانات حول نسبة سكان الأقليات الذين يستفيدون فعلي</w:t>
      </w:r>
      <w:r w:rsidR="00C026A7">
        <w:rPr>
          <w:rFonts w:hint="cs"/>
          <w:rtl/>
          <w:lang w:bidi="ar"/>
        </w:rPr>
        <w:t xml:space="preserve">اً </w:t>
      </w:r>
      <w:r w:rsidR="0069722E">
        <w:rPr>
          <w:rFonts w:hint="cs"/>
          <w:rtl/>
          <w:lang w:bidi="ar"/>
        </w:rPr>
        <w:t>من هذه المشاريع في المدن والأرياف. ك</w:t>
      </w:r>
      <w:r w:rsidR="00C026A7">
        <w:rPr>
          <w:rFonts w:hint="cs"/>
          <w:rtl/>
          <w:lang w:bidi="ar"/>
        </w:rPr>
        <w:t>ما </w:t>
      </w:r>
      <w:r w:rsidR="0069722E">
        <w:rPr>
          <w:rFonts w:hint="cs"/>
          <w:rtl/>
          <w:lang w:bidi="ar"/>
        </w:rPr>
        <w:t xml:space="preserve">طلب الحصول على معلومات حول </w:t>
      </w:r>
      <w:r w:rsidR="00C026A7">
        <w:rPr>
          <w:rFonts w:hint="cs"/>
          <w:rtl/>
          <w:lang w:bidi="ar"/>
        </w:rPr>
        <w:t>ما </w:t>
      </w:r>
      <w:r w:rsidR="0069722E">
        <w:rPr>
          <w:rFonts w:hint="cs"/>
          <w:rtl/>
          <w:lang w:bidi="ar"/>
        </w:rPr>
        <w:t xml:space="preserve">يوجد </w:t>
      </w:r>
      <w:r w:rsidR="00285F8B">
        <w:rPr>
          <w:rFonts w:hint="cs"/>
          <w:rtl/>
          <w:lang w:bidi="ar"/>
        </w:rPr>
        <w:t>من أدوات لتقييم نتائج المشاريع.</w:t>
      </w:r>
    </w:p>
    <w:p w:rsidR="0069722E" w:rsidRPr="005E3B68" w:rsidRDefault="00F50A2F" w:rsidP="00F50A2F">
      <w:pPr>
        <w:pStyle w:val="SingleTxtGA"/>
        <w:rPr>
          <w:rFonts w:hint="cs"/>
          <w:spacing w:val="-3"/>
        </w:rPr>
      </w:pPr>
      <w:r w:rsidRPr="005E3B68">
        <w:rPr>
          <w:rFonts w:hint="cs"/>
          <w:spacing w:val="-3"/>
          <w:rtl/>
          <w:lang w:bidi="ar"/>
        </w:rPr>
        <w:t>33-</w:t>
      </w:r>
      <w:r w:rsidRPr="005E3B68">
        <w:rPr>
          <w:rFonts w:hint="cs"/>
          <w:spacing w:val="-3"/>
          <w:rtl/>
          <w:lang w:bidi="ar"/>
        </w:rPr>
        <w:tab/>
      </w:r>
      <w:r w:rsidR="0069722E" w:rsidRPr="005E3B68">
        <w:rPr>
          <w:rFonts w:hint="cs"/>
          <w:spacing w:val="-3"/>
          <w:rtl/>
          <w:lang w:bidi="ar"/>
        </w:rPr>
        <w:t>وفي</w:t>
      </w:r>
      <w:r w:rsidR="00C026A7" w:rsidRPr="005E3B68">
        <w:rPr>
          <w:rFonts w:hint="cs"/>
          <w:spacing w:val="-3"/>
          <w:rtl/>
          <w:lang w:bidi="ar"/>
        </w:rPr>
        <w:t>ما </w:t>
      </w:r>
      <w:r w:rsidR="0069722E" w:rsidRPr="005E3B68">
        <w:rPr>
          <w:rFonts w:hint="cs"/>
          <w:spacing w:val="-3"/>
          <w:rtl/>
          <w:lang w:bidi="ar"/>
        </w:rPr>
        <w:t xml:space="preserve">يتعلق بتطبيق المادة 11 من العهد، تساءل السيد </w:t>
      </w:r>
      <w:proofErr w:type="spellStart"/>
      <w:r w:rsidR="00285F8B" w:rsidRPr="005E3B68">
        <w:rPr>
          <w:rFonts w:hint="cs"/>
          <w:spacing w:val="-3"/>
          <w:rtl/>
          <w:lang w:bidi="ar"/>
        </w:rPr>
        <w:t>تي</w:t>
      </w:r>
      <w:r w:rsidR="0069722E" w:rsidRPr="005E3B68">
        <w:rPr>
          <w:rFonts w:hint="cs"/>
          <w:spacing w:val="-3"/>
          <w:rtl/>
          <w:lang w:bidi="ar"/>
        </w:rPr>
        <w:t>لين</w:t>
      </w:r>
      <w:proofErr w:type="spellEnd"/>
      <w:r w:rsidR="0069722E" w:rsidRPr="005E3B68">
        <w:rPr>
          <w:rFonts w:hint="cs"/>
          <w:spacing w:val="-3"/>
          <w:rtl/>
          <w:lang w:bidi="ar"/>
        </w:rPr>
        <w:t xml:space="preserve"> ع</w:t>
      </w:r>
      <w:r w:rsidR="00C026A7" w:rsidRPr="005E3B68">
        <w:rPr>
          <w:rFonts w:hint="cs"/>
          <w:spacing w:val="-3"/>
          <w:rtl/>
          <w:lang w:bidi="ar"/>
        </w:rPr>
        <w:t>ما </w:t>
      </w:r>
      <w:r w:rsidR="0069722E" w:rsidRPr="005E3B68">
        <w:rPr>
          <w:rFonts w:hint="cs"/>
          <w:spacing w:val="-3"/>
          <w:rtl/>
          <w:lang w:bidi="ar"/>
        </w:rPr>
        <w:t xml:space="preserve">إذا </w:t>
      </w:r>
      <w:r w:rsidR="00285F8B" w:rsidRPr="005E3B68">
        <w:rPr>
          <w:rFonts w:hint="cs"/>
          <w:spacing w:val="-3"/>
          <w:rtl/>
          <w:lang w:bidi="ar"/>
        </w:rPr>
        <w:t xml:space="preserve">كانت مسألة </w:t>
      </w:r>
      <w:r w:rsidR="0069722E" w:rsidRPr="005E3B68">
        <w:rPr>
          <w:rFonts w:hint="cs"/>
          <w:spacing w:val="-3"/>
          <w:rtl/>
          <w:lang w:bidi="ar"/>
        </w:rPr>
        <w:t xml:space="preserve">احترام الالتزامات التعاقدية </w:t>
      </w:r>
      <w:r w:rsidR="00285F8B" w:rsidRPr="005E3B68">
        <w:rPr>
          <w:rFonts w:hint="cs"/>
          <w:spacing w:val="-3"/>
          <w:rtl/>
          <w:lang w:bidi="ar"/>
        </w:rPr>
        <w:t>هي مسألة مشمولة ب</w:t>
      </w:r>
      <w:r w:rsidR="0069722E" w:rsidRPr="005E3B68">
        <w:rPr>
          <w:rFonts w:hint="cs"/>
          <w:spacing w:val="-3"/>
          <w:rtl/>
          <w:lang w:bidi="ar"/>
        </w:rPr>
        <w:t xml:space="preserve">القانون المدني وليس </w:t>
      </w:r>
      <w:r w:rsidR="00285F8B" w:rsidRPr="005E3B68">
        <w:rPr>
          <w:rFonts w:hint="cs"/>
          <w:spacing w:val="-3"/>
          <w:rtl/>
          <w:lang w:bidi="ar"/>
        </w:rPr>
        <w:t>ب</w:t>
      </w:r>
      <w:r w:rsidR="0069722E" w:rsidRPr="005E3B68">
        <w:rPr>
          <w:rFonts w:hint="cs"/>
          <w:spacing w:val="-3"/>
          <w:rtl/>
          <w:lang w:bidi="ar"/>
        </w:rPr>
        <w:t>القانون الجنائي ك</w:t>
      </w:r>
      <w:r w:rsidR="00C026A7" w:rsidRPr="005E3B68">
        <w:rPr>
          <w:rFonts w:hint="cs"/>
          <w:spacing w:val="-3"/>
          <w:rtl/>
          <w:lang w:bidi="ar"/>
        </w:rPr>
        <w:t>ما </w:t>
      </w:r>
      <w:r w:rsidR="0069722E" w:rsidRPr="005E3B68">
        <w:rPr>
          <w:rFonts w:hint="cs"/>
          <w:spacing w:val="-3"/>
          <w:rtl/>
          <w:lang w:bidi="ar"/>
        </w:rPr>
        <w:t xml:space="preserve">أشارت إلى ذلك الردود </w:t>
      </w:r>
      <w:r w:rsidR="00285F8B" w:rsidRPr="005E3B68">
        <w:rPr>
          <w:rFonts w:hint="cs"/>
          <w:spacing w:val="-3"/>
          <w:rtl/>
          <w:lang w:bidi="ar"/>
        </w:rPr>
        <w:t>الخطية</w:t>
      </w:r>
      <w:r w:rsidR="0069722E" w:rsidRPr="005E3B68">
        <w:rPr>
          <w:rFonts w:hint="cs"/>
          <w:spacing w:val="-3"/>
          <w:rtl/>
          <w:lang w:bidi="ar"/>
        </w:rPr>
        <w:t>. ك</w:t>
      </w:r>
      <w:r w:rsidR="00C026A7" w:rsidRPr="005E3B68">
        <w:rPr>
          <w:rFonts w:hint="cs"/>
          <w:spacing w:val="-3"/>
          <w:rtl/>
          <w:lang w:bidi="ar"/>
        </w:rPr>
        <w:t>ما </w:t>
      </w:r>
      <w:r w:rsidR="0069722E" w:rsidRPr="005E3B68">
        <w:rPr>
          <w:rFonts w:hint="cs"/>
          <w:spacing w:val="-3"/>
          <w:rtl/>
          <w:lang w:bidi="ar"/>
        </w:rPr>
        <w:t>تساءل ع</w:t>
      </w:r>
      <w:r w:rsidR="00C026A7" w:rsidRPr="005E3B68">
        <w:rPr>
          <w:rFonts w:hint="cs"/>
          <w:spacing w:val="-3"/>
          <w:rtl/>
          <w:lang w:bidi="ar"/>
        </w:rPr>
        <w:t>ما </w:t>
      </w:r>
      <w:r w:rsidR="0069722E" w:rsidRPr="005E3B68">
        <w:rPr>
          <w:rFonts w:hint="cs"/>
          <w:spacing w:val="-3"/>
          <w:rtl/>
          <w:lang w:bidi="ar"/>
        </w:rPr>
        <w:t>إذا كان الاحتجاز مصير من يعجزون عن دفع الغرامة المحكوم بها عليهم في أعقاب إجراء جنائي، و</w:t>
      </w:r>
      <w:r w:rsidR="005E3B68" w:rsidRPr="005E3B68">
        <w:rPr>
          <w:rFonts w:hint="cs"/>
          <w:spacing w:val="-3"/>
          <w:rtl/>
          <w:lang w:bidi="ar"/>
        </w:rPr>
        <w:t>هي ممارسة ألغيت في بعض البلدان.</w:t>
      </w:r>
    </w:p>
    <w:p w:rsidR="0069722E" w:rsidRDefault="00F50A2F" w:rsidP="00CB348E">
      <w:pPr>
        <w:pStyle w:val="SingleTxtGA"/>
        <w:rPr>
          <w:rFonts w:hint="cs"/>
        </w:rPr>
      </w:pPr>
      <w:r>
        <w:rPr>
          <w:rFonts w:hint="cs"/>
          <w:rtl/>
          <w:lang w:bidi="ar"/>
        </w:rPr>
        <w:t>34-</w:t>
      </w:r>
      <w:r>
        <w:rPr>
          <w:rFonts w:hint="cs"/>
          <w:rtl/>
          <w:lang w:bidi="ar"/>
        </w:rPr>
        <w:tab/>
      </w:r>
      <w:r w:rsidR="0069722E">
        <w:rPr>
          <w:rFonts w:hint="cs"/>
          <w:rtl/>
          <w:lang w:bidi="ar"/>
        </w:rPr>
        <w:t>وفي</w:t>
      </w:r>
      <w:r w:rsidR="00C026A7">
        <w:rPr>
          <w:rFonts w:hint="cs"/>
          <w:rtl/>
          <w:lang w:bidi="ar"/>
        </w:rPr>
        <w:t>ما </w:t>
      </w:r>
      <w:r w:rsidR="0069722E">
        <w:rPr>
          <w:rFonts w:hint="cs"/>
          <w:rtl/>
          <w:lang w:bidi="ar"/>
        </w:rPr>
        <w:t xml:space="preserve">يتعلق ببث خطابات الكراهية في وسائط الإعلام، طلب السيد </w:t>
      </w:r>
      <w:proofErr w:type="spellStart"/>
      <w:r w:rsidR="00285F8B">
        <w:rPr>
          <w:rFonts w:hint="cs"/>
          <w:rtl/>
          <w:lang w:bidi="ar"/>
        </w:rPr>
        <w:t>تي</w:t>
      </w:r>
      <w:r w:rsidR="0069722E">
        <w:rPr>
          <w:rFonts w:hint="cs"/>
          <w:rtl/>
          <w:lang w:bidi="ar"/>
        </w:rPr>
        <w:t>لين</w:t>
      </w:r>
      <w:proofErr w:type="spellEnd"/>
      <w:r w:rsidR="0069722E">
        <w:rPr>
          <w:rFonts w:hint="cs"/>
          <w:rtl/>
          <w:lang w:bidi="ar"/>
        </w:rPr>
        <w:t xml:space="preserve"> الحصول على معلومات إضافية بشأن تطبيق المادة 170 من القانون الجنائي وصلاته</w:t>
      </w:r>
      <w:r w:rsidR="00285F8B">
        <w:rPr>
          <w:rFonts w:hint="cs"/>
          <w:rtl/>
          <w:lang w:bidi="ar"/>
        </w:rPr>
        <w:t>ا</w:t>
      </w:r>
      <w:r w:rsidR="0069722E">
        <w:rPr>
          <w:rFonts w:hint="cs"/>
          <w:rtl/>
          <w:lang w:bidi="ar"/>
        </w:rPr>
        <w:t xml:space="preserve"> بالفقرة 4 من المادة</w:t>
      </w:r>
      <w:r w:rsidR="00CB348E">
        <w:rPr>
          <w:rFonts w:hint="eastAsia"/>
          <w:rtl/>
          <w:lang w:bidi="ar"/>
        </w:rPr>
        <w:t> </w:t>
      </w:r>
      <w:r w:rsidR="0069722E">
        <w:rPr>
          <w:rFonts w:hint="cs"/>
          <w:rtl/>
          <w:lang w:bidi="ar"/>
        </w:rPr>
        <w:t>24 من الدستور. وإلى جانب الإحصاءات المتعلقة بالشكاوى المقدمة، قال إن من المفيد معرفة مآل هذه الشكاوى، سي</w:t>
      </w:r>
      <w:r w:rsidR="00C026A7">
        <w:rPr>
          <w:rFonts w:hint="cs"/>
          <w:rtl/>
          <w:lang w:bidi="ar"/>
        </w:rPr>
        <w:t>ما </w:t>
      </w:r>
      <w:r w:rsidR="0069722E">
        <w:rPr>
          <w:rFonts w:hint="cs"/>
          <w:rtl/>
          <w:lang w:bidi="ar"/>
        </w:rPr>
        <w:t xml:space="preserve">الملاحقات القضائية والإدانات. وتساءل السيد </w:t>
      </w:r>
      <w:proofErr w:type="spellStart"/>
      <w:r w:rsidR="00285F8B">
        <w:rPr>
          <w:rFonts w:hint="cs"/>
          <w:rtl/>
          <w:lang w:bidi="ar"/>
        </w:rPr>
        <w:t>تي</w:t>
      </w:r>
      <w:r w:rsidR="0069722E">
        <w:rPr>
          <w:rFonts w:hint="cs"/>
          <w:rtl/>
          <w:lang w:bidi="ar"/>
        </w:rPr>
        <w:t>لين</w:t>
      </w:r>
      <w:proofErr w:type="spellEnd"/>
      <w:r w:rsidR="0069722E">
        <w:rPr>
          <w:rFonts w:hint="cs"/>
          <w:rtl/>
          <w:lang w:bidi="ar"/>
        </w:rPr>
        <w:t xml:space="preserve"> على الخصوص ع</w:t>
      </w:r>
      <w:r w:rsidR="00C026A7">
        <w:rPr>
          <w:rFonts w:hint="cs"/>
          <w:rtl/>
          <w:lang w:bidi="ar"/>
        </w:rPr>
        <w:t>ما </w:t>
      </w:r>
      <w:r w:rsidR="0069722E">
        <w:rPr>
          <w:rFonts w:hint="cs"/>
          <w:rtl/>
          <w:lang w:bidi="ar"/>
        </w:rPr>
        <w:t>إذا كان يوجد إجراء لسحب رخصة البث في</w:t>
      </w:r>
      <w:r w:rsidR="00285F8B">
        <w:rPr>
          <w:rFonts w:hint="cs"/>
          <w:rtl/>
          <w:lang w:bidi="ar"/>
        </w:rPr>
        <w:t xml:space="preserve"> حال تكرار الانتهاكات مثل</w:t>
      </w:r>
      <w:r w:rsidR="00C026A7">
        <w:rPr>
          <w:rFonts w:hint="cs"/>
          <w:rtl/>
          <w:lang w:bidi="ar"/>
        </w:rPr>
        <w:t>اً.</w:t>
      </w:r>
    </w:p>
    <w:p w:rsidR="0069722E" w:rsidRDefault="00F50A2F" w:rsidP="00F50A2F">
      <w:pPr>
        <w:pStyle w:val="SingleTxtGA"/>
        <w:rPr>
          <w:rFonts w:hint="cs"/>
        </w:rPr>
      </w:pPr>
      <w:r>
        <w:rPr>
          <w:rFonts w:hint="cs"/>
          <w:rtl/>
        </w:rPr>
        <w:t>35-</w:t>
      </w:r>
      <w:r>
        <w:rPr>
          <w:rFonts w:hint="cs"/>
          <w:rtl/>
        </w:rPr>
        <w:tab/>
      </w:r>
      <w:r w:rsidR="00285F8B">
        <w:rPr>
          <w:rFonts w:hint="cs"/>
          <w:rtl/>
        </w:rPr>
        <w:t>وأخير</w:t>
      </w:r>
      <w:r w:rsidR="00C026A7">
        <w:rPr>
          <w:rFonts w:hint="cs"/>
          <w:rtl/>
        </w:rPr>
        <w:t>اً،</w:t>
      </w:r>
      <w:r w:rsidR="00285F8B">
        <w:rPr>
          <w:rFonts w:hint="cs"/>
          <w:rtl/>
        </w:rPr>
        <w:t xml:space="preserve"> ط</w:t>
      </w:r>
      <w:r w:rsidR="0069722E">
        <w:rPr>
          <w:rFonts w:hint="cs"/>
          <w:rtl/>
        </w:rPr>
        <w:t xml:space="preserve">لب السيد </w:t>
      </w:r>
      <w:proofErr w:type="spellStart"/>
      <w:r w:rsidR="00285F8B">
        <w:rPr>
          <w:rFonts w:hint="cs"/>
          <w:rtl/>
        </w:rPr>
        <w:t>تي</w:t>
      </w:r>
      <w:r w:rsidR="0069722E">
        <w:rPr>
          <w:rFonts w:hint="cs"/>
          <w:rtl/>
        </w:rPr>
        <w:t>لين</w:t>
      </w:r>
      <w:proofErr w:type="spellEnd"/>
      <w:r w:rsidR="0069722E">
        <w:rPr>
          <w:rFonts w:hint="cs"/>
          <w:rtl/>
        </w:rPr>
        <w:t xml:space="preserve"> الحصول على معلومات إضافية بشأن المادة 137 من القانون المتعلق بالوضع القانوني للأجانب الذي يسمح بطرد الأجانب الذين يشكلون تهديد</w:t>
      </w:r>
      <w:r w:rsidR="00C026A7">
        <w:rPr>
          <w:rFonts w:hint="cs"/>
          <w:rtl/>
        </w:rPr>
        <w:t xml:space="preserve">اً </w:t>
      </w:r>
      <w:r w:rsidR="0069722E">
        <w:rPr>
          <w:rFonts w:hint="cs"/>
          <w:rtl/>
        </w:rPr>
        <w:t xml:space="preserve">للأمن الوطني </w:t>
      </w:r>
      <w:r w:rsidR="004C63C2">
        <w:rPr>
          <w:rFonts w:hint="cs"/>
          <w:rtl/>
        </w:rPr>
        <w:t>أو </w:t>
      </w:r>
      <w:r w:rsidR="0069722E">
        <w:rPr>
          <w:rFonts w:hint="cs"/>
          <w:rtl/>
        </w:rPr>
        <w:t>لعمل السلطات العامة. ويبدو أن المعايير المنصوص عليها في هذا القانون معايير ضعيفة إلى حد أن تطبيقها قد يشكل انتهاك</w:t>
      </w:r>
      <w:r w:rsidR="00C026A7">
        <w:rPr>
          <w:rFonts w:hint="cs"/>
          <w:rtl/>
        </w:rPr>
        <w:t xml:space="preserve">اً </w:t>
      </w:r>
      <w:r w:rsidR="0069722E">
        <w:rPr>
          <w:rFonts w:hint="cs"/>
          <w:rtl/>
        </w:rPr>
        <w:t>لمبدأ عدم الإعادة</w:t>
      </w:r>
      <w:r w:rsidR="00285F8B">
        <w:rPr>
          <w:rFonts w:hint="cs"/>
          <w:rtl/>
        </w:rPr>
        <w:t xml:space="preserve"> القسرية</w:t>
      </w:r>
      <w:r w:rsidR="0069722E">
        <w:rPr>
          <w:rFonts w:hint="cs"/>
          <w:rtl/>
        </w:rPr>
        <w:t>. وطلب من الوفد ت</w:t>
      </w:r>
      <w:r w:rsidR="000B1C7D">
        <w:rPr>
          <w:rFonts w:hint="cs"/>
          <w:rtl/>
        </w:rPr>
        <w:t>قديم معلومات إضافية بهذا الصدد.</w:t>
      </w:r>
    </w:p>
    <w:p w:rsidR="0069722E" w:rsidRDefault="00A809D1" w:rsidP="004C1895">
      <w:pPr>
        <w:pStyle w:val="H4GA"/>
        <w:rPr>
          <w:rFonts w:hint="cs"/>
        </w:rPr>
      </w:pPr>
      <w:r>
        <w:rPr>
          <w:rFonts w:hint="cs"/>
          <w:rtl/>
        </w:rPr>
        <w:tab/>
      </w:r>
      <w:r>
        <w:rPr>
          <w:rFonts w:hint="cs"/>
          <w:rtl/>
        </w:rPr>
        <w:tab/>
      </w:r>
      <w:r w:rsidR="0069722E">
        <w:rPr>
          <w:rFonts w:hint="cs"/>
          <w:rtl/>
        </w:rPr>
        <w:t>رُفعت الجلسة الساعة 20/11</w:t>
      </w:r>
      <w:r w:rsidR="004C1895">
        <w:rPr>
          <w:rFonts w:hint="cs"/>
          <w:rtl/>
        </w:rPr>
        <w:t xml:space="preserve">؛ </w:t>
      </w:r>
      <w:r w:rsidR="0069722E">
        <w:rPr>
          <w:rFonts w:hint="cs"/>
          <w:rtl/>
        </w:rPr>
        <w:t>واستؤنفت الساعة 40/11</w:t>
      </w:r>
    </w:p>
    <w:p w:rsidR="0069722E" w:rsidRPr="00767A5A" w:rsidRDefault="00A809D1" w:rsidP="004C1895">
      <w:pPr>
        <w:pStyle w:val="SingleTxtGA"/>
        <w:rPr>
          <w:rFonts w:hint="cs"/>
          <w:spacing w:val="1"/>
        </w:rPr>
      </w:pPr>
      <w:r w:rsidRPr="00767A5A">
        <w:rPr>
          <w:rFonts w:hint="cs"/>
          <w:spacing w:val="1"/>
          <w:rtl/>
        </w:rPr>
        <w:t>36-</w:t>
      </w:r>
      <w:r w:rsidRPr="00767A5A">
        <w:rPr>
          <w:rFonts w:hint="cs"/>
          <w:spacing w:val="1"/>
          <w:rtl/>
        </w:rPr>
        <w:tab/>
      </w:r>
      <w:r w:rsidR="0069722E" w:rsidRPr="00767A5A">
        <w:rPr>
          <w:rFonts w:hint="cs"/>
          <w:b/>
          <w:bCs/>
          <w:spacing w:val="1"/>
          <w:rtl/>
        </w:rPr>
        <w:t xml:space="preserve">السيدة </w:t>
      </w:r>
      <w:proofErr w:type="spellStart"/>
      <w:r w:rsidR="0069722E" w:rsidRPr="00767A5A">
        <w:rPr>
          <w:rFonts w:hint="cs"/>
          <w:b/>
          <w:bCs/>
          <w:spacing w:val="1"/>
          <w:rtl/>
        </w:rPr>
        <w:t>أوربوني</w:t>
      </w:r>
      <w:proofErr w:type="spellEnd"/>
      <w:r w:rsidR="0069722E" w:rsidRPr="00767A5A">
        <w:rPr>
          <w:rFonts w:hint="cs"/>
          <w:spacing w:val="1"/>
          <w:rtl/>
        </w:rPr>
        <w:t xml:space="preserve"> (ليتوانيا): قالت إنه في أعقاب تصديق البرلمان في حزيران/</w:t>
      </w:r>
      <w:r w:rsidR="00CB348E" w:rsidRPr="00767A5A">
        <w:rPr>
          <w:rFonts w:hint="cs"/>
          <w:spacing w:val="1"/>
          <w:rtl/>
        </w:rPr>
        <w:t xml:space="preserve"> </w:t>
      </w:r>
      <w:r w:rsidR="0069722E" w:rsidRPr="00767A5A">
        <w:rPr>
          <w:rFonts w:hint="cs"/>
          <w:spacing w:val="1"/>
          <w:rtl/>
        </w:rPr>
        <w:t>يونيه</w:t>
      </w:r>
      <w:r w:rsidR="00CB348E" w:rsidRPr="00767A5A">
        <w:rPr>
          <w:rFonts w:hint="eastAsia"/>
          <w:spacing w:val="1"/>
          <w:rtl/>
        </w:rPr>
        <w:t> </w:t>
      </w:r>
      <w:r w:rsidR="0069722E" w:rsidRPr="00767A5A">
        <w:rPr>
          <w:rFonts w:hint="cs"/>
          <w:spacing w:val="1"/>
          <w:rtl/>
        </w:rPr>
        <w:t>2012 على اتفاقية مجلس أوروبا بشأن إجراءات مكافحة الاتجار بالبشر، أُدخلت تعديلات على القانون الجنائي من أجل تعزيز الأحكام التي تعاقب على الاتجار بالبشر. ك</w:t>
      </w:r>
      <w:r w:rsidR="00C026A7" w:rsidRPr="00767A5A">
        <w:rPr>
          <w:rFonts w:hint="cs"/>
          <w:spacing w:val="1"/>
          <w:rtl/>
        </w:rPr>
        <w:t>ما </w:t>
      </w:r>
      <w:r w:rsidR="0069722E" w:rsidRPr="00767A5A">
        <w:rPr>
          <w:rFonts w:hint="cs"/>
          <w:spacing w:val="1"/>
          <w:rtl/>
        </w:rPr>
        <w:t xml:space="preserve">يعاقب القانون الجنائي على الاستفادة من خدمات ضحايا الاتجار </w:t>
      </w:r>
      <w:r w:rsidR="004C63C2" w:rsidRPr="00767A5A">
        <w:rPr>
          <w:rFonts w:hint="cs"/>
          <w:spacing w:val="1"/>
          <w:rtl/>
        </w:rPr>
        <w:t>أو </w:t>
      </w:r>
      <w:r w:rsidR="0069722E" w:rsidRPr="00767A5A">
        <w:rPr>
          <w:rFonts w:hint="cs"/>
          <w:spacing w:val="1"/>
          <w:rtl/>
        </w:rPr>
        <w:t>استغلالهم في العمل. ويشرك الضحايا في تحقيقات الشرطة ويحظون بمتابعة المرشدين الاجتماعيين خلال فترة التحقيقات و</w:t>
      </w:r>
      <w:r w:rsidR="00C026A7" w:rsidRPr="00767A5A">
        <w:rPr>
          <w:rFonts w:hint="cs"/>
          <w:spacing w:val="1"/>
          <w:rtl/>
        </w:rPr>
        <w:t>ما </w:t>
      </w:r>
      <w:r w:rsidR="0069722E" w:rsidRPr="00767A5A">
        <w:rPr>
          <w:rFonts w:hint="cs"/>
          <w:spacing w:val="1"/>
          <w:rtl/>
        </w:rPr>
        <w:t>بعدها. ويصنفون ضمن فئة ضحايا الانتهاكات الجسيمة ويستفيدون بذلك من حقوق خاصة مثل الحق في عدم الإفصاح عن هويتهم للإدلاء بالشهادة في الإجراءات الجنائية والحق في حماية لصيقة في الحالات المنصوص عليها في القانون. ك</w:t>
      </w:r>
      <w:r w:rsidR="00C026A7" w:rsidRPr="00767A5A">
        <w:rPr>
          <w:rFonts w:hint="cs"/>
          <w:spacing w:val="1"/>
          <w:rtl/>
        </w:rPr>
        <w:t>ما </w:t>
      </w:r>
      <w:r w:rsidR="0069722E" w:rsidRPr="00767A5A">
        <w:rPr>
          <w:rFonts w:hint="cs"/>
          <w:spacing w:val="1"/>
          <w:rtl/>
        </w:rPr>
        <w:t xml:space="preserve">يحق لهم الحصول على مشورة قانونية مجانية. وينص قانون الإجراءات الجنائية على توفير ضمانات إجرائية إضافية للأحداث، </w:t>
      </w:r>
      <w:r w:rsidR="00C026A7" w:rsidRPr="00767A5A">
        <w:rPr>
          <w:rFonts w:hint="cs"/>
          <w:spacing w:val="1"/>
          <w:rtl/>
        </w:rPr>
        <w:t xml:space="preserve">لا سيما </w:t>
      </w:r>
      <w:r w:rsidR="0069722E" w:rsidRPr="00767A5A">
        <w:rPr>
          <w:rFonts w:hint="cs"/>
          <w:spacing w:val="1"/>
          <w:rtl/>
        </w:rPr>
        <w:t>الحق في الاستماع إليهم قبل المحاكمة من أجل تفادي المواجهة مع الجاني. وفي ليتوانيا، يتمثل الغرض الأساسي من الاتجار بالبشر في الاستغلال الجنسي. ومن الصعب إجراء تقييم واضح لحجم هذه المشكلة لأن الأنشطة المرتبطة بالاتجار بالبشر سرية وقلّ</w:t>
      </w:r>
      <w:r w:rsidR="00C026A7" w:rsidRPr="00767A5A">
        <w:rPr>
          <w:rFonts w:hint="cs"/>
          <w:spacing w:val="1"/>
          <w:rtl/>
        </w:rPr>
        <w:t>ما </w:t>
      </w:r>
      <w:r w:rsidR="0069722E" w:rsidRPr="00767A5A">
        <w:rPr>
          <w:rFonts w:hint="cs"/>
          <w:spacing w:val="1"/>
          <w:rtl/>
        </w:rPr>
        <w:t xml:space="preserve">يبلغ الضحايا عن أنفسهم. وتنظم حملات إعلامية من أجل توعية عامة الناس بمشكلة الاتجار بالبشر وتبذل جهود في سبيل تيسير </w:t>
      </w:r>
      <w:r w:rsidR="004C1895">
        <w:rPr>
          <w:rFonts w:hint="cs"/>
          <w:spacing w:val="1"/>
          <w:rtl/>
        </w:rPr>
        <w:t>إ</w:t>
      </w:r>
      <w:r w:rsidR="0069722E" w:rsidRPr="00767A5A">
        <w:rPr>
          <w:rFonts w:hint="cs"/>
          <w:spacing w:val="1"/>
          <w:rtl/>
        </w:rPr>
        <w:t xml:space="preserve">طلاع الضحايا على حقوقهم. وفي هذا الصدد، يمكن للضحايا، </w:t>
      </w:r>
      <w:r w:rsidR="004C63C2" w:rsidRPr="00767A5A">
        <w:rPr>
          <w:rFonts w:hint="cs"/>
          <w:spacing w:val="1"/>
          <w:rtl/>
        </w:rPr>
        <w:t>أو </w:t>
      </w:r>
      <w:r w:rsidR="0069722E" w:rsidRPr="00767A5A">
        <w:rPr>
          <w:rFonts w:hint="cs"/>
          <w:spacing w:val="1"/>
          <w:rtl/>
        </w:rPr>
        <w:t>شخص لديه معلومات عن أفعال الاتجار، إشعار الشرطة الليتوانية عبر موقعها الإلكتروني الذي يتضمن معلومات مفصلة وعنوان</w:t>
      </w:r>
      <w:r w:rsidR="00C026A7" w:rsidRPr="00767A5A">
        <w:rPr>
          <w:rFonts w:hint="cs"/>
          <w:spacing w:val="1"/>
          <w:rtl/>
        </w:rPr>
        <w:t xml:space="preserve">اً </w:t>
      </w:r>
      <w:r w:rsidR="0069722E" w:rsidRPr="00767A5A">
        <w:rPr>
          <w:rFonts w:hint="cs"/>
          <w:spacing w:val="1"/>
          <w:rtl/>
        </w:rPr>
        <w:t>إلكتروني</w:t>
      </w:r>
      <w:r w:rsidR="00C026A7" w:rsidRPr="00767A5A">
        <w:rPr>
          <w:rFonts w:hint="cs"/>
          <w:spacing w:val="1"/>
          <w:rtl/>
        </w:rPr>
        <w:t xml:space="preserve">اً </w:t>
      </w:r>
      <w:r w:rsidR="0069722E" w:rsidRPr="00767A5A">
        <w:rPr>
          <w:rFonts w:hint="cs"/>
          <w:spacing w:val="1"/>
          <w:rtl/>
        </w:rPr>
        <w:t>لهذا الغرض. وتتعاون الشرطة الليتوانية على نحو وثيق مع المنظمات غير الحكومية في الميدان، وتتعاون فضل</w:t>
      </w:r>
      <w:r w:rsidR="00C026A7" w:rsidRPr="00767A5A">
        <w:rPr>
          <w:rFonts w:hint="cs"/>
          <w:spacing w:val="1"/>
          <w:rtl/>
        </w:rPr>
        <w:t xml:space="preserve">اً </w:t>
      </w:r>
      <w:r w:rsidR="0069722E" w:rsidRPr="00767A5A">
        <w:rPr>
          <w:rFonts w:hint="cs"/>
          <w:spacing w:val="1"/>
          <w:rtl/>
        </w:rPr>
        <w:t>عن ذلك مع أجهزة الشرطة في بلدان أخرى. وقد اضطلعت الشرطة الليتوانية والشرطة البريطانية مؤخر</w:t>
      </w:r>
      <w:r w:rsidR="00C026A7" w:rsidRPr="00767A5A">
        <w:rPr>
          <w:rFonts w:hint="cs"/>
          <w:spacing w:val="1"/>
          <w:rtl/>
        </w:rPr>
        <w:t xml:space="preserve">اً </w:t>
      </w:r>
      <w:r w:rsidR="0069722E" w:rsidRPr="00767A5A">
        <w:rPr>
          <w:rFonts w:hint="cs"/>
          <w:spacing w:val="1"/>
          <w:rtl/>
        </w:rPr>
        <w:t>بمهمة مشتركة سمحت باعتقال مجموعة من المتّجرين ومحاكمتهم وإدانتهم.</w:t>
      </w:r>
    </w:p>
    <w:p w:rsidR="0069722E" w:rsidRDefault="00A809D1" w:rsidP="00F50A2F">
      <w:pPr>
        <w:pStyle w:val="SingleTxtGA"/>
        <w:rPr>
          <w:rFonts w:hint="cs"/>
        </w:rPr>
      </w:pPr>
      <w:r>
        <w:rPr>
          <w:rFonts w:hint="cs"/>
          <w:rtl/>
        </w:rPr>
        <w:t>37-</w:t>
      </w:r>
      <w:r>
        <w:rPr>
          <w:rFonts w:hint="cs"/>
          <w:rtl/>
        </w:rPr>
        <w:tab/>
      </w:r>
      <w:r w:rsidR="0069722E">
        <w:rPr>
          <w:rFonts w:hint="cs"/>
          <w:b/>
          <w:bCs/>
          <w:rtl/>
        </w:rPr>
        <w:t xml:space="preserve">السيدة </w:t>
      </w:r>
      <w:proofErr w:type="spellStart"/>
      <w:r w:rsidR="0069722E">
        <w:rPr>
          <w:rFonts w:hint="cs"/>
          <w:b/>
          <w:bCs/>
          <w:rtl/>
        </w:rPr>
        <w:t>بوكانتايتي</w:t>
      </w:r>
      <w:proofErr w:type="spellEnd"/>
      <w:r w:rsidR="0069722E">
        <w:rPr>
          <w:rFonts w:hint="cs"/>
          <w:b/>
          <w:bCs/>
          <w:rtl/>
        </w:rPr>
        <w:t xml:space="preserve"> </w:t>
      </w:r>
      <w:r w:rsidR="0069722E" w:rsidRPr="00E1369A">
        <w:rPr>
          <w:rFonts w:hint="cs"/>
          <w:rtl/>
        </w:rPr>
        <w:t xml:space="preserve">(ليتوانيا): </w:t>
      </w:r>
      <w:r w:rsidR="0069722E">
        <w:rPr>
          <w:rFonts w:hint="cs"/>
          <w:rtl/>
        </w:rPr>
        <w:t xml:space="preserve">قالت إن القانون المتعلق بحماية البيانات الشخصية يتوافق مع القانون الأوروبي وبخاصة مع المبدأ التوجيهي رقم </w:t>
      </w:r>
      <w:r w:rsidR="0069722E">
        <w:rPr>
          <w:lang w:val="fr-CH"/>
        </w:rPr>
        <w:t>95/46/CE</w:t>
      </w:r>
      <w:r w:rsidR="0069722E">
        <w:rPr>
          <w:rFonts w:hint="cs"/>
          <w:rtl/>
        </w:rPr>
        <w:t>، و</w:t>
      </w:r>
      <w:r w:rsidR="00C026A7">
        <w:rPr>
          <w:rFonts w:hint="cs"/>
          <w:rtl/>
        </w:rPr>
        <w:t>لا </w:t>
      </w:r>
      <w:r w:rsidR="0069722E">
        <w:rPr>
          <w:rFonts w:hint="cs"/>
          <w:rtl/>
        </w:rPr>
        <w:t>ي</w:t>
      </w:r>
      <w:r w:rsidR="00285F8B">
        <w:rPr>
          <w:rFonts w:hint="cs"/>
          <w:rtl/>
        </w:rPr>
        <w:t>ن</w:t>
      </w:r>
      <w:r w:rsidR="0069722E">
        <w:rPr>
          <w:rFonts w:hint="cs"/>
          <w:rtl/>
        </w:rPr>
        <w:t xml:space="preserve">طبق من ثم على تناول البيانات من قبل أشخاص يقومون بأنشطة شخصية </w:t>
      </w:r>
      <w:r w:rsidR="004C63C2">
        <w:rPr>
          <w:rFonts w:hint="cs"/>
          <w:rtl/>
        </w:rPr>
        <w:t>أو </w:t>
      </w:r>
      <w:r w:rsidR="0069722E">
        <w:rPr>
          <w:rFonts w:hint="cs"/>
          <w:rtl/>
        </w:rPr>
        <w:t>منزلية بحتة. وفي</w:t>
      </w:r>
      <w:r w:rsidR="00C026A7">
        <w:rPr>
          <w:rFonts w:hint="cs"/>
          <w:rtl/>
        </w:rPr>
        <w:t>ما </w:t>
      </w:r>
      <w:r w:rsidR="0069722E">
        <w:rPr>
          <w:rFonts w:hint="cs"/>
          <w:rtl/>
        </w:rPr>
        <w:t xml:space="preserve">يتعلق بالحراسة بالفيديو، يمكن لأي شخص يشعر بأن </w:t>
      </w:r>
      <w:r w:rsidR="00285F8B">
        <w:rPr>
          <w:rFonts w:hint="cs"/>
          <w:rtl/>
        </w:rPr>
        <w:t xml:space="preserve">حرمة </w:t>
      </w:r>
      <w:r w:rsidR="0069722E">
        <w:rPr>
          <w:rFonts w:hint="cs"/>
          <w:rtl/>
        </w:rPr>
        <w:t xml:space="preserve">حياته </w:t>
      </w:r>
      <w:r w:rsidR="00285F8B">
        <w:rPr>
          <w:rFonts w:hint="cs"/>
          <w:rtl/>
        </w:rPr>
        <w:t xml:space="preserve">الخاصة </w:t>
      </w:r>
      <w:r w:rsidR="0069722E">
        <w:rPr>
          <w:rFonts w:hint="cs"/>
          <w:rtl/>
        </w:rPr>
        <w:t xml:space="preserve">انتهكت أن يقدم شكوى إلى هيئة التفتيش الحكومية المعنية بحماية البيانات. وأضافت أن العدد الكبير من الشكاوى التي تلقتها هيئة التفتيش في عام 2009، وهي السنة التي دخلت فيها اللائحة التنظيمية المتعلقة بالحراسة بالفيديو حيز النفاذ، يبين أن السكان مطّلعون على هذا الحق. </w:t>
      </w:r>
    </w:p>
    <w:p w:rsidR="0069722E" w:rsidRDefault="00A809D1" w:rsidP="00F50A2F">
      <w:pPr>
        <w:pStyle w:val="SingleTxtGA"/>
        <w:rPr>
          <w:rFonts w:hint="cs"/>
        </w:rPr>
      </w:pPr>
      <w:r>
        <w:rPr>
          <w:rFonts w:hint="cs"/>
          <w:rtl/>
        </w:rPr>
        <w:t>38-</w:t>
      </w:r>
      <w:r>
        <w:rPr>
          <w:rFonts w:hint="cs"/>
          <w:rtl/>
        </w:rPr>
        <w:tab/>
      </w:r>
      <w:r w:rsidR="0069722E">
        <w:rPr>
          <w:rFonts w:hint="cs"/>
          <w:b/>
          <w:bCs/>
          <w:rtl/>
        </w:rPr>
        <w:t xml:space="preserve">السيد </w:t>
      </w:r>
      <w:proofErr w:type="spellStart"/>
      <w:r w:rsidR="0069722E">
        <w:rPr>
          <w:rFonts w:hint="cs"/>
          <w:b/>
          <w:bCs/>
          <w:rtl/>
        </w:rPr>
        <w:t>فيلكاس</w:t>
      </w:r>
      <w:proofErr w:type="spellEnd"/>
      <w:r w:rsidR="0069722E">
        <w:rPr>
          <w:rFonts w:hint="cs"/>
          <w:b/>
          <w:bCs/>
          <w:rtl/>
        </w:rPr>
        <w:t xml:space="preserve"> </w:t>
      </w:r>
      <w:r w:rsidR="0069722E">
        <w:rPr>
          <w:rFonts w:hint="cs"/>
          <w:rtl/>
        </w:rPr>
        <w:t xml:space="preserve">(ليتوانيا): قال إنه </w:t>
      </w:r>
      <w:r w:rsidR="00C026A7">
        <w:rPr>
          <w:rFonts w:hint="cs"/>
          <w:rtl/>
        </w:rPr>
        <w:t>لا </w:t>
      </w:r>
      <w:r w:rsidR="0069722E">
        <w:rPr>
          <w:rFonts w:hint="cs"/>
          <w:rtl/>
        </w:rPr>
        <w:t xml:space="preserve">توجد تدابير خاصة لتيسير ترويج أفكار المثليات </w:t>
      </w:r>
      <w:r w:rsidR="0069722E">
        <w:rPr>
          <w:rFonts w:hint="cs"/>
          <w:rtl/>
          <w:lang w:bidi="ar"/>
        </w:rPr>
        <w:t>والمثليين ومزدوجي الميل الجنسي ومغايري الهوية الجنسانية. وسبل التعبير المتاحة للفئات المعنية متشابهة. وتوجد مدونة قواعد سلوك خاصة بالصحفيين منذ عام 1996، إ</w:t>
      </w:r>
      <w:r w:rsidR="00C026A7">
        <w:rPr>
          <w:rFonts w:hint="cs"/>
          <w:rtl/>
          <w:lang w:bidi="ar"/>
        </w:rPr>
        <w:t>لا </w:t>
      </w:r>
      <w:r w:rsidR="0069722E">
        <w:rPr>
          <w:rFonts w:hint="cs"/>
          <w:rtl/>
          <w:lang w:bidi="ar"/>
        </w:rPr>
        <w:t xml:space="preserve">أنها </w:t>
      </w:r>
      <w:r w:rsidR="00C026A7">
        <w:rPr>
          <w:rFonts w:hint="cs"/>
          <w:rtl/>
          <w:lang w:bidi="ar"/>
        </w:rPr>
        <w:t>لا </w:t>
      </w:r>
      <w:r w:rsidR="0069722E">
        <w:rPr>
          <w:rFonts w:hint="cs"/>
          <w:rtl/>
          <w:lang w:bidi="ar"/>
        </w:rPr>
        <w:t>تتضمن أحكام</w:t>
      </w:r>
      <w:r w:rsidR="00C026A7">
        <w:rPr>
          <w:rFonts w:hint="cs"/>
          <w:rtl/>
          <w:lang w:bidi="ar"/>
        </w:rPr>
        <w:t xml:space="preserve">اً </w:t>
      </w:r>
      <w:r w:rsidR="0069722E">
        <w:rPr>
          <w:rFonts w:hint="cs"/>
          <w:rtl/>
          <w:lang w:bidi="ar"/>
        </w:rPr>
        <w:t>محددة بشأن البوابات الإعلامية على شبكة الإنترنت. غير أن بعض المسؤولين عن هذه البوابات مثل دلفي (</w:t>
      </w:r>
      <w:r w:rsidR="0069722E">
        <w:rPr>
          <w:lang w:bidi="ar"/>
        </w:rPr>
        <w:t>http://www.delfi.lt/</w:t>
      </w:r>
      <w:r w:rsidR="0069722E">
        <w:rPr>
          <w:rFonts w:hint="cs"/>
          <w:rtl/>
          <w:lang w:bidi="ar"/>
        </w:rPr>
        <w:t>)، وهي بوابة ذائعة الصيت في البلد، بادروا إلى وضع مدونة قواعد سلوك خاصة بهم. ويجب التمييز بين مضمون المقالات التي تنشرها وسائط الإعلام هذه ومضمون تعليقات القراء التي غالب</w:t>
      </w:r>
      <w:r w:rsidR="00C026A7">
        <w:rPr>
          <w:rFonts w:hint="cs"/>
          <w:rtl/>
          <w:lang w:bidi="ar"/>
        </w:rPr>
        <w:t>اً ما </w:t>
      </w:r>
      <w:r w:rsidR="0069722E">
        <w:rPr>
          <w:rFonts w:hint="cs"/>
          <w:rtl/>
          <w:lang w:bidi="ar"/>
        </w:rPr>
        <w:t xml:space="preserve">تحتوي، وفي موقع دلفي بالأساس، على خطابات عنصرية </w:t>
      </w:r>
      <w:r w:rsidR="004C63C2">
        <w:rPr>
          <w:rFonts w:hint="cs"/>
          <w:rtl/>
          <w:lang w:bidi="ar"/>
        </w:rPr>
        <w:t>أو </w:t>
      </w:r>
      <w:r w:rsidR="0069722E">
        <w:rPr>
          <w:rFonts w:hint="cs"/>
          <w:rtl/>
          <w:lang w:bidi="ar"/>
        </w:rPr>
        <w:t xml:space="preserve">محرضة على الكراهية. </w:t>
      </w:r>
    </w:p>
    <w:p w:rsidR="0069722E" w:rsidRDefault="00A809D1" w:rsidP="00F50A2F">
      <w:pPr>
        <w:pStyle w:val="SingleTxtGA"/>
        <w:rPr>
          <w:rFonts w:hint="cs"/>
          <w:lang w:eastAsia="ar-SA"/>
        </w:rPr>
      </w:pPr>
      <w:r>
        <w:rPr>
          <w:rFonts w:hint="cs"/>
          <w:rtl/>
        </w:rPr>
        <w:t>39-</w:t>
      </w:r>
      <w:r>
        <w:rPr>
          <w:rFonts w:hint="cs"/>
          <w:rtl/>
        </w:rPr>
        <w:tab/>
      </w:r>
      <w:r w:rsidR="0069722E">
        <w:rPr>
          <w:rFonts w:hint="cs"/>
          <w:rtl/>
        </w:rPr>
        <w:t xml:space="preserve">وقال إن قانون الجرائم الإدارية والقانون الجنائي </w:t>
      </w:r>
      <w:r w:rsidR="00C026A7">
        <w:rPr>
          <w:rFonts w:hint="cs"/>
          <w:rtl/>
        </w:rPr>
        <w:t>لا </w:t>
      </w:r>
      <w:r w:rsidR="0069722E">
        <w:rPr>
          <w:rFonts w:hint="cs"/>
          <w:rtl/>
        </w:rPr>
        <w:t xml:space="preserve">يجرّمان العلاقات </w:t>
      </w:r>
      <w:r w:rsidR="00285F8B">
        <w:rPr>
          <w:rFonts w:hint="cs"/>
          <w:rtl/>
        </w:rPr>
        <w:t xml:space="preserve">الجنسية </w:t>
      </w:r>
      <w:r w:rsidR="0069722E">
        <w:rPr>
          <w:rFonts w:hint="cs"/>
          <w:rtl/>
        </w:rPr>
        <w:t xml:space="preserve">المثلية </w:t>
      </w:r>
      <w:r w:rsidR="004C63C2">
        <w:rPr>
          <w:rFonts w:hint="cs"/>
          <w:rtl/>
        </w:rPr>
        <w:t>أو </w:t>
      </w:r>
      <w:r w:rsidR="0069722E">
        <w:rPr>
          <w:rFonts w:hint="cs"/>
          <w:rtl/>
        </w:rPr>
        <w:t>الدعوة إليها. ووفق</w:t>
      </w:r>
      <w:r w:rsidR="00C026A7">
        <w:rPr>
          <w:rFonts w:hint="cs"/>
          <w:rtl/>
        </w:rPr>
        <w:t xml:space="preserve">اً </w:t>
      </w:r>
      <w:r w:rsidR="0069722E">
        <w:rPr>
          <w:rFonts w:hint="cs"/>
          <w:rtl/>
        </w:rPr>
        <w:t xml:space="preserve">للقانون المتعلق بحماية الأحداث من </w:t>
      </w:r>
      <w:r w:rsidR="00285F8B">
        <w:rPr>
          <w:rFonts w:hint="cs"/>
          <w:rtl/>
        </w:rPr>
        <w:t>ال</w:t>
      </w:r>
      <w:r w:rsidR="0069722E">
        <w:rPr>
          <w:rFonts w:hint="cs"/>
          <w:rtl/>
        </w:rPr>
        <w:t xml:space="preserve">آثار </w:t>
      </w:r>
      <w:r w:rsidR="00285F8B">
        <w:rPr>
          <w:rFonts w:hint="cs"/>
          <w:rtl/>
        </w:rPr>
        <w:t xml:space="preserve">الضارة </w:t>
      </w:r>
      <w:r w:rsidR="00E93606">
        <w:rPr>
          <w:rFonts w:hint="cs"/>
          <w:rtl/>
        </w:rPr>
        <w:t>ل</w:t>
      </w:r>
      <w:r w:rsidR="0069722E">
        <w:rPr>
          <w:rFonts w:hint="cs"/>
          <w:rtl/>
        </w:rPr>
        <w:t>لإعلام يتأثر الأطفال سلب</w:t>
      </w:r>
      <w:r w:rsidR="00C026A7">
        <w:rPr>
          <w:rFonts w:hint="cs"/>
          <w:rtl/>
        </w:rPr>
        <w:t xml:space="preserve">اً </w:t>
      </w:r>
      <w:r w:rsidR="0069722E">
        <w:rPr>
          <w:rFonts w:hint="cs"/>
          <w:rtl/>
        </w:rPr>
        <w:t xml:space="preserve">بالمعلومات التي تشجّع على العنف الجنسي ضد الأطفال والاستغلال الجنسي للأحداث والعلاقات الجنسية بين الأحداث </w:t>
      </w:r>
      <w:r w:rsidR="004C63C2">
        <w:rPr>
          <w:rFonts w:hint="cs"/>
          <w:rtl/>
        </w:rPr>
        <w:t>أو </w:t>
      </w:r>
      <w:r w:rsidR="0069722E">
        <w:rPr>
          <w:rFonts w:hint="cs"/>
          <w:rtl/>
        </w:rPr>
        <w:t xml:space="preserve">تلك التي تحط من شأن القيم الأسرية والزواج. وقال إن العلاقات </w:t>
      </w:r>
      <w:r w:rsidR="00E93606">
        <w:rPr>
          <w:rFonts w:hint="cs"/>
          <w:rtl/>
        </w:rPr>
        <w:t xml:space="preserve">الجنسية </w:t>
      </w:r>
      <w:r w:rsidR="0069722E">
        <w:rPr>
          <w:rFonts w:hint="cs"/>
          <w:rtl/>
        </w:rPr>
        <w:t>المثلية غير مذكورة.</w:t>
      </w:r>
    </w:p>
    <w:p w:rsidR="0069722E" w:rsidRDefault="00A809D1" w:rsidP="00F50A2F">
      <w:pPr>
        <w:pStyle w:val="SingleTxtGA"/>
        <w:rPr>
          <w:rFonts w:hint="cs"/>
          <w:lang w:eastAsia="ar-SA"/>
        </w:rPr>
      </w:pPr>
      <w:r>
        <w:rPr>
          <w:rFonts w:hint="cs"/>
          <w:rtl/>
        </w:rPr>
        <w:t>40-</w:t>
      </w:r>
      <w:r>
        <w:rPr>
          <w:rFonts w:hint="cs"/>
          <w:rtl/>
        </w:rPr>
        <w:tab/>
      </w:r>
      <w:r w:rsidR="0069722E">
        <w:rPr>
          <w:rFonts w:hint="cs"/>
          <w:b/>
          <w:bCs/>
          <w:rtl/>
        </w:rPr>
        <w:t xml:space="preserve">السيد </w:t>
      </w:r>
      <w:proofErr w:type="spellStart"/>
      <w:r w:rsidR="0069722E" w:rsidRPr="003F6B2B">
        <w:rPr>
          <w:rFonts w:hint="cs"/>
          <w:b/>
          <w:bCs/>
          <w:rtl/>
        </w:rPr>
        <w:t>فال</w:t>
      </w:r>
      <w:r w:rsidR="0069722E">
        <w:rPr>
          <w:rFonts w:hint="cs"/>
          <w:b/>
          <w:bCs/>
          <w:rtl/>
        </w:rPr>
        <w:t>ينتوكفيشي</w:t>
      </w:r>
      <w:r w:rsidR="0069722E" w:rsidRPr="003F6B2B">
        <w:rPr>
          <w:rFonts w:hint="cs"/>
          <w:b/>
          <w:bCs/>
          <w:rtl/>
        </w:rPr>
        <w:t>وس</w:t>
      </w:r>
      <w:proofErr w:type="spellEnd"/>
      <w:r w:rsidR="0069722E">
        <w:rPr>
          <w:rFonts w:hint="cs"/>
          <w:rtl/>
        </w:rPr>
        <w:t xml:space="preserve"> (ليتوانيا): </w:t>
      </w:r>
      <w:r w:rsidR="0069722E">
        <w:rPr>
          <w:rFonts w:hint="cs"/>
          <w:rtl/>
          <w:lang w:eastAsia="ar-SA"/>
        </w:rPr>
        <w:t>قال إن السلطات طبقت المادة 170 من القانون الجنائي (التحريض على الكراهية) وحاكمت عشرة أشخاص شاركوا في مظاهرات للنازيين الجدد وحكمت عليهم بغرامات. وقد انتقدت أعلى سلطات الدولة، سيما رئيسة الجمهورية، هذه المظاهرات انتقاد</w:t>
      </w:r>
      <w:r w:rsidR="00C026A7">
        <w:rPr>
          <w:rFonts w:hint="cs"/>
          <w:rtl/>
          <w:lang w:eastAsia="ar-SA"/>
        </w:rPr>
        <w:t xml:space="preserve">اً </w:t>
      </w:r>
      <w:r w:rsidR="0069722E">
        <w:rPr>
          <w:rFonts w:hint="cs"/>
          <w:rtl/>
          <w:lang w:eastAsia="ar-SA"/>
        </w:rPr>
        <w:t>شديد</w:t>
      </w:r>
      <w:r w:rsidR="00C026A7">
        <w:rPr>
          <w:rFonts w:hint="cs"/>
          <w:rtl/>
          <w:lang w:eastAsia="ar-SA"/>
        </w:rPr>
        <w:t>اً.</w:t>
      </w:r>
    </w:p>
    <w:p w:rsidR="0069722E" w:rsidRDefault="00A809D1" w:rsidP="00F50A2F">
      <w:pPr>
        <w:pStyle w:val="SingleTxtGA"/>
        <w:rPr>
          <w:rFonts w:hint="cs"/>
          <w:lang w:eastAsia="ar-SA"/>
        </w:rPr>
      </w:pPr>
      <w:r>
        <w:rPr>
          <w:rFonts w:hint="cs"/>
          <w:rtl/>
        </w:rPr>
        <w:t>41-</w:t>
      </w:r>
      <w:r>
        <w:rPr>
          <w:rFonts w:hint="cs"/>
          <w:rtl/>
        </w:rPr>
        <w:tab/>
      </w:r>
      <w:r w:rsidR="0069722E">
        <w:rPr>
          <w:rFonts w:hint="cs"/>
          <w:b/>
          <w:bCs/>
          <w:rtl/>
        </w:rPr>
        <w:t xml:space="preserve">السيدة </w:t>
      </w:r>
      <w:proofErr w:type="spellStart"/>
      <w:r w:rsidR="0069722E">
        <w:rPr>
          <w:rFonts w:hint="cs"/>
          <w:b/>
          <w:bCs/>
          <w:rtl/>
        </w:rPr>
        <w:t>فيسنيوسكايتي</w:t>
      </w:r>
      <w:proofErr w:type="spellEnd"/>
      <w:r w:rsidR="0069722E">
        <w:rPr>
          <w:rFonts w:hint="cs"/>
          <w:b/>
          <w:bCs/>
          <w:rtl/>
        </w:rPr>
        <w:t xml:space="preserve"> </w:t>
      </w:r>
      <w:r w:rsidR="0069722E">
        <w:rPr>
          <w:rFonts w:hint="cs"/>
          <w:rtl/>
        </w:rPr>
        <w:t>(ليتوانيا): قالت إن قانون عام 2006 المتعلق بالخدمات الاجتماعية</w:t>
      </w:r>
      <w:r w:rsidR="0069722E">
        <w:rPr>
          <w:rFonts w:hint="cs"/>
          <w:rtl/>
          <w:lang w:eastAsia="ar-SA"/>
        </w:rPr>
        <w:t xml:space="preserve"> يضمن للأطفال المحرومين من بيئتهم الأسرية الحصول مجان</w:t>
      </w:r>
      <w:r w:rsidR="00C026A7">
        <w:rPr>
          <w:rFonts w:hint="cs"/>
          <w:rtl/>
          <w:lang w:eastAsia="ar-SA"/>
        </w:rPr>
        <w:t xml:space="preserve">اً </w:t>
      </w:r>
      <w:r w:rsidR="0069722E">
        <w:rPr>
          <w:rFonts w:hint="cs"/>
          <w:rtl/>
          <w:lang w:eastAsia="ar-SA"/>
        </w:rPr>
        <w:t>على الخدمات اللازمة لحمايتهم ونمائهم. وفي عام 2007، بلغ عدد مقدمي هذه الخدمات المختصة على أساس التفرغ 556 شخص</w:t>
      </w:r>
      <w:r w:rsidR="00C026A7">
        <w:rPr>
          <w:rFonts w:hint="cs"/>
          <w:rtl/>
          <w:lang w:eastAsia="ar-SA"/>
        </w:rPr>
        <w:t>اً؛</w:t>
      </w:r>
      <w:r w:rsidR="0069722E">
        <w:rPr>
          <w:rFonts w:hint="cs"/>
          <w:rtl/>
          <w:lang w:eastAsia="ar-SA"/>
        </w:rPr>
        <w:t xml:space="preserve"> ويبلغ عددهم حالي</w:t>
      </w:r>
      <w:r w:rsidR="00C026A7">
        <w:rPr>
          <w:rFonts w:hint="cs"/>
          <w:rtl/>
          <w:lang w:eastAsia="ar-SA"/>
        </w:rPr>
        <w:t xml:space="preserve">اً </w:t>
      </w:r>
      <w:r w:rsidR="0069722E">
        <w:rPr>
          <w:rFonts w:hint="cs"/>
          <w:rtl/>
          <w:lang w:eastAsia="ar-SA"/>
        </w:rPr>
        <w:t>600 شخص. وتبين الإحصاءات المجمّعة على امتداد عدة سنوات أن المتوسط السنوي لحالات العنف ضد الأطفال يبلغ 2000 حالة تقريب</w:t>
      </w:r>
      <w:r w:rsidR="00C026A7">
        <w:rPr>
          <w:rFonts w:hint="cs"/>
          <w:rtl/>
          <w:lang w:eastAsia="ar-SA"/>
        </w:rPr>
        <w:t>اً،</w:t>
      </w:r>
      <w:r w:rsidR="0069722E">
        <w:rPr>
          <w:rFonts w:hint="cs"/>
          <w:rtl/>
          <w:lang w:eastAsia="ar-SA"/>
        </w:rPr>
        <w:t xml:space="preserve"> ويتعلق 6 في المائة منها بأفعال العنف الجنسي. و</w:t>
      </w:r>
      <w:r w:rsidR="00C026A7">
        <w:rPr>
          <w:rFonts w:hint="cs"/>
          <w:rtl/>
          <w:lang w:eastAsia="ar-SA"/>
        </w:rPr>
        <w:t>لا </w:t>
      </w:r>
      <w:r w:rsidR="0069722E">
        <w:rPr>
          <w:rFonts w:hint="cs"/>
          <w:rtl/>
          <w:lang w:eastAsia="ar-SA"/>
        </w:rPr>
        <w:t>توجد إحصاءات مفصلة تسمح بمعرفة عدد الحالات التي أُحصيت في مؤسسات رعاية الأطفال. وفي عام 2009، وُضع خط ساخن لفائدة الأطفال ضحايا أعمال العنف؛ ويسمح هذا الخط بربط الأطفال المحتاجين ربط</w:t>
      </w:r>
      <w:r w:rsidR="00C026A7">
        <w:rPr>
          <w:rFonts w:hint="cs"/>
          <w:rtl/>
          <w:lang w:eastAsia="ar-SA"/>
        </w:rPr>
        <w:t xml:space="preserve">اً </w:t>
      </w:r>
      <w:r w:rsidR="0069722E">
        <w:rPr>
          <w:rFonts w:hint="cs"/>
          <w:rtl/>
          <w:lang w:eastAsia="ar-SA"/>
        </w:rPr>
        <w:t>مباشر</w:t>
      </w:r>
      <w:r w:rsidR="00C026A7">
        <w:rPr>
          <w:rFonts w:hint="cs"/>
          <w:rtl/>
          <w:lang w:eastAsia="ar-SA"/>
        </w:rPr>
        <w:t xml:space="preserve">اً </w:t>
      </w:r>
      <w:r w:rsidR="0069722E">
        <w:rPr>
          <w:rFonts w:hint="cs"/>
          <w:rtl/>
          <w:lang w:eastAsia="ar-SA"/>
        </w:rPr>
        <w:t xml:space="preserve">بالخدمات الاجتماعية المتخصصة التي يمكن أن تقدم إليهم بسرعة </w:t>
      </w:r>
      <w:r w:rsidR="00C026A7">
        <w:rPr>
          <w:rFonts w:hint="cs"/>
          <w:rtl/>
          <w:lang w:eastAsia="ar-SA"/>
        </w:rPr>
        <w:t>ما </w:t>
      </w:r>
      <w:r w:rsidR="0069722E">
        <w:rPr>
          <w:rFonts w:hint="cs"/>
          <w:rtl/>
          <w:lang w:eastAsia="ar-SA"/>
        </w:rPr>
        <w:t xml:space="preserve">يحتاجونه من مساعدة. واستندت الدراسة التي أنجزها أمين المظالم المعني بحقوق الطفل في عام 2008 بشأن العنف الجنسي ضد الأطفال في مراكز الرعاية والمؤسسات التعليمية المتخصصة إلى شهادات مجهولة المصدر سمحت بتقييم حجم المشكلة لكنها </w:t>
      </w:r>
      <w:r w:rsidR="00C026A7">
        <w:rPr>
          <w:rFonts w:hint="cs"/>
          <w:rtl/>
          <w:lang w:eastAsia="ar-SA"/>
        </w:rPr>
        <w:t>لم </w:t>
      </w:r>
      <w:r w:rsidR="0069722E">
        <w:rPr>
          <w:rFonts w:hint="cs"/>
          <w:rtl/>
          <w:lang w:eastAsia="ar-SA"/>
        </w:rPr>
        <w:t>تسمح بتعداد الحالات الفردية من أجل مقاضاة الجناة. غير أن أمين المظالم ملزم قانون</w:t>
      </w:r>
      <w:r w:rsidR="00C026A7">
        <w:rPr>
          <w:rFonts w:hint="cs"/>
          <w:rtl/>
          <w:lang w:eastAsia="ar-SA"/>
        </w:rPr>
        <w:t xml:space="preserve">اً </w:t>
      </w:r>
      <w:r w:rsidR="0069722E">
        <w:rPr>
          <w:rFonts w:hint="cs"/>
          <w:rtl/>
          <w:lang w:eastAsia="ar-SA"/>
        </w:rPr>
        <w:t xml:space="preserve">بإشعار </w:t>
      </w:r>
      <w:r w:rsidR="00133339">
        <w:rPr>
          <w:rFonts w:hint="cs"/>
          <w:rtl/>
          <w:lang w:eastAsia="ar-SA"/>
        </w:rPr>
        <w:t xml:space="preserve">وكيل النيابة </w:t>
      </w:r>
      <w:r w:rsidR="0069722E">
        <w:rPr>
          <w:rFonts w:hint="cs"/>
          <w:rtl/>
          <w:lang w:eastAsia="ar-SA"/>
        </w:rPr>
        <w:t>بادعاءات العنف ضد الأطفال ليتم</w:t>
      </w:r>
      <w:r w:rsidR="000B1C7D">
        <w:rPr>
          <w:rFonts w:hint="cs"/>
          <w:rtl/>
          <w:lang w:eastAsia="ar-SA"/>
        </w:rPr>
        <w:t>كن من تحديد مسوّغ التحقيق فيها.</w:t>
      </w:r>
    </w:p>
    <w:p w:rsidR="0069722E" w:rsidRDefault="00A809D1" w:rsidP="00F50A2F">
      <w:pPr>
        <w:pStyle w:val="SingleTxtGA"/>
        <w:rPr>
          <w:rFonts w:hint="cs"/>
          <w:lang w:eastAsia="ar-SA"/>
        </w:rPr>
      </w:pPr>
      <w:r>
        <w:rPr>
          <w:rFonts w:hint="cs"/>
          <w:rtl/>
        </w:rPr>
        <w:t>42-</w:t>
      </w:r>
      <w:r>
        <w:rPr>
          <w:rFonts w:hint="cs"/>
          <w:rtl/>
        </w:rPr>
        <w:tab/>
      </w:r>
      <w:r w:rsidR="0069722E">
        <w:rPr>
          <w:rFonts w:hint="cs"/>
          <w:b/>
          <w:bCs/>
          <w:rtl/>
        </w:rPr>
        <w:t xml:space="preserve">السيد </w:t>
      </w:r>
      <w:proofErr w:type="spellStart"/>
      <w:r w:rsidR="0069722E">
        <w:rPr>
          <w:rFonts w:hint="cs"/>
          <w:b/>
          <w:bCs/>
          <w:rtl/>
        </w:rPr>
        <w:t>فيدتمان</w:t>
      </w:r>
      <w:proofErr w:type="spellEnd"/>
      <w:r w:rsidR="0069722E">
        <w:rPr>
          <w:rFonts w:hint="cs"/>
          <w:b/>
          <w:bCs/>
          <w:rtl/>
        </w:rPr>
        <w:t xml:space="preserve"> </w:t>
      </w:r>
      <w:r w:rsidR="0069722E" w:rsidRPr="00CD2E69">
        <w:rPr>
          <w:rFonts w:hint="cs"/>
          <w:rtl/>
        </w:rPr>
        <w:t>(ليتوانيا): قال إن</w:t>
      </w:r>
      <w:r w:rsidR="0069722E">
        <w:rPr>
          <w:rFonts w:hint="cs"/>
          <w:rtl/>
        </w:rPr>
        <w:t xml:space="preserve"> حوالي</w:t>
      </w:r>
      <w:r w:rsidR="0069722E">
        <w:rPr>
          <w:rFonts w:hint="cs"/>
          <w:b/>
          <w:bCs/>
          <w:rtl/>
        </w:rPr>
        <w:t xml:space="preserve"> </w:t>
      </w:r>
      <w:r w:rsidR="0069722E">
        <w:rPr>
          <w:rFonts w:hint="cs"/>
          <w:rtl/>
          <w:lang w:eastAsia="ar-SA"/>
        </w:rPr>
        <w:t xml:space="preserve">120 مؤسسة تعليمية تقدم الدروس بلغة </w:t>
      </w:r>
      <w:r w:rsidR="004C63C2">
        <w:rPr>
          <w:rFonts w:hint="cs"/>
          <w:rtl/>
          <w:lang w:eastAsia="ar-SA"/>
        </w:rPr>
        <w:t>أو </w:t>
      </w:r>
      <w:r w:rsidR="0069722E">
        <w:rPr>
          <w:rFonts w:hint="cs"/>
          <w:rtl/>
          <w:lang w:eastAsia="ar-SA"/>
        </w:rPr>
        <w:t xml:space="preserve">أكثر من لغات الأقليات القومية. وتقترح </w:t>
      </w:r>
      <w:proofErr w:type="spellStart"/>
      <w:r w:rsidR="0069722E">
        <w:rPr>
          <w:rFonts w:hint="cs"/>
          <w:rtl/>
          <w:lang w:eastAsia="ar-SA"/>
        </w:rPr>
        <w:t>دورس</w:t>
      </w:r>
      <w:proofErr w:type="spellEnd"/>
      <w:r w:rsidR="0069722E">
        <w:rPr>
          <w:rFonts w:hint="cs"/>
          <w:rtl/>
          <w:lang w:eastAsia="ar-SA"/>
        </w:rPr>
        <w:t xml:space="preserve"> مجانية في اللغة الليتوانية على الأطفال والبالغين المنحدرين من الأقليات، وبخاصة في المناطق التي تنتشر فيها الأقليات. وتطبق استراتيجية تطوير السياسات المتعلقة بالأقليات القومية على جميع الأقليات المعترف بها </w:t>
      </w:r>
      <w:r w:rsidR="004C63C2">
        <w:rPr>
          <w:rFonts w:hint="cs"/>
          <w:rtl/>
          <w:lang w:eastAsia="ar-SA"/>
        </w:rPr>
        <w:t>أو </w:t>
      </w:r>
      <w:r w:rsidR="0069722E">
        <w:rPr>
          <w:rFonts w:hint="cs"/>
          <w:rtl/>
          <w:lang w:eastAsia="ar-SA"/>
        </w:rPr>
        <w:t xml:space="preserve">المسجلة بهذه الصفة في البلد. وخُصص مبلغ مليار </w:t>
      </w:r>
      <w:proofErr w:type="spellStart"/>
      <w:r w:rsidR="0069722E">
        <w:rPr>
          <w:rFonts w:hint="cs"/>
          <w:rtl/>
          <w:lang w:eastAsia="ar-SA"/>
        </w:rPr>
        <w:t>ليتاس</w:t>
      </w:r>
      <w:proofErr w:type="spellEnd"/>
      <w:r w:rsidR="0069722E">
        <w:rPr>
          <w:rFonts w:hint="cs"/>
          <w:rtl/>
          <w:lang w:eastAsia="ar-SA"/>
        </w:rPr>
        <w:t xml:space="preserve"> للمنظمات التي تمثل الأقليات ضمن هذه الاستراتيجية. وتتحاور السلطات على نحو دائم مع ممثلي هذه المنظمات التي تجتمع داخل مجلس الأقليات.</w:t>
      </w:r>
    </w:p>
    <w:p w:rsidR="0069722E" w:rsidRDefault="00A809D1" w:rsidP="00CF5CD7">
      <w:pPr>
        <w:pStyle w:val="SingleTxtGA"/>
        <w:rPr>
          <w:rFonts w:hint="cs"/>
          <w:lang w:eastAsia="ar-SA"/>
        </w:rPr>
      </w:pPr>
      <w:r>
        <w:rPr>
          <w:rFonts w:hint="cs"/>
          <w:rtl/>
        </w:rPr>
        <w:t>43-</w:t>
      </w:r>
      <w:r>
        <w:rPr>
          <w:rFonts w:hint="cs"/>
          <w:rtl/>
        </w:rPr>
        <w:tab/>
      </w:r>
      <w:r w:rsidR="0069722E">
        <w:rPr>
          <w:rFonts w:hint="cs"/>
          <w:b/>
          <w:bCs/>
          <w:rtl/>
        </w:rPr>
        <w:t xml:space="preserve">السيدة </w:t>
      </w:r>
      <w:proofErr w:type="spellStart"/>
      <w:r w:rsidR="0069722E">
        <w:rPr>
          <w:rFonts w:hint="cs"/>
          <w:b/>
          <w:bCs/>
          <w:rtl/>
        </w:rPr>
        <w:t>بوكانتايتي</w:t>
      </w:r>
      <w:proofErr w:type="spellEnd"/>
      <w:r w:rsidR="0069722E">
        <w:rPr>
          <w:rFonts w:hint="cs"/>
          <w:b/>
          <w:bCs/>
          <w:rtl/>
        </w:rPr>
        <w:t xml:space="preserve"> </w:t>
      </w:r>
      <w:r w:rsidR="0069722E" w:rsidRPr="00F32A29">
        <w:rPr>
          <w:rFonts w:hint="cs"/>
          <w:rtl/>
        </w:rPr>
        <w:t>(ليتوانيا): قال</w:t>
      </w:r>
      <w:r w:rsidR="0069722E">
        <w:rPr>
          <w:rFonts w:hint="cs"/>
          <w:rtl/>
        </w:rPr>
        <w:t>ت</w:t>
      </w:r>
      <w:r w:rsidR="0069722E" w:rsidRPr="00F32A29">
        <w:rPr>
          <w:rFonts w:hint="cs"/>
          <w:rtl/>
        </w:rPr>
        <w:t xml:space="preserve"> إن المساعدة ال</w:t>
      </w:r>
      <w:r w:rsidR="0069722E">
        <w:rPr>
          <w:rFonts w:hint="cs"/>
          <w:rtl/>
          <w:lang w:eastAsia="ar-SA"/>
        </w:rPr>
        <w:t>قانونية الثانوية تتعلق بالإجراءات المدنية والإدارية والجنائية. وفي</w:t>
      </w:r>
      <w:r w:rsidR="00C026A7">
        <w:rPr>
          <w:rFonts w:hint="cs"/>
          <w:rtl/>
          <w:lang w:eastAsia="ar-SA"/>
        </w:rPr>
        <w:t>ما </w:t>
      </w:r>
      <w:r w:rsidR="0069722E">
        <w:rPr>
          <w:rFonts w:hint="cs"/>
          <w:rtl/>
          <w:lang w:eastAsia="ar-SA"/>
        </w:rPr>
        <w:t>يتعلق بالإجراءات الجنائية، يحدد القانون الحالات التي يمكن أن تقدم فيها المساعدة القانونية بغض النظر عن الوضع المالي للشخص الذي يرغب في الاستفادة منها، كأن يكون المتهم قاصر</w:t>
      </w:r>
      <w:r w:rsidR="00C026A7">
        <w:rPr>
          <w:rFonts w:hint="cs"/>
          <w:rtl/>
          <w:lang w:eastAsia="ar-SA"/>
        </w:rPr>
        <w:t xml:space="preserve">اً </w:t>
      </w:r>
      <w:r w:rsidR="0069722E">
        <w:rPr>
          <w:rFonts w:hint="cs"/>
          <w:rtl/>
          <w:lang w:eastAsia="ar-SA"/>
        </w:rPr>
        <w:t>مثل</w:t>
      </w:r>
      <w:r w:rsidR="00C026A7">
        <w:rPr>
          <w:rFonts w:hint="cs"/>
          <w:rtl/>
          <w:lang w:eastAsia="ar-SA"/>
        </w:rPr>
        <w:t xml:space="preserve">اً </w:t>
      </w:r>
      <w:r w:rsidR="004C63C2">
        <w:rPr>
          <w:rFonts w:hint="cs"/>
          <w:rtl/>
          <w:lang w:eastAsia="ar-SA"/>
        </w:rPr>
        <w:t>أو </w:t>
      </w:r>
      <w:r w:rsidR="0069722E">
        <w:rPr>
          <w:rFonts w:hint="cs"/>
          <w:rtl/>
          <w:lang w:eastAsia="ar-SA"/>
        </w:rPr>
        <w:t>ملاحق</w:t>
      </w:r>
      <w:r w:rsidR="00C026A7">
        <w:rPr>
          <w:rFonts w:hint="cs"/>
          <w:rtl/>
          <w:lang w:eastAsia="ar-SA"/>
        </w:rPr>
        <w:t xml:space="preserve">اً </w:t>
      </w:r>
      <w:r w:rsidR="0069722E">
        <w:rPr>
          <w:rFonts w:hint="cs"/>
          <w:rtl/>
          <w:lang w:eastAsia="ar-SA"/>
        </w:rPr>
        <w:t>بجريمة يعاقب عليها بالسجن المؤبد. أ</w:t>
      </w:r>
      <w:r w:rsidR="00C026A7">
        <w:rPr>
          <w:rFonts w:hint="cs"/>
          <w:rtl/>
          <w:lang w:eastAsia="ar-SA"/>
        </w:rPr>
        <w:t>ما </w:t>
      </w:r>
      <w:r w:rsidR="0069722E">
        <w:rPr>
          <w:rFonts w:hint="cs"/>
          <w:rtl/>
          <w:lang w:eastAsia="ar-SA"/>
        </w:rPr>
        <w:t xml:space="preserve">في الحالات الأخرى، فيتوقف تقديم المساعدة القانونية على شرط الموارد. وتفيد إحصاءات إدارة المساعدة القانونية بأن </w:t>
      </w:r>
      <w:r w:rsidR="00133339">
        <w:rPr>
          <w:rFonts w:hint="cs"/>
          <w:rtl/>
          <w:lang w:eastAsia="ar-SA"/>
        </w:rPr>
        <w:t xml:space="preserve">833 16 </w:t>
      </w:r>
      <w:r w:rsidR="0069722E">
        <w:rPr>
          <w:rFonts w:hint="cs"/>
          <w:rtl/>
          <w:lang w:eastAsia="ar-SA"/>
        </w:rPr>
        <w:t>شخص</w:t>
      </w:r>
      <w:r w:rsidR="00C026A7">
        <w:rPr>
          <w:rFonts w:hint="cs"/>
          <w:rtl/>
          <w:lang w:eastAsia="ar-SA"/>
        </w:rPr>
        <w:t xml:space="preserve">اً </w:t>
      </w:r>
      <w:r w:rsidR="0069722E">
        <w:rPr>
          <w:rFonts w:hint="cs"/>
          <w:rtl/>
          <w:lang w:eastAsia="ar-SA"/>
        </w:rPr>
        <w:t>طلبوا الحصول على المساعدة القانونية في عام 2011، و</w:t>
      </w:r>
      <w:r w:rsidR="00C026A7">
        <w:rPr>
          <w:rFonts w:hint="cs"/>
          <w:rtl/>
          <w:lang w:eastAsia="ar-SA"/>
        </w:rPr>
        <w:t>لم </w:t>
      </w:r>
      <w:r w:rsidR="0069722E">
        <w:rPr>
          <w:rFonts w:hint="cs"/>
          <w:rtl/>
          <w:lang w:eastAsia="ar-SA"/>
        </w:rPr>
        <w:t>يُرفض من هذه الطلبات سوى 283 طلب</w:t>
      </w:r>
      <w:r w:rsidR="00C026A7">
        <w:rPr>
          <w:rFonts w:hint="cs"/>
          <w:rtl/>
          <w:lang w:eastAsia="ar-SA"/>
        </w:rPr>
        <w:t>اً،</w:t>
      </w:r>
      <w:r w:rsidR="0069722E">
        <w:rPr>
          <w:rFonts w:hint="cs"/>
          <w:rtl/>
          <w:lang w:eastAsia="ar-SA"/>
        </w:rPr>
        <w:t xml:space="preserve"> أي </w:t>
      </w:r>
      <w:r w:rsidR="00133339">
        <w:rPr>
          <w:rFonts w:hint="cs"/>
          <w:rtl/>
          <w:lang w:eastAsia="ar-SA"/>
        </w:rPr>
        <w:t xml:space="preserve">1.7 </w:t>
      </w:r>
      <w:r w:rsidR="0069722E">
        <w:rPr>
          <w:rFonts w:hint="cs"/>
          <w:rtl/>
          <w:lang w:eastAsia="ar-SA"/>
        </w:rPr>
        <w:t>في المائة من مجموع الطلبات. ويُكفل الحصول على المساعدة القانونية في جميع مراحل الإجراءات المدنية والإدارية والجنائية. وفي</w:t>
      </w:r>
      <w:r w:rsidR="00C026A7">
        <w:rPr>
          <w:rFonts w:hint="cs"/>
          <w:rtl/>
          <w:lang w:eastAsia="ar-SA"/>
        </w:rPr>
        <w:t>ما </w:t>
      </w:r>
      <w:r w:rsidR="0069722E">
        <w:rPr>
          <w:rFonts w:hint="cs"/>
          <w:rtl/>
          <w:lang w:eastAsia="ar-SA"/>
        </w:rPr>
        <w:t>يتعلق بالإجراءات المدنية، تبت إدارة المساعدة القانونية في الطلبات المقدمة للحصول على المساعدة القانونية. وفي</w:t>
      </w:r>
      <w:r w:rsidR="00C026A7">
        <w:rPr>
          <w:rFonts w:hint="cs"/>
          <w:rtl/>
          <w:lang w:eastAsia="ar-SA"/>
        </w:rPr>
        <w:t>ما </w:t>
      </w:r>
      <w:r w:rsidR="0069722E">
        <w:rPr>
          <w:rFonts w:hint="cs"/>
          <w:rtl/>
          <w:lang w:eastAsia="ar-SA"/>
        </w:rPr>
        <w:t xml:space="preserve">يتعلق بالإجراءات الإدارية والجنائية، يبتّ </w:t>
      </w:r>
      <w:r w:rsidR="00133339">
        <w:rPr>
          <w:rFonts w:hint="cs"/>
          <w:rtl/>
          <w:lang w:eastAsia="ar-SA"/>
        </w:rPr>
        <w:t xml:space="preserve">وكيل النيابة </w:t>
      </w:r>
      <w:r w:rsidR="0069722E">
        <w:rPr>
          <w:rFonts w:hint="cs"/>
          <w:rtl/>
          <w:lang w:eastAsia="ar-SA"/>
        </w:rPr>
        <w:t xml:space="preserve">والمحكمة في هذه الطلبات. ويحق للأشخاص الذين يعتبرون عاجزين بموجب القانون الاستفادة من المساعدة القانونية. وفي هذا الصدد، تجدر الإشارة إلى أن ليتوانيا صدّقت على اتفاقية حقوق الأشخاص ذوي الإعاقة والبروتوكول </w:t>
      </w:r>
      <w:r w:rsidR="00133339">
        <w:rPr>
          <w:rFonts w:hint="cs"/>
          <w:rtl/>
          <w:lang w:eastAsia="ar-SA"/>
        </w:rPr>
        <w:t xml:space="preserve">الملحق بها </w:t>
      </w:r>
      <w:r w:rsidR="0069722E">
        <w:rPr>
          <w:rFonts w:hint="cs"/>
          <w:rtl/>
          <w:lang w:eastAsia="ar-SA"/>
        </w:rPr>
        <w:t>في عام</w:t>
      </w:r>
      <w:r w:rsidR="00CF5CD7">
        <w:rPr>
          <w:rFonts w:hint="eastAsia"/>
          <w:rtl/>
          <w:lang w:eastAsia="ar-SA"/>
        </w:rPr>
        <w:t> </w:t>
      </w:r>
      <w:r w:rsidR="0069722E">
        <w:rPr>
          <w:rFonts w:hint="cs"/>
          <w:rtl/>
          <w:lang w:eastAsia="ar-SA"/>
        </w:rPr>
        <w:t xml:space="preserve">2010 وأنها </w:t>
      </w:r>
      <w:r w:rsidR="00C026A7">
        <w:rPr>
          <w:rFonts w:hint="cs"/>
          <w:rtl/>
          <w:lang w:eastAsia="ar-SA"/>
        </w:rPr>
        <w:t>لا </w:t>
      </w:r>
      <w:r w:rsidR="0069722E">
        <w:rPr>
          <w:rFonts w:hint="cs"/>
          <w:rtl/>
          <w:lang w:eastAsia="ar-SA"/>
        </w:rPr>
        <w:t>تدّخر ج</w:t>
      </w:r>
      <w:r w:rsidR="00133339">
        <w:rPr>
          <w:rFonts w:hint="cs"/>
          <w:rtl/>
          <w:lang w:eastAsia="ar-SA"/>
        </w:rPr>
        <w:t>هد</w:t>
      </w:r>
      <w:r w:rsidR="00C026A7">
        <w:rPr>
          <w:rFonts w:hint="cs"/>
          <w:rtl/>
          <w:lang w:eastAsia="ar-SA"/>
        </w:rPr>
        <w:t xml:space="preserve">اً </w:t>
      </w:r>
      <w:r w:rsidR="00133339">
        <w:rPr>
          <w:rFonts w:hint="cs"/>
          <w:rtl/>
          <w:lang w:eastAsia="ar-SA"/>
        </w:rPr>
        <w:t>للوفاء بالتزاماتها بموجب هذين الصكين</w:t>
      </w:r>
      <w:r w:rsidR="0069722E">
        <w:rPr>
          <w:rFonts w:hint="cs"/>
          <w:rtl/>
          <w:lang w:eastAsia="ar-SA"/>
        </w:rPr>
        <w:t>. ك</w:t>
      </w:r>
      <w:r w:rsidR="00C026A7">
        <w:rPr>
          <w:rFonts w:hint="cs"/>
          <w:rtl/>
          <w:lang w:eastAsia="ar-SA"/>
        </w:rPr>
        <w:t>ما </w:t>
      </w:r>
      <w:r w:rsidR="0069722E">
        <w:rPr>
          <w:rFonts w:hint="cs"/>
          <w:rtl/>
          <w:lang w:eastAsia="ar-SA"/>
        </w:rPr>
        <w:t>قد يكون من المفيد إعلام اللجنة بأن مجلس أوروبا أشاد مرار</w:t>
      </w:r>
      <w:r w:rsidR="00C026A7">
        <w:rPr>
          <w:rFonts w:hint="cs"/>
          <w:rtl/>
          <w:lang w:eastAsia="ar-SA"/>
        </w:rPr>
        <w:t xml:space="preserve">اً </w:t>
      </w:r>
      <w:r w:rsidR="0069722E">
        <w:rPr>
          <w:rFonts w:hint="cs"/>
          <w:rtl/>
          <w:lang w:eastAsia="ar-SA"/>
        </w:rPr>
        <w:t>بنظام المساعدة القانونية في ليتوانيا.</w:t>
      </w:r>
    </w:p>
    <w:p w:rsidR="0069722E" w:rsidRPr="00CF5CD7" w:rsidRDefault="00A809D1" w:rsidP="00F50A2F">
      <w:pPr>
        <w:pStyle w:val="SingleTxtGA"/>
        <w:rPr>
          <w:rFonts w:hint="cs"/>
          <w:spacing w:val="-2"/>
          <w:lang w:eastAsia="ar-SA"/>
        </w:rPr>
      </w:pPr>
      <w:r w:rsidRPr="00CF5CD7">
        <w:rPr>
          <w:rFonts w:hint="cs"/>
          <w:spacing w:val="-2"/>
          <w:rtl/>
        </w:rPr>
        <w:t>44-</w:t>
      </w:r>
      <w:r w:rsidRPr="00CF5CD7">
        <w:rPr>
          <w:rFonts w:hint="cs"/>
          <w:spacing w:val="-2"/>
          <w:rtl/>
        </w:rPr>
        <w:tab/>
      </w:r>
      <w:r w:rsidR="0069722E" w:rsidRPr="00CF5CD7">
        <w:rPr>
          <w:rFonts w:hint="cs"/>
          <w:b/>
          <w:bCs/>
          <w:spacing w:val="-2"/>
          <w:rtl/>
        </w:rPr>
        <w:t xml:space="preserve">السيد </w:t>
      </w:r>
      <w:proofErr w:type="spellStart"/>
      <w:r w:rsidR="0069722E" w:rsidRPr="00CF5CD7">
        <w:rPr>
          <w:rFonts w:hint="cs"/>
          <w:b/>
          <w:bCs/>
          <w:spacing w:val="-2"/>
          <w:rtl/>
        </w:rPr>
        <w:t>فالونتكفيشيوس</w:t>
      </w:r>
      <w:proofErr w:type="spellEnd"/>
      <w:r w:rsidR="0069722E" w:rsidRPr="00CF5CD7">
        <w:rPr>
          <w:rFonts w:hint="cs"/>
          <w:b/>
          <w:bCs/>
          <w:spacing w:val="-2"/>
          <w:rtl/>
        </w:rPr>
        <w:t xml:space="preserve"> </w:t>
      </w:r>
      <w:r w:rsidR="0069722E" w:rsidRPr="00CF5CD7">
        <w:rPr>
          <w:rFonts w:hint="cs"/>
          <w:spacing w:val="-2"/>
          <w:rtl/>
        </w:rPr>
        <w:t xml:space="preserve">(ليتوانيا): </w:t>
      </w:r>
      <w:r w:rsidR="0069722E" w:rsidRPr="00CF5CD7">
        <w:rPr>
          <w:rFonts w:hint="cs"/>
          <w:spacing w:val="-2"/>
          <w:rtl/>
          <w:lang w:eastAsia="ar-SA"/>
        </w:rPr>
        <w:t xml:space="preserve">قال إن القانون الجنائي يجيز تحويل حكم الغرامة، عندما يعجز الشخص المدان عن تسديد مبلغها، إلى عمل ذي منفعة عامة </w:t>
      </w:r>
      <w:r w:rsidR="004C63C2" w:rsidRPr="00CF5CD7">
        <w:rPr>
          <w:rFonts w:hint="cs"/>
          <w:spacing w:val="-2"/>
          <w:rtl/>
          <w:lang w:eastAsia="ar-SA"/>
        </w:rPr>
        <w:t>أو </w:t>
      </w:r>
      <w:r w:rsidR="0069722E" w:rsidRPr="00CF5CD7">
        <w:rPr>
          <w:rFonts w:hint="cs"/>
          <w:spacing w:val="-2"/>
          <w:rtl/>
          <w:lang w:eastAsia="ar-SA"/>
        </w:rPr>
        <w:t xml:space="preserve">عقوبة سجن </w:t>
      </w:r>
      <w:r w:rsidR="00C026A7" w:rsidRPr="00CF5CD7">
        <w:rPr>
          <w:rFonts w:hint="cs"/>
          <w:spacing w:val="-2"/>
          <w:rtl/>
          <w:lang w:eastAsia="ar-SA"/>
        </w:rPr>
        <w:t>لا </w:t>
      </w:r>
      <w:r w:rsidR="0069722E" w:rsidRPr="00CF5CD7">
        <w:rPr>
          <w:rFonts w:hint="cs"/>
          <w:spacing w:val="-2"/>
          <w:rtl/>
          <w:lang w:eastAsia="ar-SA"/>
        </w:rPr>
        <w:t>تتجاوز مدتها تسعين يوم</w:t>
      </w:r>
      <w:r w:rsidR="00C026A7" w:rsidRPr="00CF5CD7">
        <w:rPr>
          <w:rFonts w:hint="cs"/>
          <w:spacing w:val="-2"/>
          <w:rtl/>
          <w:lang w:eastAsia="ar-SA"/>
        </w:rPr>
        <w:t>اً.</w:t>
      </w:r>
      <w:r w:rsidR="0069722E" w:rsidRPr="00CF5CD7">
        <w:rPr>
          <w:rFonts w:hint="cs"/>
          <w:spacing w:val="-2"/>
          <w:rtl/>
          <w:lang w:eastAsia="ar-SA"/>
        </w:rPr>
        <w:t xml:space="preserve"> وعندما يكون مبلغ الغرامة باهظ</w:t>
      </w:r>
      <w:r w:rsidR="00C026A7" w:rsidRPr="00CF5CD7">
        <w:rPr>
          <w:rFonts w:hint="cs"/>
          <w:spacing w:val="-2"/>
          <w:rtl/>
          <w:lang w:eastAsia="ar-SA"/>
        </w:rPr>
        <w:t>اً،</w:t>
      </w:r>
      <w:r w:rsidR="0069722E" w:rsidRPr="00CF5CD7">
        <w:rPr>
          <w:rFonts w:hint="cs"/>
          <w:spacing w:val="-2"/>
          <w:rtl/>
          <w:lang w:eastAsia="ar-SA"/>
        </w:rPr>
        <w:t xml:space="preserve"> قد يفضل البعض الإقامة في السجن على نفقة الدولة بدل</w:t>
      </w:r>
      <w:r w:rsidR="00C026A7" w:rsidRPr="00CF5CD7">
        <w:rPr>
          <w:rFonts w:hint="cs"/>
          <w:spacing w:val="-2"/>
          <w:rtl/>
          <w:lang w:eastAsia="ar-SA"/>
        </w:rPr>
        <w:t xml:space="preserve">اً </w:t>
      </w:r>
      <w:r w:rsidR="0069722E" w:rsidRPr="00CF5CD7">
        <w:rPr>
          <w:rFonts w:hint="cs"/>
          <w:spacing w:val="-2"/>
          <w:rtl/>
          <w:lang w:eastAsia="ar-SA"/>
        </w:rPr>
        <w:t xml:space="preserve">من دفع مبلغ الغرامة الذي قد يضر إلى حد </w:t>
      </w:r>
      <w:r w:rsidR="00C026A7" w:rsidRPr="00CF5CD7">
        <w:rPr>
          <w:rFonts w:hint="cs"/>
          <w:spacing w:val="-2"/>
          <w:rtl/>
          <w:lang w:eastAsia="ar-SA"/>
        </w:rPr>
        <w:t>ما </w:t>
      </w:r>
      <w:r w:rsidR="0069722E" w:rsidRPr="00CF5CD7">
        <w:rPr>
          <w:rFonts w:hint="cs"/>
          <w:spacing w:val="-2"/>
          <w:rtl/>
          <w:lang w:eastAsia="ar-SA"/>
        </w:rPr>
        <w:t>بوضعهم المادي على المدى الطويل. وفي</w:t>
      </w:r>
      <w:r w:rsidR="00C026A7" w:rsidRPr="00CF5CD7">
        <w:rPr>
          <w:rFonts w:hint="cs"/>
          <w:spacing w:val="-2"/>
          <w:rtl/>
          <w:lang w:eastAsia="ar-SA"/>
        </w:rPr>
        <w:t>ما </w:t>
      </w:r>
      <w:r w:rsidR="0069722E" w:rsidRPr="00CF5CD7">
        <w:rPr>
          <w:rFonts w:hint="cs"/>
          <w:spacing w:val="-2"/>
          <w:rtl/>
          <w:lang w:eastAsia="ar-SA"/>
        </w:rPr>
        <w:t xml:space="preserve">يتعلق بالعقود، يطبق القانون المدني الذي </w:t>
      </w:r>
      <w:r w:rsidR="00C026A7" w:rsidRPr="00CF5CD7">
        <w:rPr>
          <w:rFonts w:hint="cs"/>
          <w:spacing w:val="-2"/>
          <w:rtl/>
          <w:lang w:eastAsia="ar-SA"/>
        </w:rPr>
        <w:t>لا </w:t>
      </w:r>
      <w:r w:rsidR="0069722E" w:rsidRPr="00CF5CD7">
        <w:rPr>
          <w:rFonts w:hint="cs"/>
          <w:spacing w:val="-2"/>
          <w:rtl/>
          <w:lang w:eastAsia="ar-SA"/>
        </w:rPr>
        <w:t xml:space="preserve">يجيز تحويل الغرامة </w:t>
      </w:r>
      <w:r w:rsidR="004C63C2" w:rsidRPr="00CF5CD7">
        <w:rPr>
          <w:rFonts w:hint="cs"/>
          <w:spacing w:val="-2"/>
          <w:rtl/>
          <w:lang w:eastAsia="ar-SA"/>
        </w:rPr>
        <w:t>أو </w:t>
      </w:r>
      <w:r w:rsidR="0069722E" w:rsidRPr="00CF5CD7">
        <w:rPr>
          <w:rFonts w:hint="cs"/>
          <w:spacing w:val="-2"/>
          <w:rtl/>
          <w:lang w:eastAsia="ar-SA"/>
        </w:rPr>
        <w:t xml:space="preserve">التعويضات الجزائية </w:t>
      </w:r>
      <w:r w:rsidR="00133339" w:rsidRPr="00CF5CD7">
        <w:rPr>
          <w:rFonts w:hint="cs"/>
          <w:spacing w:val="-2"/>
          <w:rtl/>
          <w:lang w:eastAsia="ar-SA"/>
        </w:rPr>
        <w:t>المق</w:t>
      </w:r>
      <w:r w:rsidR="00876DB5">
        <w:rPr>
          <w:rFonts w:hint="cs"/>
          <w:spacing w:val="-2"/>
          <w:rtl/>
          <w:lang w:eastAsia="ar-SA"/>
        </w:rPr>
        <w:t>َ</w:t>
      </w:r>
      <w:r w:rsidR="00133339" w:rsidRPr="00CF5CD7">
        <w:rPr>
          <w:rFonts w:hint="cs"/>
          <w:spacing w:val="-2"/>
          <w:rtl/>
          <w:lang w:eastAsia="ar-SA"/>
        </w:rPr>
        <w:t>ر</w:t>
      </w:r>
      <w:r w:rsidR="00876DB5">
        <w:rPr>
          <w:rFonts w:hint="cs"/>
          <w:spacing w:val="-2"/>
          <w:rtl/>
          <w:lang w:eastAsia="ar-SA"/>
        </w:rPr>
        <w:t>َّ</w:t>
      </w:r>
      <w:r w:rsidR="00133339" w:rsidRPr="00CF5CD7">
        <w:rPr>
          <w:rFonts w:hint="cs"/>
          <w:spacing w:val="-2"/>
          <w:rtl/>
          <w:lang w:eastAsia="ar-SA"/>
        </w:rPr>
        <w:t xml:space="preserve">رة </w:t>
      </w:r>
      <w:r w:rsidR="0069722E" w:rsidRPr="00CF5CD7">
        <w:rPr>
          <w:rFonts w:hint="cs"/>
          <w:spacing w:val="-2"/>
          <w:rtl/>
          <w:lang w:eastAsia="ar-SA"/>
        </w:rPr>
        <w:t xml:space="preserve">إلى عقوبة سجن في حال عجز المتهم عن تسديد </w:t>
      </w:r>
      <w:r w:rsidR="00133339" w:rsidRPr="00CF5CD7">
        <w:rPr>
          <w:rFonts w:hint="cs"/>
          <w:spacing w:val="-2"/>
          <w:rtl/>
          <w:lang w:eastAsia="ar-SA"/>
        </w:rPr>
        <w:t>ال</w:t>
      </w:r>
      <w:r w:rsidR="0069722E" w:rsidRPr="00CF5CD7">
        <w:rPr>
          <w:rFonts w:hint="cs"/>
          <w:spacing w:val="-2"/>
          <w:rtl/>
          <w:lang w:eastAsia="ar-SA"/>
        </w:rPr>
        <w:t xml:space="preserve">مبلغ </w:t>
      </w:r>
      <w:r w:rsidR="00133339" w:rsidRPr="00CF5CD7">
        <w:rPr>
          <w:rFonts w:hint="cs"/>
          <w:spacing w:val="-2"/>
          <w:rtl/>
          <w:lang w:eastAsia="ar-SA"/>
        </w:rPr>
        <w:t>المستحق.</w:t>
      </w:r>
    </w:p>
    <w:p w:rsidR="0069722E" w:rsidRDefault="00A809D1" w:rsidP="00F50A2F">
      <w:pPr>
        <w:pStyle w:val="SingleTxtGA"/>
        <w:rPr>
          <w:rFonts w:hint="cs"/>
          <w:lang w:eastAsia="ar-SA"/>
        </w:rPr>
      </w:pPr>
      <w:r>
        <w:rPr>
          <w:rFonts w:hint="cs"/>
          <w:rtl/>
        </w:rPr>
        <w:t>45-</w:t>
      </w:r>
      <w:r>
        <w:rPr>
          <w:rFonts w:hint="cs"/>
          <w:rtl/>
        </w:rPr>
        <w:tab/>
      </w:r>
      <w:r w:rsidR="0069722E">
        <w:rPr>
          <w:rFonts w:hint="cs"/>
          <w:b/>
          <w:bCs/>
          <w:rtl/>
        </w:rPr>
        <w:t xml:space="preserve">السيدة </w:t>
      </w:r>
      <w:proofErr w:type="spellStart"/>
      <w:r w:rsidR="0069722E">
        <w:rPr>
          <w:rFonts w:hint="cs"/>
          <w:b/>
          <w:bCs/>
          <w:rtl/>
        </w:rPr>
        <w:t>أوربوني</w:t>
      </w:r>
      <w:proofErr w:type="spellEnd"/>
      <w:r w:rsidR="0069722E">
        <w:rPr>
          <w:rFonts w:hint="cs"/>
          <w:b/>
          <w:bCs/>
          <w:rtl/>
        </w:rPr>
        <w:t xml:space="preserve"> </w:t>
      </w:r>
      <w:r w:rsidR="0069722E">
        <w:rPr>
          <w:rFonts w:hint="cs"/>
          <w:rtl/>
        </w:rPr>
        <w:t xml:space="preserve">(ليتوانيا): قالت إن مبررات الطرد المنصوص عليها في المادة 26 من القانون المتعلق بالوضع القانوني للأجانب مبررات محدودة وأن المحكمة وحدها قادرة على إصدار أمر الطرد. وتمنع المادة 130 من هذا القانون طرد أجنبي إلى بلد حيث </w:t>
      </w:r>
      <w:r w:rsidR="00133339">
        <w:rPr>
          <w:rFonts w:hint="cs"/>
          <w:rtl/>
        </w:rPr>
        <w:t>يمكن أن يواجه خطر ا</w:t>
      </w:r>
      <w:r w:rsidR="0069722E">
        <w:rPr>
          <w:rFonts w:hint="cs"/>
          <w:rtl/>
        </w:rPr>
        <w:t xml:space="preserve">لتعذيب </w:t>
      </w:r>
      <w:r w:rsidR="004C63C2">
        <w:rPr>
          <w:rFonts w:hint="cs"/>
          <w:rtl/>
        </w:rPr>
        <w:t>أو </w:t>
      </w:r>
      <w:r w:rsidR="0069722E">
        <w:rPr>
          <w:rFonts w:hint="cs"/>
          <w:rtl/>
        </w:rPr>
        <w:t xml:space="preserve">غيره من ضروب المعاملة القاسية </w:t>
      </w:r>
      <w:r w:rsidR="004C63C2">
        <w:rPr>
          <w:rFonts w:hint="cs"/>
          <w:rtl/>
        </w:rPr>
        <w:t>أو </w:t>
      </w:r>
      <w:proofErr w:type="spellStart"/>
      <w:r w:rsidR="0069722E">
        <w:rPr>
          <w:rFonts w:hint="cs"/>
          <w:rtl/>
          <w:lang w:eastAsia="ar-SA"/>
        </w:rPr>
        <w:t>اللإنسانية</w:t>
      </w:r>
      <w:proofErr w:type="spellEnd"/>
      <w:r w:rsidR="0069722E">
        <w:rPr>
          <w:rFonts w:hint="cs"/>
          <w:rtl/>
          <w:lang w:eastAsia="ar-SA"/>
        </w:rPr>
        <w:t xml:space="preserve"> </w:t>
      </w:r>
      <w:r w:rsidR="004C63C2">
        <w:rPr>
          <w:rFonts w:hint="cs"/>
          <w:rtl/>
          <w:lang w:eastAsia="ar-SA"/>
        </w:rPr>
        <w:t>أو </w:t>
      </w:r>
      <w:r w:rsidR="0069722E">
        <w:rPr>
          <w:rFonts w:hint="cs"/>
          <w:rtl/>
          <w:lang w:eastAsia="ar-SA"/>
        </w:rPr>
        <w:t xml:space="preserve">المهينة. </w:t>
      </w:r>
      <w:r w:rsidR="00133339">
        <w:rPr>
          <w:rFonts w:hint="cs"/>
          <w:rtl/>
          <w:lang w:eastAsia="ar-SA"/>
        </w:rPr>
        <w:t xml:space="preserve">ويترتب على </w:t>
      </w:r>
      <w:r w:rsidR="0069722E">
        <w:rPr>
          <w:rFonts w:hint="cs"/>
          <w:rtl/>
          <w:lang w:eastAsia="ar-SA"/>
        </w:rPr>
        <w:t xml:space="preserve">الطعون المقدمة في هذا الصدد </w:t>
      </w:r>
      <w:r w:rsidR="00133339">
        <w:rPr>
          <w:rFonts w:hint="cs"/>
          <w:rtl/>
          <w:lang w:eastAsia="ar-SA"/>
        </w:rPr>
        <w:t>تعليق التنفيذ</w:t>
      </w:r>
      <w:r w:rsidR="0069722E">
        <w:rPr>
          <w:rFonts w:hint="cs"/>
          <w:rtl/>
          <w:lang w:eastAsia="ar-SA"/>
        </w:rPr>
        <w:t>. ويمكن أن تشرف المنظمات الدولية والمنظمات غير الحكومية على تنفيذ أوامر الط</w:t>
      </w:r>
      <w:r w:rsidR="00CF5CD7">
        <w:rPr>
          <w:rFonts w:hint="cs"/>
          <w:rtl/>
          <w:lang w:eastAsia="ar-SA"/>
        </w:rPr>
        <w:t>رد.</w:t>
      </w:r>
    </w:p>
    <w:p w:rsidR="0069722E" w:rsidRPr="000B1C7D" w:rsidRDefault="00A809D1" w:rsidP="00F50A2F">
      <w:pPr>
        <w:pStyle w:val="SingleTxtGA"/>
        <w:rPr>
          <w:rFonts w:hint="cs"/>
          <w:spacing w:val="-1"/>
          <w:lang w:eastAsia="ar-SA"/>
        </w:rPr>
      </w:pPr>
      <w:r w:rsidRPr="000B1C7D">
        <w:rPr>
          <w:rFonts w:hint="cs"/>
          <w:spacing w:val="-1"/>
          <w:rtl/>
        </w:rPr>
        <w:t>46-</w:t>
      </w:r>
      <w:r w:rsidRPr="000B1C7D">
        <w:rPr>
          <w:rFonts w:hint="cs"/>
          <w:spacing w:val="-1"/>
          <w:rtl/>
        </w:rPr>
        <w:tab/>
      </w:r>
      <w:r w:rsidR="0069722E" w:rsidRPr="000B1C7D">
        <w:rPr>
          <w:rFonts w:hint="cs"/>
          <w:b/>
          <w:bCs/>
          <w:spacing w:val="-1"/>
          <w:rtl/>
        </w:rPr>
        <w:t xml:space="preserve">السيد </w:t>
      </w:r>
      <w:proofErr w:type="spellStart"/>
      <w:r w:rsidR="0069722E" w:rsidRPr="000B1C7D">
        <w:rPr>
          <w:rFonts w:hint="cs"/>
          <w:b/>
          <w:bCs/>
          <w:spacing w:val="-1"/>
          <w:rtl/>
        </w:rPr>
        <w:t>فيلكاس</w:t>
      </w:r>
      <w:proofErr w:type="spellEnd"/>
      <w:r w:rsidR="0069722E" w:rsidRPr="000B1C7D">
        <w:rPr>
          <w:rFonts w:hint="cs"/>
          <w:b/>
          <w:bCs/>
          <w:spacing w:val="-1"/>
          <w:rtl/>
        </w:rPr>
        <w:t xml:space="preserve"> </w:t>
      </w:r>
      <w:r w:rsidR="0069722E" w:rsidRPr="000B1C7D">
        <w:rPr>
          <w:rFonts w:hint="cs"/>
          <w:spacing w:val="-1"/>
          <w:rtl/>
        </w:rPr>
        <w:t>(ليتوانيا): قال إن</w:t>
      </w:r>
      <w:r w:rsidR="0069722E" w:rsidRPr="000B1C7D">
        <w:rPr>
          <w:rFonts w:hint="cs"/>
          <w:b/>
          <w:bCs/>
          <w:spacing w:val="-1"/>
          <w:rtl/>
        </w:rPr>
        <w:t xml:space="preserve"> </w:t>
      </w:r>
      <w:r w:rsidR="0069722E" w:rsidRPr="000B1C7D">
        <w:rPr>
          <w:rFonts w:hint="cs"/>
          <w:spacing w:val="-1"/>
          <w:rtl/>
          <w:lang w:eastAsia="ar-SA"/>
        </w:rPr>
        <w:t xml:space="preserve">ليتوانيا تحترم حرية التعبير لكنها </w:t>
      </w:r>
      <w:r w:rsidR="00C026A7" w:rsidRPr="000B1C7D">
        <w:rPr>
          <w:rFonts w:hint="cs"/>
          <w:spacing w:val="-1"/>
          <w:rtl/>
          <w:lang w:eastAsia="ar-SA"/>
        </w:rPr>
        <w:t>لا </w:t>
      </w:r>
      <w:r w:rsidR="0069722E" w:rsidRPr="000B1C7D">
        <w:rPr>
          <w:rFonts w:hint="cs"/>
          <w:spacing w:val="-1"/>
          <w:rtl/>
          <w:lang w:eastAsia="ar-SA"/>
        </w:rPr>
        <w:t>تعتبره</w:t>
      </w:r>
      <w:r w:rsidR="00C93728" w:rsidRPr="000B1C7D">
        <w:rPr>
          <w:rFonts w:hint="cs"/>
          <w:spacing w:val="-1"/>
          <w:rtl/>
          <w:lang w:eastAsia="ar-SA"/>
        </w:rPr>
        <w:t>ا</w:t>
      </w:r>
      <w:r w:rsidR="0069722E" w:rsidRPr="000B1C7D">
        <w:rPr>
          <w:rFonts w:hint="cs"/>
          <w:spacing w:val="-1"/>
          <w:rtl/>
          <w:lang w:eastAsia="ar-SA"/>
        </w:rPr>
        <w:t xml:space="preserve"> حق</w:t>
      </w:r>
      <w:r w:rsidR="00C026A7" w:rsidRPr="000B1C7D">
        <w:rPr>
          <w:rFonts w:hint="cs"/>
          <w:spacing w:val="-1"/>
          <w:rtl/>
          <w:lang w:eastAsia="ar-SA"/>
        </w:rPr>
        <w:t xml:space="preserve">اً </w:t>
      </w:r>
      <w:r w:rsidR="0069722E" w:rsidRPr="000B1C7D">
        <w:rPr>
          <w:rFonts w:hint="cs"/>
          <w:spacing w:val="-1"/>
          <w:rtl/>
          <w:lang w:eastAsia="ar-SA"/>
        </w:rPr>
        <w:t>مطلق</w:t>
      </w:r>
      <w:r w:rsidR="00C026A7" w:rsidRPr="000B1C7D">
        <w:rPr>
          <w:rFonts w:hint="cs"/>
          <w:spacing w:val="-1"/>
          <w:rtl/>
          <w:lang w:eastAsia="ar-SA"/>
        </w:rPr>
        <w:t>اً.</w:t>
      </w:r>
      <w:r w:rsidR="0069722E" w:rsidRPr="000B1C7D">
        <w:rPr>
          <w:rFonts w:hint="cs"/>
          <w:spacing w:val="-1"/>
          <w:rtl/>
          <w:lang w:eastAsia="ar-SA"/>
        </w:rPr>
        <w:t xml:space="preserve"> ويتضمن الدستور والقانون الجنائي وقانون نشر المعلومات أحكام</w:t>
      </w:r>
      <w:r w:rsidR="00C026A7" w:rsidRPr="000B1C7D">
        <w:rPr>
          <w:rFonts w:hint="cs"/>
          <w:spacing w:val="-1"/>
          <w:rtl/>
          <w:lang w:eastAsia="ar-SA"/>
        </w:rPr>
        <w:t xml:space="preserve">اً </w:t>
      </w:r>
      <w:r w:rsidR="0069722E" w:rsidRPr="000B1C7D">
        <w:rPr>
          <w:rFonts w:hint="cs"/>
          <w:spacing w:val="-1"/>
          <w:rtl/>
          <w:lang w:eastAsia="ar-SA"/>
        </w:rPr>
        <w:t xml:space="preserve">تمنع التحريض على الكراهية. </w:t>
      </w:r>
      <w:r w:rsidR="00C93728" w:rsidRPr="000B1C7D">
        <w:rPr>
          <w:rFonts w:hint="cs"/>
          <w:spacing w:val="-1"/>
          <w:rtl/>
          <w:lang w:eastAsia="ar-SA"/>
        </w:rPr>
        <w:t xml:space="preserve">ويتولى </w:t>
      </w:r>
      <w:r w:rsidR="0069722E" w:rsidRPr="000B1C7D">
        <w:rPr>
          <w:rFonts w:hint="cs"/>
          <w:spacing w:val="-1"/>
          <w:rtl/>
          <w:lang w:eastAsia="ar-SA"/>
        </w:rPr>
        <w:t xml:space="preserve">مفتش الأخلاقيات الصحفية، الذي يعينه البرلمان، </w:t>
      </w:r>
      <w:r w:rsidR="00C93728" w:rsidRPr="000B1C7D">
        <w:rPr>
          <w:rFonts w:hint="cs"/>
          <w:spacing w:val="-1"/>
          <w:rtl/>
          <w:lang w:eastAsia="ar-SA"/>
        </w:rPr>
        <w:t xml:space="preserve">مراقبة </w:t>
      </w:r>
      <w:r w:rsidR="0069722E" w:rsidRPr="000B1C7D">
        <w:rPr>
          <w:rFonts w:hint="cs"/>
          <w:spacing w:val="-1"/>
          <w:rtl/>
          <w:lang w:eastAsia="ar-SA"/>
        </w:rPr>
        <w:t xml:space="preserve">تطبيق قانون نشر المعلومات وقانون حماية الأحداث. </w:t>
      </w:r>
      <w:r w:rsidR="00C93728" w:rsidRPr="000B1C7D">
        <w:rPr>
          <w:rFonts w:hint="cs"/>
          <w:spacing w:val="-1"/>
          <w:rtl/>
          <w:lang w:eastAsia="ar-SA"/>
        </w:rPr>
        <w:t xml:space="preserve">ويحرص </w:t>
      </w:r>
      <w:r w:rsidR="0069722E" w:rsidRPr="000B1C7D">
        <w:rPr>
          <w:rFonts w:hint="cs"/>
          <w:spacing w:val="-1"/>
          <w:rtl/>
          <w:lang w:eastAsia="ar-SA"/>
        </w:rPr>
        <w:t>على احترام مبادئ من قبيل الدقة والموضوعية واحترام الكرامة والحياة الخاصة. وفي حال ادعاء انتهاك أحكام هذا القانون، يفتح المفتش تحقيق</w:t>
      </w:r>
      <w:r w:rsidR="00C026A7" w:rsidRPr="000B1C7D">
        <w:rPr>
          <w:rFonts w:hint="cs"/>
          <w:spacing w:val="-1"/>
          <w:rtl/>
          <w:lang w:eastAsia="ar-SA"/>
        </w:rPr>
        <w:t xml:space="preserve">اً </w:t>
      </w:r>
      <w:r w:rsidR="0069722E" w:rsidRPr="000B1C7D">
        <w:rPr>
          <w:rFonts w:hint="cs"/>
          <w:spacing w:val="-1"/>
          <w:rtl/>
          <w:lang w:eastAsia="ar-SA"/>
        </w:rPr>
        <w:t xml:space="preserve">(من تلقاء نفسه </w:t>
      </w:r>
      <w:r w:rsidR="004C63C2" w:rsidRPr="000B1C7D">
        <w:rPr>
          <w:rFonts w:hint="cs"/>
          <w:spacing w:val="-1"/>
          <w:rtl/>
          <w:lang w:eastAsia="ar-SA"/>
        </w:rPr>
        <w:t>أو </w:t>
      </w:r>
      <w:r w:rsidR="0069722E" w:rsidRPr="000B1C7D">
        <w:rPr>
          <w:rFonts w:hint="cs"/>
          <w:spacing w:val="-1"/>
          <w:rtl/>
          <w:lang w:eastAsia="ar-SA"/>
        </w:rPr>
        <w:t xml:space="preserve">بناء على شكوى). ويخضع إجراء النظر في الشكاوى للمبادئ المنصوص عليها في الفقرة 3 من المادة 19 من العهد. ويمكن أن يوجه المفتش إنذارات </w:t>
      </w:r>
      <w:r w:rsidR="004C63C2" w:rsidRPr="000B1C7D">
        <w:rPr>
          <w:rFonts w:hint="cs"/>
          <w:spacing w:val="-1"/>
          <w:rtl/>
          <w:lang w:eastAsia="ar-SA"/>
        </w:rPr>
        <w:t>أو </w:t>
      </w:r>
      <w:r w:rsidR="0069722E" w:rsidRPr="000B1C7D">
        <w:rPr>
          <w:rFonts w:hint="cs"/>
          <w:spacing w:val="-1"/>
          <w:rtl/>
          <w:lang w:eastAsia="ar-SA"/>
        </w:rPr>
        <w:t xml:space="preserve">يفرض عقوبات إدارية لكن </w:t>
      </w:r>
      <w:r w:rsidR="00C026A7" w:rsidRPr="000B1C7D">
        <w:rPr>
          <w:rFonts w:hint="cs"/>
          <w:spacing w:val="-1"/>
          <w:rtl/>
          <w:lang w:eastAsia="ar-SA"/>
        </w:rPr>
        <w:t>لا </w:t>
      </w:r>
      <w:r w:rsidR="0069722E" w:rsidRPr="000B1C7D">
        <w:rPr>
          <w:rFonts w:hint="cs"/>
          <w:spacing w:val="-1"/>
          <w:rtl/>
          <w:lang w:eastAsia="ar-SA"/>
        </w:rPr>
        <w:t xml:space="preserve">يمكنه فرض الرقابة </w:t>
      </w:r>
      <w:r w:rsidR="004C63C2" w:rsidRPr="000B1C7D">
        <w:rPr>
          <w:rFonts w:hint="cs"/>
          <w:spacing w:val="-1"/>
          <w:rtl/>
          <w:lang w:eastAsia="ar-SA"/>
        </w:rPr>
        <w:t>أو </w:t>
      </w:r>
      <w:r w:rsidR="005C29B8" w:rsidRPr="000B1C7D">
        <w:rPr>
          <w:rFonts w:hint="cs"/>
          <w:spacing w:val="-1"/>
          <w:rtl/>
          <w:lang w:eastAsia="ar-SA"/>
        </w:rPr>
        <w:t>طلب الإفصاح عن مصادر المعلومات.</w:t>
      </w:r>
    </w:p>
    <w:p w:rsidR="0069722E" w:rsidRPr="000B1C7D" w:rsidRDefault="00A809D1" w:rsidP="00F50A2F">
      <w:pPr>
        <w:pStyle w:val="SingleTxtGA"/>
        <w:rPr>
          <w:rFonts w:hint="cs"/>
          <w:spacing w:val="-1"/>
          <w:lang w:eastAsia="ar-SA"/>
        </w:rPr>
      </w:pPr>
      <w:r w:rsidRPr="000B1C7D">
        <w:rPr>
          <w:rFonts w:hint="cs"/>
          <w:spacing w:val="-1"/>
          <w:rtl/>
        </w:rPr>
        <w:t>47-</w:t>
      </w:r>
      <w:r w:rsidRPr="000B1C7D">
        <w:rPr>
          <w:rFonts w:hint="cs"/>
          <w:spacing w:val="-1"/>
          <w:rtl/>
        </w:rPr>
        <w:tab/>
      </w:r>
      <w:r w:rsidR="0069722E" w:rsidRPr="000B1C7D">
        <w:rPr>
          <w:rFonts w:hint="cs"/>
          <w:b/>
          <w:bCs/>
          <w:spacing w:val="-1"/>
          <w:rtl/>
        </w:rPr>
        <w:t xml:space="preserve">السيد </w:t>
      </w:r>
      <w:proofErr w:type="spellStart"/>
      <w:r w:rsidR="0069722E" w:rsidRPr="000B1C7D">
        <w:rPr>
          <w:rFonts w:hint="cs"/>
          <w:b/>
          <w:bCs/>
          <w:spacing w:val="-1"/>
          <w:rtl/>
        </w:rPr>
        <w:t>أوفلاهرتي</w:t>
      </w:r>
      <w:proofErr w:type="spellEnd"/>
      <w:r w:rsidR="0069722E" w:rsidRPr="000B1C7D">
        <w:rPr>
          <w:rFonts w:hint="cs"/>
          <w:spacing w:val="-1"/>
          <w:rtl/>
        </w:rPr>
        <w:t xml:space="preserve">: قال إنه قلق إزاء تطبيق أحكام المادة 16 من قانون حماية الأحداث من آثار الإعلام العام السلبية، وهي أحكام تبدو </w:t>
      </w:r>
      <w:proofErr w:type="spellStart"/>
      <w:r w:rsidR="0069722E" w:rsidRPr="000B1C7D">
        <w:rPr>
          <w:rFonts w:hint="cs"/>
          <w:spacing w:val="-1"/>
          <w:rtl/>
        </w:rPr>
        <w:t>تقييدية</w:t>
      </w:r>
      <w:proofErr w:type="spellEnd"/>
      <w:r w:rsidR="0069722E" w:rsidRPr="000B1C7D">
        <w:rPr>
          <w:rFonts w:hint="cs"/>
          <w:spacing w:val="-1"/>
          <w:rtl/>
        </w:rPr>
        <w:t xml:space="preserve"> على نحو مفرط مقارنة بالمادة 19 من العهد. </w:t>
      </w:r>
      <w:r w:rsidR="0069722E" w:rsidRPr="000B1C7D">
        <w:rPr>
          <w:rFonts w:hint="cs"/>
          <w:spacing w:val="-1"/>
          <w:rtl/>
          <w:lang w:eastAsia="ar-SA"/>
        </w:rPr>
        <w:t>وأحاط علم</w:t>
      </w:r>
      <w:r w:rsidR="00C026A7" w:rsidRPr="000B1C7D">
        <w:rPr>
          <w:rFonts w:hint="cs"/>
          <w:spacing w:val="-1"/>
          <w:rtl/>
          <w:lang w:eastAsia="ar-SA"/>
        </w:rPr>
        <w:t xml:space="preserve">اً </w:t>
      </w:r>
      <w:r w:rsidR="0069722E" w:rsidRPr="000B1C7D">
        <w:rPr>
          <w:rFonts w:hint="cs"/>
          <w:spacing w:val="-1"/>
          <w:rtl/>
          <w:lang w:eastAsia="ar-SA"/>
        </w:rPr>
        <w:t xml:space="preserve">بملاحظة السيدة </w:t>
      </w:r>
      <w:proofErr w:type="spellStart"/>
      <w:r w:rsidR="0069722E" w:rsidRPr="000B1C7D">
        <w:rPr>
          <w:rFonts w:hint="cs"/>
          <w:spacing w:val="-1"/>
          <w:rtl/>
          <w:lang w:bidi="ar"/>
        </w:rPr>
        <w:t>سكايسغيريتي</w:t>
      </w:r>
      <w:proofErr w:type="spellEnd"/>
      <w:r w:rsidR="0069722E" w:rsidRPr="000B1C7D">
        <w:rPr>
          <w:rFonts w:hint="cs"/>
          <w:spacing w:val="-1"/>
          <w:rtl/>
          <w:lang w:bidi="ar"/>
        </w:rPr>
        <w:t xml:space="preserve"> </w:t>
      </w:r>
      <w:proofErr w:type="spellStart"/>
      <w:r w:rsidR="0069722E" w:rsidRPr="000B1C7D">
        <w:rPr>
          <w:rFonts w:hint="cs"/>
          <w:spacing w:val="-1"/>
          <w:rtl/>
          <w:lang w:bidi="ar"/>
        </w:rPr>
        <w:t>ليوسكييني</w:t>
      </w:r>
      <w:proofErr w:type="spellEnd"/>
      <w:r w:rsidR="0069722E" w:rsidRPr="000B1C7D">
        <w:rPr>
          <w:rFonts w:hint="cs"/>
          <w:b/>
          <w:bCs/>
          <w:spacing w:val="-1"/>
          <w:rtl/>
          <w:lang w:bidi="ar"/>
        </w:rPr>
        <w:t xml:space="preserve"> </w:t>
      </w:r>
      <w:r w:rsidR="0069722E" w:rsidRPr="000B1C7D">
        <w:rPr>
          <w:rFonts w:hint="cs"/>
          <w:spacing w:val="-1"/>
          <w:rtl/>
          <w:lang w:eastAsia="ar-SA"/>
        </w:rPr>
        <w:t xml:space="preserve">التي أكدت أن الدولة </w:t>
      </w:r>
      <w:r w:rsidR="00C026A7" w:rsidRPr="000B1C7D">
        <w:rPr>
          <w:rFonts w:hint="cs"/>
          <w:spacing w:val="-1"/>
          <w:rtl/>
          <w:lang w:eastAsia="ar-SA"/>
        </w:rPr>
        <w:t>لا </w:t>
      </w:r>
      <w:r w:rsidR="0069722E" w:rsidRPr="000B1C7D">
        <w:rPr>
          <w:rFonts w:hint="cs"/>
          <w:spacing w:val="-1"/>
          <w:rtl/>
          <w:lang w:eastAsia="ar-SA"/>
        </w:rPr>
        <w:t>يمكنها منع التجمعات حتى وإن كانت تدعو إلى الكراهية الشديدة، لكنه ذكّر بأن حرية التجمع ليست حق</w:t>
      </w:r>
      <w:r w:rsidR="00C026A7" w:rsidRPr="000B1C7D">
        <w:rPr>
          <w:rFonts w:hint="cs"/>
          <w:spacing w:val="-1"/>
          <w:rtl/>
          <w:lang w:eastAsia="ar-SA"/>
        </w:rPr>
        <w:t xml:space="preserve">اً </w:t>
      </w:r>
      <w:r w:rsidR="0069722E" w:rsidRPr="000B1C7D">
        <w:rPr>
          <w:rFonts w:hint="cs"/>
          <w:spacing w:val="-1"/>
          <w:rtl/>
          <w:lang w:eastAsia="ar-SA"/>
        </w:rPr>
        <w:t>مطلق</w:t>
      </w:r>
      <w:r w:rsidR="00C026A7" w:rsidRPr="000B1C7D">
        <w:rPr>
          <w:rFonts w:hint="cs"/>
          <w:spacing w:val="-1"/>
          <w:rtl/>
          <w:lang w:eastAsia="ar-SA"/>
        </w:rPr>
        <w:t xml:space="preserve">اً </w:t>
      </w:r>
      <w:r w:rsidR="0069722E" w:rsidRPr="000B1C7D">
        <w:rPr>
          <w:rFonts w:hint="cs"/>
          <w:spacing w:val="-1"/>
          <w:rtl/>
          <w:lang w:eastAsia="ar-SA"/>
        </w:rPr>
        <w:t xml:space="preserve">وأنه يتعين على الدولة في بعض الأحيان اتخاذ تدابير </w:t>
      </w:r>
      <w:proofErr w:type="spellStart"/>
      <w:r w:rsidR="0069722E" w:rsidRPr="000B1C7D">
        <w:rPr>
          <w:rFonts w:hint="cs"/>
          <w:spacing w:val="-1"/>
          <w:rtl/>
          <w:lang w:eastAsia="ar-SA"/>
        </w:rPr>
        <w:t>تقييدية</w:t>
      </w:r>
      <w:proofErr w:type="spellEnd"/>
      <w:r w:rsidR="0069722E" w:rsidRPr="000B1C7D">
        <w:rPr>
          <w:rFonts w:hint="cs"/>
          <w:spacing w:val="-1"/>
          <w:rtl/>
          <w:lang w:eastAsia="ar-SA"/>
        </w:rPr>
        <w:t xml:space="preserve"> </w:t>
      </w:r>
      <w:r w:rsidR="00C026A7" w:rsidRPr="000B1C7D">
        <w:rPr>
          <w:rFonts w:hint="cs"/>
          <w:spacing w:val="-1"/>
          <w:rtl/>
          <w:lang w:eastAsia="ar-SA"/>
        </w:rPr>
        <w:t xml:space="preserve">لا سيما </w:t>
      </w:r>
      <w:r w:rsidR="0069722E" w:rsidRPr="000B1C7D">
        <w:rPr>
          <w:rFonts w:hint="cs"/>
          <w:spacing w:val="-1"/>
          <w:rtl/>
          <w:lang w:eastAsia="ar-SA"/>
        </w:rPr>
        <w:t xml:space="preserve">عندما تكون حقوق الإنسان معرضة للانتهاك. ووجّه </w:t>
      </w:r>
      <w:proofErr w:type="spellStart"/>
      <w:r w:rsidR="0069722E" w:rsidRPr="000B1C7D">
        <w:rPr>
          <w:rFonts w:hint="cs"/>
          <w:spacing w:val="-1"/>
          <w:rtl/>
          <w:lang w:eastAsia="ar-SA"/>
        </w:rPr>
        <w:t>الانبتاه</w:t>
      </w:r>
      <w:proofErr w:type="spellEnd"/>
      <w:r w:rsidR="0069722E" w:rsidRPr="000B1C7D">
        <w:rPr>
          <w:rFonts w:hint="cs"/>
          <w:spacing w:val="-1"/>
          <w:rtl/>
          <w:lang w:eastAsia="ar-SA"/>
        </w:rPr>
        <w:t xml:space="preserve"> إلى الوضع المقلق جد</w:t>
      </w:r>
      <w:r w:rsidR="00C026A7" w:rsidRPr="000B1C7D">
        <w:rPr>
          <w:rFonts w:hint="cs"/>
          <w:spacing w:val="-1"/>
          <w:rtl/>
          <w:lang w:eastAsia="ar-SA"/>
        </w:rPr>
        <w:t xml:space="preserve">اً </w:t>
      </w:r>
      <w:r w:rsidR="0069722E" w:rsidRPr="000B1C7D">
        <w:rPr>
          <w:rFonts w:hint="cs"/>
          <w:spacing w:val="-1"/>
          <w:rtl/>
          <w:lang w:eastAsia="ar-SA"/>
        </w:rPr>
        <w:t>للمثليات والمثليين</w:t>
      </w:r>
      <w:r w:rsidR="0069722E" w:rsidRPr="000B1C7D">
        <w:rPr>
          <w:rFonts w:hint="cs"/>
          <w:spacing w:val="-1"/>
          <w:rtl/>
          <w:lang w:bidi="ar"/>
        </w:rPr>
        <w:t xml:space="preserve"> ومزدوجي الميل الجنسي ومغايري الهوية الجنسانية</w:t>
      </w:r>
      <w:r w:rsidR="0069722E" w:rsidRPr="000B1C7D">
        <w:rPr>
          <w:rFonts w:hint="cs"/>
          <w:spacing w:val="-1"/>
          <w:rtl/>
          <w:lang w:eastAsia="ar-SA"/>
        </w:rPr>
        <w:t xml:space="preserve"> في ل</w:t>
      </w:r>
      <w:r w:rsidR="00C93728" w:rsidRPr="000B1C7D">
        <w:rPr>
          <w:rFonts w:hint="cs"/>
          <w:spacing w:val="-1"/>
          <w:rtl/>
          <w:lang w:eastAsia="ar-SA"/>
        </w:rPr>
        <w:t>ي</w:t>
      </w:r>
      <w:r w:rsidR="0069722E" w:rsidRPr="000B1C7D">
        <w:rPr>
          <w:rFonts w:hint="cs"/>
          <w:spacing w:val="-1"/>
          <w:rtl/>
          <w:lang w:eastAsia="ar-SA"/>
        </w:rPr>
        <w:t>توانيا، ودعا الدولة الطرف إلى الاقتداء بالبرازيل على الخصوص واعتماد خطة عمل و</w:t>
      </w:r>
      <w:r w:rsidR="000B1C7D" w:rsidRPr="000B1C7D">
        <w:rPr>
          <w:rFonts w:hint="cs"/>
          <w:spacing w:val="-1"/>
          <w:rtl/>
          <w:lang w:eastAsia="ar-SA"/>
        </w:rPr>
        <w:t>طنية لتعزيز حقوق هؤلاء الأشخاص.</w:t>
      </w:r>
    </w:p>
    <w:p w:rsidR="0069722E" w:rsidRDefault="00A809D1" w:rsidP="00876DB5">
      <w:pPr>
        <w:pStyle w:val="SingleTxtGA"/>
        <w:spacing w:line="370" w:lineRule="exact"/>
        <w:rPr>
          <w:rFonts w:hint="cs"/>
          <w:lang w:eastAsia="ar-SA"/>
        </w:rPr>
      </w:pPr>
      <w:r>
        <w:rPr>
          <w:rFonts w:hint="cs"/>
          <w:rtl/>
        </w:rPr>
        <w:t>48-</w:t>
      </w:r>
      <w:r>
        <w:rPr>
          <w:rFonts w:hint="cs"/>
          <w:rtl/>
        </w:rPr>
        <w:tab/>
      </w:r>
      <w:r w:rsidR="0069722E">
        <w:rPr>
          <w:rFonts w:hint="cs"/>
          <w:b/>
          <w:bCs/>
          <w:rtl/>
        </w:rPr>
        <w:t xml:space="preserve">السيد </w:t>
      </w:r>
      <w:proofErr w:type="spellStart"/>
      <w:r w:rsidR="0069722E">
        <w:rPr>
          <w:rFonts w:hint="cs"/>
          <w:b/>
          <w:bCs/>
          <w:rtl/>
        </w:rPr>
        <w:t>سالفيولي</w:t>
      </w:r>
      <w:proofErr w:type="spellEnd"/>
      <w:r w:rsidR="0069722E" w:rsidRPr="005B44BC">
        <w:rPr>
          <w:rFonts w:hint="cs"/>
          <w:rtl/>
          <w:lang w:eastAsia="ar-SA"/>
        </w:rPr>
        <w:t>:</w:t>
      </w:r>
      <w:r w:rsidR="0069722E">
        <w:rPr>
          <w:rFonts w:hint="cs"/>
          <w:rtl/>
          <w:lang w:eastAsia="ar-SA"/>
        </w:rPr>
        <w:t xml:space="preserve"> فهم أن الدولة </w:t>
      </w:r>
      <w:r w:rsidR="00C026A7">
        <w:rPr>
          <w:rFonts w:hint="cs"/>
          <w:rtl/>
          <w:lang w:eastAsia="ar-SA"/>
        </w:rPr>
        <w:t>لا </w:t>
      </w:r>
      <w:r w:rsidR="0069722E">
        <w:rPr>
          <w:rFonts w:hint="cs"/>
          <w:rtl/>
          <w:lang w:eastAsia="ar-SA"/>
        </w:rPr>
        <w:t xml:space="preserve">يمكنها أن تراقب كل حامل لكاميرا </w:t>
      </w:r>
      <w:r w:rsidR="004C63C2">
        <w:rPr>
          <w:rFonts w:hint="cs"/>
          <w:rtl/>
          <w:lang w:eastAsia="ar-SA"/>
        </w:rPr>
        <w:t>أو </w:t>
      </w:r>
      <w:r w:rsidR="0069722E">
        <w:rPr>
          <w:rFonts w:hint="cs"/>
          <w:rtl/>
          <w:lang w:eastAsia="ar-SA"/>
        </w:rPr>
        <w:t>آلة تصوير، غير أنه يظل قلق</w:t>
      </w:r>
      <w:r w:rsidR="00C026A7">
        <w:rPr>
          <w:rFonts w:hint="cs"/>
          <w:rtl/>
          <w:lang w:eastAsia="ar-SA"/>
        </w:rPr>
        <w:t xml:space="preserve">اً </w:t>
      </w:r>
      <w:r w:rsidR="00C93728">
        <w:rPr>
          <w:rFonts w:hint="cs"/>
          <w:rtl/>
          <w:lang w:eastAsia="ar-SA"/>
        </w:rPr>
        <w:t xml:space="preserve">من أن </w:t>
      </w:r>
      <w:r w:rsidR="0069722E">
        <w:rPr>
          <w:rFonts w:hint="cs"/>
          <w:rtl/>
          <w:lang w:eastAsia="ar-SA"/>
        </w:rPr>
        <w:t xml:space="preserve">خدمات التفتيش </w:t>
      </w:r>
      <w:r w:rsidR="00C93728">
        <w:rPr>
          <w:rFonts w:hint="cs"/>
          <w:rtl/>
          <w:lang w:eastAsia="ar-SA"/>
        </w:rPr>
        <w:t xml:space="preserve">غير مؤهلة </w:t>
      </w:r>
      <w:r w:rsidR="0069722E">
        <w:rPr>
          <w:rFonts w:hint="cs"/>
          <w:rtl/>
          <w:lang w:eastAsia="ar-SA"/>
        </w:rPr>
        <w:t xml:space="preserve">لتلقي الشكاوى المتعلقة باستعمال تسجيلات الحراسة بالفيديو الذي قد </w:t>
      </w:r>
      <w:r w:rsidR="00C93728">
        <w:rPr>
          <w:rFonts w:hint="cs"/>
          <w:rtl/>
          <w:lang w:eastAsia="ar-SA"/>
        </w:rPr>
        <w:t xml:space="preserve">ينتهك حرمة </w:t>
      </w:r>
      <w:r w:rsidR="0069722E">
        <w:rPr>
          <w:rFonts w:hint="cs"/>
          <w:rtl/>
          <w:lang w:eastAsia="ar-SA"/>
        </w:rPr>
        <w:t xml:space="preserve">الحياة الخاصة. وقال إنه </w:t>
      </w:r>
      <w:r w:rsidR="00C026A7">
        <w:rPr>
          <w:rFonts w:hint="cs"/>
          <w:rtl/>
          <w:lang w:eastAsia="ar-SA"/>
        </w:rPr>
        <w:t>لا </w:t>
      </w:r>
      <w:r w:rsidR="0069722E">
        <w:rPr>
          <w:rFonts w:hint="cs"/>
          <w:rtl/>
          <w:lang w:eastAsia="ar-SA"/>
        </w:rPr>
        <w:t>يتفق مع رد الوفد الليتواني في</w:t>
      </w:r>
      <w:r w:rsidR="00C026A7">
        <w:rPr>
          <w:rFonts w:hint="cs"/>
          <w:rtl/>
          <w:lang w:eastAsia="ar-SA"/>
        </w:rPr>
        <w:t>ما </w:t>
      </w:r>
      <w:r w:rsidR="0069722E">
        <w:rPr>
          <w:rFonts w:hint="cs"/>
          <w:rtl/>
          <w:lang w:eastAsia="ar-SA"/>
        </w:rPr>
        <w:t>يتعلق بحرية التجمع والحق في التظاهر. وقال إن اللجنة حذرة جد</w:t>
      </w:r>
      <w:r w:rsidR="00C026A7">
        <w:rPr>
          <w:rFonts w:hint="cs"/>
          <w:rtl/>
          <w:lang w:eastAsia="ar-SA"/>
        </w:rPr>
        <w:t xml:space="preserve">اً </w:t>
      </w:r>
      <w:r w:rsidR="0069722E">
        <w:rPr>
          <w:rFonts w:hint="cs"/>
          <w:rtl/>
          <w:lang w:eastAsia="ar-SA"/>
        </w:rPr>
        <w:t>في</w:t>
      </w:r>
      <w:r w:rsidR="00C026A7">
        <w:rPr>
          <w:rFonts w:hint="cs"/>
          <w:rtl/>
          <w:lang w:eastAsia="ar-SA"/>
        </w:rPr>
        <w:t>ما </w:t>
      </w:r>
      <w:r w:rsidR="0069722E">
        <w:rPr>
          <w:rFonts w:hint="cs"/>
          <w:rtl/>
          <w:lang w:eastAsia="ar-SA"/>
        </w:rPr>
        <w:t xml:space="preserve">يتعلق بحرية التعبير لكنه أوضح أن هذه الحرية مقيدة بحدود، </w:t>
      </w:r>
      <w:r w:rsidR="00C026A7">
        <w:rPr>
          <w:rFonts w:hint="cs"/>
          <w:rtl/>
          <w:lang w:eastAsia="ar-SA"/>
        </w:rPr>
        <w:t xml:space="preserve">لا سيما </w:t>
      </w:r>
      <w:r w:rsidR="0069722E">
        <w:rPr>
          <w:rFonts w:hint="cs"/>
          <w:rtl/>
          <w:lang w:eastAsia="ar-SA"/>
        </w:rPr>
        <w:t xml:space="preserve">تلك المنصوص عليها في المادة 19 من العهد. وأبدى السيد </w:t>
      </w:r>
      <w:proofErr w:type="spellStart"/>
      <w:r w:rsidR="0069722E">
        <w:rPr>
          <w:rFonts w:hint="cs"/>
          <w:rtl/>
          <w:lang w:eastAsia="ar-SA"/>
        </w:rPr>
        <w:t>سالفيولي</w:t>
      </w:r>
      <w:proofErr w:type="spellEnd"/>
      <w:r w:rsidR="0069722E">
        <w:rPr>
          <w:rFonts w:hint="cs"/>
          <w:rtl/>
          <w:lang w:eastAsia="ar-SA"/>
        </w:rPr>
        <w:t xml:space="preserve"> أسفه إزاء تصريح الوفد بعدم وجود آلية قانونية لمنع المظاهرات الداعية إلى الكراهية، بين</w:t>
      </w:r>
      <w:r w:rsidR="00C026A7">
        <w:rPr>
          <w:rFonts w:hint="cs"/>
          <w:rtl/>
          <w:lang w:eastAsia="ar-SA"/>
        </w:rPr>
        <w:t>ما </w:t>
      </w:r>
      <w:r w:rsidR="0069722E">
        <w:rPr>
          <w:rFonts w:hint="cs"/>
          <w:rtl/>
          <w:lang w:eastAsia="ar-SA"/>
        </w:rPr>
        <w:t xml:space="preserve">تنص المادتان 11 و12 من القانون ذي الصلة على منع المظاهرات التي تهدد الدولة </w:t>
      </w:r>
      <w:r w:rsidR="004C63C2">
        <w:rPr>
          <w:rFonts w:hint="cs"/>
          <w:rtl/>
          <w:lang w:eastAsia="ar-SA"/>
        </w:rPr>
        <w:t>أو </w:t>
      </w:r>
      <w:r w:rsidR="0069722E">
        <w:rPr>
          <w:rFonts w:hint="cs"/>
          <w:rtl/>
          <w:lang w:eastAsia="ar-SA"/>
        </w:rPr>
        <w:t xml:space="preserve">الأمن العام </w:t>
      </w:r>
      <w:r w:rsidR="004C63C2">
        <w:rPr>
          <w:rFonts w:hint="cs"/>
          <w:rtl/>
          <w:lang w:eastAsia="ar-SA"/>
        </w:rPr>
        <w:t>أو </w:t>
      </w:r>
      <w:r w:rsidR="0069722E">
        <w:rPr>
          <w:rFonts w:hint="cs"/>
          <w:rtl/>
          <w:lang w:eastAsia="ar-SA"/>
        </w:rPr>
        <w:t xml:space="preserve">الصحة </w:t>
      </w:r>
      <w:r w:rsidR="004C63C2">
        <w:rPr>
          <w:rFonts w:hint="cs"/>
          <w:rtl/>
          <w:lang w:eastAsia="ar-SA"/>
        </w:rPr>
        <w:t>أو </w:t>
      </w:r>
      <w:r w:rsidR="0069722E">
        <w:rPr>
          <w:rFonts w:hint="cs"/>
          <w:rtl/>
          <w:lang w:eastAsia="ar-SA"/>
        </w:rPr>
        <w:t xml:space="preserve">الأخلاق </w:t>
      </w:r>
      <w:r w:rsidR="004C63C2">
        <w:rPr>
          <w:rFonts w:hint="cs"/>
          <w:rtl/>
          <w:lang w:eastAsia="ar-SA"/>
        </w:rPr>
        <w:t>أو </w:t>
      </w:r>
      <w:r w:rsidR="0069722E">
        <w:rPr>
          <w:rFonts w:hint="cs"/>
          <w:rtl/>
          <w:lang w:eastAsia="ar-SA"/>
        </w:rPr>
        <w:t xml:space="preserve">حقوق السكان وحرياتهم. وفي هذه الظروف، تساءل كيف ترخص السلطات المختصة لمظاهرات للنازيين الجدد منذ عام 2009 وتجهل </w:t>
      </w:r>
      <w:r w:rsidR="00C93728">
        <w:rPr>
          <w:rFonts w:hint="cs"/>
          <w:rtl/>
          <w:lang w:eastAsia="ar-SA"/>
        </w:rPr>
        <w:t>أن تلك المظاهرات تنتهك حقوق السكان وحرياتهم.</w:t>
      </w:r>
    </w:p>
    <w:p w:rsidR="0069722E" w:rsidRPr="000B1C7D" w:rsidRDefault="00A809D1" w:rsidP="00876DB5">
      <w:pPr>
        <w:pStyle w:val="SingleTxtGA"/>
        <w:spacing w:line="370" w:lineRule="exact"/>
        <w:rPr>
          <w:rFonts w:hint="cs"/>
          <w:spacing w:val="-2"/>
          <w:lang w:eastAsia="ar-SA"/>
        </w:rPr>
      </w:pPr>
      <w:r w:rsidRPr="000B1C7D">
        <w:rPr>
          <w:rFonts w:hint="cs"/>
          <w:spacing w:val="-2"/>
          <w:rtl/>
        </w:rPr>
        <w:t>49-</w:t>
      </w:r>
      <w:r w:rsidRPr="000B1C7D">
        <w:rPr>
          <w:rFonts w:hint="cs"/>
          <w:spacing w:val="-2"/>
          <w:rtl/>
        </w:rPr>
        <w:tab/>
      </w:r>
      <w:r w:rsidR="0069722E" w:rsidRPr="000B1C7D">
        <w:rPr>
          <w:rFonts w:hint="cs"/>
          <w:b/>
          <w:bCs/>
          <w:spacing w:val="-2"/>
          <w:rtl/>
        </w:rPr>
        <w:t xml:space="preserve">السيد </w:t>
      </w:r>
      <w:proofErr w:type="spellStart"/>
      <w:r w:rsidR="00C93728" w:rsidRPr="000B1C7D">
        <w:rPr>
          <w:rFonts w:hint="cs"/>
          <w:b/>
          <w:bCs/>
          <w:spacing w:val="-2"/>
          <w:rtl/>
        </w:rPr>
        <w:t>تي</w:t>
      </w:r>
      <w:r w:rsidR="0069722E" w:rsidRPr="000B1C7D">
        <w:rPr>
          <w:rFonts w:hint="cs"/>
          <w:b/>
          <w:bCs/>
          <w:spacing w:val="-2"/>
          <w:rtl/>
        </w:rPr>
        <w:t>لين</w:t>
      </w:r>
      <w:proofErr w:type="spellEnd"/>
      <w:r w:rsidR="0069722E" w:rsidRPr="000B1C7D">
        <w:rPr>
          <w:rFonts w:hint="cs"/>
          <w:spacing w:val="-2"/>
          <w:rtl/>
          <w:lang w:eastAsia="ar-SA"/>
        </w:rPr>
        <w:t xml:space="preserve">: قال إن أحكام الفقرة 3 من المادة 137 من </w:t>
      </w:r>
      <w:r w:rsidR="00C93728" w:rsidRPr="000B1C7D">
        <w:rPr>
          <w:rFonts w:hint="cs"/>
          <w:spacing w:val="-2"/>
          <w:rtl/>
          <w:lang w:eastAsia="ar-SA"/>
        </w:rPr>
        <w:t>ال</w:t>
      </w:r>
      <w:r w:rsidR="0069722E" w:rsidRPr="000B1C7D">
        <w:rPr>
          <w:rFonts w:hint="cs"/>
          <w:spacing w:val="-2"/>
          <w:rtl/>
          <w:lang w:eastAsia="ar-SA"/>
        </w:rPr>
        <w:t xml:space="preserve">قانون </w:t>
      </w:r>
      <w:r w:rsidR="00C93728" w:rsidRPr="000B1C7D">
        <w:rPr>
          <w:rFonts w:hint="cs"/>
          <w:spacing w:val="-2"/>
          <w:rtl/>
          <w:lang w:eastAsia="ar-SA"/>
        </w:rPr>
        <w:t>المتعلق ب</w:t>
      </w:r>
      <w:r w:rsidR="0069722E" w:rsidRPr="000B1C7D">
        <w:rPr>
          <w:rFonts w:hint="cs"/>
          <w:spacing w:val="-2"/>
          <w:rtl/>
          <w:lang w:eastAsia="ar-SA"/>
        </w:rPr>
        <w:t>الوضع القانوني للأجانب تقيد في</w:t>
      </w:r>
      <w:r w:rsidR="00C026A7" w:rsidRPr="000B1C7D">
        <w:rPr>
          <w:rFonts w:hint="cs"/>
          <w:spacing w:val="-2"/>
          <w:rtl/>
          <w:lang w:eastAsia="ar-SA"/>
        </w:rPr>
        <w:t>ما </w:t>
      </w:r>
      <w:r w:rsidR="0069722E" w:rsidRPr="000B1C7D">
        <w:rPr>
          <w:rFonts w:hint="cs"/>
          <w:spacing w:val="-2"/>
          <w:rtl/>
          <w:lang w:eastAsia="ar-SA"/>
        </w:rPr>
        <w:t xml:space="preserve">يبدو تطبيق مبدأ عدم إعادة أجنبي إلى بلد قد يتعرض فيه للتعذيب </w:t>
      </w:r>
      <w:r w:rsidR="004C63C2" w:rsidRPr="000B1C7D">
        <w:rPr>
          <w:rFonts w:hint="cs"/>
          <w:spacing w:val="-2"/>
          <w:rtl/>
          <w:lang w:eastAsia="ar-SA"/>
        </w:rPr>
        <w:t>أو </w:t>
      </w:r>
      <w:r w:rsidR="00C93728" w:rsidRPr="000B1C7D">
        <w:rPr>
          <w:rFonts w:hint="cs"/>
          <w:spacing w:val="-2"/>
          <w:rtl/>
          <w:lang w:eastAsia="ar-SA"/>
        </w:rPr>
        <w:t xml:space="preserve">لعقوبة </w:t>
      </w:r>
      <w:r w:rsidR="004C63C2" w:rsidRPr="000B1C7D">
        <w:rPr>
          <w:rFonts w:hint="cs"/>
          <w:spacing w:val="-2"/>
          <w:rtl/>
          <w:lang w:eastAsia="ar-SA"/>
        </w:rPr>
        <w:t>أو </w:t>
      </w:r>
      <w:r w:rsidR="0069722E" w:rsidRPr="000B1C7D">
        <w:rPr>
          <w:rFonts w:hint="cs"/>
          <w:spacing w:val="-2"/>
          <w:rtl/>
          <w:lang w:eastAsia="ar-SA"/>
        </w:rPr>
        <w:t xml:space="preserve">معاملة قاسية </w:t>
      </w:r>
      <w:r w:rsidR="004C63C2" w:rsidRPr="000B1C7D">
        <w:rPr>
          <w:rFonts w:hint="cs"/>
          <w:spacing w:val="-2"/>
          <w:rtl/>
          <w:lang w:eastAsia="ar-SA"/>
        </w:rPr>
        <w:t>أو </w:t>
      </w:r>
      <w:r w:rsidR="00C026A7" w:rsidRPr="000B1C7D">
        <w:rPr>
          <w:rFonts w:hint="cs"/>
          <w:spacing w:val="-2"/>
          <w:rtl/>
          <w:lang w:eastAsia="ar-SA"/>
        </w:rPr>
        <w:t>لا </w:t>
      </w:r>
      <w:r w:rsidR="0069722E" w:rsidRPr="000B1C7D">
        <w:rPr>
          <w:rFonts w:hint="cs"/>
          <w:spacing w:val="-2"/>
          <w:rtl/>
          <w:lang w:eastAsia="ar-SA"/>
        </w:rPr>
        <w:t xml:space="preserve">إنسانية </w:t>
      </w:r>
      <w:r w:rsidR="004C63C2" w:rsidRPr="000B1C7D">
        <w:rPr>
          <w:rFonts w:hint="cs"/>
          <w:spacing w:val="-2"/>
          <w:rtl/>
          <w:lang w:eastAsia="ar-SA"/>
        </w:rPr>
        <w:t>أو </w:t>
      </w:r>
      <w:r w:rsidR="0069722E" w:rsidRPr="000B1C7D">
        <w:rPr>
          <w:rFonts w:hint="cs"/>
          <w:spacing w:val="-2"/>
          <w:rtl/>
          <w:lang w:eastAsia="ar-SA"/>
        </w:rPr>
        <w:t xml:space="preserve">مهينة. والواقع أنه في الوقت الذي أوضحت فيه الصياغة السابقة أن مبدأ عدم الإعادة </w:t>
      </w:r>
      <w:r w:rsidR="00C026A7" w:rsidRPr="000B1C7D">
        <w:rPr>
          <w:rFonts w:hint="cs"/>
          <w:spacing w:val="-2"/>
          <w:rtl/>
          <w:lang w:eastAsia="ar-SA"/>
        </w:rPr>
        <w:t>لا </w:t>
      </w:r>
      <w:r w:rsidR="0069722E" w:rsidRPr="000B1C7D">
        <w:rPr>
          <w:rFonts w:hint="cs"/>
          <w:spacing w:val="-2"/>
          <w:rtl/>
          <w:lang w:eastAsia="ar-SA"/>
        </w:rPr>
        <w:t>يطبق على الأجنبي الذي قد يشكل، لأسباب وجيهة، تهديد</w:t>
      </w:r>
      <w:r w:rsidR="00C026A7" w:rsidRPr="000B1C7D">
        <w:rPr>
          <w:rFonts w:hint="cs"/>
          <w:spacing w:val="-2"/>
          <w:rtl/>
          <w:lang w:eastAsia="ar-SA"/>
        </w:rPr>
        <w:t xml:space="preserve">اً </w:t>
      </w:r>
      <w:r w:rsidR="0069722E" w:rsidRPr="000B1C7D">
        <w:rPr>
          <w:rFonts w:hint="cs"/>
          <w:spacing w:val="-2"/>
          <w:rtl/>
          <w:lang w:eastAsia="ar-SA"/>
        </w:rPr>
        <w:t xml:space="preserve">للأمن الوطني، أٌسقطت عبارة "الأسباب الوجيهة" من النص الجديد. وتساءل السيد </w:t>
      </w:r>
      <w:proofErr w:type="spellStart"/>
      <w:r w:rsidR="0069722E" w:rsidRPr="000B1C7D">
        <w:rPr>
          <w:rFonts w:hint="cs"/>
          <w:spacing w:val="-2"/>
          <w:rtl/>
          <w:lang w:eastAsia="ar-SA"/>
        </w:rPr>
        <w:t>ثلين</w:t>
      </w:r>
      <w:proofErr w:type="spellEnd"/>
      <w:r w:rsidR="0069722E" w:rsidRPr="000B1C7D">
        <w:rPr>
          <w:rFonts w:hint="cs"/>
          <w:spacing w:val="-2"/>
          <w:rtl/>
          <w:lang w:eastAsia="ar-SA"/>
        </w:rPr>
        <w:t xml:space="preserve"> ع</w:t>
      </w:r>
      <w:r w:rsidR="00C026A7" w:rsidRPr="000B1C7D">
        <w:rPr>
          <w:rFonts w:hint="cs"/>
          <w:spacing w:val="-2"/>
          <w:rtl/>
          <w:lang w:eastAsia="ar-SA"/>
        </w:rPr>
        <w:t>ما </w:t>
      </w:r>
      <w:r w:rsidR="0069722E" w:rsidRPr="000B1C7D">
        <w:rPr>
          <w:rFonts w:hint="cs"/>
          <w:spacing w:val="-2"/>
          <w:rtl/>
          <w:lang w:eastAsia="ar-SA"/>
        </w:rPr>
        <w:t>إذا كان القانون قد عُدّل بالفعل أم أن الأمر يتعلق بمشروع، وتساءل عن مدى توافق هذه الأحكام الجديدة مع المادة 33 من الاتفاقية الخ</w:t>
      </w:r>
      <w:r w:rsidR="000B1C7D" w:rsidRPr="000B1C7D">
        <w:rPr>
          <w:rFonts w:hint="cs"/>
          <w:spacing w:val="-2"/>
          <w:rtl/>
          <w:lang w:eastAsia="ar-SA"/>
        </w:rPr>
        <w:t>اصة بوضع اللاجئين وأحكام العهد.</w:t>
      </w:r>
    </w:p>
    <w:p w:rsidR="0069722E" w:rsidRDefault="00A809D1" w:rsidP="00876DB5">
      <w:pPr>
        <w:pStyle w:val="SingleTxtGA"/>
        <w:spacing w:line="370" w:lineRule="exact"/>
        <w:rPr>
          <w:rFonts w:hint="cs"/>
          <w:lang w:eastAsia="ar-SA"/>
        </w:rPr>
      </w:pPr>
      <w:r>
        <w:rPr>
          <w:rFonts w:hint="cs"/>
          <w:rtl/>
        </w:rPr>
        <w:t>50-</w:t>
      </w:r>
      <w:r>
        <w:rPr>
          <w:rFonts w:hint="cs"/>
          <w:rtl/>
        </w:rPr>
        <w:tab/>
      </w:r>
      <w:r w:rsidR="0069722E" w:rsidRPr="00CF1C61">
        <w:rPr>
          <w:rFonts w:hint="cs"/>
          <w:b/>
          <w:bCs/>
          <w:rtl/>
        </w:rPr>
        <w:t xml:space="preserve">السيدة </w:t>
      </w:r>
      <w:proofErr w:type="spellStart"/>
      <w:r w:rsidR="0069722E" w:rsidRPr="00CF1C61">
        <w:rPr>
          <w:rFonts w:hint="cs"/>
          <w:b/>
          <w:bCs/>
          <w:rtl/>
        </w:rPr>
        <w:t>فيزنيوسك</w:t>
      </w:r>
      <w:r w:rsidR="0069722E">
        <w:rPr>
          <w:rFonts w:hint="cs"/>
          <w:b/>
          <w:bCs/>
          <w:rtl/>
        </w:rPr>
        <w:t>ا</w:t>
      </w:r>
      <w:r w:rsidR="0069722E" w:rsidRPr="00CF1C61">
        <w:rPr>
          <w:rFonts w:hint="cs"/>
          <w:b/>
          <w:bCs/>
          <w:rtl/>
        </w:rPr>
        <w:t>يتي</w:t>
      </w:r>
      <w:proofErr w:type="spellEnd"/>
      <w:r w:rsidR="00876DB5">
        <w:rPr>
          <w:rFonts w:hint="cs"/>
          <w:b/>
          <w:bCs/>
          <w:rtl/>
        </w:rPr>
        <w:t xml:space="preserve"> </w:t>
      </w:r>
      <w:r w:rsidR="0069722E" w:rsidRPr="00CF1C61">
        <w:rPr>
          <w:rFonts w:hint="cs"/>
          <w:b/>
          <w:bCs/>
          <w:rtl/>
        </w:rPr>
        <w:t>-</w:t>
      </w:r>
      <w:r w:rsidR="00876DB5">
        <w:rPr>
          <w:rFonts w:hint="cs"/>
          <w:b/>
          <w:bCs/>
          <w:rtl/>
        </w:rPr>
        <w:t xml:space="preserve"> </w:t>
      </w:r>
      <w:proofErr w:type="spellStart"/>
      <w:r w:rsidR="0069722E" w:rsidRPr="00CF1C61">
        <w:rPr>
          <w:rFonts w:hint="cs"/>
          <w:b/>
          <w:bCs/>
          <w:rtl/>
        </w:rPr>
        <w:t>رادينسكي</w:t>
      </w:r>
      <w:r w:rsidR="0069722E">
        <w:rPr>
          <w:rFonts w:hint="cs"/>
          <w:b/>
          <w:bCs/>
          <w:rtl/>
        </w:rPr>
        <w:t>ي</w:t>
      </w:r>
      <w:r w:rsidR="0069722E" w:rsidRPr="00CF1C61">
        <w:rPr>
          <w:rFonts w:hint="cs"/>
          <w:b/>
          <w:bCs/>
          <w:rtl/>
        </w:rPr>
        <w:t>ني</w:t>
      </w:r>
      <w:proofErr w:type="spellEnd"/>
      <w:r w:rsidR="0069722E">
        <w:rPr>
          <w:rFonts w:hint="cs"/>
          <w:rtl/>
        </w:rPr>
        <w:t xml:space="preserve"> </w:t>
      </w:r>
      <w:r w:rsidR="0069722E">
        <w:rPr>
          <w:rFonts w:hint="cs"/>
          <w:rtl/>
          <w:lang w:eastAsia="ar-SA"/>
        </w:rPr>
        <w:t>(ليتوانيا): قالت إن البرنامج الوطني لمكافحة التمييز يشمل أيض</w:t>
      </w:r>
      <w:r w:rsidR="00C026A7">
        <w:rPr>
          <w:rFonts w:hint="cs"/>
          <w:rtl/>
          <w:lang w:eastAsia="ar-SA"/>
        </w:rPr>
        <w:t xml:space="preserve">اً </w:t>
      </w:r>
      <w:r w:rsidR="0069722E">
        <w:rPr>
          <w:rFonts w:hint="cs"/>
          <w:rtl/>
          <w:lang w:eastAsia="ar-SA"/>
        </w:rPr>
        <w:t xml:space="preserve">المثليات والمثليين </w:t>
      </w:r>
      <w:r w:rsidR="0069722E">
        <w:rPr>
          <w:rFonts w:hint="cs"/>
          <w:rtl/>
          <w:lang w:bidi="ar"/>
        </w:rPr>
        <w:t>ومزدوجي الميل الجنسي ومغايري الهوية الجنسانية</w:t>
      </w:r>
      <w:r w:rsidR="0069722E">
        <w:rPr>
          <w:rFonts w:hint="cs"/>
          <w:rtl/>
          <w:lang w:eastAsia="ar-SA"/>
        </w:rPr>
        <w:t xml:space="preserve"> ويرمي إلى تشجيع التسامح والاحترام وإلى إطلاع الجمهور على آثار التمييز الوخيمة </w:t>
      </w:r>
      <w:r w:rsidR="00C026A7">
        <w:rPr>
          <w:rFonts w:hint="cs"/>
          <w:rtl/>
          <w:lang w:eastAsia="ar-SA"/>
        </w:rPr>
        <w:t>لا </w:t>
      </w:r>
      <w:r w:rsidR="0069722E">
        <w:rPr>
          <w:rFonts w:hint="cs"/>
          <w:rtl/>
          <w:lang w:eastAsia="ar-SA"/>
        </w:rPr>
        <w:t>على الضحايا فحسب وإن</w:t>
      </w:r>
      <w:r w:rsidR="00C026A7">
        <w:rPr>
          <w:rFonts w:hint="cs"/>
          <w:rtl/>
          <w:lang w:eastAsia="ar-SA"/>
        </w:rPr>
        <w:t>ما </w:t>
      </w:r>
      <w:r w:rsidR="0069722E">
        <w:rPr>
          <w:rFonts w:hint="cs"/>
          <w:rtl/>
          <w:lang w:eastAsia="ar-SA"/>
        </w:rPr>
        <w:t>أيض</w:t>
      </w:r>
      <w:r w:rsidR="00C026A7">
        <w:rPr>
          <w:rFonts w:hint="cs"/>
          <w:rtl/>
          <w:lang w:eastAsia="ar-SA"/>
        </w:rPr>
        <w:t xml:space="preserve">اً </w:t>
      </w:r>
      <w:r w:rsidR="0069722E">
        <w:rPr>
          <w:rFonts w:hint="cs"/>
          <w:rtl/>
          <w:lang w:eastAsia="ar-SA"/>
        </w:rPr>
        <w:t>على المجتمع برمته. وعقب تنظيم مسابقة شاركت فيها منظمات مختلفة للدفاع عن حقوق الإنسان، حصلت المنظمة الليتوانية للدفاع عن حقوق المثليات والمثليين ومزدوجي الهوية الجنسية ومغايري الهوية الجنسانية على مساعدة مالية لتنفيذ هذا البرنامج الذي مُدّد بالفعل ليشمل الفترة 2012-2014.</w:t>
      </w:r>
    </w:p>
    <w:p w:rsidR="0069722E" w:rsidRDefault="00A809D1" w:rsidP="00876DB5">
      <w:pPr>
        <w:pStyle w:val="SingleTxtGA"/>
        <w:spacing w:line="370" w:lineRule="exact"/>
        <w:rPr>
          <w:rFonts w:hint="cs"/>
          <w:lang w:eastAsia="ar-SA"/>
        </w:rPr>
      </w:pPr>
      <w:r>
        <w:rPr>
          <w:rFonts w:hint="cs"/>
          <w:rtl/>
        </w:rPr>
        <w:t>51-</w:t>
      </w:r>
      <w:r>
        <w:rPr>
          <w:rFonts w:hint="cs"/>
          <w:rtl/>
        </w:rPr>
        <w:tab/>
      </w:r>
      <w:r w:rsidR="0069722E" w:rsidRPr="002609AB">
        <w:rPr>
          <w:rFonts w:hint="cs"/>
          <w:b/>
          <w:bCs/>
          <w:rtl/>
        </w:rPr>
        <w:t xml:space="preserve">السيدة </w:t>
      </w:r>
      <w:proofErr w:type="spellStart"/>
      <w:r w:rsidR="0069722E" w:rsidRPr="002609AB">
        <w:rPr>
          <w:rFonts w:hint="cs"/>
          <w:b/>
          <w:bCs/>
          <w:rtl/>
        </w:rPr>
        <w:t>بوكانتايتي</w:t>
      </w:r>
      <w:proofErr w:type="spellEnd"/>
      <w:r w:rsidR="00876DB5">
        <w:rPr>
          <w:rFonts w:hint="cs"/>
          <w:b/>
          <w:bCs/>
          <w:rtl/>
        </w:rPr>
        <w:t xml:space="preserve"> </w:t>
      </w:r>
      <w:r w:rsidR="0069722E" w:rsidRPr="002609AB">
        <w:rPr>
          <w:rFonts w:hint="cs"/>
          <w:b/>
          <w:bCs/>
          <w:rtl/>
        </w:rPr>
        <w:t>-</w:t>
      </w:r>
      <w:r w:rsidR="00876DB5">
        <w:rPr>
          <w:rFonts w:hint="cs"/>
          <w:b/>
          <w:bCs/>
          <w:rtl/>
        </w:rPr>
        <w:t xml:space="preserve"> </w:t>
      </w:r>
      <w:proofErr w:type="spellStart"/>
      <w:r w:rsidR="0069722E" w:rsidRPr="002609AB">
        <w:rPr>
          <w:rFonts w:hint="cs"/>
          <w:b/>
          <w:bCs/>
          <w:rtl/>
        </w:rPr>
        <w:t>كوتكيف</w:t>
      </w:r>
      <w:r w:rsidR="0069722E">
        <w:rPr>
          <w:rFonts w:hint="cs"/>
          <w:b/>
          <w:bCs/>
          <w:rtl/>
        </w:rPr>
        <w:t>يشيين</w:t>
      </w:r>
      <w:proofErr w:type="spellEnd"/>
      <w:r w:rsidR="0069722E">
        <w:rPr>
          <w:rFonts w:hint="cs"/>
          <w:rtl/>
        </w:rPr>
        <w:t xml:space="preserve"> </w:t>
      </w:r>
      <w:r w:rsidR="0069722E">
        <w:rPr>
          <w:rFonts w:hint="cs"/>
          <w:rtl/>
          <w:lang w:eastAsia="ar-SA"/>
        </w:rPr>
        <w:t>(ليتوانيا): قالت إن قانون حماية البيانات الشخصية يسمح لأي شخص تُستعمل بياناته الشخصية بصورة غير مشروعة أن يطلب تعويض</w:t>
      </w:r>
      <w:r w:rsidR="00C026A7">
        <w:rPr>
          <w:rFonts w:hint="cs"/>
          <w:rtl/>
          <w:lang w:eastAsia="ar-SA"/>
        </w:rPr>
        <w:t xml:space="preserve">اً </w:t>
      </w:r>
      <w:r w:rsidR="0069722E">
        <w:rPr>
          <w:rFonts w:hint="cs"/>
          <w:rtl/>
          <w:lang w:eastAsia="ar-SA"/>
        </w:rPr>
        <w:t>وغير ذلك من أشكال الجبر. وهكذا، فإن الشخص الذي يستعمل الحراسة بالفيديو لأغراض شخصية يكون بدوره مسؤول</w:t>
      </w:r>
      <w:r w:rsidR="00C026A7">
        <w:rPr>
          <w:rFonts w:hint="cs"/>
          <w:rtl/>
          <w:lang w:eastAsia="ar-SA"/>
        </w:rPr>
        <w:t xml:space="preserve">اً </w:t>
      </w:r>
      <w:r w:rsidR="0069722E">
        <w:rPr>
          <w:rFonts w:hint="cs"/>
          <w:rtl/>
          <w:lang w:eastAsia="ar-SA"/>
        </w:rPr>
        <w:t>قانون</w:t>
      </w:r>
      <w:r w:rsidR="00C026A7">
        <w:rPr>
          <w:rFonts w:hint="cs"/>
          <w:rtl/>
          <w:lang w:eastAsia="ar-SA"/>
        </w:rPr>
        <w:t xml:space="preserve">اً </w:t>
      </w:r>
      <w:r w:rsidR="000B1C7D">
        <w:rPr>
          <w:rFonts w:hint="cs"/>
          <w:rtl/>
          <w:lang w:eastAsia="ar-SA"/>
        </w:rPr>
        <w:t>في حال انتهاك القانون.</w:t>
      </w:r>
    </w:p>
    <w:p w:rsidR="0069722E" w:rsidRDefault="00A809D1" w:rsidP="00876DB5">
      <w:pPr>
        <w:pStyle w:val="SingleTxtGA"/>
        <w:spacing w:line="370" w:lineRule="exact"/>
        <w:rPr>
          <w:rFonts w:hint="cs"/>
          <w:lang w:eastAsia="ar-SA"/>
        </w:rPr>
      </w:pPr>
      <w:r>
        <w:rPr>
          <w:rFonts w:hint="cs"/>
          <w:rtl/>
          <w:lang w:bidi="ar"/>
        </w:rPr>
        <w:t>52-</w:t>
      </w:r>
      <w:r>
        <w:rPr>
          <w:rFonts w:hint="cs"/>
          <w:rtl/>
          <w:lang w:bidi="ar"/>
        </w:rPr>
        <w:tab/>
      </w:r>
      <w:r w:rsidR="0069722E">
        <w:rPr>
          <w:rFonts w:hint="cs"/>
          <w:b/>
          <w:bCs/>
          <w:rtl/>
          <w:lang w:bidi="ar"/>
        </w:rPr>
        <w:t xml:space="preserve">السيدة </w:t>
      </w:r>
      <w:proofErr w:type="spellStart"/>
      <w:r w:rsidR="0069722E">
        <w:rPr>
          <w:rFonts w:hint="cs"/>
          <w:b/>
          <w:bCs/>
          <w:rtl/>
          <w:lang w:bidi="ar"/>
        </w:rPr>
        <w:t>سكايسغيريتي</w:t>
      </w:r>
      <w:proofErr w:type="spellEnd"/>
      <w:r w:rsidR="0069722E">
        <w:rPr>
          <w:rFonts w:hint="cs"/>
          <w:b/>
          <w:bCs/>
          <w:rtl/>
          <w:lang w:bidi="ar"/>
        </w:rPr>
        <w:t xml:space="preserve"> </w:t>
      </w:r>
      <w:proofErr w:type="spellStart"/>
      <w:r w:rsidR="0069722E">
        <w:rPr>
          <w:rFonts w:hint="cs"/>
          <w:b/>
          <w:bCs/>
          <w:rtl/>
          <w:lang w:bidi="ar"/>
        </w:rPr>
        <w:t>ليوسكييني</w:t>
      </w:r>
      <w:proofErr w:type="spellEnd"/>
      <w:r w:rsidR="0069722E">
        <w:rPr>
          <w:rFonts w:hint="cs"/>
          <w:b/>
          <w:bCs/>
          <w:rtl/>
          <w:lang w:bidi="ar"/>
        </w:rPr>
        <w:t xml:space="preserve"> </w:t>
      </w:r>
      <w:r w:rsidR="0069722E">
        <w:rPr>
          <w:rFonts w:hint="cs"/>
          <w:rtl/>
        </w:rPr>
        <w:t>(ليتوانيا): قالت إن ليتوانيا تتعهد بأن تقدم في وقت لاحق ردود</w:t>
      </w:r>
      <w:r w:rsidR="00C026A7">
        <w:rPr>
          <w:rFonts w:hint="cs"/>
          <w:rtl/>
        </w:rPr>
        <w:t xml:space="preserve">اً </w:t>
      </w:r>
      <w:r w:rsidR="00C93728">
        <w:rPr>
          <w:rFonts w:hint="cs"/>
          <w:rtl/>
        </w:rPr>
        <w:t xml:space="preserve">خطية </w:t>
      </w:r>
      <w:r w:rsidR="0069722E">
        <w:rPr>
          <w:rFonts w:hint="cs"/>
          <w:rtl/>
        </w:rPr>
        <w:t>على الأس</w:t>
      </w:r>
      <w:r w:rsidR="0069722E">
        <w:rPr>
          <w:rFonts w:hint="cs"/>
          <w:rtl/>
          <w:lang w:eastAsia="ar-SA"/>
        </w:rPr>
        <w:t>ئلة المعلّقة. وإنها اطّلعت باهتمام شديد على الملاحظات والتوصيات المقدمة من أعضاء اللجنة، وستشعر السلطات الليتوانية المعنية ب</w:t>
      </w:r>
      <w:r w:rsidR="00C026A7">
        <w:rPr>
          <w:rFonts w:hint="cs"/>
          <w:rtl/>
          <w:lang w:eastAsia="ar-SA"/>
        </w:rPr>
        <w:t>ما </w:t>
      </w:r>
      <w:r w:rsidR="0069722E">
        <w:rPr>
          <w:rFonts w:hint="cs"/>
          <w:rtl/>
          <w:lang w:eastAsia="ar-SA"/>
        </w:rPr>
        <w:t>أشير إليه من ثغرات. وقالت إن ليتوانيا تعتزم مواصلة ا</w:t>
      </w:r>
      <w:r w:rsidR="000B1C7D">
        <w:rPr>
          <w:rFonts w:hint="cs"/>
          <w:rtl/>
          <w:lang w:eastAsia="ar-SA"/>
        </w:rPr>
        <w:t>لحوار الوثيق والبناء مع اللجنة.</w:t>
      </w:r>
    </w:p>
    <w:p w:rsidR="00A809D1" w:rsidRDefault="00A809D1" w:rsidP="00876DB5">
      <w:pPr>
        <w:pStyle w:val="SingleTxtGA"/>
        <w:spacing w:line="370" w:lineRule="exact"/>
        <w:rPr>
          <w:rFonts w:hint="cs"/>
          <w:rtl/>
          <w:lang w:bidi="ar"/>
        </w:rPr>
      </w:pPr>
      <w:r w:rsidRPr="00A809D1">
        <w:rPr>
          <w:rFonts w:hint="cs"/>
          <w:rtl/>
        </w:rPr>
        <w:t>53-</w:t>
      </w:r>
      <w:r w:rsidRPr="00A809D1">
        <w:rPr>
          <w:rFonts w:hint="cs"/>
          <w:rtl/>
        </w:rPr>
        <w:tab/>
      </w:r>
      <w:r w:rsidR="0069722E">
        <w:rPr>
          <w:rFonts w:hint="cs"/>
          <w:b/>
          <w:bCs/>
          <w:rtl/>
        </w:rPr>
        <w:t xml:space="preserve">الرئيسة: </w:t>
      </w:r>
      <w:r w:rsidR="0069722E" w:rsidRPr="009E57BC">
        <w:rPr>
          <w:rFonts w:hint="cs"/>
          <w:rtl/>
        </w:rPr>
        <w:t xml:space="preserve">أعلنت أن </w:t>
      </w:r>
      <w:r w:rsidR="0069722E">
        <w:rPr>
          <w:rFonts w:hint="cs"/>
          <w:rtl/>
        </w:rPr>
        <w:t>اللجنة</w:t>
      </w:r>
      <w:r w:rsidR="0069722E">
        <w:rPr>
          <w:rFonts w:hint="cs"/>
          <w:rtl/>
          <w:lang w:bidi="ar"/>
        </w:rPr>
        <w:t xml:space="preserve"> تكون </w:t>
      </w:r>
      <w:r w:rsidR="0069722E" w:rsidRPr="009E57BC">
        <w:rPr>
          <w:rFonts w:hint="cs"/>
          <w:rtl/>
          <w:lang w:bidi="ar"/>
        </w:rPr>
        <w:t xml:space="preserve">قد اختتمت </w:t>
      </w:r>
      <w:r w:rsidR="0069722E">
        <w:rPr>
          <w:rFonts w:hint="cs"/>
          <w:rtl/>
          <w:lang w:bidi="ar"/>
        </w:rPr>
        <w:t xml:space="preserve">بذلك </w:t>
      </w:r>
      <w:r w:rsidR="0069722E" w:rsidRPr="009E57BC">
        <w:rPr>
          <w:rFonts w:hint="cs"/>
          <w:rtl/>
          <w:lang w:bidi="ar"/>
        </w:rPr>
        <w:t>نظرها ف</w:t>
      </w:r>
      <w:r w:rsidR="000B1C7D">
        <w:rPr>
          <w:rFonts w:hint="cs"/>
          <w:rtl/>
          <w:lang w:bidi="ar"/>
        </w:rPr>
        <w:t>ي تقرير ليتوانيا الدوري الثالث.</w:t>
      </w:r>
    </w:p>
    <w:p w:rsidR="0069722E" w:rsidRPr="00917631" w:rsidRDefault="0069722E" w:rsidP="00876DB5">
      <w:pPr>
        <w:pStyle w:val="H4GA"/>
        <w:keepNext w:val="0"/>
        <w:keepLines w:val="0"/>
        <w:spacing w:after="0" w:line="370" w:lineRule="exact"/>
        <w:rPr>
          <w:rFonts w:hint="cs"/>
          <w:rtl/>
          <w:lang w:eastAsia="ar-SA"/>
        </w:rPr>
      </w:pPr>
      <w:r>
        <w:rPr>
          <w:rFonts w:hint="cs"/>
          <w:rtl/>
        </w:rPr>
        <w:tab/>
      </w:r>
      <w:r>
        <w:rPr>
          <w:rFonts w:hint="cs"/>
          <w:rtl/>
        </w:rPr>
        <w:tab/>
        <w:t>رُفعت الجلسة الساعة 00/13</w:t>
      </w:r>
      <w:r w:rsidR="00876DB5">
        <w:rPr>
          <w:rFonts w:hint="cs"/>
          <w:rtl/>
        </w:rPr>
        <w:t>.</w:t>
      </w:r>
    </w:p>
    <w:p w:rsidR="008B4BC6" w:rsidRPr="00D41597" w:rsidRDefault="00D41597" w:rsidP="00876DB5">
      <w:pPr>
        <w:jc w:val="center"/>
        <w:rPr>
          <w:rFonts w:hint="cs"/>
          <w:u w:val="single"/>
          <w:rtl/>
        </w:rPr>
      </w:pPr>
      <w:r>
        <w:rPr>
          <w:u w:val="single"/>
          <w:rtl/>
        </w:rPr>
        <w:tab/>
      </w:r>
      <w:r>
        <w:rPr>
          <w:u w:val="single"/>
          <w:rtl/>
        </w:rPr>
        <w:tab/>
      </w:r>
      <w:r>
        <w:rPr>
          <w:u w:val="single"/>
          <w:rtl/>
        </w:rPr>
        <w:tab/>
      </w:r>
    </w:p>
    <w:sectPr w:rsidR="008B4BC6" w:rsidRPr="00D4159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83" w:rsidRPr="00FE6865" w:rsidRDefault="00AC0083" w:rsidP="00FE6865">
      <w:pPr>
        <w:pStyle w:val="Footer"/>
      </w:pPr>
    </w:p>
  </w:endnote>
  <w:endnote w:type="continuationSeparator" w:id="0">
    <w:p w:rsidR="00AC0083" w:rsidRDefault="00AC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A7" w:rsidRPr="0069722E" w:rsidRDefault="00C026A7" w:rsidP="0069722E">
    <w:pPr>
      <w:pStyle w:val="Footer"/>
      <w:tabs>
        <w:tab w:val="right" w:pos="9598"/>
      </w:tabs>
    </w:pPr>
    <w:r>
      <w:t>GE.12-43964</w:t>
    </w:r>
    <w:r>
      <w:tab/>
    </w:r>
    <w:r w:rsidRPr="0069722E">
      <w:rPr>
        <w:b/>
        <w:sz w:val="18"/>
      </w:rPr>
      <w:fldChar w:fldCharType="begin"/>
    </w:r>
    <w:r w:rsidRPr="0069722E">
      <w:rPr>
        <w:b/>
        <w:sz w:val="18"/>
      </w:rPr>
      <w:instrText xml:space="preserve"> PAGE  \* MERGEFORMAT </w:instrText>
    </w:r>
    <w:r w:rsidRPr="0069722E">
      <w:rPr>
        <w:b/>
        <w:sz w:val="18"/>
      </w:rPr>
      <w:fldChar w:fldCharType="separate"/>
    </w:r>
    <w:r w:rsidR="00F00590">
      <w:rPr>
        <w:b/>
        <w:noProof/>
        <w:sz w:val="18"/>
      </w:rPr>
      <w:t>2</w:t>
    </w:r>
    <w:r w:rsidRPr="0069722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A7" w:rsidRPr="0069722E" w:rsidRDefault="00C026A7" w:rsidP="0069722E">
    <w:pPr>
      <w:pStyle w:val="Footer"/>
      <w:tabs>
        <w:tab w:val="right" w:pos="9598"/>
      </w:tabs>
      <w:rPr>
        <w:b/>
        <w:sz w:val="18"/>
      </w:rPr>
    </w:pPr>
    <w:r w:rsidRPr="0069722E">
      <w:rPr>
        <w:b/>
        <w:sz w:val="18"/>
      </w:rPr>
      <w:fldChar w:fldCharType="begin"/>
    </w:r>
    <w:r w:rsidRPr="0069722E">
      <w:rPr>
        <w:b/>
        <w:sz w:val="18"/>
      </w:rPr>
      <w:instrText xml:space="preserve"> PAGE  \* MERGEFORMAT </w:instrText>
    </w:r>
    <w:r w:rsidRPr="0069722E">
      <w:rPr>
        <w:b/>
        <w:sz w:val="18"/>
      </w:rPr>
      <w:fldChar w:fldCharType="separate"/>
    </w:r>
    <w:r w:rsidR="003227F5">
      <w:rPr>
        <w:b/>
        <w:noProof/>
        <w:sz w:val="18"/>
      </w:rPr>
      <w:t>7</w:t>
    </w:r>
    <w:r w:rsidRPr="0069722E">
      <w:rPr>
        <w:b/>
        <w:sz w:val="18"/>
      </w:rPr>
      <w:fldChar w:fldCharType="end"/>
    </w:r>
    <w:r>
      <w:rPr>
        <w:b/>
        <w:sz w:val="18"/>
      </w:rPr>
      <w:tab/>
    </w:r>
    <w:r>
      <w:t>GE.12-43964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A7" w:rsidRPr="0069722E" w:rsidRDefault="00C026A7" w:rsidP="0069722E">
    <w:pPr>
      <w:pStyle w:val="footnoteText0"/>
      <w:pBdr>
        <w:bottom w:val="single" w:sz="4" w:space="1" w:color="auto"/>
      </w:pBdr>
      <w:tabs>
        <w:tab w:val="clear" w:pos="1021"/>
      </w:tabs>
      <w:ind w:left="0" w:right="0" w:firstLine="0"/>
      <w:jc w:val="left"/>
      <w:rPr>
        <w:rFonts w:hint="cs"/>
        <w:sz w:val="20"/>
        <w:rtl/>
      </w:rPr>
    </w:pPr>
  </w:p>
  <w:p w:rsidR="00C026A7" w:rsidRPr="00236B1D" w:rsidRDefault="00C026A7" w:rsidP="00C92171">
    <w:pPr>
      <w:pStyle w:val="footnoteText0"/>
      <w:ind w:firstLine="680"/>
      <w:rPr>
        <w:rtl/>
      </w:rPr>
    </w:pPr>
    <w:r w:rsidRPr="00236B1D">
      <w:rPr>
        <w:rtl/>
      </w:rPr>
      <w:t>هذا المحضر قابل للتصويب.</w:t>
    </w:r>
  </w:p>
  <w:p w:rsidR="00C026A7" w:rsidRPr="00236B1D" w:rsidRDefault="00C026A7" w:rsidP="00C92171">
    <w:pPr>
      <w:pStyle w:val="footnoteText0"/>
      <w:ind w:firstLine="680"/>
      <w:rPr>
        <w:rtl/>
      </w:rPr>
    </w:pPr>
    <w:r w:rsidRPr="00236B1D">
      <w:rPr>
        <w:rtl/>
      </w:rPr>
      <w:t>وينبغي أن تقدم التصويبات بواحدة من لغات العمل، ك</w:t>
    </w:r>
    <w:r>
      <w:rPr>
        <w:rtl/>
      </w:rPr>
      <w:t>ما </w:t>
    </w:r>
    <w:r w:rsidRPr="00236B1D">
      <w:rPr>
        <w:rtl/>
      </w:rPr>
      <w:t xml:space="preserve">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C026A7" w:rsidRDefault="00C026A7" w:rsidP="00791142">
    <w:pPr>
      <w:pStyle w:val="footnoteText0"/>
      <w:spacing w:after="240"/>
      <w:ind w:firstLine="680"/>
    </w:pPr>
    <w:r w:rsidRPr="00236B1D">
      <w:rPr>
        <w:rtl/>
      </w:rPr>
      <w:t xml:space="preserve">وستُدمج أية تصويبات ترد على محاضر </w:t>
    </w:r>
    <w:r>
      <w:rPr>
        <w:rFonts w:hint="cs"/>
        <w:rtl/>
      </w:rPr>
      <w:t xml:space="preserve">الجلسات العلنية للجنة </w:t>
    </w:r>
    <w:r w:rsidRPr="00236B1D">
      <w:rPr>
        <w:rtl/>
      </w:rPr>
      <w:t>في وثيقة تصويب واحدة تصدر ب</w:t>
    </w:r>
    <w:r>
      <w:rPr>
        <w:rFonts w:hint="cs"/>
        <w:rtl/>
      </w:rPr>
      <w:t>ُ</w:t>
    </w:r>
    <w:r w:rsidRPr="00236B1D">
      <w:rPr>
        <w:rtl/>
      </w:rPr>
      <w:t>ع</w:t>
    </w:r>
    <w:r>
      <w:rPr>
        <w:rFonts w:hint="cs"/>
        <w:rtl/>
      </w:rPr>
      <w:t>ي</w:t>
    </w:r>
    <w:r w:rsidRPr="00236B1D">
      <w:rPr>
        <w:rtl/>
      </w:rPr>
      <w:t>د نهاية الدورة</w:t>
    </w:r>
    <w:r>
      <w:rPr>
        <w:rtl/>
      </w:rPr>
      <w:t>.</w:t>
    </w:r>
  </w:p>
  <w:p w:rsidR="00C026A7" w:rsidRPr="00C92171" w:rsidRDefault="00C026A7" w:rsidP="004C1895">
    <w:pPr>
      <w:pStyle w:val="footnoteText0"/>
      <w:tabs>
        <w:tab w:val="clear" w:pos="1021"/>
      </w:tabs>
      <w:ind w:left="0"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rPr>
        <w:sz w:val="20"/>
      </w:rPr>
      <w:t>(A)   GE.12-43964    191012    2</w:t>
    </w:r>
    <w:r w:rsidR="004C1895">
      <w:rPr>
        <w:sz w:val="20"/>
      </w:rPr>
      <w:t>9</w:t>
    </w:r>
    <w:r>
      <w:rPr>
        <w:sz w:val="20"/>
      </w:rPr>
      <w:t>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83" w:rsidRDefault="00AC0083" w:rsidP="000C5F83">
      <w:pPr>
        <w:pStyle w:val="Footer"/>
        <w:bidi/>
        <w:spacing w:after="80" w:line="200" w:lineRule="exact"/>
        <w:ind w:left="680"/>
        <w:rPr>
          <w:rFonts w:hint="cs"/>
          <w:rtl/>
        </w:rPr>
      </w:pPr>
      <w:r>
        <w:rPr>
          <w:rFonts w:hint="cs"/>
          <w:rtl/>
        </w:rPr>
        <w:t>__________</w:t>
      </w:r>
    </w:p>
    <w:p w:rsidR="00AC0083" w:rsidRPr="000C5F83" w:rsidRDefault="00AC0083" w:rsidP="000C5F83">
      <w:pPr>
        <w:pStyle w:val="Footer"/>
      </w:pPr>
    </w:p>
  </w:footnote>
  <w:footnote w:type="continuationSeparator" w:id="0">
    <w:p w:rsidR="00AC0083" w:rsidRDefault="00AC0083" w:rsidP="000C5F83">
      <w:pPr>
        <w:pStyle w:val="Footer"/>
        <w:bidi/>
        <w:spacing w:after="80" w:line="200" w:lineRule="exact"/>
        <w:ind w:left="680"/>
        <w:rPr>
          <w:rFonts w:hint="cs"/>
          <w:rtl/>
        </w:rPr>
      </w:pPr>
      <w:r>
        <w:rPr>
          <w:rFonts w:hint="cs"/>
          <w:rtl/>
        </w:rPr>
        <w:t>__________</w:t>
      </w:r>
    </w:p>
    <w:p w:rsidR="00AC0083" w:rsidRPr="000C5F83" w:rsidRDefault="00AC0083" w:rsidP="000C5F8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A7" w:rsidRPr="0069722E" w:rsidRDefault="00C026A7" w:rsidP="0069722E">
    <w:pPr>
      <w:pStyle w:val="Header"/>
      <w:jc w:val="right"/>
    </w:pPr>
    <w:r w:rsidRPr="0069722E">
      <w:t>CCPR/C/SR.2897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A7" w:rsidRPr="0069722E" w:rsidRDefault="00C026A7" w:rsidP="0069722E">
    <w:pPr>
      <w:pStyle w:val="Header"/>
      <w:jc w:val="left"/>
    </w:pPr>
    <w:r w:rsidRPr="0069722E">
      <w:t>CCPR/C/SR.2897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A7" w:rsidRDefault="00C026A7"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C026A7" w:rsidRPr="008F6743" w:rsidRDefault="00C026A7"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E6EE6A"/>
    <w:lvl w:ilvl="0">
      <w:start w:val="1"/>
      <w:numFmt w:val="decimal"/>
      <w:lvlText w:val="%1."/>
      <w:lvlJc w:val="left"/>
      <w:pPr>
        <w:tabs>
          <w:tab w:val="num" w:pos="1492"/>
        </w:tabs>
        <w:ind w:left="1492" w:hanging="360"/>
      </w:pPr>
    </w:lvl>
  </w:abstractNum>
  <w:abstractNum w:abstractNumId="1">
    <w:nsid w:val="FFFFFF7D"/>
    <w:multiLevelType w:val="singleLevel"/>
    <w:tmpl w:val="BEEE2B90"/>
    <w:lvl w:ilvl="0">
      <w:start w:val="1"/>
      <w:numFmt w:val="decimal"/>
      <w:lvlText w:val="%1."/>
      <w:lvlJc w:val="left"/>
      <w:pPr>
        <w:tabs>
          <w:tab w:val="num" w:pos="1209"/>
        </w:tabs>
        <w:ind w:left="1209" w:hanging="360"/>
      </w:pPr>
    </w:lvl>
  </w:abstractNum>
  <w:abstractNum w:abstractNumId="2">
    <w:nsid w:val="FFFFFF7E"/>
    <w:multiLevelType w:val="singleLevel"/>
    <w:tmpl w:val="0BBA2780"/>
    <w:lvl w:ilvl="0">
      <w:start w:val="1"/>
      <w:numFmt w:val="decimal"/>
      <w:lvlText w:val="%1."/>
      <w:lvlJc w:val="left"/>
      <w:pPr>
        <w:tabs>
          <w:tab w:val="num" w:pos="926"/>
        </w:tabs>
        <w:ind w:left="926" w:hanging="360"/>
      </w:pPr>
    </w:lvl>
  </w:abstractNum>
  <w:abstractNum w:abstractNumId="3">
    <w:nsid w:val="FFFFFF7F"/>
    <w:multiLevelType w:val="singleLevel"/>
    <w:tmpl w:val="2F16EA2E"/>
    <w:lvl w:ilvl="0">
      <w:start w:val="1"/>
      <w:numFmt w:val="decimal"/>
      <w:lvlText w:val="%1."/>
      <w:lvlJc w:val="left"/>
      <w:pPr>
        <w:tabs>
          <w:tab w:val="num" w:pos="643"/>
        </w:tabs>
        <w:ind w:left="643" w:hanging="360"/>
      </w:pPr>
    </w:lvl>
  </w:abstractNum>
  <w:abstractNum w:abstractNumId="4">
    <w:nsid w:val="FFFFFF80"/>
    <w:multiLevelType w:val="singleLevel"/>
    <w:tmpl w:val="64DE26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C6B1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856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B43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5CA896"/>
    <w:lvl w:ilvl="0">
      <w:start w:val="1"/>
      <w:numFmt w:val="decimal"/>
      <w:lvlText w:val="%1."/>
      <w:lvlJc w:val="left"/>
      <w:pPr>
        <w:tabs>
          <w:tab w:val="num" w:pos="360"/>
        </w:tabs>
        <w:ind w:left="360" w:hanging="360"/>
      </w:pPr>
    </w:lvl>
  </w:abstractNum>
  <w:abstractNum w:abstractNumId="9">
    <w:nsid w:val="FFFFFF89"/>
    <w:multiLevelType w:val="singleLevel"/>
    <w:tmpl w:val="DCA084A0"/>
    <w:lvl w:ilvl="0">
      <w:start w:val="1"/>
      <w:numFmt w:val="bullet"/>
      <w:lvlText w:val=""/>
      <w:lvlJc w:val="left"/>
      <w:pPr>
        <w:tabs>
          <w:tab w:val="num" w:pos="360"/>
        </w:tabs>
        <w:ind w:left="360" w:hanging="360"/>
      </w:pPr>
      <w:rPr>
        <w:rFonts w:ascii="Symbol" w:hAnsi="Symbol" w:hint="default"/>
      </w:rPr>
    </w:lvl>
  </w:abstractNum>
  <w:abstractNum w:abstractNumId="1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27714CB"/>
    <w:multiLevelType w:val="hybridMultilevel"/>
    <w:tmpl w:val="E7820182"/>
    <w:lvl w:ilvl="0" w:tplc="8E0A89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2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2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3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3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1"/>
  </w:num>
  <w:num w:numId="3">
    <w:abstractNumId w:val="24"/>
  </w:num>
  <w:num w:numId="4">
    <w:abstractNumId w:val="22"/>
  </w:num>
  <w:num w:numId="5">
    <w:abstractNumId w:val="19"/>
  </w:num>
  <w:num w:numId="6">
    <w:abstractNumId w:val="31"/>
  </w:num>
  <w:num w:numId="7">
    <w:abstractNumId w:val="21"/>
  </w:num>
  <w:num w:numId="8">
    <w:abstractNumId w:val="20"/>
  </w:num>
  <w:num w:numId="9">
    <w:abstractNumId w:val="23"/>
  </w:num>
  <w:num w:numId="10">
    <w:abstractNumId w:val="30"/>
  </w:num>
  <w:num w:numId="11">
    <w:abstractNumId w:val="11"/>
  </w:num>
  <w:num w:numId="12">
    <w:abstractNumId w:val="24"/>
  </w:num>
  <w:num w:numId="13">
    <w:abstractNumId w:val="22"/>
  </w:num>
  <w:num w:numId="14">
    <w:abstractNumId w:val="19"/>
  </w:num>
  <w:num w:numId="15">
    <w:abstractNumId w:val="31"/>
  </w:num>
  <w:num w:numId="16">
    <w:abstractNumId w:val="11"/>
  </w:num>
  <w:num w:numId="17">
    <w:abstractNumId w:val="24"/>
  </w:num>
  <w:num w:numId="18">
    <w:abstractNumId w:val="22"/>
  </w:num>
  <w:num w:numId="19">
    <w:abstractNumId w:val="19"/>
  </w:num>
  <w:num w:numId="20">
    <w:abstractNumId w:val="31"/>
  </w:num>
  <w:num w:numId="21">
    <w:abstractNumId w:val="11"/>
  </w:num>
  <w:num w:numId="22">
    <w:abstractNumId w:val="24"/>
  </w:num>
  <w:num w:numId="23">
    <w:abstractNumId w:val="19"/>
  </w:num>
  <w:num w:numId="24">
    <w:abstractNumId w:val="31"/>
  </w:num>
  <w:num w:numId="25">
    <w:abstractNumId w:val="24"/>
  </w:num>
  <w:num w:numId="26">
    <w:abstractNumId w:val="11"/>
  </w:num>
  <w:num w:numId="27">
    <w:abstractNumId w:val="13"/>
  </w:num>
  <w:num w:numId="28">
    <w:abstractNumId w:val="12"/>
  </w:num>
  <w:num w:numId="29">
    <w:abstractNumId w:val="26"/>
  </w:num>
  <w:num w:numId="30">
    <w:abstractNumId w:val="15"/>
  </w:num>
  <w:num w:numId="31">
    <w:abstractNumId w:val="18"/>
  </w:num>
  <w:num w:numId="32">
    <w:abstractNumId w:val="25"/>
  </w:num>
  <w:num w:numId="33">
    <w:abstractNumId w:val="28"/>
  </w:num>
  <w:num w:numId="34">
    <w:abstractNumId w:val="32"/>
  </w:num>
  <w:num w:numId="35">
    <w:abstractNumId w:val="16"/>
  </w:num>
  <w:num w:numId="36">
    <w:abstractNumId w:val="27"/>
  </w:num>
  <w:num w:numId="37">
    <w:abstractNumId w:val="29"/>
  </w:num>
  <w:num w:numId="38">
    <w:abstractNumId w:val="10"/>
  </w:num>
  <w:num w:numId="39">
    <w:abstractNumId w:val="17"/>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684"/>
    <w:rsid w:val="00040E25"/>
    <w:rsid w:val="00042149"/>
    <w:rsid w:val="000648EA"/>
    <w:rsid w:val="00074117"/>
    <w:rsid w:val="000957C8"/>
    <w:rsid w:val="00097049"/>
    <w:rsid w:val="000A04D5"/>
    <w:rsid w:val="000B1C7D"/>
    <w:rsid w:val="000B52F2"/>
    <w:rsid w:val="000C3140"/>
    <w:rsid w:val="000C5F83"/>
    <w:rsid w:val="000D0EAE"/>
    <w:rsid w:val="000D5380"/>
    <w:rsid w:val="000D6654"/>
    <w:rsid w:val="000E103D"/>
    <w:rsid w:val="000F0264"/>
    <w:rsid w:val="000F2EBF"/>
    <w:rsid w:val="000F3A9F"/>
    <w:rsid w:val="000F5FF6"/>
    <w:rsid w:val="001022B5"/>
    <w:rsid w:val="00113FA5"/>
    <w:rsid w:val="00133339"/>
    <w:rsid w:val="001455A0"/>
    <w:rsid w:val="001602A3"/>
    <w:rsid w:val="00174A5A"/>
    <w:rsid w:val="001A5161"/>
    <w:rsid w:val="001A60BD"/>
    <w:rsid w:val="001C1903"/>
    <w:rsid w:val="001E5042"/>
    <w:rsid w:val="00232277"/>
    <w:rsid w:val="002342B6"/>
    <w:rsid w:val="0023736D"/>
    <w:rsid w:val="00257225"/>
    <w:rsid w:val="00263309"/>
    <w:rsid w:val="00285F8B"/>
    <w:rsid w:val="002F44BD"/>
    <w:rsid w:val="00310160"/>
    <w:rsid w:val="003227F5"/>
    <w:rsid w:val="00341A8C"/>
    <w:rsid w:val="003519E6"/>
    <w:rsid w:val="00355F81"/>
    <w:rsid w:val="003B4356"/>
    <w:rsid w:val="003F08A8"/>
    <w:rsid w:val="003F1E53"/>
    <w:rsid w:val="00405359"/>
    <w:rsid w:val="004250E3"/>
    <w:rsid w:val="004635E9"/>
    <w:rsid w:val="00472A81"/>
    <w:rsid w:val="004A20A6"/>
    <w:rsid w:val="004B2C92"/>
    <w:rsid w:val="004C1895"/>
    <w:rsid w:val="004C63C2"/>
    <w:rsid w:val="004D6A3A"/>
    <w:rsid w:val="004F4AD7"/>
    <w:rsid w:val="005115B8"/>
    <w:rsid w:val="0051254E"/>
    <w:rsid w:val="00557CD3"/>
    <w:rsid w:val="005627C7"/>
    <w:rsid w:val="00571432"/>
    <w:rsid w:val="005732A2"/>
    <w:rsid w:val="005762A5"/>
    <w:rsid w:val="00590BA3"/>
    <w:rsid w:val="005B46D9"/>
    <w:rsid w:val="005B7AE0"/>
    <w:rsid w:val="005C29B8"/>
    <w:rsid w:val="005E23F5"/>
    <w:rsid w:val="005E3B68"/>
    <w:rsid w:val="005F146F"/>
    <w:rsid w:val="005F71B6"/>
    <w:rsid w:val="006305A9"/>
    <w:rsid w:val="00654786"/>
    <w:rsid w:val="00660FD4"/>
    <w:rsid w:val="00665BE4"/>
    <w:rsid w:val="0069722E"/>
    <w:rsid w:val="006A4425"/>
    <w:rsid w:val="006B00A4"/>
    <w:rsid w:val="006B4669"/>
    <w:rsid w:val="006D3CFA"/>
    <w:rsid w:val="006F6BF8"/>
    <w:rsid w:val="00707BDF"/>
    <w:rsid w:val="00710727"/>
    <w:rsid w:val="00715F45"/>
    <w:rsid w:val="0072608F"/>
    <w:rsid w:val="00731815"/>
    <w:rsid w:val="00731B84"/>
    <w:rsid w:val="00734AE7"/>
    <w:rsid w:val="00767A5A"/>
    <w:rsid w:val="00767E60"/>
    <w:rsid w:val="00791142"/>
    <w:rsid w:val="0079344E"/>
    <w:rsid w:val="0079690B"/>
    <w:rsid w:val="007A4FB9"/>
    <w:rsid w:val="007D6180"/>
    <w:rsid w:val="007E197F"/>
    <w:rsid w:val="007E2786"/>
    <w:rsid w:val="007F68C4"/>
    <w:rsid w:val="008153DE"/>
    <w:rsid w:val="00832A9B"/>
    <w:rsid w:val="00852A10"/>
    <w:rsid w:val="00862634"/>
    <w:rsid w:val="00866C59"/>
    <w:rsid w:val="00876DB5"/>
    <w:rsid w:val="00877306"/>
    <w:rsid w:val="00885524"/>
    <w:rsid w:val="00892F93"/>
    <w:rsid w:val="008A6242"/>
    <w:rsid w:val="008B4BC6"/>
    <w:rsid w:val="008F6743"/>
    <w:rsid w:val="00901E57"/>
    <w:rsid w:val="009070DF"/>
    <w:rsid w:val="00935F0E"/>
    <w:rsid w:val="0095208F"/>
    <w:rsid w:val="00977B3F"/>
    <w:rsid w:val="009814AE"/>
    <w:rsid w:val="009901D3"/>
    <w:rsid w:val="00996BBE"/>
    <w:rsid w:val="009A0C65"/>
    <w:rsid w:val="009B2C03"/>
    <w:rsid w:val="009D17B9"/>
    <w:rsid w:val="009D1DD5"/>
    <w:rsid w:val="009F722C"/>
    <w:rsid w:val="00A26157"/>
    <w:rsid w:val="00A265C3"/>
    <w:rsid w:val="00A43F9A"/>
    <w:rsid w:val="00A53F38"/>
    <w:rsid w:val="00A543D4"/>
    <w:rsid w:val="00A743B0"/>
    <w:rsid w:val="00A809D1"/>
    <w:rsid w:val="00AA1684"/>
    <w:rsid w:val="00AB6C46"/>
    <w:rsid w:val="00AC0083"/>
    <w:rsid w:val="00AD0014"/>
    <w:rsid w:val="00AD4CF2"/>
    <w:rsid w:val="00AF0BBA"/>
    <w:rsid w:val="00AF6350"/>
    <w:rsid w:val="00B25159"/>
    <w:rsid w:val="00B30468"/>
    <w:rsid w:val="00B44E31"/>
    <w:rsid w:val="00BA4F7E"/>
    <w:rsid w:val="00BB2C41"/>
    <w:rsid w:val="00BB55B1"/>
    <w:rsid w:val="00BC55C8"/>
    <w:rsid w:val="00BC5C10"/>
    <w:rsid w:val="00BE2964"/>
    <w:rsid w:val="00C026A7"/>
    <w:rsid w:val="00C21623"/>
    <w:rsid w:val="00C24FBD"/>
    <w:rsid w:val="00C473BA"/>
    <w:rsid w:val="00C611ED"/>
    <w:rsid w:val="00C6490A"/>
    <w:rsid w:val="00C64FE1"/>
    <w:rsid w:val="00C726D2"/>
    <w:rsid w:val="00C74296"/>
    <w:rsid w:val="00C8345E"/>
    <w:rsid w:val="00C92171"/>
    <w:rsid w:val="00C93728"/>
    <w:rsid w:val="00CA5F7C"/>
    <w:rsid w:val="00CB348E"/>
    <w:rsid w:val="00CF5CD7"/>
    <w:rsid w:val="00D41597"/>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93606"/>
    <w:rsid w:val="00EA796F"/>
    <w:rsid w:val="00EB077B"/>
    <w:rsid w:val="00EC50B9"/>
    <w:rsid w:val="00ED1A7C"/>
    <w:rsid w:val="00ED26A0"/>
    <w:rsid w:val="00F00590"/>
    <w:rsid w:val="00F1727A"/>
    <w:rsid w:val="00F34764"/>
    <w:rsid w:val="00F50A2F"/>
    <w:rsid w:val="00F54E3C"/>
    <w:rsid w:val="00F845ED"/>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23GAChar">
    <w:name w:val="_ H_2/3_GA Char"/>
    <w:link w:val="H23GA"/>
    <w:rsid w:val="0069722E"/>
    <w:rPr>
      <w:rFonts w:cs="Traditional Arabic"/>
      <w:b/>
      <w:bCs/>
      <w:szCs w:val="30"/>
      <w:lang w:val="en-US" w:eastAsia="ar-SA" w:bidi="ar-SA"/>
    </w:rPr>
  </w:style>
  <w:style w:type="character" w:customStyle="1" w:styleId="SingleTxtGAChar">
    <w:name w:val="_ Single Txt_GA Char"/>
    <w:link w:val="SingleTxtGA"/>
    <w:rsid w:val="0069722E"/>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CCPRsr</Template>
  <TotalTime>0</TotalTime>
  <Pages>12</Pages>
  <Words>4057</Words>
  <Characters>23129</Characters>
  <Application>Microsoft Office Word</Application>
  <DocSecurity>4</DocSecurity>
  <Lines>192</Lines>
  <Paragraphs>54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CCPR/C/SR.2897</vt:lpstr>
      <vt:lpstr>CCPR/C/SR.2897</vt:lpstr>
    </vt:vector>
  </TitlesOfParts>
  <Company>CSD</Company>
  <LinksUpToDate>false</LinksUpToDate>
  <CharactersWithSpaces>27132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CCPR/C/SR.2897</dc:title>
  <dc:subject>FATHI, BOUKADIDA</dc:subject>
  <dc:creator>TPS</dc:creator>
  <cp:keywords/>
  <dc:description/>
  <cp:lastModifiedBy>SMADI</cp:lastModifiedBy>
  <cp:revision>2</cp:revision>
  <cp:lastPrinted>2012-10-24T09:35:00Z</cp:lastPrinted>
  <dcterms:created xsi:type="dcterms:W3CDTF">2012-10-29T13:07:00Z</dcterms:created>
  <dcterms:modified xsi:type="dcterms:W3CDTF">2012-10-29T13:07:00Z</dcterms:modified>
</cp:coreProperties>
</file>