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000000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00000" w:rsidRDefault="00000000">
            <w:pPr>
              <w:spacing w:after="80"/>
              <w:jc w:val="right"/>
              <w:rPr>
                <w:lang w:val="en-US"/>
              </w:rPr>
            </w:pPr>
            <w:proofErr w:type="spellStart"/>
            <w:r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>
                <w:t>C/SR.2716</w:t>
              </w:r>
            </w:fldSimple>
          </w:p>
        </w:tc>
      </w:tr>
      <w:tr w:rsidR="0000000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00000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000000" w:rsidRDefault="0000000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20 October 2010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r>
              <w:rPr>
                <w:lang w:val="en-US"/>
              </w:rPr>
              <w:t>Russian</w:t>
            </w:r>
          </w:p>
          <w:p w:rsidR="00000000" w:rsidRDefault="00000000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000000" w:rsidRDefault="00000000"/>
        </w:tc>
      </w:tr>
    </w:tbl>
    <w:p w:rsidR="00000000" w:rsidRDefault="00000000">
      <w:pPr>
        <w:spacing w:before="120" w:after="120"/>
        <w:rPr>
          <w:b/>
        </w:rPr>
      </w:pPr>
      <w:r>
        <w:rPr>
          <w:b/>
          <w:sz w:val="24"/>
          <w:szCs w:val="24"/>
        </w:rPr>
        <w:t>Комитет по правам человека</w:t>
      </w:r>
      <w:r>
        <w:rPr>
          <w:b/>
          <w:sz w:val="24"/>
          <w:szCs w:val="24"/>
        </w:rPr>
        <w:br/>
      </w:r>
      <w:r>
        <w:rPr>
          <w:b/>
        </w:rPr>
        <w:t>Девяносто девятая сессия</w:t>
      </w:r>
    </w:p>
    <w:p w:rsidR="00000000" w:rsidRDefault="00000000">
      <w:pPr>
        <w:spacing w:after="120"/>
      </w:pPr>
      <w:r>
        <w:rPr>
          <w:b/>
        </w:rPr>
        <w:t>Краткий отчет о 2716-м заседании,</w:t>
      </w:r>
      <w:r>
        <w:rPr>
          <w:b/>
        </w:rPr>
        <w:br/>
      </w:r>
      <w:r>
        <w:t>состоявшемся во Дворце Вильсона в Женеве</w:t>
      </w:r>
      <w:r>
        <w:br/>
        <w:t>во вторник, 13 июля 2010 года, в 10 ч. 00 м.</w:t>
      </w:r>
    </w:p>
    <w:p w:rsidR="00000000" w:rsidRDefault="00000000">
      <w:pPr>
        <w:tabs>
          <w:tab w:val="right" w:pos="1398"/>
          <w:tab w:val="left" w:pos="1674"/>
        </w:tabs>
        <w:spacing w:after="120"/>
        <w:ind w:right="1264"/>
      </w:pPr>
      <w:r>
        <w:rPr>
          <w:i/>
        </w:rPr>
        <w:t>Председатель</w:t>
      </w:r>
      <w:r>
        <w:t>:</w:t>
      </w:r>
      <w:r>
        <w:tab/>
      </w:r>
      <w:r>
        <w:tab/>
        <w:t>г-н Ивасава</w:t>
      </w:r>
    </w:p>
    <w:p w:rsidR="00000000" w:rsidRDefault="00000000">
      <w:pPr>
        <w:pStyle w:val="HCh"/>
        <w:keepNext w:val="0"/>
        <w:keepLines w:val="0"/>
        <w:spacing w:before="240" w:after="360" w:line="240" w:lineRule="atLeast"/>
        <w:outlineLvl w:val="9"/>
        <w:rPr>
          <w:b w:val="0"/>
          <w:spacing w:val="4"/>
          <w:lang w:val="ru-RU"/>
        </w:rPr>
      </w:pPr>
      <w:r>
        <w:rPr>
          <w:b w:val="0"/>
          <w:spacing w:val="4"/>
          <w:lang w:val="ru-RU"/>
        </w:rPr>
        <w:t>Содержание</w:t>
      </w:r>
    </w:p>
    <w:p w:rsidR="00000000" w:rsidRDefault="00000000">
      <w:pPr>
        <w:pStyle w:val="SingleTxtGR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 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GR"/>
      </w:pPr>
      <w:r>
        <w:rPr>
          <w:i/>
        </w:rPr>
        <w:t xml:space="preserve">Третий периодический доклад Эстонии </w:t>
      </w:r>
      <w:r>
        <w:t>(продолжение)</w:t>
      </w:r>
    </w:p>
    <w:p w:rsidR="00000000" w:rsidRDefault="00000000">
      <w:pPr>
        <w:spacing w:after="120"/>
        <w:ind w:left="1134" w:right="1134"/>
        <w:jc w:val="both"/>
        <w:rPr>
          <w:b/>
          <w:i/>
          <w:color w:val="000000"/>
        </w:rPr>
      </w:pPr>
      <w:r>
        <w:rPr>
          <w:b/>
        </w:rPr>
        <w:br w:type="page"/>
      </w:r>
      <w:r>
        <w:rPr>
          <w:i/>
          <w:color w:val="000000"/>
        </w:rPr>
        <w:t>Заседание открывается в 10 час. 10 мин.</w:t>
      </w:r>
    </w:p>
    <w:p w:rsidR="00000000" w:rsidRDefault="00000000">
      <w:pPr>
        <w:pStyle w:val="H23GR"/>
        <w:rPr>
          <w:i/>
        </w:rPr>
      </w:pPr>
      <w:r>
        <w:tab/>
      </w:r>
      <w:r>
        <w:tab/>
        <w:t>Рассмотрение докладов, представленных государствами-участниками в с</w:t>
      </w:r>
      <w:r>
        <w:t>о</w:t>
      </w:r>
      <w:r>
        <w:t>ответствии со статьей 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rPr>
          <w:rStyle w:val="H4GR0"/>
        </w:rPr>
        <w:t>Третий периодический доклад Эстонии</w:t>
      </w:r>
      <w:r>
        <w:rPr>
          <w:i/>
        </w:rPr>
        <w:t xml:space="preserve"> </w:t>
      </w:r>
      <w:r>
        <w:t>(продолжение) (CCPR/C/EST/3, CCPR/C/EST/Q/3 и Add.1)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1.</w:t>
      </w:r>
      <w:r>
        <w:tab/>
      </w:r>
      <w:r>
        <w:rPr>
          <w:i/>
        </w:rPr>
        <w:t>По приглашению Председателя делегация Эстонии занимает места за столом Комитета.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Председатель</w:t>
      </w:r>
      <w:r>
        <w:rPr>
          <w:color w:val="000000"/>
        </w:rPr>
        <w:t xml:space="preserve"> предлагает делегации ответить на 15–27-й вопросы из п</w:t>
      </w:r>
      <w:r>
        <w:rPr>
          <w:color w:val="000000"/>
        </w:rPr>
        <w:t>е</w:t>
      </w:r>
      <w:r>
        <w:rPr>
          <w:color w:val="000000"/>
        </w:rPr>
        <w:t>речисленных в перечне (CCPR/C/EST/Q/3)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3.</w:t>
      </w:r>
      <w:r>
        <w:tab/>
      </w:r>
      <w:r>
        <w:rPr>
          <w:b/>
        </w:rPr>
        <w:t xml:space="preserve">Г-н Кок </w:t>
      </w:r>
      <w:r>
        <w:t>(Эстония), отвечая на 15-й вопрос, подчеркивает, что иностр</w:t>
      </w:r>
      <w:r>
        <w:t>а</w:t>
      </w:r>
      <w:r>
        <w:t>нец, состоящий в однополых отношениях с партнером, который уже проживает в Эстонии, не вправе ссылаться на довод о воссоединении семьи в обоснование своего ходатайства о выдаче вида на жительство, поскольку в Эстонии призн</w:t>
      </w:r>
      <w:r>
        <w:t>а</w:t>
      </w:r>
      <w:r>
        <w:t xml:space="preserve">ются только браки, а не сожительство. Вместе с тем этот иностранец может претендовать на получение вида на жительство на других основаниях, таких, как наличие законных доходов в размере, достаточном, чтобы содержать себя. </w:t>
      </w:r>
      <w:r>
        <w:br/>
        <w:t>В этом случае он подпадает под действие годовой квоты для иммигрантов, к</w:t>
      </w:r>
      <w:r>
        <w:t>о</w:t>
      </w:r>
      <w:r>
        <w:t xml:space="preserve">торая составляет 0,1% от числа постоянных жителей страны.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4.</w:t>
      </w:r>
      <w:r>
        <w:tab/>
        <w:t>Переходя к 16-му вопросу, он сообщает, что ходатайства о предоставл</w:t>
      </w:r>
      <w:r>
        <w:t>е</w:t>
      </w:r>
      <w:r>
        <w:t>нии убежища в Эстонии рассматриваются беспристрастно, на индивидуальной основе. Проводится проверка точности представленных подтверждающих д</w:t>
      </w:r>
      <w:r>
        <w:t>о</w:t>
      </w:r>
      <w:r>
        <w:t>кументов и сведений и оценка достоверности утверждений заявителя. Кроме того, проверяется наличие обстоятельств, говорящих в пользу предоставления заявителю международной защиты либо отклонения ходатайства. Все решения об отклонении ходатайства о предоставлении убежища или о высылке ин</w:t>
      </w:r>
      <w:r>
        <w:t>о</w:t>
      </w:r>
      <w:r>
        <w:t>странца оформляются в виде документа: заявитель, который имеет право на эффективные средства правовой защиты, может обжаловать такое решение в административном суде. Факт обжалования решения об отклонении ходатайства не служит основанием для отсрочки высылки, за исключением случаев, когда суд приостанавливает исполнение приказа покинуть страну. На деле суды в т</w:t>
      </w:r>
      <w:r>
        <w:t>а</w:t>
      </w:r>
      <w:r>
        <w:t>ких случаях всегда принимают решение о приостановлении исполнения таких приказов.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5.</w:t>
      </w:r>
      <w:r>
        <w:tab/>
        <w:t>В отдельных случаях просителю убежища может быть отказано во въезде в Эстонию: основанием для этого может служить, например, отнесение страны происхождения к числу стран с безопасными условиями или его прибытие в Эстонию из страны, которая может быть отнесена к числу безопасных. Вопреки некоторым сообщениям, в Эстонии нет перечня "безопасных" стран. Решение принимается в свете конкретных обстоятельств каждого дела.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6.</w:t>
      </w:r>
      <w:r>
        <w:tab/>
        <w:t>В своем письменном ответе на 17-й вопрос из переданного ей перечня (CCPR/C/EST/Q/3/Add.1) Эстония представила информацию о законодательных актах, принятых в 2008 году с целью не допустить затягивания уголовного с</w:t>
      </w:r>
      <w:r>
        <w:t>у</w:t>
      </w:r>
      <w:r>
        <w:t>допроизводства. Наиболее важная мера исходит из принципа проведения суде</w:t>
      </w:r>
      <w:r>
        <w:t>б</w:t>
      </w:r>
      <w:r>
        <w:t>ного разбирательства без временн</w:t>
      </w:r>
      <w:r>
        <w:rPr>
          <w:b/>
          <w:i/>
        </w:rPr>
        <w:t>ы</w:t>
      </w:r>
      <w:r>
        <w:t>х интервалов и без затягивания. Суды обяз</w:t>
      </w:r>
      <w:r>
        <w:t>а</w:t>
      </w:r>
      <w:r>
        <w:t>ны рассматривать дело целиком и выносить решение в возможно кратчайшие сроки. Другие меры касаются вызова свидетелей, проведения судебного разб</w:t>
      </w:r>
      <w:r>
        <w:t>и</w:t>
      </w:r>
      <w:r>
        <w:t>рательства по уголовным делам сразу после предварительного следствия и н</w:t>
      </w:r>
      <w:r>
        <w:t>е</w:t>
      </w:r>
      <w:r>
        <w:t>допущения рассмотрения членами судебной коллегии по уголовным делам н</w:t>
      </w:r>
      <w:r>
        <w:t>е</w:t>
      </w:r>
      <w:r>
        <w:t>скольких уголовных дел одновременно. По данным Министерства юстиции, за первые шесть месяцев 2009 года продолжительность судебного разбирательства удалось сократить примерно наполовину. Соответственно, в 2009 году продо</w:t>
      </w:r>
      <w:r>
        <w:t>л</w:t>
      </w:r>
      <w:r>
        <w:t>жительность уголовного судопроизводства составила в среднем 448 дней по сравнению с 992 днями в 2008 году. Кроме того, в настоящее время на рассмо</w:t>
      </w:r>
      <w:r>
        <w:t>т</w:t>
      </w:r>
      <w:r>
        <w:t>рение парламента внесен новый блок мер, предусматривающий возможность обратиться с ходатайством об ускорении уголовного или гражданского суд</w:t>
      </w:r>
      <w:r>
        <w:t>о</w:t>
      </w:r>
      <w:r>
        <w:t>производства.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7.</w:t>
      </w:r>
      <w:r>
        <w:tab/>
        <w:t>Комитет просил также сообщить, принимаются ли уголовными судами к рассмотрению доказательства, добытые незаконным путем. В законодательстве не прописаны основания для отклонения доказательств, однако судьи обязаны оценивать доказательства в их совокупности, руководствуясь своим правосо</w:t>
      </w:r>
      <w:r>
        <w:t>з</w:t>
      </w:r>
      <w:r>
        <w:t>нанием. В ряде случаев Верховный суд подтвердил принцип оценки с учетом конкретных обстоятельств дела, указав при этом, что доказательства могут приниматься к рассмотрению даже в случае незначительных процедурных н</w:t>
      </w:r>
      <w:r>
        <w:t>а</w:t>
      </w:r>
      <w:r>
        <w:t xml:space="preserve">рушений.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8.</w:t>
      </w:r>
      <w:r>
        <w:tab/>
        <w:t>По 18-му из перечня вопросов оратор сообщает, что в соответствии с З</w:t>
      </w:r>
      <w:r>
        <w:t>а</w:t>
      </w:r>
      <w:r>
        <w:t>коном о компенсации за ущерб, причиненный государством лицам через н</w:t>
      </w:r>
      <w:r>
        <w:t>е</w:t>
      </w:r>
      <w:r>
        <w:t>обоснованное лишение свободы, Министерство финансов выплачивает компе</w:t>
      </w:r>
      <w:r>
        <w:t>н</w:t>
      </w:r>
      <w:r>
        <w:t xml:space="preserve">сацию в случае судебных ошибок.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9.</w:t>
      </w:r>
      <w:r>
        <w:tab/>
        <w:t>Переходя к 19-му вопросу, который касается альтернативной службы, он указывает, что проблема ее продолжительности была решена со вступлением в силу 1 июля 2010 года поправки к Закону о службе в силах обороны. Срок ал</w:t>
      </w:r>
      <w:r>
        <w:t>ь</w:t>
      </w:r>
      <w:r>
        <w:t>тернативной службы теперь равен продолжительности воинской службы и с</w:t>
      </w:r>
      <w:r>
        <w:t>о</w:t>
      </w:r>
      <w:r>
        <w:t>ставляет от восьми до двенадцати месяцев.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10.</w:t>
      </w:r>
      <w:r>
        <w:tab/>
        <w:t>Что касается 20-го вопроса, об апрельских событиях 2007 года, он отм</w:t>
      </w:r>
      <w:r>
        <w:t>е</w:t>
      </w:r>
      <w:r>
        <w:t>чает, что лишь в восьми случаях были возбуждены уголовные дела по обвин</w:t>
      </w:r>
      <w:r>
        <w:t>е</w:t>
      </w:r>
      <w:r>
        <w:t>нию сотрудников правоохранительных органов в жестоком обращении с демо</w:t>
      </w:r>
      <w:r>
        <w:t>н</w:t>
      </w:r>
      <w:r>
        <w:t>странтами. По окончании следствия судопроизводство было прекращено за н</w:t>
      </w:r>
      <w:r>
        <w:t>е</w:t>
      </w:r>
      <w:r>
        <w:t>возможностью установить предполагаемых виновников.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11.</w:t>
      </w:r>
      <w:r>
        <w:tab/>
        <w:t>Эстонская полиция обязана соблюдать правопорядок при всех обсто</w:t>
      </w:r>
      <w:r>
        <w:t>я</w:t>
      </w:r>
      <w:r>
        <w:t>тельствах, в том числе в случае массовых беспорядков, и полицейские регуля</w:t>
      </w:r>
      <w:r>
        <w:t>р</w:t>
      </w:r>
      <w:r>
        <w:t>но проходят переподготовку, изучая надлежащие правила поведения. Сотрудн</w:t>
      </w:r>
      <w:r>
        <w:t>и</w:t>
      </w:r>
      <w:r>
        <w:t>ки полиции несут дисциплинарную ответственность за любое невыполнение своих обязанностей. Надзор входит в функции непосредственного начальника, а также контрольного управления полицейской службы. После событий 2007 года в законодательство был внесен ряд поправок, касавшихся, в частности, админ</w:t>
      </w:r>
      <w:r>
        <w:t>и</w:t>
      </w:r>
      <w:r>
        <w:t>стративного производства против сотрудников полиции, ношения полицейск</w:t>
      </w:r>
      <w:r>
        <w:t>и</w:t>
      </w:r>
      <w:r>
        <w:t>ми именных планок и правил применения силы.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12.</w:t>
      </w:r>
      <w:r>
        <w:tab/>
        <w:t>В ответ на 21-й вопрос оратор сообщает, что полиция обеспечивала пор</w:t>
      </w:r>
      <w:r>
        <w:t>я</w:t>
      </w:r>
      <w:r>
        <w:t>док при проведении шествий гомосексуалистами и в 2006, и в 2007 году. Имели место некоторые выходки со стороны зрителей, однако демонстранты при этом физически не пострадали и не обратились с исками, направленными против властей или отдельных лиц. Ограничения на проведение митинга, парада или иного мероприятия могут вводиться лишь по соображениям национал</w:t>
      </w:r>
      <w:r>
        <w:t>ь</w:t>
      </w:r>
      <w:r>
        <w:t>ной безопасности, общественного порядка, нравственности, обеспечения безопа</w:t>
      </w:r>
      <w:r>
        <w:t>с</w:t>
      </w:r>
      <w:r>
        <w:t>ной работы транспорта, безопасности участников и предупреждения распр</w:t>
      </w:r>
      <w:r>
        <w:t>о</w:t>
      </w:r>
      <w:r>
        <w:t>странения заразных болезней. В 2006 и 2007 годах оргкомитету таллиннского парада гомосексуалистов были переданы документы с рекомендациями, пр</w:t>
      </w:r>
      <w:r>
        <w:t>и</w:t>
      </w:r>
      <w:r>
        <w:t xml:space="preserve">званными снизить возможные риски для участников и обеспечить безопасность уличного движения. В 2007 году, после консультаций с организаторами и </w:t>
      </w:r>
      <w:r>
        <w:br/>
        <w:t>внесения незначительных коррективов в маршрут парада, разрешение на пров</w:t>
      </w:r>
      <w:r>
        <w:t>е</w:t>
      </w:r>
      <w:r>
        <w:t>дение этого мероприятия было выдано заблаговременно.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13.</w:t>
      </w:r>
      <w:r>
        <w:tab/>
        <w:t>Касаясь 22-го вопроса, он сообщает, что запрет на проведение забастовок государственными служащими по-прежнему остается в силе, однако в парл</w:t>
      </w:r>
      <w:r>
        <w:t>а</w:t>
      </w:r>
      <w:r>
        <w:t>мент внесен новый законопроект о государственной службе, который пред</w:t>
      </w:r>
      <w:r>
        <w:t>у</w:t>
      </w:r>
      <w:r>
        <w:t>сматривает значительное ограничение числа таких служащих, поскольку к их числу будут отнесены только лица, в обязанности которых входит осуществл</w:t>
      </w:r>
      <w:r>
        <w:t>е</w:t>
      </w:r>
      <w:r>
        <w:t>ние государственных властных полномочий. Сотрудники центральных или м</w:t>
      </w:r>
      <w:r>
        <w:t>е</w:t>
      </w:r>
      <w:r>
        <w:t>стных административных органов, которые не осуществляют таких полном</w:t>
      </w:r>
      <w:r>
        <w:t>о</w:t>
      </w:r>
      <w:r>
        <w:t>чий, не будут считаться государственными служащими, и запрет на забастовки на них распространяться не будет.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14.</w:t>
      </w:r>
      <w:r>
        <w:tab/>
        <w:t>Переходя к 23-му вопросу, он сообщает, что по соображениям наци</w:t>
      </w:r>
      <w:r>
        <w:t>о</w:t>
      </w:r>
      <w:r>
        <w:t>нальной безопасности лица с неопределенным гражданством, проживающие в стране в течение долгого времени, и граждане других государств не имеют пр</w:t>
      </w:r>
      <w:r>
        <w:t>а</w:t>
      </w:r>
      <w:r>
        <w:t>ва вступать в политические партии и работать на государственной службе. Этот принцип закреплен в Конституции. Гражданам ЕС такие права предоставляются исходя из принципа свободы передвижения таких граждан, однако им разреш</w:t>
      </w:r>
      <w:r>
        <w:t>е</w:t>
      </w:r>
      <w:r>
        <w:t>но замещать лишь определенные должности на государственной службе, тогда как должности, связанные с осуществлением государственных властных по</w:t>
      </w:r>
      <w:r>
        <w:t>л</w:t>
      </w:r>
      <w:r>
        <w:t xml:space="preserve">номочий и защитой государственных интересов, для них закрыты.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15.</w:t>
      </w:r>
      <w:r>
        <w:tab/>
        <w:t>По 24-му вопросу он указывает, что в период 2005–2009 годов статья 152 Уголовного кодекса, касающаяся нарушения принципа равноправия, наци</w:t>
      </w:r>
      <w:r>
        <w:t>о</w:t>
      </w:r>
      <w:r>
        <w:t>нальными судами не применялась.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16.</w:t>
      </w:r>
      <w:r>
        <w:tab/>
        <w:t xml:space="preserve"> В ответ на 25-й вопрос оратор отмечает, что не всем родителям известно об их правах и возможностях согласно Закону о гражданстве. В 2007 году нач</w:t>
      </w:r>
      <w:r>
        <w:t>а</w:t>
      </w:r>
      <w:r>
        <w:t>лось осуществление разъяснительной кампании, нацеленной на сокращение числа детей с неопределенным гражданством на момент рождения. В настоящее время ведется разработка программ, направленных на более эффективное ра</w:t>
      </w:r>
      <w:r>
        <w:t>с</w:t>
      </w:r>
      <w:r>
        <w:t>пространение информации и на предоставление лицам с неопределенным гра</w:t>
      </w:r>
      <w:r>
        <w:t>ж</w:t>
      </w:r>
      <w:r>
        <w:t>данством возможности воспользоваться индивидуальной консультацией. Такой персональный подход включает проведение сотрудниками Управления по в</w:t>
      </w:r>
      <w:r>
        <w:t>о</w:t>
      </w:r>
      <w:r>
        <w:t>просам гражданства и миграции собеседований с родителями детей с неопред</w:t>
      </w:r>
      <w:r>
        <w:t>е</w:t>
      </w:r>
      <w:r>
        <w:t>ленным гражданством. Кроме того, предполагается направить родителям детей с неопределенным гражданством личное письмо за подписью министра вну</w:t>
      </w:r>
      <w:r>
        <w:t>т</w:t>
      </w:r>
      <w:r>
        <w:t>ренних дел, посвященное процедуре приобретения гражданства. Этот новый подход был воспринят весьма позитивно, а темпы натурализации детей в во</w:t>
      </w:r>
      <w:r>
        <w:t>з</w:t>
      </w:r>
      <w:r>
        <w:t>расте до 15 лет удалось ускорить.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17.</w:t>
      </w:r>
      <w:r>
        <w:tab/>
        <w:t>В 2009 году была начата реализация проекта "Налаживание обмена да</w:t>
      </w:r>
      <w:r>
        <w:t>н</w:t>
      </w:r>
      <w:r>
        <w:t>ными между Комиссией по вопросам гражданства и миграции и Регистрацио</w:t>
      </w:r>
      <w:r>
        <w:t>н</w:t>
      </w:r>
      <w:r>
        <w:t>ной службой". В задачи этого проекта входит получение данных обо всех детях, родившихся в Эстонии, с тем чтобы можно было проинформировать их родит</w:t>
      </w:r>
      <w:r>
        <w:t>е</w:t>
      </w:r>
      <w:r>
        <w:t>лей о необходимости легализации их проживания в стране. Родители будут и</w:t>
      </w:r>
      <w:r>
        <w:t>з</w:t>
      </w:r>
      <w:r>
        <w:t>вещены о том, что они могут подать ходатайство о предоставлении их детям э</w:t>
      </w:r>
      <w:r>
        <w:t>с</w:t>
      </w:r>
      <w:r>
        <w:t>тонского гражданства в первые двенадцать месяцев после рождения без нео</w:t>
      </w:r>
      <w:r>
        <w:t>б</w:t>
      </w:r>
      <w:r>
        <w:t>ходимости оформить сначала на ребенка вид на жительство и право на пост</w:t>
      </w:r>
      <w:r>
        <w:t>о</w:t>
      </w:r>
      <w:r>
        <w:t>янное проживание.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18.</w:t>
      </w:r>
      <w:r>
        <w:tab/>
        <w:t>С октября 2008 года в русскоязычных школах проводятся брифинги, в х</w:t>
      </w:r>
      <w:r>
        <w:t>о</w:t>
      </w:r>
      <w:r>
        <w:t>де которых среди детей различных возрастных групп распространяются бр</w:t>
      </w:r>
      <w:r>
        <w:t>о</w:t>
      </w:r>
      <w:r>
        <w:t xml:space="preserve">шюры с разъяснением преимуществ приобретения эстонского гражданства, </w:t>
      </w:r>
      <w:r>
        <w:br/>
        <w:t xml:space="preserve">а также процедуры его приобретения. Предполагается распространить такую информацию в 61 школе. Дети в возрасте до 15 лет составляют 40% всех лиц, </w:t>
      </w:r>
      <w:r>
        <w:br/>
        <w:t>ходатайствующих о предоставлении гражданства, причем в их случае гражда</w:t>
      </w:r>
      <w:r>
        <w:t>н</w:t>
      </w:r>
      <w:r>
        <w:t>ство предоставляется почти автоматически. Лишь в немногих случаях, когда было проявлено нежелание отказаться от нынешнего гражданства ребенка, пр</w:t>
      </w:r>
      <w:r>
        <w:t>о</w:t>
      </w:r>
      <w:r>
        <w:t>цедура рассмотрения ходатайства была прервана. Согласно эстонскому закон</w:t>
      </w:r>
      <w:r>
        <w:t>о</w:t>
      </w:r>
      <w:r>
        <w:t>дательс</w:t>
      </w:r>
      <w:r>
        <w:t>т</w:t>
      </w:r>
      <w:r>
        <w:t>ву двойное гражданство не допускается. В итоге число детей в возрасте до 15 лет с неопределенным гражданством постоянно сокращается – с 6 451 в 2005 году до 2 305 в июле 2009 года и 1 914 в июне 2010 года.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19.</w:t>
      </w:r>
      <w:r>
        <w:tab/>
        <w:t>Тенденция к дальнейшему сокращению наблюдается во всей категории лиц с неопределенным гражданством; весной 2010 года их число впервые опу</w:t>
      </w:r>
      <w:r>
        <w:t>с</w:t>
      </w:r>
      <w:r>
        <w:t>тилось ниже 100 000 человек.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20.</w:t>
      </w:r>
      <w:r>
        <w:tab/>
        <w:t>Согласно Закону о гражданстве, гражданин Эстонии не может быть гра</w:t>
      </w:r>
      <w:r>
        <w:t>ж</w:t>
      </w:r>
      <w:r>
        <w:t>данином другого государства. Эстония не предпринимала никаких мер, пр</w:t>
      </w:r>
      <w:r>
        <w:t>и</w:t>
      </w:r>
      <w:r>
        <w:t>званных побудить граждан других стран сменить их нынешнее гражданство на эстонское.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21.</w:t>
      </w:r>
      <w:r>
        <w:tab/>
        <w:t>Касаясь 26-го вопроса, оратор сообщает, что надзор за применением З</w:t>
      </w:r>
      <w:r>
        <w:t>а</w:t>
      </w:r>
      <w:r>
        <w:t>кона о языках осуществляется языковой инспекцией, которая в своей деятел</w:t>
      </w:r>
      <w:r>
        <w:t>ь</w:t>
      </w:r>
      <w:r>
        <w:t>ности основывается на законодательстве, апробированных методах управления и таких важнейших документах, как составленный Министерством образования план развития на 2008–2011 годы под названием "Интеллектуальная и активная нация". В языковой инспекции работают 22 сотрудника, в том числе 11 инспе</w:t>
      </w:r>
      <w:r>
        <w:t>к</w:t>
      </w:r>
      <w:r>
        <w:t>торов. Ежегодно инспекция публикует доклад с указанием количества пров</w:t>
      </w:r>
      <w:r>
        <w:t>е</w:t>
      </w:r>
      <w:r>
        <w:t>денных инспекций, вынесенных предупреждений и отданных приказов. Все и</w:t>
      </w:r>
      <w:r>
        <w:t>н</w:t>
      </w:r>
      <w:r>
        <w:t>спекционные посещения предварительно утверждаются Министерством обр</w:t>
      </w:r>
      <w:r>
        <w:t>а</w:t>
      </w:r>
      <w:r>
        <w:t>зования. Производится заблаговременное оповещение соответствующих учре</w:t>
      </w:r>
      <w:r>
        <w:t>ж</w:t>
      </w:r>
      <w:r>
        <w:t>дений, а перед посещением проводится проверка документации с целью уст</w:t>
      </w:r>
      <w:r>
        <w:t>а</w:t>
      </w:r>
      <w:r>
        <w:t>новить число работников в учреждении, к которым относится требование о владении языком, а также число работников, у которых нет соответствующей справки о владении языком.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22.</w:t>
      </w:r>
      <w:r>
        <w:tab/>
        <w:t>Работу языковой инспекции курирует министр образования. В порядке выполнения своих надзорных функций министр может отменять постановления этого исполнительного органа. Местные власти, руководствуясь действующими правилами, осуществляют в пределах тех полномочий, которые переданы им министром, контроль за деятельностью областных отделений этой инстанции, или инспекций и соответствующих должностных лиц.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23.</w:t>
      </w:r>
      <w:r>
        <w:tab/>
        <w:t>Кроме того, постановления инспекции могут быть оспорены в админис</w:t>
      </w:r>
      <w:r>
        <w:t>т</w:t>
      </w:r>
      <w:r>
        <w:t>ративных судах. По вопросам, касающимся основных прав, можно обращаться к канцлеру права, а по вопросам, касающимся дискриминации, − к комиссару по вопросам гендерного равенства.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24.</w:t>
      </w:r>
      <w:r>
        <w:tab/>
        <w:t xml:space="preserve">В Эстонии принята новая программа интеграции на период </w:t>
      </w:r>
      <w:r>
        <w:br/>
        <w:t>2008–2013 годов. В связи с ее подготовкой был проведен анализ хода и резул</w:t>
      </w:r>
      <w:r>
        <w:t>ь</w:t>
      </w:r>
      <w:r>
        <w:t>татов выполнения предыдущей национальной программы "Интеграция в эсто</w:t>
      </w:r>
      <w:r>
        <w:t>н</w:t>
      </w:r>
      <w:r>
        <w:t>ское общество в 2000–2007 годах". Этот анализ свидетельствует о том, что ус</w:t>
      </w:r>
      <w:r>
        <w:t>и</w:t>
      </w:r>
      <w:r>
        <w:t>лия целесообразно сосредотачивать не на этнических группах в целом или т</w:t>
      </w:r>
      <w:r>
        <w:t>а</w:t>
      </w:r>
      <w:r>
        <w:t>ких конкретных группах, как лица с неопределенным гражданством и группы социального риска, а на дифференциации всей программы интеграции и более четком опр</w:t>
      </w:r>
      <w:r>
        <w:t>е</w:t>
      </w:r>
      <w:r>
        <w:t xml:space="preserve">делении целевых групп.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25.</w:t>
      </w:r>
      <w:r>
        <w:tab/>
        <w:t>Последний раз оценка практических итогов осуществления программ и</w:t>
      </w:r>
      <w:r>
        <w:t>н</w:t>
      </w:r>
      <w:r>
        <w:t>теграции проводилась в 2008 году. Был сделан вывод, что показатели структу</w:t>
      </w:r>
      <w:r>
        <w:t>р</w:t>
      </w:r>
      <w:r>
        <w:t xml:space="preserve">ной интеграции эстонского общества, включая владение эстонским языком, </w:t>
      </w:r>
      <w:r>
        <w:br/>
        <w:t>долю лиц, имеющих гражданство в составе населения в целом, и ряд других социально-экономических факторов, постепенно улучшаются. С другой стор</w:t>
      </w:r>
      <w:r>
        <w:t>о</w:t>
      </w:r>
      <w:r>
        <w:t>ны, в период после 2005 года произошло ухудшение некоторых показателей, к</w:t>
      </w:r>
      <w:r>
        <w:t>о</w:t>
      </w:r>
      <w:r>
        <w:t>торые отражают представления жителей страны. Разница в доходах между э</w:t>
      </w:r>
      <w:r>
        <w:t>с</w:t>
      </w:r>
      <w:r>
        <w:t>тонским и русскоговорящим населением сократилась. Сохраняющаяся разница объясняется, главным образом, значительно меньшей долей русскоязычного н</w:t>
      </w:r>
      <w:r>
        <w:t>а</w:t>
      </w:r>
      <w:r>
        <w:t>селения в составе социальной группы людей с высшим образованием и наиб</w:t>
      </w:r>
      <w:r>
        <w:t>о</w:t>
      </w:r>
      <w:r>
        <w:t>лее высоким уровнем доходов.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26.</w:t>
      </w:r>
      <w:r>
        <w:tab/>
        <w:t>Русскоязычные жители считают, что переход к обучению частично на э</w:t>
      </w:r>
      <w:r>
        <w:t>с</w:t>
      </w:r>
      <w:r>
        <w:t>тонском языке, при всех его преимуществах, сопряжен с рядом существенных рисков. Вместе с тем, поскольку в школах наблюдается твердое намерение з</w:t>
      </w:r>
      <w:r>
        <w:t>а</w:t>
      </w:r>
      <w:r>
        <w:t>вершить процесс такого частичного перехода со значительным опережением официально установленных сроков, можно сделать вывод о том, что русско</w:t>
      </w:r>
      <w:r>
        <w:t>я</w:t>
      </w:r>
      <w:r>
        <w:t>зычное население не испытывает опасений по поводу преподавания эстонского языка. За последние 20 лет уровень владения эстонским языком среди русско</w:t>
      </w:r>
      <w:r>
        <w:t>я</w:t>
      </w:r>
      <w:r>
        <w:t>зычных жителей постепенно повышался. При ослаблении интеграционной функции эстонского языка его роль как утилитарного инструмента сохранилась и укрепилась, поскольку люди понимают, что знание языка является необход</w:t>
      </w:r>
      <w:r>
        <w:t>и</w:t>
      </w:r>
      <w:r>
        <w:t>мейшим фактором для получения хорошей работы.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27.</w:t>
      </w:r>
      <w:r>
        <w:tab/>
        <w:t>Интеграционная стратегия на период 2008–2013 годов расширила арсенал мер, предусмотренных программой на 2000–2007 годы. Она включает образов</w:t>
      </w:r>
      <w:r>
        <w:t>а</w:t>
      </w:r>
      <w:r>
        <w:t>тельно-культурный, социально-экономический, а также правовой и политич</w:t>
      </w:r>
      <w:r>
        <w:t>е</w:t>
      </w:r>
      <w:r>
        <w:t>ский компоненты. Она предполагает перенос внимания на человека, поскольку в ее основу положены принципы Рамочной конвенции Совета Европы о защите национальных меньшинств, акцентирующие права личности. Она преследует цель повысить благосостояние и безопасность, расширить возможности для участия в жизни общества и самореализации, повысить самоуважение и оказать помощь в определении личного статуса. Преследуется также и цель воспитания чувства принадлежности к эстонскому обществу на базе общих ценностей и владения государственным языком. Успешно интегрированный человек может стремиться к самореализации, чувствовать себя в безопасности и принимать участие в экономической, социальной, политической и культурной жизни о</w:t>
      </w:r>
      <w:r>
        <w:t>б</w:t>
      </w:r>
      <w:r>
        <w:t>щества.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28.</w:t>
      </w:r>
      <w:r>
        <w:tab/>
        <w:t>В связи с 27-м вопросом оратор отмечает, что учебная подготовка по пр</w:t>
      </w:r>
      <w:r>
        <w:t>а</w:t>
      </w:r>
      <w:r>
        <w:t>вам человека включает ознакомление с ключевыми международными договор</w:t>
      </w:r>
      <w:r>
        <w:t>а</w:t>
      </w:r>
      <w:r>
        <w:t>ми о правах человека. Однако о Европейской конвенции о правах человека э</w:t>
      </w:r>
      <w:r>
        <w:t>с</w:t>
      </w:r>
      <w:r>
        <w:t xml:space="preserve">тонцы осведомлены лучше, чем о Пакте.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29.</w:t>
      </w:r>
      <w:r>
        <w:tab/>
        <w:t>Преподавание правозащитных дисциплин было введено в эстонских шк</w:t>
      </w:r>
      <w:r>
        <w:t>о</w:t>
      </w:r>
      <w:r>
        <w:t>лах после провозглашения страной независимости 20 лет назад. В настоящее время этот предмет входит в учебную программу начальных и старших классов средней школы, а также преподается в виде факультативного предмета. Темат</w:t>
      </w:r>
      <w:r>
        <w:t>и</w:t>
      </w:r>
      <w:r>
        <w:t>ка курса включает вопросы, касающиеся природы прав человека, договоров о правах человека, воздействия прав человека на повседневную жизнь и полож</w:t>
      </w:r>
      <w:r>
        <w:t>е</w:t>
      </w:r>
      <w:r>
        <w:t>ния с правами человека в современном мире. В 2009 году эстонским Союзом борьбы за благосостояние детей и эстонским Институтом прав человека соста</w:t>
      </w:r>
      <w:r>
        <w:t>в</w:t>
      </w:r>
      <w:r>
        <w:t>лен учебник по правам человека объемом в 96 страниц. Курсы по правам чел</w:t>
      </w:r>
      <w:r>
        <w:t>о</w:t>
      </w:r>
      <w:r>
        <w:t>века предлагаются и студентам эстонских вузов.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30.</w:t>
      </w:r>
      <w:r>
        <w:tab/>
      </w:r>
      <w:r>
        <w:rPr>
          <w:b/>
        </w:rPr>
        <w:t>Г-жа Келлер</w:t>
      </w:r>
      <w:r>
        <w:t>, касаясь 15-го вопроса, просит сообщить, приобрела ли с</w:t>
      </w:r>
      <w:r>
        <w:t>и</w:t>
      </w:r>
      <w:r>
        <w:t>лу закона предложенная поправка к эстонскому Закону о семейном праве о н</w:t>
      </w:r>
      <w:r>
        <w:t>е</w:t>
      </w:r>
      <w:r>
        <w:t xml:space="preserve">действительности любого брака, заключенного между лицами одного пола. </w:t>
      </w:r>
      <w:r>
        <w:br/>
        <w:t xml:space="preserve">Не готово ли государство-участник все же рассмотреть вопрос о пересмотре </w:t>
      </w:r>
      <w:r>
        <w:br/>
        <w:t>соответствующего законодательства в том плане, чтобы сделать критерии для получения временного вида на жительство, действующие в отношении разн</w:t>
      </w:r>
      <w:r>
        <w:t>о</w:t>
      </w:r>
      <w:r>
        <w:t>полых пар, (в частности, совместное ведение финансовых дел, психологическая общность, стабильность семейных уз и гарантии подлинности семейного союза или партнерства), применимыми также и к однополым парам? Если этого не предусматривается, то в чем причина дифференцированного подхода, принимая во внимание положения Пакта, касающиеся недискриминации и свободы пер</w:t>
      </w:r>
      <w:r>
        <w:t>е</w:t>
      </w:r>
      <w:r>
        <w:t>движения, которые к тому же являются основополагающими принципами, з</w:t>
      </w:r>
      <w:r>
        <w:t>а</w:t>
      </w:r>
      <w:r>
        <w:t>крепленными в законодательстве ЕС? Она интересуется тем, не намерено ли г</w:t>
      </w:r>
      <w:r>
        <w:t>о</w:t>
      </w:r>
      <w:r>
        <w:t>сударство-участник подготовить директивный документ, посвященный ко</w:t>
      </w:r>
      <w:r>
        <w:t>н</w:t>
      </w:r>
      <w:r>
        <w:t xml:space="preserve">кретно вопросу о принадлежащих к тому же полу партнерах иммигрантов.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31.</w:t>
      </w:r>
      <w:r>
        <w:tab/>
        <w:t>Переходя к 16-му вопросу, она ссылается на пункт 123 документа с отв</w:t>
      </w:r>
      <w:r>
        <w:t>е</w:t>
      </w:r>
      <w:r>
        <w:t>тами на перечень вопросов, в котором государство-участник сообщает, что на практике суды всегда приостанавливают исполнение постановления о высылке в случае оспаривания решения об отклонении ходатайства о предоставлении убежища. Вместе с тем в пунктах 124 и 125 государство-участник приводит три основания для незамедлительного исполнения постановления о высылке, а именно: наличие оснований полагать, что заявитель имеет возможность пер</w:t>
      </w:r>
      <w:r>
        <w:t>е</w:t>
      </w:r>
      <w:r>
        <w:t>ехать в не представляющую для него опасности страну происхождения или тр</w:t>
      </w:r>
      <w:r>
        <w:t>е</w:t>
      </w:r>
      <w:r>
        <w:t>тью страну, или возможность признания другой страны основной страной для предоставления убежища. Она отмечает, что заявитель, как правило, оспаривает именно такие заключения. Если же заключения ошибочны, как при сущес</w:t>
      </w:r>
      <w:r>
        <w:t>т</w:t>
      </w:r>
      <w:r>
        <w:t>вующих правилах заявитель может оспорить решение, не покидая при этом территории государства-участника?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32.</w:t>
      </w:r>
      <w:r>
        <w:tab/>
        <w:t>По мнению Комитета, в Законе об обязанности покинуть страну и о з</w:t>
      </w:r>
      <w:r>
        <w:t>а</w:t>
      </w:r>
      <w:r>
        <w:t>прете на въезд в нее содержится ряд недоработок, включая отсутствие указания на право человека оставаться на территории государства-участника в случае приостановления действия постановления о его высылке. Отсутствуют в нем и положения, регулирующие содержание незаконных иммигрантов в "транзитных зонах", а также сколь-либо подробные указания о том, как поступать с нес</w:t>
      </w:r>
      <w:r>
        <w:t>о</w:t>
      </w:r>
      <w:r>
        <w:t xml:space="preserve">вершеннолетними, </w:t>
      </w:r>
      <w:r>
        <w:rPr>
          <w:lang w:eastAsia="ru-RU"/>
        </w:rPr>
        <w:t>оставшимися без опеки</w:t>
      </w:r>
      <w:r>
        <w:t>. Готово ли государство-участник рассмотреть вопрос о пересмотре этого закона под углом зрения более четкой прорисовки прав иностранцев?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33.</w:t>
      </w:r>
      <w:r>
        <w:tab/>
        <w:t>Оратор спрашивает, приняты ли меры, гарантирующие полное уважение принципа недопущения принудительного возвращения посредством соблюд</w:t>
      </w:r>
      <w:r>
        <w:t>е</w:t>
      </w:r>
      <w:r>
        <w:t>ния справедливого порядка рассмотрения ходатайств о предоставлении убеж</w:t>
      </w:r>
      <w:r>
        <w:t>и</w:t>
      </w:r>
      <w:r>
        <w:t>ща, в особенности в контексте рассмотрения вопроса в ускоренном порядке с</w:t>
      </w:r>
      <w:r>
        <w:t>о</w:t>
      </w:r>
      <w:r>
        <w:t>трудниками пограничной службы. В качестве примера она ссылается на во</w:t>
      </w:r>
      <w:r>
        <w:t>з</w:t>
      </w:r>
      <w:r>
        <w:t>можность создания механизма независимого мониторинга в пограничных пун</w:t>
      </w:r>
      <w:r>
        <w:t>к</w:t>
      </w:r>
      <w:r>
        <w:t>тах.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34.</w:t>
      </w:r>
      <w:r>
        <w:tab/>
        <w:t>Касаясь 23-го вопроса, она интересуется тем, какими соображениями р</w:t>
      </w:r>
      <w:r>
        <w:t>у</w:t>
      </w:r>
      <w:r>
        <w:t>ководствовалось государство-участник, проводя различие между долгое время проживающими в стране гражданами стран – членов ЕС, с одной стороны, и гражданами стран, не входящих в ЕС, и апатридами – с другой, в плане участия в деятельности политических партий и в общественной жизни, а также по части права на работу в государственных органах. И в своих письменных ответах, и в устных замечаниях представители государства-участника ссылались на необх</w:t>
      </w:r>
      <w:r>
        <w:t>о</w:t>
      </w:r>
      <w:r>
        <w:t>димость защиты интересов национальной безопасности. Представляется, что потребность в таком дифференцированном подходе отпадет, если ввести сист</w:t>
      </w:r>
      <w:r>
        <w:t>е</w:t>
      </w:r>
      <w:r>
        <w:t>му допуска к секретной работе для всех лиц, принимаемых на работу на выш</w:t>
      </w:r>
      <w:r>
        <w:t>е</w:t>
      </w:r>
      <w:r>
        <w:t>указанных должностях.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35.</w:t>
      </w:r>
      <w:r>
        <w:tab/>
        <w:t>В связи с 24-м вопросом государство-участник сообщило, что с 2005 по 2009 год суды страны не применяли статью 152 Уголовного кодекса о наруш</w:t>
      </w:r>
      <w:r>
        <w:t>е</w:t>
      </w:r>
      <w:r>
        <w:t>нии принципа равноправия. Оратор просит сообщить, были ли выявлены гос</w:t>
      </w:r>
      <w:r>
        <w:t>у</w:t>
      </w:r>
      <w:r>
        <w:t>дарством-участником какие-либо факторы, возможно, препятствующие прим</w:t>
      </w:r>
      <w:r>
        <w:t>е</w:t>
      </w:r>
      <w:r>
        <w:t>нению указанного положения, допустим, неосведомленность сотрудников пр</w:t>
      </w:r>
      <w:r>
        <w:t>а</w:t>
      </w:r>
      <w:r>
        <w:t>воохранительных органов о его существовании. Если это так, то какие меры по исправлению положения оно намерено принять?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36.</w:t>
      </w:r>
      <w:r>
        <w:tab/>
        <w:t>В соответствующие суды или иные инстанции, по всей видимости, не п</w:t>
      </w:r>
      <w:r>
        <w:t>о</w:t>
      </w:r>
      <w:r>
        <w:t>ступало дел об административных, гражданских или трудовых спорах, где ст</w:t>
      </w:r>
      <w:r>
        <w:t>а</w:t>
      </w:r>
      <w:r>
        <w:t>вился бы вопрос о дискриминации. Она спрашивает, принимало ли и намерено ли государство-участник принять какие-либо меры, обеспечивающие надлеж</w:t>
      </w:r>
      <w:r>
        <w:t>а</w:t>
      </w:r>
      <w:r>
        <w:t>щее функционирование соответствующего механизма.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37.</w:t>
      </w:r>
      <w:r>
        <w:tab/>
        <w:t xml:space="preserve">Переходя к 25-му вопросу, она интересуется, собирается ли государство-участник присоединиться к </w:t>
      </w:r>
      <w:r>
        <w:rPr>
          <w:color w:val="000000"/>
        </w:rPr>
        <w:t>Конвенции о сокращении безгражданства или</w:t>
      </w:r>
      <w:r>
        <w:t xml:space="preserve"> </w:t>
      </w:r>
      <w:r>
        <w:rPr>
          <w:color w:val="000000"/>
        </w:rPr>
        <w:t>Ко</w:t>
      </w:r>
      <w:r>
        <w:rPr>
          <w:color w:val="000000"/>
        </w:rPr>
        <w:t>н</w:t>
      </w:r>
      <w:r>
        <w:rPr>
          <w:color w:val="000000"/>
        </w:rPr>
        <w:t>венции о статусе апатридов</w:t>
      </w:r>
      <w:r>
        <w:t xml:space="preserve">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38.</w:t>
      </w:r>
      <w:r>
        <w:tab/>
        <w:t>В связи с 26-м вопросом она просит сообщить, чем было продиктовано решение о применении Закона о языках в районах, где большинство населения не говорит на эстонском языке. Она интересуется тем, готово ли государство-участник пересмотреть этот закон, с тем чтобы отразить в нем региональную специфику, или, в том случае если строгое применение этого закона будет пр</w:t>
      </w:r>
      <w:r>
        <w:t>о</w:t>
      </w:r>
      <w:r>
        <w:t>должено, обеспечить возможность возмещения расходов на обучение на любых языковых курсах или не допустить взимания непомерно высокой платы за об</w:t>
      </w:r>
      <w:r>
        <w:t>у</w:t>
      </w:r>
      <w:r>
        <w:t>чение.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39.</w:t>
      </w:r>
      <w:r>
        <w:tab/>
      </w:r>
      <w:r>
        <w:rPr>
          <w:b/>
        </w:rPr>
        <w:t>Г-н Телин</w:t>
      </w:r>
      <w:r>
        <w:t>, касаясь 17-го из перечня вопросов, положительно оценивает сокращение продолжительности судопроизводства на 50%. Он просит указать, распространяется ли этот восемнадцатимесячный срок также и на те случаи, когда обвиняемые содержатся под стражей: ведь если человек уже находится в заключении, этот срок является чрезмерным. Его интересует, намерено ли пр</w:t>
      </w:r>
      <w:r>
        <w:t>а</w:t>
      </w:r>
      <w:r>
        <w:t>вительство ускорить производство по таким делам, если в таких сл</w:t>
      </w:r>
      <w:r>
        <w:t>у</w:t>
      </w:r>
      <w:r>
        <w:t xml:space="preserve">чаях не применяется особый режим.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40.</w:t>
      </w:r>
      <w:r>
        <w:tab/>
      </w:r>
      <w:r>
        <w:rPr>
          <w:bCs/>
        </w:rPr>
        <w:t>Эстонская</w:t>
      </w:r>
      <w:r>
        <w:t xml:space="preserve"> </w:t>
      </w:r>
      <w:r>
        <w:rPr>
          <w:bCs/>
        </w:rPr>
        <w:t>ассоциация</w:t>
      </w:r>
      <w:r>
        <w:t xml:space="preserve"> </w:t>
      </w:r>
      <w:r>
        <w:rPr>
          <w:bCs/>
        </w:rPr>
        <w:t>защиты</w:t>
      </w:r>
      <w:r>
        <w:t xml:space="preserve"> душевнобольных выразила обеспокое</w:t>
      </w:r>
      <w:r>
        <w:t>н</w:t>
      </w:r>
      <w:r>
        <w:t>ность по поводу защиты прав умалишенных в контексте уголовного судопрои</w:t>
      </w:r>
      <w:r>
        <w:t>з</w:t>
      </w:r>
      <w:r>
        <w:t>водства. По мнению Ассоциации, психиатрическая оценка психического с</w:t>
      </w:r>
      <w:r>
        <w:t>о</w:t>
      </w:r>
      <w:r>
        <w:t>стояния обвиняемого не всегда производится надлежащим образом. По всей видимости, вызывает обеспокоенность и отсутствие надлежащей системы представления интересов обвиняемых с психическими расстройствами, которая гарантировала бы полновесное соблюдение их прав. Кроме того, Ассоциация выразила обеспокоенность по поводу нарушения права умалишенных на непр</w:t>
      </w:r>
      <w:r>
        <w:t>и</w:t>
      </w:r>
      <w:r>
        <w:t>косновенность частной жизни в ходе гражданского разбирательства. Говорят, что бывают случаи, когда законным опекуном лица с психическим расстро</w:t>
      </w:r>
      <w:r>
        <w:t>й</w:t>
      </w:r>
      <w:r>
        <w:t>ством назначается родственник, который затем вовлекает его в гражданский процесс, возможные последствия которого это лицо в полной мере не осознает. В случае обоснованности утверждений Ассоциации государству-участнику сл</w:t>
      </w:r>
      <w:r>
        <w:t>е</w:t>
      </w:r>
      <w:r>
        <w:t>дует пересмотреть соответствующие законодательные нормы под углом зрения обеспечения более надежной защиты прав граждан в подобных ситуациях.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41.</w:t>
      </w:r>
      <w:r>
        <w:tab/>
        <w:t>Оратор просит пояснить, придерживается ли государство-участник так называемой доктрины "плода ядовитого дерева", согласно которой доказател</w:t>
      </w:r>
      <w:r>
        <w:t>ь</w:t>
      </w:r>
      <w:r>
        <w:t>ства, добытые незаконным путем, судами к рассмотрению не принимаются. Представленная Комитету информация дает основания полагать, что задача оценки приемлемости представленных доказательств возлагается на суд. Такой порядок применяется в некоторых странах, но утверждение в Эстонии выш</w:t>
      </w:r>
      <w:r>
        <w:t>е</w:t>
      </w:r>
      <w:r>
        <w:t>указанной доктрины способно воспитать более глубокое уважение к Констит</w:t>
      </w:r>
      <w:r>
        <w:t>у</w:t>
      </w:r>
      <w:r>
        <w:t>ции и заставить сотрудников полиции и прокуратуры воздерживаться от прим</w:t>
      </w:r>
      <w:r>
        <w:t>е</w:t>
      </w:r>
      <w:r>
        <w:t>нения незаконных средств добывания доказательств.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42.</w:t>
      </w:r>
      <w:r>
        <w:tab/>
        <w:t>В связи с 22-м вопросом он просит делегацию пояснить видимое прот</w:t>
      </w:r>
      <w:r>
        <w:t>и</w:t>
      </w:r>
      <w:r>
        <w:t>воречие между новыми положениями, предоставляющими государственным служащим, которые не осуществляют полномочия от имени государства, право на забастовку, и запретом на забастовки для служащих центральных и местных административных органов.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43.</w:t>
      </w:r>
      <w:r>
        <w:tab/>
        <w:t>Переходя к 27-му вопросу, он выражает разочарование тем, что доклады о выполнении Пакта, а также соображения и рекомендации Комитета размещаю</w:t>
      </w:r>
      <w:r>
        <w:t>т</w:t>
      </w:r>
      <w:r>
        <w:t>ся лишь на вебсайте эстонского Министерства иностранных дел. Следует со</w:t>
      </w:r>
      <w:r>
        <w:t>з</w:t>
      </w:r>
      <w:r>
        <w:t>дать механизм, обеспечивающий автоматическое помещение такой инфо</w:t>
      </w:r>
      <w:r>
        <w:t>р</w:t>
      </w:r>
      <w:r>
        <w:t>мации во все государственные базы данных, включая публичные библиотеки и школы; благодаря этому граждане Эстонии смогут знакомиться со своими правами, з</w:t>
      </w:r>
      <w:r>
        <w:t>а</w:t>
      </w:r>
      <w:r>
        <w:t>крепленными в Пакте.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44.</w:t>
      </w:r>
      <w:r>
        <w:tab/>
      </w:r>
      <w:r>
        <w:rPr>
          <w:b/>
        </w:rPr>
        <w:t>Г-н Бузид</w:t>
      </w:r>
      <w:r>
        <w:t>, касаясь 18-го вопроса, констатирует признание государством факта отсутствия конкретных законодательных положений, предусматрива</w:t>
      </w:r>
      <w:r>
        <w:t>ю</w:t>
      </w:r>
      <w:r>
        <w:t>щих выплату компенсации или возмещения в иной форме жертвам судебных ошибок. Он интересуется тем, планируется ли восполнить этот крупный прав</w:t>
      </w:r>
      <w:r>
        <w:t>о</w:t>
      </w:r>
      <w:r>
        <w:t>вой пробел путем введения в законодательном порядке соответствующих пр</w:t>
      </w:r>
      <w:r>
        <w:t>о</w:t>
      </w:r>
      <w:r>
        <w:t>цедур.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45.</w:t>
      </w:r>
      <w:r>
        <w:tab/>
      </w:r>
      <w:r>
        <w:rPr>
          <w:b/>
        </w:rPr>
        <w:t>Г-н О’Флаэрти</w:t>
      </w:r>
      <w:r>
        <w:t>, касаясь 19-го вопроса, приветствует принятие мер по выравниванию сроков воинской и альтернативной службы в соответствии со статьей 18 Пакта. Вместе с тем, как следует из доклада государства-участника, в 2007 году из 65 ходатайств о прохождении альтернативной службы были удовлетворены лишь 11. Он просит назвать причины столь малой доли удовл</w:t>
      </w:r>
      <w:r>
        <w:t>е</w:t>
      </w:r>
      <w:r>
        <w:t>творенных ходатайств, а также представить информацию о применявшихся в 2007 году критериях оценки. Изменились ли эти критерии за истекший период, и насколько вероятно, что в 2010 году положительных решений будет больше? Его также интересует, имеются ли механизмы, не допускающие зачисление лиц, отказывающихся от воинской службы по соображениям совести, в состав пр</w:t>
      </w:r>
      <w:r>
        <w:t>и</w:t>
      </w:r>
      <w:r>
        <w:t>зывников на резервную воинскую службу.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46.</w:t>
      </w:r>
      <w:r>
        <w:tab/>
        <w:t>Переходя к 20-му вопросу, он просит сообщить о введении новых пр</w:t>
      </w:r>
      <w:r>
        <w:t>а</w:t>
      </w:r>
      <w:r>
        <w:t>вил, касающихся ношения полицейскими именных планок, расследований по жал</w:t>
      </w:r>
      <w:r>
        <w:t>о</w:t>
      </w:r>
      <w:r>
        <w:t>бам на недопустимое поведение со стороны сотрудников полиции и монитори</w:t>
      </w:r>
      <w:r>
        <w:t>н</w:t>
      </w:r>
      <w:r>
        <w:t>га действий полиции, после имевших место в апреле 2007 года инцидентов, н</w:t>
      </w:r>
      <w:r>
        <w:t>а</w:t>
      </w:r>
      <w:r>
        <w:t>званных "бронзовой ночью". Из той информации, которой располагает Комитет, в том числе из петиции, поданной в 2009 году в Европейский суд по правам ч</w:t>
      </w:r>
      <w:r>
        <w:t>е</w:t>
      </w:r>
      <w:r>
        <w:t>ловека, следует, что в связи с инцидентами 2007 года имели место, в частности, случаи необоснованного ареста и заключения в тюрьму. Он интересуется тем, выплатило ли или собирается ли государство выплатить компенс</w:t>
      </w:r>
      <w:r>
        <w:t>а</w:t>
      </w:r>
      <w:r>
        <w:t>цию жертвам.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47.</w:t>
      </w:r>
      <w:r>
        <w:tab/>
        <w:t xml:space="preserve">Переходя к 21-му вопросу, оратор с удовлетворением констатирует, что, согласно сообщениям, в последние годы шествия гомосексуалистов проходили без инцидентов и не сопровождались массированным присутствием полиции. Однако в отношении шествия гомосексуалистов в 2007 году канцлер права пришел к выводу о том, что полиция северного округа проявила халатность, </w:t>
      </w:r>
      <w:r>
        <w:br/>
        <w:t xml:space="preserve">не наладив достаточно тесного взаимодействия с организаторами шествия. </w:t>
      </w:r>
      <w:r>
        <w:br/>
        <w:t xml:space="preserve">Еще одним заключением канцлера было следующее: власти, отдавая себе, </w:t>
      </w:r>
      <w:r>
        <w:br/>
        <w:t xml:space="preserve">по всей видимости, отчет в том, что обязаны не препятствовать параду, вместе </w:t>
      </w:r>
      <w:r>
        <w:br/>
        <w:t>с тем не столь ясно осознают свою позитивную обязанность содействовать со</w:t>
      </w:r>
      <w:r>
        <w:t>з</w:t>
      </w:r>
      <w:r>
        <w:t>данию условий для пользования свободой собраний и другими относящимися к этому правами. Он просит делегацию высказаться на этот счет. Глубинной пр</w:t>
      </w:r>
      <w:r>
        <w:t>и</w:t>
      </w:r>
      <w:r>
        <w:t>чиной событий, имевших место в ходе парада 2007 года, было, видимо, распр</w:t>
      </w:r>
      <w:r>
        <w:t>о</w:t>
      </w:r>
      <w:r>
        <w:t xml:space="preserve">страненное в обществе стойкое предубеждение против гомосексуалистов. Он считает желательным получить информацию о программах, направленных на борьбу с предубеждениями и воспитание терпимости.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48.</w:t>
      </w:r>
      <w:r>
        <w:tab/>
        <w:t>Отсутствие удовлетворительного ответа на 27-й вопрос из переданного государству-участнику перечня достойно сожаления. Комитет считает жел</w:t>
      </w:r>
      <w:r>
        <w:t>а</w:t>
      </w:r>
      <w:r>
        <w:t>тельным получить дополнительную информацию, особенно об участии НПО и канцлера права в подготовке доклада. Складывается впечатление о вялости гражданского общества в Эстонии, в связи с чем Комитет был бы признателен за информацию о том, насколько активным является правозащитное движение в Эстонии, и о возможных мерах по стимулированию такой активности. С тем чтобы обеспечить эффективное распространение информации о Пакте и де</w:t>
      </w:r>
      <w:r>
        <w:t>я</w:t>
      </w:r>
      <w:r>
        <w:t>тельности Комитета, следует обеспечивать распространение соответствующих документов как на эстонском, так и на русском языках. Оратор просит соо</w:t>
      </w:r>
      <w:r>
        <w:t>б</w:t>
      </w:r>
      <w:r>
        <w:t>щить, распространяются ли доклады государства-участника и заключительные замечания Комитета на русском языке.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  <w:rPr>
          <w:i/>
          <w:color w:val="000000"/>
        </w:rPr>
      </w:pPr>
      <w:r>
        <w:rPr>
          <w:i/>
          <w:color w:val="000000"/>
        </w:rPr>
        <w:t>Заседание прерывается в 11 час. 05 мин. и возобновляется в 11 час. 30 мин.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49.</w:t>
      </w:r>
      <w:r>
        <w:tab/>
      </w:r>
      <w:r>
        <w:rPr>
          <w:b/>
        </w:rPr>
        <w:t>Г-н Кок</w:t>
      </w:r>
      <w:r>
        <w:t xml:space="preserve"> (Эстония) говорит, что Закон об эстонском семейном праве не закрепляет за партнерами одного пола те же права, что за обычными семейн</w:t>
      </w:r>
      <w:r>
        <w:t>ы</w:t>
      </w:r>
      <w:r>
        <w:t>ми парами. В настоящее время рассматривается вопрос о возможности предо</w:t>
      </w:r>
      <w:r>
        <w:t>с</w:t>
      </w:r>
      <w:r>
        <w:t>тавления однополым парам дополнительных прав, но он не в состоянии соо</w:t>
      </w:r>
      <w:r>
        <w:t>б</w:t>
      </w:r>
      <w:r>
        <w:t xml:space="preserve">щить что-либо об итогах ведущейся дискуссии.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50.</w:t>
      </w:r>
      <w:r>
        <w:tab/>
        <w:t>Касаясь вопроса о въезде в страну лиц, состоящих в связи с партнерами того же пола, он подчеркивает, что эстонское законодательство не признает о</w:t>
      </w:r>
      <w:r>
        <w:t>д</w:t>
      </w:r>
      <w:r>
        <w:t xml:space="preserve">нополых браков, в связи с чем применение одинакового подхода к разнополым и однополым парам будет сопряжено с рядом юридических сложностей. </w:t>
      </w:r>
      <w:r>
        <w:br/>
        <w:t>На практике такой проблемы не возникало, поскольку граждане стран ЕС могут беспрепятственно въезжать в страну, а среди других стран мира немногие пр</w:t>
      </w:r>
      <w:r>
        <w:t>и</w:t>
      </w:r>
      <w:r>
        <w:t>знают союзы лиц одного пола. И тем не менее правительство проведет допо</w:t>
      </w:r>
      <w:r>
        <w:t>л</w:t>
      </w:r>
      <w:r>
        <w:t>нительное рассмотрение этого вопроса и в случае возникновения практических проблем наметит меры по исправлению положения.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51.</w:t>
      </w:r>
      <w:r>
        <w:tab/>
        <w:t>Признав справедливость утверждений, что полиция, возможно, не прин</w:t>
      </w:r>
      <w:r>
        <w:t>я</w:t>
      </w:r>
      <w:r>
        <w:t>ла надлежащих мер для защиты участников шествий гомосексуалистов в 2006 и 2007 годах, он отводит утверждения о том, что полиция оказалась не в состо</w:t>
      </w:r>
      <w:r>
        <w:t>я</w:t>
      </w:r>
      <w:r>
        <w:t>нии выполнить свою позитивную обязанность – обеспечить безопасность уч</w:t>
      </w:r>
      <w:r>
        <w:t>а</w:t>
      </w:r>
      <w:r>
        <w:t>стников этих шествий. Были приняты меры по совершенствованию работы п</w:t>
      </w:r>
      <w:r>
        <w:t>о</w:t>
      </w:r>
      <w:r>
        <w:t>лиции, и в итоге после 2007 года новых инцидентов в ходе шествий не набл</w:t>
      </w:r>
      <w:r>
        <w:t>ю</w:t>
      </w:r>
      <w:r>
        <w:t>далось.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52.</w:t>
      </w:r>
      <w:r>
        <w:tab/>
      </w:r>
      <w:r>
        <w:rPr>
          <w:b/>
        </w:rPr>
        <w:t>Г-жа Сеппер</w:t>
      </w:r>
      <w:r>
        <w:t xml:space="preserve"> (Эстония) сообщает, что осенью 2010 года Министерством социальных дел во взаимодействии с рядом НПО начата осуществляемая на средства из структурных фондов ЕС кампания по борьбе с широко распростр</w:t>
      </w:r>
      <w:r>
        <w:t>а</w:t>
      </w:r>
      <w:r>
        <w:t>ненным предубеждением против сексуальных меньшинств. Предполагается, в частности, провести конференции, просветительские мероприятия для общес</w:t>
      </w:r>
      <w:r>
        <w:t>т</w:t>
      </w:r>
      <w:r>
        <w:t>венности и кинофестивали. Закон о равном обращении вступил в силу всего лишь 1 января 2009 года, и пока в Министерстве социальных дел вопросами, касающимися сексуальных меньшинств, занимается лишь один сотрудник.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53.</w:t>
      </w:r>
      <w:r>
        <w:tab/>
      </w:r>
      <w:r>
        <w:rPr>
          <w:b/>
        </w:rPr>
        <w:t>Г-н Кок</w:t>
      </w:r>
      <w:r>
        <w:t xml:space="preserve"> (Эстония), поясняя в ответ на заданные вопросы относительно Закона о языках исторический контекст, который определил политику Эстонии в области языков, сообщает об отсутствии планов пересмотра конституционных положений о наличии одного официального языка. Интеграционные програ</w:t>
      </w:r>
      <w:r>
        <w:t>м</w:t>
      </w:r>
      <w:r>
        <w:t>мы, ставящие целью обучить русскоязычных жителей эстонскому языку, откр</w:t>
      </w:r>
      <w:r>
        <w:t>ы</w:t>
      </w:r>
      <w:r>
        <w:t>ты для всех. В северо-восточном регионе знание эстонского языка является об</w:t>
      </w:r>
      <w:r>
        <w:t>я</w:t>
      </w:r>
      <w:r>
        <w:t>зательным для служащих государственных административных органов и других лиц, работающих с населением, но при этом прочие жители могут беспрепятс</w:t>
      </w:r>
      <w:r>
        <w:t>т</w:t>
      </w:r>
      <w:r>
        <w:t>венно пользоваться своим языком в повседневной жизни. Большинство мол</w:t>
      </w:r>
      <w:r>
        <w:t>о</w:t>
      </w:r>
      <w:r>
        <w:t>дежи из среды русскоязычного меньшинства хорошо владеет эстонским языком и вполне интегрировано в эстонское общество.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54.</w:t>
      </w:r>
      <w:r>
        <w:tab/>
      </w:r>
      <w:r>
        <w:rPr>
          <w:b/>
        </w:rPr>
        <w:t>Г-жа Паррест</w:t>
      </w:r>
      <w:r>
        <w:t xml:space="preserve"> (Эстония) сообщает, что апрельские события 2007 года в Таллинне были тщательно проанализированы бюро канцлера права, сотрудники которого обследовали все изоляторы, где были размещены задержанные, и о</w:t>
      </w:r>
      <w:r>
        <w:t>п</w:t>
      </w:r>
      <w:r>
        <w:t>росили всех задержанных относительно продолжительности их содержания под стражей. В итоге было выяснено, что в тех случаях, когда не было оснований для предъявления задержанным обвинения в уголовном или административном правонарушении, они задерживались лишь в административном порядке для целей установления личности, причем на срок менее 24 часов. В бюро канцлера права поступило много жалоб по поводу этих событий, и в итоге в законод</w:t>
      </w:r>
      <w:r>
        <w:t>а</w:t>
      </w:r>
      <w:r>
        <w:t>тельство были внесены поправки, касавшиеся трех существенных моментов. Во-первых, в него было включено положение об административном задерж</w:t>
      </w:r>
      <w:r>
        <w:t>а</w:t>
      </w:r>
      <w:r>
        <w:t>нии, в силу которого полиция получила право задерживать граждан, например, для установления их личности. Во-вторых, в законодательство и практику были внесены изменения, призванные обеспечить замену именной планки полице</w:t>
      </w:r>
      <w:r>
        <w:t>й</w:t>
      </w:r>
      <w:r>
        <w:t>ского в тех случаях, когда ее ношение считается нецелесообразным, нагрудным знаком, с тем чтобы любое лицо, желающее обратиться с жалобой на обращ</w:t>
      </w:r>
      <w:r>
        <w:t>е</w:t>
      </w:r>
      <w:r>
        <w:t>ние со стороны сотрудника полиции, могло конкретно указать его опознав</w:t>
      </w:r>
      <w:r>
        <w:t>а</w:t>
      </w:r>
      <w:r>
        <w:t>тельные данные. И, в-третьих, в законодательстве теперь прописано, при каких обстоятельствах и на какое время на человека могут быть надеты пластиковые наручники.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55.</w:t>
      </w:r>
      <w:r>
        <w:tab/>
      </w:r>
      <w:r>
        <w:rPr>
          <w:b/>
        </w:rPr>
        <w:t>Г-н Кок</w:t>
      </w:r>
      <w:r>
        <w:t xml:space="preserve"> (Эстония) добавляет, что не предполагается выплачивать ко</w:t>
      </w:r>
      <w:r>
        <w:t>м</w:t>
      </w:r>
      <w:r>
        <w:t>пенсацию никому из задержанных в ходе указанных событий.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56.</w:t>
      </w:r>
      <w:r>
        <w:tab/>
        <w:t>Переходя к вопросу об отказе от воинской службы по соображениям с</w:t>
      </w:r>
      <w:r>
        <w:t>о</w:t>
      </w:r>
      <w:r>
        <w:t>вести, он подчеркивает, что в большинстве случаев граждане предпочитают проходить воинскую службу главным образом по той причине, что ее продо</w:t>
      </w:r>
      <w:r>
        <w:t>л</w:t>
      </w:r>
      <w:r>
        <w:t>жительность меньше срока альтернативной службы. К тому же призывники не могут просто из прихоти отказаться от воинской службы; необходимо пров</w:t>
      </w:r>
      <w:r>
        <w:t>е</w:t>
      </w:r>
      <w:r>
        <w:t>рить, насколько обоснованными являются их возражения со ссылкой на соо</w:t>
      </w:r>
      <w:r>
        <w:t>б</w:t>
      </w:r>
      <w:r>
        <w:t>ражения совести. В случае войны резервисты, проходившие альтернативную службу, будут обязаны выполнять альтернативные функции. Он обязуется пре</w:t>
      </w:r>
      <w:r>
        <w:t>д</w:t>
      </w:r>
      <w:r>
        <w:t>ставить Комитету свежие данные о количестве лиц, прошедших альтернати</w:t>
      </w:r>
      <w:r>
        <w:t>в</w:t>
      </w:r>
      <w:r>
        <w:t>ную службу.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57.</w:t>
      </w:r>
      <w:r>
        <w:tab/>
        <w:t>Лицам, не имеющим эстонского гражданства, не разрешается вступать в эстонские политические партии или работать на государственных должностях; впрочем, дело обстоит таким же образом и в большинстве других стран. Вместе с тем неграждане могут участвовать в местных выборах. Правительство не ра</w:t>
      </w:r>
      <w:r>
        <w:t>с</w:t>
      </w:r>
      <w:r>
        <w:t>полагает достаточными ресурсами для проведения всех проверок по линии безопасности, которые были бы необходимы для принятия неграждан на работу в государственные органы. Впрочем, эстонское гражданство получить нетру</w:t>
      </w:r>
      <w:r>
        <w:t>д</w:t>
      </w:r>
      <w:r>
        <w:t xml:space="preserve">но, и среди гражданских служащих немало эстонских граждан русского </w:t>
      </w:r>
      <w:r>
        <w:br/>
        <w:t>происхождения. Лица с так называемым неопределенным гражданством не сч</w:t>
      </w:r>
      <w:r>
        <w:t>и</w:t>
      </w:r>
      <w:r>
        <w:t>таются апатридами, поскольку они могут подать ходатайство о получении как эстонского, так и российского гражданства. На деле они имеют загранпаспорта, которые дают им право на безвизовый въезд в другие европейские страны и в Россию; это было бы невозможно, если бы у них был эстонский или росси</w:t>
      </w:r>
      <w:r>
        <w:t>й</w:t>
      </w:r>
      <w:r>
        <w:t xml:space="preserve">ский паспорт. Нынешнее законодательство страны закрепляет за апатридами больше прав, чем Конвенция </w:t>
      </w:r>
      <w:r>
        <w:rPr>
          <w:color w:val="000000"/>
        </w:rPr>
        <w:t>о статусе апатридов</w:t>
      </w:r>
      <w:r>
        <w:t>. Тем не менее правительство будет и далее вести дело к ратификации этой конвенции.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58.</w:t>
      </w:r>
      <w:r>
        <w:tab/>
      </w:r>
      <w:r>
        <w:rPr>
          <w:b/>
        </w:rPr>
        <w:t>Г-жа Паррест</w:t>
      </w:r>
      <w:r>
        <w:t xml:space="preserve"> (Эстония) подчеркивает, что, как и во многих других стр</w:t>
      </w:r>
      <w:r>
        <w:t>а</w:t>
      </w:r>
      <w:r>
        <w:t>нах, в Эстонии имеется как система стандартного уголовного судопроизводства, предусматривающая все обычные этапы, например судебные слушания, так и упрощенная процедура, когда, например, обвиняемый признает свою вину и получает более мягкое наказание. Хотя средняя продолжительность обычной процедуры судопроизводства и в самом деле составляла в 2009 году 490 дней, эта цифра касается лишь 7% всех судебных дел. Почти в 90% случаев уголо</w:t>
      </w:r>
      <w:r>
        <w:t>в</w:t>
      </w:r>
      <w:r>
        <w:t>ные дела рассматриваются в упрощенном порядке, причем эта процедура всегда менее продолжительна, а конкретные сроки зависят от характера правонаруш</w:t>
      </w:r>
      <w:r>
        <w:t>е</w:t>
      </w:r>
      <w:r>
        <w:t>ния. Если задержанное лицо признано виновным и приговорено к тюремному заключению на срок, меньший, чем период его фактического содержания под стражей, то этому лицу назначается компенсация.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59.</w:t>
      </w:r>
      <w:r>
        <w:tab/>
        <w:t>Что касается принятия к рассмотрению доказательств, то в случае нар</w:t>
      </w:r>
      <w:r>
        <w:t>у</w:t>
      </w:r>
      <w:r>
        <w:t>шения правил сбора доказательств принятие решения о том, является ли такое нарушение столь значимым, что доказательство не может быть использовано полицией и прокуратурой, или оно обусловлено незначительной ошибкой, что позволяет принять доказательство к рассмотрению, возлагается на суды. В с</w:t>
      </w:r>
      <w:r>
        <w:t>у</w:t>
      </w:r>
      <w:r>
        <w:t>дебной практике Верховного суда можно найти примеры, иллюстрирующие различия между крупными и мелкими нарушениями. В пункте 111 Уголовно-процессуального кодекса предусматривается, что информация, полученная в ходе наружного наблюдения, может быть использована, только если оно велось в соответствии с требованиями закона.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60.</w:t>
      </w:r>
      <w:r>
        <w:tab/>
      </w:r>
      <w:r>
        <w:rPr>
          <w:b/>
        </w:rPr>
        <w:t>Г-жа Ханнуст</w:t>
      </w:r>
      <w:r>
        <w:t xml:space="preserve"> (Эстония) сообщает, что все ходатайства о предоставл</w:t>
      </w:r>
      <w:r>
        <w:t>е</w:t>
      </w:r>
      <w:r>
        <w:t>нии убежища рассматриваются на индивидуальной основе и что все лица, ищущие убежище, имеют право обжаловать принятые решения в десятидневный срок. Ни при каких обстоятельствах их немедленная депортация не допускается. С</w:t>
      </w:r>
      <w:r>
        <w:t>о</w:t>
      </w:r>
      <w:r>
        <w:t>трудники пограничной службы регулярно проходят учебную подготовку по в</w:t>
      </w:r>
      <w:r>
        <w:t>о</w:t>
      </w:r>
      <w:r>
        <w:t>просам, касающимся порядка действий в случае обращения с просьбой об уб</w:t>
      </w:r>
      <w:r>
        <w:t>е</w:t>
      </w:r>
      <w:r>
        <w:t>жище; потребность в этом ощущается особенно остро, поскольку случаи ход</w:t>
      </w:r>
      <w:r>
        <w:t>а</w:t>
      </w:r>
      <w:r>
        <w:t>тайства о предоставлении убежища столь немногочисленны, что п</w:t>
      </w:r>
      <w:r>
        <w:t>о</w:t>
      </w:r>
      <w:r>
        <w:t>граничники могут легко забыть о том, в каком порядке им надлежит действ</w:t>
      </w:r>
      <w:r>
        <w:t>о</w:t>
      </w:r>
      <w:r>
        <w:t>вать. Некоторые пограничники проходят особую подготовку по вопросам обр</w:t>
      </w:r>
      <w:r>
        <w:t>а</w:t>
      </w:r>
      <w:r>
        <w:t>щения с членами уязвимых групп, например, с несовершеннолетними. Правительство неплохо взаимодействует с УВКБ, которое периодически подвергает рассмотрению пр</w:t>
      </w:r>
      <w:r>
        <w:t>и</w:t>
      </w:r>
      <w:r>
        <w:t>нятые в стране решения по ходатайствам о предоставлении убежища и неи</w:t>
      </w:r>
      <w:r>
        <w:t>з</w:t>
      </w:r>
      <w:r>
        <w:t>менно признает эти решения удовлетворительными.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61.</w:t>
      </w:r>
      <w:r>
        <w:tab/>
      </w:r>
      <w:r>
        <w:rPr>
          <w:b/>
        </w:rPr>
        <w:t>Г-жа Паррест</w:t>
      </w:r>
      <w:r>
        <w:t xml:space="preserve"> (Эстония) сообщает, что в настоящее время на рассмотр</w:t>
      </w:r>
      <w:r>
        <w:t>е</w:t>
      </w:r>
      <w:r>
        <w:t>нии парламента находится законопроект о пересмотре определения гражда</w:t>
      </w:r>
      <w:r>
        <w:t>н</w:t>
      </w:r>
      <w:r>
        <w:t>ских служащих. Если он будет принят, то право на забастовку будет закреплено за многими лицами, которые в настоящее время отнесены к категории гражда</w:t>
      </w:r>
      <w:r>
        <w:t>н</w:t>
      </w:r>
      <w:r>
        <w:t>ских служащих и, соответственно, лишены этого права.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br w:type="page"/>
        <w:t>62.</w:t>
      </w:r>
      <w:r>
        <w:tab/>
      </w:r>
      <w:r>
        <w:rPr>
          <w:b/>
        </w:rPr>
        <w:t>Г-н Кок</w:t>
      </w:r>
      <w:r>
        <w:t xml:space="preserve"> (Эстония) добавляет, что в соответствии с этим законопроектом число гражданских служащих, которое в настоящее время составляет около </w:t>
      </w:r>
      <w:r>
        <w:br/>
        <w:t>24 000 (включая военнослужащих), будет сокращено по меньшей мере напол</w:t>
      </w:r>
      <w:r>
        <w:t>о</w:t>
      </w:r>
      <w:r>
        <w:t>вину. Примерно на 10 000 гражданских служащих, которые выполняют ключ</w:t>
      </w:r>
      <w:r>
        <w:t>е</w:t>
      </w:r>
      <w:r>
        <w:t>вые г</w:t>
      </w:r>
      <w:r>
        <w:t>о</w:t>
      </w:r>
      <w:r>
        <w:t>сударственные функции, будет по-прежнему распространяться запрет на забастовки; это объясняется необходимостью обеспечить правопорядок и без</w:t>
      </w:r>
      <w:r>
        <w:t>о</w:t>
      </w:r>
      <w:r>
        <w:t>пасность.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63.</w:t>
      </w:r>
      <w:r>
        <w:tab/>
      </w:r>
      <w:r>
        <w:rPr>
          <w:b/>
        </w:rPr>
        <w:t>Г-жа Ханнуст</w:t>
      </w:r>
      <w:r>
        <w:t xml:space="preserve"> (Эстония), отвечая на вопрос о защите прав умалише</w:t>
      </w:r>
      <w:r>
        <w:t>н</w:t>
      </w:r>
      <w:r>
        <w:t>ных, подчеркивает, что все необходимые нормы уже прописаны в Законе о психич</w:t>
      </w:r>
      <w:r>
        <w:t>е</w:t>
      </w:r>
      <w:r>
        <w:t>ском здоровье, а также в Гражданском процессуальном и Уголовно-процессуальном кодексах. В Гражданский процессуальный кодекс были внес</w:t>
      </w:r>
      <w:r>
        <w:t>е</w:t>
      </w:r>
      <w:r>
        <w:t>ны поправки, предусматривающие особый порядок рассмотрения дел, в кот</w:t>
      </w:r>
      <w:r>
        <w:t>о</w:t>
      </w:r>
      <w:r>
        <w:t>рых принимают участие лица, полностью неспособные выразить свое согласие. В уголовном судопроизводстве умалишенные пользуются всеми обычными правами, в том числе правом быть проинформированными о затрагивающих их решениях. В докладе не приводится информации о каких-либо конкретных сл</w:t>
      </w:r>
      <w:r>
        <w:t>у</w:t>
      </w:r>
      <w:r>
        <w:t>чаях, когда те или иные лица не имели возможности участвовать в уголовном процессе над ними. В случае гражданского судопроизводства ни одно лицо не было подвергнуто психиатрическому освидетельствованию без обстоятельного рассмотрения судом всех обстоятельств. Правительство признает необход</w:t>
      </w:r>
      <w:r>
        <w:t>и</w:t>
      </w:r>
      <w:r>
        <w:t>мость привлечь к этому вопросу более пристальное внимание судей, юристов, особенно занимающихся оказанием юридической помощи, и дирекции псих</w:t>
      </w:r>
      <w:r>
        <w:t>и</w:t>
      </w:r>
      <w:r>
        <w:t>атрических лечебниц.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64.</w:t>
      </w:r>
      <w:r>
        <w:tab/>
        <w:t>Многие базы данных связаны ссылками с вебсайтом Министерства ин</w:t>
      </w:r>
      <w:r>
        <w:t>о</w:t>
      </w:r>
      <w:r>
        <w:t>странных дел, на котором размещены тексты Пакта и периодических докладов Эстонии. Когда будет готова русскоязычная версия доклада, Министерство включит ссылку на этот текст в материалы своего вебсайта. Министерство им</w:t>
      </w:r>
      <w:r>
        <w:t>е</w:t>
      </w:r>
      <w:r>
        <w:t>ло в виду подготовить свой собственный перевод доклада на русский язык, но это не удалось сделать по причине ограниченности финансовых ресурсов. М</w:t>
      </w:r>
      <w:r>
        <w:t>и</w:t>
      </w:r>
      <w:r>
        <w:t>нистерство поддерживает плодотворный диалог с некоторыми НПО, однако гражданское общество в Эстонии пока еще не достигло зрелости; правительс</w:t>
      </w:r>
      <w:r>
        <w:t>т</w:t>
      </w:r>
      <w:r>
        <w:t>во считает желательным, чтобы НПО проявляли большую активность. Мин</w:t>
      </w:r>
      <w:r>
        <w:t>и</w:t>
      </w:r>
      <w:r>
        <w:t>стерство намерено широко распространить заключительные замечания Комит</w:t>
      </w:r>
      <w:r>
        <w:t>е</w:t>
      </w:r>
      <w:r>
        <w:t>та. Кроме того, оно проинформирует НПО по тем вопросам, которые были по</w:t>
      </w:r>
      <w:r>
        <w:t>д</w:t>
      </w:r>
      <w:r>
        <w:t>няты ими перед Комитетом и стали предметом обсуждения в ходе рассмотрения доклада. В общенациональную учебную программу были внесены изменения, предусматривающие включение тематики прав человека в программу по общ</w:t>
      </w:r>
      <w:r>
        <w:t>е</w:t>
      </w:r>
      <w:r>
        <w:t>ствоведению во всех школах; преподаватели обществоведения пройдут соо</w:t>
      </w:r>
      <w:r>
        <w:t>т</w:t>
      </w:r>
      <w:r>
        <w:t>ветствующую подготовку по дисциплине прав человека.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65.</w:t>
      </w:r>
      <w:r>
        <w:tab/>
      </w:r>
      <w:r>
        <w:rPr>
          <w:b/>
        </w:rPr>
        <w:t>Г-н Кок</w:t>
      </w:r>
      <w:r>
        <w:t xml:space="preserve"> (Эстония) напоминает, что на момент восстановления независ</w:t>
      </w:r>
      <w:r>
        <w:t>и</w:t>
      </w:r>
      <w:r>
        <w:t>мости Эстонии число НПО в стране было весьма невелико. Теперь их тысячи, причем функционировать они могут отчасти благодаря финансовой поддержке со стороны государства.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66.</w:t>
      </w:r>
      <w:r>
        <w:tab/>
        <w:t>Возвращаясь к вопросу о компенсации, он сообщает, что Закон об отве</w:t>
      </w:r>
      <w:r>
        <w:t>т</w:t>
      </w:r>
      <w:r>
        <w:t>ственности государства охватывает случаи судебных ошибок. В нем предусма</w:t>
      </w:r>
      <w:r>
        <w:t>т</w:t>
      </w:r>
      <w:r>
        <w:t>ривается, что если по той или иной причине какой-то конкретный случай не п</w:t>
      </w:r>
      <w:r>
        <w:t>о</w:t>
      </w:r>
      <w:r>
        <w:t>крывается этим законом, то делается отсылка к Конституции. В Министерстве юстиции ведется подготовка пересмотренного варианта этого закона, который будет включать отдельное положение о компенсации за содержание в психиа</w:t>
      </w:r>
      <w:r>
        <w:t>т</w:t>
      </w:r>
      <w:r>
        <w:t>рической лечебнице.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67.</w:t>
      </w:r>
      <w:r>
        <w:tab/>
      </w:r>
      <w:r>
        <w:rPr>
          <w:b/>
        </w:rPr>
        <w:t>Г-жа Сеппер</w:t>
      </w:r>
      <w:r>
        <w:t xml:space="preserve"> (Эстония), отвечая на вопрос о том, чем объясняется столь малое число исков о дискриминации, говорит, что Закон о </w:t>
      </w:r>
      <w:proofErr w:type="spellStart"/>
      <w:r>
        <w:t>гендерном</w:t>
      </w:r>
      <w:proofErr w:type="spellEnd"/>
      <w:r>
        <w:t xml:space="preserve"> равенстве 2004 года и Закон о равном обращении 2009 года были приняты относительно недавно и пока еще недостаточно хорошо известны среди общественности и юристов. Однако ее орган, бюро комиссара по вопросам гендерного равенства, совместно с Министерством социальных дел организует учебные мероприятия на эту тему для судей и адвокатов начиная с января 2011 года. Кроме того, ее бюро планирует провести информационно-пропагандистскую кампанию среди участников рынка труда, где вероятность дискриминации наиболее высока. Что касается причин отсутствия судебных дел о дискриминации по статье 152 Уг</w:t>
      </w:r>
      <w:r>
        <w:t>о</w:t>
      </w:r>
      <w:r>
        <w:t>ловного кодекса о нарушении равных прав, то люди лишь недавно осознали (отчасти из-за несовпадения формулировок), что эта статья дает основания для обращения в суд. И ее бюро, и Министерство социальных дел пытаются пр</w:t>
      </w:r>
      <w:r>
        <w:t>и</w:t>
      </w:r>
      <w:r>
        <w:t>влечь к этому внимание правоохранительных органов.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68.</w:t>
      </w:r>
      <w:r>
        <w:tab/>
      </w:r>
      <w:r>
        <w:rPr>
          <w:b/>
        </w:rPr>
        <w:t>Г-н Телин</w:t>
      </w:r>
      <w:r>
        <w:t>, комментируя данные государством-участником ответы на в</w:t>
      </w:r>
      <w:r>
        <w:t>о</w:t>
      </w:r>
      <w:r>
        <w:t>просы по статье 14 Пакта, говорит, что заставлять государство выплачивать компенсацию лицам, которые были незаконно лишены свободы, по всей вид</w:t>
      </w:r>
      <w:r>
        <w:t>и</w:t>
      </w:r>
      <w:r>
        <w:t>мости, было бы неверным. Более оптимально применять упрощенную процед</w:t>
      </w:r>
      <w:r>
        <w:t>у</w:t>
      </w:r>
      <w:r>
        <w:t>ру, позволяющую в ускоренном порядке завершать рассмотрение дел.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69.</w:t>
      </w:r>
      <w:r>
        <w:tab/>
        <w:t>Он констатирует, что, как следует из пункта 134 письменных ответов г</w:t>
      </w:r>
      <w:r>
        <w:t>о</w:t>
      </w:r>
      <w:r>
        <w:t>сударства-участника, положение Закона о коллективном разрешении трудовых споров, запрещающее забастовки сотрудников правительственных органов и других государственных ведомств, по-прежнему остается в силе, хотя имею</w:t>
      </w:r>
      <w:r>
        <w:t>т</w:t>
      </w:r>
      <w:r>
        <w:t>ся планы скорректировать его охват.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70.</w:t>
      </w:r>
      <w:r>
        <w:tab/>
      </w:r>
      <w:r>
        <w:rPr>
          <w:b/>
        </w:rPr>
        <w:t>Г-н О’Флаэрти</w:t>
      </w:r>
      <w:r>
        <w:t xml:space="preserve"> выражает пожелание получить более подробную инфо</w:t>
      </w:r>
      <w:r>
        <w:t>р</w:t>
      </w:r>
      <w:r>
        <w:t>мацию о праве на отказ от воинской службы по соображениям совести и о чи</w:t>
      </w:r>
      <w:r>
        <w:t>с</w:t>
      </w:r>
      <w:r>
        <w:t>ле лиц, которые воспользовались этим правом. По каким критериям произв</w:t>
      </w:r>
      <w:r>
        <w:t>о</w:t>
      </w:r>
      <w:r>
        <w:t>дится оценка соответствия того или иного лица установленным критериям для прохождения альтернативной службы?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71.</w:t>
      </w:r>
      <w:r>
        <w:tab/>
        <w:t>Касаясь апрельских инцидентов 2007 года, он выражает разочарование тем, что не была выплачена компенсация незаконно задержанным лицам, ос</w:t>
      </w:r>
      <w:r>
        <w:t>о</w:t>
      </w:r>
      <w:r>
        <w:t>бенно учитывая, что некоторые из них содержались под стражей до 24 часов и что, согласно некоторым сообщениям, к ним применялись неподобающие фо</w:t>
      </w:r>
      <w:r>
        <w:t>р</w:t>
      </w:r>
      <w:r>
        <w:t>мы ограничения подвижности. Не исключено, что со временем такие инциде</w:t>
      </w:r>
      <w:r>
        <w:t>н</w:t>
      </w:r>
      <w:r>
        <w:t>ты станут восприниматься гипертрофированно, и ради восстановления спр</w:t>
      </w:r>
      <w:r>
        <w:t>а</w:t>
      </w:r>
      <w:r>
        <w:t xml:space="preserve">ведливости в отношении этих лиц и в интересах социального согласия должны иметься средства компенсации за допущенный произвол. 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72.</w:t>
      </w:r>
      <w:r>
        <w:tab/>
      </w:r>
      <w:r>
        <w:rPr>
          <w:b/>
        </w:rPr>
        <w:t>Г-н Амор</w:t>
      </w:r>
      <w:r>
        <w:t xml:space="preserve"> интересуется реализацией права на забастовку. В результате принятия рассматриваемого парламентом в настоящее время законопроекта к</w:t>
      </w:r>
      <w:r>
        <w:t>о</w:t>
      </w:r>
      <w:r>
        <w:t>личество гражданских служащих, не имеющих права на забастовку, по-видимому, сократится с 30 000 до 10 000. Включает ли эта цифра военносл</w:t>
      </w:r>
      <w:r>
        <w:t>у</w:t>
      </w:r>
      <w:r>
        <w:t>жащих и полицейских, отказ которым в праве на забастовку по соображениям поддержания общественного порядка можно было бы считать обоснова</w:t>
      </w:r>
      <w:r>
        <w:t>н</w:t>
      </w:r>
      <w:r>
        <w:t>ным?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73.</w:t>
      </w:r>
      <w:r>
        <w:tab/>
        <w:t>Во-вторых, существуют ли в Эстонии какие-либо новые религиозные движения или секты, и если это так, то каков правовой режим, регулирующий их деятельность? Наблюдаются ли в стране какие-либо проявления религиозн</w:t>
      </w:r>
      <w:r>
        <w:t>о</w:t>
      </w:r>
      <w:r>
        <w:t>го экстремизма, и если это так, то какие меры принимаются властями в этой связи?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br w:type="page"/>
        <w:t>74.</w:t>
      </w:r>
      <w:r>
        <w:tab/>
      </w:r>
      <w:r>
        <w:rPr>
          <w:b/>
        </w:rPr>
        <w:t>Г-жа Келлер</w:t>
      </w:r>
      <w:r>
        <w:t xml:space="preserve"> затрагивает вопрос о свободе ассоциации в контексте гра</w:t>
      </w:r>
      <w:r>
        <w:t>ж</w:t>
      </w:r>
      <w:r>
        <w:t>данства и о том, с какими преимуществами это сопряжено. Поскольку Эст</w:t>
      </w:r>
      <w:r>
        <w:t>о</w:t>
      </w:r>
      <w:r>
        <w:t>ния не признает двойного гражданства, лицо, ходатайствующее о получении эсто</w:t>
      </w:r>
      <w:r>
        <w:t>н</w:t>
      </w:r>
      <w:r>
        <w:t>ского гражданства, должно отказаться от своего нынешнего гражданства со всеми вытекающими из этого минусами.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75.</w:t>
      </w:r>
      <w:r>
        <w:tab/>
      </w:r>
      <w:r>
        <w:rPr>
          <w:b/>
        </w:rPr>
        <w:t>Г-жа Моток</w:t>
      </w:r>
      <w:r>
        <w:t xml:space="preserve"> говорит, что Эстония, по всей видимости, представляет с</w:t>
      </w:r>
      <w:r>
        <w:t>о</w:t>
      </w:r>
      <w:r>
        <w:t>бой образец надлежащей практики управления. Что касается отмеченной ранее проблемы перевода, то с нею сталкивается и ее собственная страна (Румыния).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76.</w:t>
      </w:r>
      <w:r>
        <w:tab/>
      </w:r>
      <w:r>
        <w:rPr>
          <w:b/>
        </w:rPr>
        <w:t>Г-н Кок</w:t>
      </w:r>
      <w:r>
        <w:t xml:space="preserve"> (Эстония), отвечая на поставленные вопросы, подчеркивает, что в вопросах предоставления гражданства Эстония руководствуется </w:t>
      </w:r>
      <w:r>
        <w:rPr>
          <w:i/>
        </w:rPr>
        <w:t>юс сангвинис</w:t>
      </w:r>
      <w:r>
        <w:t>. Когда Эстония восстановила свою независимость в 1991 году, было решено, что гражданами страны считаются те лица, которые проживали в ней на 16 июня 1940 года, т.е. на момент ее оккупации. К этой категории относятся примерно 900 000 человек. В советский период в страну было переселено еще 600 000 ч</w:t>
      </w:r>
      <w:r>
        <w:t>е</w:t>
      </w:r>
      <w:r>
        <w:t>ловек, и по этой причине в случае признания права на двойное гражданство в стране окажется неприемлемо большое число лиц с двойным гражданством. Однако в будущем правовой режим, действующий в вопросах гражданства, б</w:t>
      </w:r>
      <w:r>
        <w:t>у</w:t>
      </w:r>
      <w:r>
        <w:t>дет пересмотрен.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77.</w:t>
      </w:r>
      <w:r>
        <w:tab/>
        <w:t>Переходя к вопросу о праве на забастовку, он говорит, что, по его оценке, запрет будет распространяться на четыре – шесть тысяч человек, которые не входят в категорию военнослужащих или полицейских. Однако точную цифру можно будет назвать только после соответствующей проработки.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78.</w:t>
      </w:r>
      <w:r>
        <w:tab/>
      </w:r>
      <w:r>
        <w:rPr>
          <w:b/>
        </w:rPr>
        <w:t>Г-жа Паррест</w:t>
      </w:r>
      <w:r>
        <w:t xml:space="preserve"> (Эстония), отвечая на вопрос о продолжительности проц</w:t>
      </w:r>
      <w:r>
        <w:t>е</w:t>
      </w:r>
      <w:r>
        <w:t>дуры судопроизводства, подчеркивает, что Верховный суд держит эту пр</w:t>
      </w:r>
      <w:r>
        <w:t>о</w:t>
      </w:r>
      <w:r>
        <w:t>блему в поле зрения уже несколько лет. В тех случаях, когда лицо, являющееся объе</w:t>
      </w:r>
      <w:r>
        <w:t>к</w:t>
      </w:r>
      <w:r>
        <w:t>том уголовного преследования, содержится под стражей, судебный приговор может предусматривать менее длительное наказание. Однако такие решения принимаются на основе не статутного, а прецедентного права. Уже соста</w:t>
      </w:r>
      <w:r>
        <w:t>в</w:t>
      </w:r>
      <w:r>
        <w:t>лены и внесены на рассмотрение парламента поправки к Уголовно-процессуальному кодексу, призванные ускорить судопроизводство.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79.</w:t>
      </w:r>
      <w:r>
        <w:tab/>
      </w:r>
      <w:r>
        <w:rPr>
          <w:b/>
        </w:rPr>
        <w:t>Г-н Кок</w:t>
      </w:r>
      <w:r>
        <w:t xml:space="preserve"> (Эстония) добавляет, что любое лицо, подвергшееся незаконн</w:t>
      </w:r>
      <w:r>
        <w:t>о</w:t>
      </w:r>
      <w:r>
        <w:t>му задержанию, может претендовать на компенсацию. В связи с упоминавши</w:t>
      </w:r>
      <w:r>
        <w:t>м</w:t>
      </w:r>
      <w:r>
        <w:t>ся инцидентом, когда были произведены массовые аресты, некоторые люди просто оказались не там в ненужный момент. Впрочем, они были довольно б</w:t>
      </w:r>
      <w:r>
        <w:t>ы</w:t>
      </w:r>
      <w:r>
        <w:t>стро освобождены.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80.</w:t>
      </w:r>
      <w:r>
        <w:tab/>
      </w:r>
      <w:r>
        <w:rPr>
          <w:b/>
        </w:rPr>
        <w:t>Г-жа Ханнуст</w:t>
      </w:r>
      <w:r>
        <w:t xml:space="preserve"> (Эстония), отвечая на вопрос о религии, подчеркивает, что принцип свободы религии распространяется на всех жителей Эстонии. Гос</w:t>
      </w:r>
      <w:r>
        <w:t>у</w:t>
      </w:r>
      <w:r>
        <w:t xml:space="preserve">дарство не может наказывать людей за то, что они придерживаются того или иного верования, но вправе ограничить любую религиозную практику, которая создает угрозу общественному порядку. В стране насчитывается 9 церквей, </w:t>
      </w:r>
      <w:r>
        <w:br/>
        <w:t>70 религиозных объединений и 7 монастырей. Однако их нельзя отнести к кат</w:t>
      </w:r>
      <w:r>
        <w:t>е</w:t>
      </w:r>
      <w:r>
        <w:t>гории экстремистских.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81.</w:t>
      </w:r>
      <w:r>
        <w:tab/>
      </w:r>
      <w:r>
        <w:rPr>
          <w:b/>
        </w:rPr>
        <w:t>Г-н Кок</w:t>
      </w:r>
      <w:r>
        <w:t xml:space="preserve"> (Эстония) отмечает, что в Эстонии нет государственной церкви. Все религиозные объединения при желании могут зарегистрироваться. Страна не знает такого явления, как религиозный экстремизм.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82.</w:t>
      </w:r>
      <w:r>
        <w:tab/>
      </w:r>
      <w:r>
        <w:rPr>
          <w:b/>
        </w:rPr>
        <w:t>Г-н Сейленталь</w:t>
      </w:r>
      <w:r>
        <w:t xml:space="preserve"> (Эстония) говорит о том, что согласовать определение секты будет нелегко. Имеется Союз христианских церквей Эстонии, в который входят лютеране, католики, эстонская и русская православные церкви, а также армянские христиане. Есть также и новые постмодернистские церкви, которые проявляют большую активность, но число их членов невелико.</w:t>
      </w:r>
    </w:p>
    <w:p w:rsidR="00000000" w:rsidRDefault="00000000">
      <w:pPr>
        <w:tabs>
          <w:tab w:val="left" w:pos="1701"/>
        </w:tabs>
        <w:spacing w:after="120"/>
        <w:ind w:left="1134" w:right="1134"/>
        <w:jc w:val="both"/>
      </w:pPr>
      <w:r>
        <w:t>83.</w:t>
      </w:r>
      <w:r>
        <w:tab/>
      </w:r>
      <w:r>
        <w:rPr>
          <w:b/>
        </w:rPr>
        <w:t>Г-н Кок</w:t>
      </w:r>
      <w:r>
        <w:t xml:space="preserve"> (Эстония), подводя по предложению Председателя итоги, по</w:t>
      </w:r>
      <w:r>
        <w:t>д</w:t>
      </w:r>
      <w:r>
        <w:t>черкивает, что за время после представления Эстонией своего первого доклада Комитету в 1995 году в стране произошли большие перемены, главным образом к лучшему. Он четко осознает необходимость дальнейшего прогресса и завер</w:t>
      </w:r>
      <w:r>
        <w:t>я</w:t>
      </w:r>
      <w:r>
        <w:t>ет, что рекомендации Комитета будут самым серьезным образом изучены.</w:t>
      </w:r>
    </w:p>
    <w:p w:rsidR="00000000" w:rsidRDefault="00000000">
      <w:pPr>
        <w:pStyle w:val="SingleTxtG"/>
        <w:suppressAutoHyphens w:val="0"/>
        <w:rPr>
          <w:i/>
          <w:spacing w:val="4"/>
          <w:w w:val="103"/>
          <w:kern w:val="14"/>
          <w:lang w:val="ru-RU"/>
        </w:rPr>
      </w:pPr>
      <w:r>
        <w:rPr>
          <w:i/>
          <w:spacing w:val="4"/>
          <w:w w:val="103"/>
          <w:kern w:val="14"/>
          <w:lang w:val="ru-RU"/>
        </w:rPr>
        <w:t>Заседание закрывается в 12 ч. 40 м.</w:t>
      </w:r>
    </w:p>
    <w:p w:rsidR="00000000" w:rsidRDefault="00000000">
      <w:pPr>
        <w:spacing w:before="240"/>
        <w:rPr>
          <w:u w:val="single"/>
        </w:rPr>
      </w:pPr>
    </w:p>
    <w:p w:rsidR="00000000" w:rsidRDefault="00000000"/>
    <w:sectPr w:rsidR="000000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rPr>
          <w:lang w:val="en-US"/>
        </w:rPr>
        <w:tab/>
      </w:r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GE.10-43563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lang w:val="en-US"/>
      </w:rPr>
    </w:pPr>
    <w:r>
      <w:rPr>
        <w:lang w:val="en-US"/>
      </w:rPr>
      <w:t>GE.10-43563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noteText"/>
      <w:tabs>
        <w:tab w:val="clear" w:pos="1021"/>
      </w:tabs>
      <w:spacing w:before="120" w:after="120"/>
      <w:ind w:left="0" w:right="-81" w:firstLine="0"/>
      <w:rPr>
        <w:lang w:val="en-US"/>
      </w:rPr>
    </w:pPr>
    <w:r>
      <w:rPr>
        <w:lang w:val="en-US"/>
      </w:rPr>
      <w:t>__________________________________________________________________________________________________</w:t>
    </w:r>
  </w:p>
  <w:p w:rsidR="00000000" w:rsidRDefault="00000000">
    <w:pPr>
      <w:pStyle w:val="FootnoteText"/>
      <w:spacing w:before="120" w:after="120"/>
      <w:ind w:firstLine="0"/>
      <w:rPr>
        <w:lang w:val="ru-RU"/>
      </w:rPr>
    </w:pPr>
    <w:r>
      <w:rPr>
        <w:lang w:val="ru-RU"/>
      </w:rPr>
      <w:t>В настоящий отчет могут вноситься поправки.</w:t>
    </w:r>
  </w:p>
  <w:p w:rsidR="00000000" w:rsidRDefault="00000000">
    <w:pPr>
      <w:pStyle w:val="FootnoteText"/>
      <w:spacing w:before="120" w:after="120"/>
      <w:ind w:firstLine="0"/>
      <w:rPr>
        <w:lang w:val="en-US"/>
      </w:rPr>
    </w:pPr>
    <w:r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  <w:lang w:val="ru-RU"/>
      </w:rPr>
      <w:t>в течение одной недели с момента выпуска настоящего документа</w:t>
    </w:r>
    <w:r>
      <w:rPr>
        <w:lang w:val="ru-RU"/>
      </w:rPr>
      <w:t xml:space="preserve"> в Группу редакционного контроля, комната Е.4108, Дворец Наций, Женева.</w:t>
    </w:r>
  </w:p>
  <w:p w:rsidR="00000000" w:rsidRDefault="00000000">
    <w:pPr>
      <w:pStyle w:val="FootnoteText"/>
      <w:spacing w:before="120" w:after="120"/>
      <w:ind w:firstLine="0"/>
      <w:rPr>
        <w:sz w:val="20"/>
      </w:rPr>
    </w:pPr>
    <w:r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000000" w:rsidRDefault="00000000">
    <w:pPr>
      <w:pStyle w:val="Footer"/>
      <w:rPr>
        <w:sz w:val="20"/>
        <w:lang w:val="en-US"/>
      </w:rPr>
    </w:pPr>
    <w:r>
      <w:rPr>
        <w:sz w:val="20"/>
        <w:lang w:val="en-US"/>
      </w:rPr>
      <w:t>GE.10-43563  (R)  201010  201010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00000" w:rsidRDefault="0000000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00000" w:rsidRDefault="000000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CCPR/C/SR.2716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ab/>
      <w:t>CCPR/C/SR.2716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,5_G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  <w:lang w:val="en-GB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link w:val="H4GR0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lang w:val="en-GB"/>
    </w:rPr>
  </w:style>
  <w:style w:type="paragraph" w:customStyle="1" w:styleId="SingleTxtG">
    <w:name w:val="_ Single Txt_G"/>
    <w:basedOn w:val="Normal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H4GR0">
    <w:name w:val="_ H_4_GR Знак"/>
    <w:link w:val="H4GR"/>
    <w:rPr>
      <w:i/>
      <w:spacing w:val="3"/>
      <w:w w:val="103"/>
      <w:kern w:val="1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16</Pages>
  <Words>7247</Words>
  <Characters>41310</Characters>
  <Application>Microsoft Office Word</Application>
  <DocSecurity>4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1043563</vt:lpstr>
    </vt:vector>
  </TitlesOfParts>
  <Company>CSD</Company>
  <LinksUpToDate>false</LinksUpToDate>
  <CharactersWithSpaces>48461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1043563</dc:title>
  <dc:subject>БРАТЧИКОВ</dc:subject>
  <dc:creator>Людмила ЦЕПЕЛЕВА</dc:creator>
  <cp:keywords/>
  <dc:description/>
  <cp:lastModifiedBy>Людмила ЦЕПЕЛЕВА</cp:lastModifiedBy>
  <cp:revision>2</cp:revision>
  <cp:lastPrinted>2010-10-20T12:47:00Z</cp:lastPrinted>
  <dcterms:created xsi:type="dcterms:W3CDTF">2010-10-20T12:49:00Z</dcterms:created>
  <dcterms:modified xsi:type="dcterms:W3CDTF">2010-10-20T12:49:00Z</dcterms:modified>
</cp:coreProperties>
</file>