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4678"/>
        <w:gridCol w:w="3260"/>
      </w:tblGrid>
      <w:tr w:rsidR="003A7EAE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1559" w:type="dxa"/>
            <w:tcBorders>
              <w:bottom w:val="single" w:sz="6" w:space="0" w:color="auto"/>
            </w:tcBorders>
          </w:tcPr>
          <w:p w:rsidR="003A7EAE" w:rsidRDefault="003A7EAE">
            <w:pPr>
              <w:spacing w:before="60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NATIONS</w:t>
            </w:r>
            <w:r>
              <w:rPr>
                <w:rFonts w:ascii="Arial" w:hAnsi="Arial" w:cs="Arial"/>
                <w:b/>
                <w:bCs/>
                <w:sz w:val="28"/>
              </w:rPr>
              <w:br/>
              <w:t>UNIES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3A7EAE" w:rsidRDefault="003A7EAE"/>
        </w:tc>
        <w:tc>
          <w:tcPr>
            <w:tcW w:w="3260" w:type="dxa"/>
            <w:tcBorders>
              <w:bottom w:val="single" w:sz="6" w:space="0" w:color="auto"/>
            </w:tcBorders>
          </w:tcPr>
          <w:p w:rsidR="003A7EAE" w:rsidRDefault="003A7EAE">
            <w:pPr>
              <w:ind w:right="17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72"/>
              </w:rPr>
              <w:t>CCPR</w:t>
            </w:r>
          </w:p>
        </w:tc>
      </w:tr>
      <w:tr w:rsidR="003A7EAE">
        <w:tblPrEx>
          <w:tblCellMar>
            <w:top w:w="0" w:type="dxa"/>
            <w:bottom w:w="0" w:type="dxa"/>
          </w:tblCellMar>
        </w:tblPrEx>
        <w:trPr>
          <w:trHeight w:hRule="exact" w:val="2552"/>
        </w:trPr>
        <w:tc>
          <w:tcPr>
            <w:tcW w:w="1559" w:type="dxa"/>
            <w:tcBorders>
              <w:top w:val="single" w:sz="6" w:space="0" w:color="auto"/>
              <w:bottom w:val="single" w:sz="24" w:space="0" w:color="auto"/>
            </w:tcBorders>
            <w:tcMar>
              <w:top w:w="227" w:type="dxa"/>
            </w:tcMar>
          </w:tcPr>
          <w:p w:rsidR="003A7EAE" w:rsidRDefault="003A7EAE">
            <w:r>
              <w:object w:dxaOrig="1361" w:dyaOrig="12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63.75pt" o:ole="" o:allowoverlap="f">
                  <v:imagedata r:id="rId7" o:title=""/>
                </v:shape>
                <o:OLEObject Type="Embed" ProgID="Word.Picture.8" ShapeID="_x0000_i1025" DrawAspect="Content" ObjectID="_1395159962" r:id="rId8"/>
              </w:object>
            </w:r>
          </w:p>
        </w:tc>
        <w:tc>
          <w:tcPr>
            <w:tcW w:w="4678" w:type="dxa"/>
            <w:tcBorders>
              <w:top w:val="single" w:sz="6" w:space="0" w:color="auto"/>
              <w:bottom w:val="single" w:sz="24" w:space="0" w:color="auto"/>
            </w:tcBorders>
            <w:tcMar>
              <w:top w:w="227" w:type="dxa"/>
            </w:tcMar>
          </w:tcPr>
          <w:p w:rsidR="003A7EAE" w:rsidRDefault="003A7EAE">
            <w:pPr>
              <w:widowControl w:val="0"/>
              <w:spacing w:before="120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Pacte international</w:t>
            </w:r>
            <w:r>
              <w:rPr>
                <w:rFonts w:ascii="Arial" w:hAnsi="Arial" w:cs="Arial"/>
                <w:b/>
                <w:bCs/>
                <w:sz w:val="32"/>
              </w:rPr>
              <w:br/>
              <w:t>relatif aux droits civils</w:t>
            </w:r>
            <w:r>
              <w:rPr>
                <w:rFonts w:ascii="Arial" w:hAnsi="Arial" w:cs="Arial"/>
                <w:b/>
                <w:bCs/>
                <w:sz w:val="32"/>
              </w:rPr>
              <w:br/>
              <w:t>et politiques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24" w:space="0" w:color="auto"/>
            </w:tcBorders>
            <w:tcMar>
              <w:top w:w="227" w:type="dxa"/>
            </w:tcMar>
          </w:tcPr>
          <w:p w:rsidR="003A7EAE" w:rsidRDefault="003A7EAE">
            <w:pPr>
              <w:spacing w:after="240"/>
            </w:pPr>
            <w:r>
              <w:t>Distr.</w:t>
            </w:r>
            <w:r>
              <w:br/>
              <w:t>GÉNÉRALE</w:t>
            </w:r>
          </w:p>
          <w:p w:rsidR="003A7EAE" w:rsidRDefault="003A7EAE">
            <w:pPr>
              <w:spacing w:after="240"/>
              <w:rPr>
                <w:lang w:val="de-CH"/>
              </w:rPr>
            </w:pPr>
            <w:r>
              <w:rPr>
                <w:lang w:val="de-CH"/>
              </w:rPr>
              <w:t>CCPR/C/SR.</w:t>
            </w:r>
            <w:r w:rsidR="00EB4761">
              <w:rPr>
                <w:lang w:val="de-CH"/>
              </w:rPr>
              <w:t>2597</w:t>
            </w:r>
            <w:r w:rsidR="00EB4761">
              <w:rPr>
                <w:rStyle w:val="FootnoteReference"/>
                <w:lang w:val="de-CH"/>
              </w:rPr>
              <w:footnoteReference w:customMarkFollows="1" w:id="1"/>
              <w:t>*</w:t>
            </w:r>
            <w:r>
              <w:rPr>
                <w:lang w:val="de-CH"/>
              </w:rPr>
              <w:br/>
            </w:r>
            <w:r w:rsidR="00071511">
              <w:rPr>
                <w:lang w:val="de-CH"/>
              </w:rPr>
              <w:t>23 mars</w:t>
            </w:r>
            <w:r>
              <w:rPr>
                <w:lang w:val="de-CH"/>
              </w:rPr>
              <w:t xml:space="preserve"> 200</w:t>
            </w:r>
            <w:r w:rsidR="00EB4761">
              <w:rPr>
                <w:lang w:val="de-CH"/>
              </w:rPr>
              <w:t>9</w:t>
            </w:r>
          </w:p>
          <w:p w:rsidR="003A7EAE" w:rsidRDefault="003A7EAE">
            <w:r>
              <w:t>Original: FRANÇAIS</w:t>
            </w:r>
          </w:p>
        </w:tc>
      </w:tr>
    </w:tbl>
    <w:p w:rsidR="003A7EAE" w:rsidRDefault="003A7EAE">
      <w:pPr>
        <w:spacing w:before="240" w:after="240"/>
        <w:jc w:val="center"/>
      </w:pPr>
      <w:r>
        <w:t>COMITÉ DES DROITS DE L</w:t>
      </w:r>
      <w:r w:rsidR="00EA2535">
        <w:t>’</w:t>
      </w:r>
      <w:r>
        <w:t>HOMME</w:t>
      </w:r>
    </w:p>
    <w:p w:rsidR="003A7EAE" w:rsidRDefault="006514A1">
      <w:pPr>
        <w:spacing w:after="240"/>
        <w:jc w:val="center"/>
      </w:pPr>
      <w:r>
        <w:t>Quatre-vingt-qu</w:t>
      </w:r>
      <w:r w:rsidR="00CD27D4">
        <w:t>atorzième</w:t>
      </w:r>
      <w:r>
        <w:t xml:space="preserve"> </w:t>
      </w:r>
      <w:r w:rsidR="003A7EAE">
        <w:t>session</w:t>
      </w:r>
    </w:p>
    <w:p w:rsidR="003A7EAE" w:rsidRDefault="003A7EAE">
      <w:pPr>
        <w:spacing w:after="240"/>
        <w:jc w:val="center"/>
      </w:pPr>
      <w:r>
        <w:t xml:space="preserve">COMPTE RENDU ANALYTIQUE DE LA </w:t>
      </w:r>
      <w:r w:rsidR="00EB4761">
        <w:t>2597</w:t>
      </w:r>
      <w:r>
        <w:rPr>
          <w:vertAlign w:val="superscript"/>
        </w:rPr>
        <w:t>e</w:t>
      </w:r>
      <w:r>
        <w:t xml:space="preserve"> SÉANCE</w:t>
      </w:r>
    </w:p>
    <w:p w:rsidR="003A7EAE" w:rsidRDefault="003A7EAE">
      <w:pPr>
        <w:spacing w:after="240"/>
        <w:jc w:val="center"/>
      </w:pPr>
      <w:r>
        <w:t>tenue au Palais Wilson, à Genève,</w:t>
      </w:r>
      <w:r>
        <w:br/>
        <w:t xml:space="preserve">le </w:t>
      </w:r>
      <w:r w:rsidR="00EB4761">
        <w:t xml:space="preserve">vendredi 31 octobre </w:t>
      </w:r>
      <w:r>
        <w:t>200</w:t>
      </w:r>
      <w:r w:rsidR="00EB4761">
        <w:t>8</w:t>
      </w:r>
      <w:r>
        <w:t xml:space="preserve">, à </w:t>
      </w:r>
      <w:r w:rsidR="00EB4761">
        <w:t>10 heures</w:t>
      </w:r>
    </w:p>
    <w:p w:rsidR="003A7EAE" w:rsidRDefault="003A7EAE">
      <w:pPr>
        <w:spacing w:after="240"/>
        <w:jc w:val="center"/>
      </w:pPr>
      <w:r>
        <w:rPr>
          <w:u w:val="single"/>
        </w:rPr>
        <w:t>Président</w:t>
      </w:r>
      <w:r>
        <w:t>:</w:t>
      </w:r>
      <w:r w:rsidR="00EB4761">
        <w:t xml:space="preserve"> M. RIVAS POSADA</w:t>
      </w:r>
    </w:p>
    <w:p w:rsidR="003A7EAE" w:rsidRDefault="003A7EAE">
      <w:pPr>
        <w:spacing w:after="240"/>
        <w:ind w:hanging="1"/>
        <w:jc w:val="center"/>
      </w:pPr>
      <w:r>
        <w:t>SOMMAIRE</w:t>
      </w:r>
    </w:p>
    <w:p w:rsidR="003A7EAE" w:rsidRDefault="00EB4761">
      <w:pPr>
        <w:tabs>
          <w:tab w:val="left" w:pos="0"/>
        </w:tabs>
        <w:spacing w:after="240"/>
        <w:ind w:hanging="1"/>
      </w:pPr>
      <w:r>
        <w:t>ORGANISATION DES TRAVAUX ET QUESTIONS DIVERSES</w:t>
      </w:r>
    </w:p>
    <w:p w:rsidR="00EB4761" w:rsidRDefault="00EB4761">
      <w:pPr>
        <w:tabs>
          <w:tab w:val="left" w:pos="0"/>
        </w:tabs>
        <w:spacing w:after="240"/>
        <w:ind w:hanging="1"/>
      </w:pPr>
      <w:r>
        <w:t>CLÔTURE DE LA SESSION</w:t>
      </w:r>
    </w:p>
    <w:p w:rsidR="00EB4761" w:rsidRPr="00EB4761" w:rsidRDefault="00EB4761" w:rsidP="00EB4761">
      <w:pPr>
        <w:tabs>
          <w:tab w:val="left" w:pos="0"/>
        </w:tabs>
        <w:spacing w:after="240"/>
        <w:jc w:val="center"/>
        <w:rPr>
          <w:i/>
        </w:rPr>
      </w:pPr>
      <w:r>
        <w:br w:type="page"/>
      </w:r>
      <w:r w:rsidRPr="00EB4761">
        <w:rPr>
          <w:i/>
        </w:rPr>
        <w:t>La séance est ouverte à 10 h 5.</w:t>
      </w:r>
    </w:p>
    <w:p w:rsidR="00EB4761" w:rsidRDefault="00EB4761" w:rsidP="00EB4761">
      <w:pPr>
        <w:tabs>
          <w:tab w:val="left" w:pos="0"/>
        </w:tabs>
        <w:spacing w:after="240"/>
        <w:rPr>
          <w:bCs/>
        </w:rPr>
      </w:pPr>
      <w:r w:rsidRPr="00EB4761">
        <w:rPr>
          <w:bCs/>
        </w:rPr>
        <w:t>ORGANISATION DES TRAVAUX ET QUESTIONS DIVERSES (point 4 de l</w:t>
      </w:r>
      <w:r w:rsidR="00EA2535">
        <w:rPr>
          <w:bCs/>
        </w:rPr>
        <w:t>’</w:t>
      </w:r>
      <w:r w:rsidRPr="00EB4761">
        <w:rPr>
          <w:bCs/>
        </w:rPr>
        <w:t xml:space="preserve">ordre du jour) </w:t>
      </w:r>
    </w:p>
    <w:p w:rsidR="00EB4761" w:rsidRDefault="00EB4761" w:rsidP="00EB4761">
      <w:pPr>
        <w:tabs>
          <w:tab w:val="left" w:pos="0"/>
        </w:tabs>
        <w:spacing w:after="240"/>
      </w:pPr>
      <w:r>
        <w:rPr>
          <w:bCs/>
        </w:rPr>
        <w:t>1.</w:t>
      </w:r>
      <w:r>
        <w:rPr>
          <w:bCs/>
        </w:rPr>
        <w:tab/>
      </w:r>
      <w:r w:rsidRPr="00EB4761">
        <w:rPr>
          <w:bCs/>
          <w:u w:val="single"/>
        </w:rPr>
        <w:t>M</w:t>
      </w:r>
      <w:r w:rsidRPr="00EB4761">
        <w:rPr>
          <w:bCs/>
          <w:u w:val="single"/>
          <w:vertAlign w:val="superscript"/>
        </w:rPr>
        <w:t>me</w:t>
      </w:r>
      <w:r w:rsidRPr="00EB4761">
        <w:rPr>
          <w:bCs/>
          <w:u w:val="single"/>
        </w:rPr>
        <w:t> </w:t>
      </w:r>
      <w:r w:rsidRPr="00EB4761">
        <w:rPr>
          <w:u w:val="single"/>
        </w:rPr>
        <w:t>PROUVEZ</w:t>
      </w:r>
      <w:r w:rsidRPr="00EB4761">
        <w:t xml:space="preserve"> (Secrétaire du Comité) dit que le Comité doit constituer pour sa prochaine session cinq équipes spéciales pour les pays suivants: Fédération de Russie, Tanzanie, Croatie, Suisse et République de Moldova. Plusieurs membres se sont déjà proposés pour être rapporteur ou membre des équipes spéciales, mais celles-ci sont encore incomplètes. Les volontaires pourront se manifester par courriel.</w:t>
      </w:r>
    </w:p>
    <w:p w:rsidR="00EB4761" w:rsidRPr="00EB4761" w:rsidRDefault="00EB4761" w:rsidP="00EB4761">
      <w:pPr>
        <w:tabs>
          <w:tab w:val="left" w:pos="0"/>
        </w:tabs>
        <w:spacing w:after="240"/>
        <w:rPr>
          <w:u w:val="single"/>
        </w:rPr>
      </w:pPr>
      <w:r w:rsidRPr="00EB4761">
        <w:rPr>
          <w:u w:val="single"/>
        </w:rPr>
        <w:t>Examen des communications</w:t>
      </w:r>
    </w:p>
    <w:p w:rsidR="00EB4761" w:rsidRPr="00EB4761" w:rsidRDefault="00EB4761" w:rsidP="00EB4761">
      <w:pPr>
        <w:tabs>
          <w:tab w:val="left" w:pos="0"/>
        </w:tabs>
        <w:spacing w:after="240"/>
      </w:pPr>
      <w:r>
        <w:t>2.</w:t>
      </w:r>
      <w:r>
        <w:tab/>
      </w:r>
      <w:r w:rsidRPr="00EB4761">
        <w:rPr>
          <w:u w:val="single"/>
        </w:rPr>
        <w:t>M. SCHMIDT</w:t>
      </w:r>
      <w:r w:rsidRPr="00EB4761">
        <w:t xml:space="preserve"> (</w:t>
      </w:r>
      <w:r>
        <w:t>Haut-Commissariat</w:t>
      </w:r>
      <w:r w:rsidRPr="00EB4761">
        <w:t>) dit qu</w:t>
      </w:r>
      <w:r w:rsidR="00EA2535">
        <w:t>’</w:t>
      </w:r>
      <w:r w:rsidRPr="00EB4761">
        <w:t>à la présente session le Comité a rendu 31</w:t>
      </w:r>
      <w:r w:rsidR="000965DC">
        <w:t> </w:t>
      </w:r>
      <w:r w:rsidRPr="00EB4761">
        <w:t>décisions concernant des communications. Quatre communications ont été déclarées recevables et 14</w:t>
      </w:r>
      <w:r>
        <w:t xml:space="preserve"> </w:t>
      </w:r>
      <w:r w:rsidRPr="00EB4761">
        <w:t xml:space="preserve">irrecevables. </w:t>
      </w:r>
      <w:r>
        <w:t>I</w:t>
      </w:r>
      <w:r w:rsidRPr="00EB4761">
        <w:t>l a adopté des constatations au titre du paragraphe 4 de l</w:t>
      </w:r>
      <w:r w:rsidR="00EA2535">
        <w:t>’</w:t>
      </w:r>
      <w:r w:rsidRPr="00EB4761">
        <w:t>article 5 du Protocole facultatif</w:t>
      </w:r>
      <w:r w:rsidR="000965DC">
        <w:t xml:space="preserve"> dans 9 affaires</w:t>
      </w:r>
      <w:r w:rsidRPr="00EB4761">
        <w:t>, et a décidé de mettre fin à l</w:t>
      </w:r>
      <w:r w:rsidR="00EA2535">
        <w:t>’</w:t>
      </w:r>
      <w:r w:rsidRPr="00EB4761">
        <w:t xml:space="preserve">examen de </w:t>
      </w:r>
      <w:r>
        <w:t>4</w:t>
      </w:r>
      <w:r w:rsidRPr="00EB4761">
        <w:t xml:space="preserve"> communication</w:t>
      </w:r>
      <w:r>
        <w:t>s</w:t>
      </w:r>
      <w:r w:rsidRPr="00EB4761">
        <w:t>.</w:t>
      </w:r>
    </w:p>
    <w:p w:rsidR="00EB4761" w:rsidRPr="00EB4761" w:rsidRDefault="000965DC" w:rsidP="00EB4761">
      <w:pPr>
        <w:tabs>
          <w:tab w:val="left" w:pos="0"/>
        </w:tabs>
        <w:spacing w:after="240"/>
      </w:pPr>
      <w:r>
        <w:t>3.</w:t>
      </w:r>
      <w:r>
        <w:tab/>
      </w:r>
      <w:r w:rsidR="00EB4761" w:rsidRPr="00EB4761">
        <w:rPr>
          <w:u w:val="single"/>
        </w:rPr>
        <w:t>M</w:t>
      </w:r>
      <w:r w:rsidR="00EB4761" w:rsidRPr="00EB4761">
        <w:rPr>
          <w:u w:val="single"/>
          <w:vertAlign w:val="superscript"/>
        </w:rPr>
        <w:t>me</w:t>
      </w:r>
      <w:r w:rsidR="00EB4761" w:rsidRPr="00EB4761">
        <w:rPr>
          <w:u w:val="single"/>
        </w:rPr>
        <w:t xml:space="preserve"> CHANET</w:t>
      </w:r>
      <w:r w:rsidR="00EB4761" w:rsidRPr="00EB4761">
        <w:t xml:space="preserve"> dit que les États parties sont de plus en plus nombreux à demander que la recevabilité et le fond d</w:t>
      </w:r>
      <w:r w:rsidR="00EA2535">
        <w:t>’</w:t>
      </w:r>
      <w:r w:rsidR="00EB4761" w:rsidRPr="00EB4761">
        <w:t>une communication soient examinés séparément, souvent sans même donner de motifs. Dans bien des cas, c</w:t>
      </w:r>
      <w:r w:rsidR="00EA2535">
        <w:t>’</w:t>
      </w:r>
      <w:r w:rsidR="00EB4761" w:rsidRPr="00EB4761">
        <w:t>est un</w:t>
      </w:r>
      <w:r>
        <w:t>e</w:t>
      </w:r>
      <w:r w:rsidR="00EB4761" w:rsidRPr="00EB4761">
        <w:t xml:space="preserve"> </w:t>
      </w:r>
      <w:r>
        <w:t xml:space="preserve">manœuvre </w:t>
      </w:r>
      <w:r w:rsidR="00EB4761" w:rsidRPr="00EB4761">
        <w:t>pour retarder l</w:t>
      </w:r>
      <w:r w:rsidR="00EA2535">
        <w:t>’</w:t>
      </w:r>
      <w:r w:rsidR="00EB4761" w:rsidRPr="00EB4761">
        <w:t>examen de la communication, alors qu</w:t>
      </w:r>
      <w:r w:rsidR="00EA2535">
        <w:t>’</w:t>
      </w:r>
      <w:r w:rsidR="00EB4761" w:rsidRPr="00EB4761">
        <w:t>il leur suffirait de demander un prolongement de délai s</w:t>
      </w:r>
      <w:r w:rsidR="00EA2535">
        <w:t>’</w:t>
      </w:r>
      <w:r w:rsidR="00EB4761" w:rsidRPr="00EB4761">
        <w:t>ils ont besoin de temps pour répondre. C</w:t>
      </w:r>
      <w:r w:rsidR="00EA2535">
        <w:t>’</w:t>
      </w:r>
      <w:r w:rsidR="00EB4761" w:rsidRPr="00EB4761">
        <w:t xml:space="preserve">est pourquoi, en sa qualité de Rapporteuse spéciale chargée des nouvelles communications et des mesures provisoires, elle a élaboré avec M. Schmidt un projet de note verbale pour rappeler aux États parties que les demandes dans ce sens doivent </w:t>
      </w:r>
      <w:r>
        <w:t>être</w:t>
      </w:r>
      <w:r w:rsidR="00EB4761" w:rsidRPr="00EB4761">
        <w:t xml:space="preserve"> exceptionnelles et </w:t>
      </w:r>
      <w:r>
        <w:t>motivées</w:t>
      </w:r>
      <w:r w:rsidR="00EB4761" w:rsidRPr="00EB4761">
        <w:t>. Par exemple, un État partie qui estime qu</w:t>
      </w:r>
      <w:r w:rsidR="00EA2535">
        <w:t>’</w:t>
      </w:r>
      <w:r w:rsidR="00EB4761" w:rsidRPr="00EB4761">
        <w:t xml:space="preserve">une communication est irrecevable pour non-épuisement des recours internes devra indiquer clairement quels recours restent à exercer. </w:t>
      </w:r>
    </w:p>
    <w:p w:rsidR="00EB4761" w:rsidRPr="00EB4761" w:rsidRDefault="000965DC" w:rsidP="00EB4761">
      <w:pPr>
        <w:tabs>
          <w:tab w:val="left" w:pos="0"/>
        </w:tabs>
        <w:spacing w:after="240"/>
        <w:rPr>
          <w:u w:val="single"/>
        </w:rPr>
      </w:pPr>
      <w:r>
        <w:rPr>
          <w:u w:val="single"/>
        </w:rPr>
        <w:t>Décisions du b</w:t>
      </w:r>
      <w:r w:rsidR="00EB4761" w:rsidRPr="00EB4761">
        <w:rPr>
          <w:u w:val="single"/>
        </w:rPr>
        <w:t>ureau</w:t>
      </w:r>
    </w:p>
    <w:p w:rsidR="00EB4761" w:rsidRPr="00EB4761" w:rsidRDefault="000965DC" w:rsidP="00EB4761">
      <w:pPr>
        <w:tabs>
          <w:tab w:val="left" w:pos="0"/>
        </w:tabs>
        <w:spacing w:after="240"/>
      </w:pPr>
      <w:r>
        <w:t>4.</w:t>
      </w:r>
      <w:r>
        <w:tab/>
      </w:r>
      <w:r w:rsidR="00EB4761" w:rsidRPr="000965DC">
        <w:t xml:space="preserve">Le </w:t>
      </w:r>
      <w:r w:rsidR="00EB4761" w:rsidRPr="00EB4761">
        <w:rPr>
          <w:u w:val="single"/>
        </w:rPr>
        <w:t>PRÉSIDENT</w:t>
      </w:r>
      <w:r>
        <w:t xml:space="preserve"> dit que le b</w:t>
      </w:r>
      <w:r w:rsidR="00EB4761" w:rsidRPr="00EB4761">
        <w:t>ureau considère comme achevé l</w:t>
      </w:r>
      <w:r w:rsidR="00EA2535">
        <w:t>’</w:t>
      </w:r>
      <w:r w:rsidR="00EB4761" w:rsidRPr="00EB4761">
        <w:t>examen du</w:t>
      </w:r>
      <w:r>
        <w:t xml:space="preserve"> projet d</w:t>
      </w:r>
      <w:r w:rsidR="00EA2535">
        <w:t>’</w:t>
      </w:r>
      <w:r>
        <w:t>observation générale n</w:t>
      </w:r>
      <w:r>
        <w:rPr>
          <w:vertAlign w:val="superscript"/>
        </w:rPr>
        <w:t>o</w:t>
      </w:r>
      <w:r>
        <w:t xml:space="preserve"> </w:t>
      </w:r>
      <w:r w:rsidR="00EB4761" w:rsidRPr="00EB4761">
        <w:t>33, qui sera a</w:t>
      </w:r>
      <w:r>
        <w:t>dopté</w:t>
      </w:r>
      <w:r w:rsidR="00EB4761" w:rsidRPr="00EB4761">
        <w:t xml:space="preserve"> à la session de mars 2009 lorsque les versions française et espagnole seront disponibles. De même, il considère comme achevé l</w:t>
      </w:r>
      <w:r w:rsidR="00EA2535">
        <w:t>’</w:t>
      </w:r>
      <w:r w:rsidR="00EB4761" w:rsidRPr="00EB4761">
        <w:t>examen du projet d</w:t>
      </w:r>
      <w:r w:rsidR="00EA2535">
        <w:t>’</w:t>
      </w:r>
      <w:r w:rsidR="00EB4761" w:rsidRPr="00EB4761">
        <w:t>approche stratégique des relations publiques, notamment des relations avec les médias</w:t>
      </w:r>
      <w:r>
        <w:t xml:space="preserve"> (CCPR/C/94/CRP.2), </w:t>
      </w:r>
      <w:r w:rsidR="00EB4761" w:rsidRPr="00EB4761">
        <w:t xml:space="preserve">document </w:t>
      </w:r>
      <w:r>
        <w:t>qui sera publié sur le site Web. Le bureau propose de commencer l</w:t>
      </w:r>
      <w:r w:rsidR="00EA2535">
        <w:t>’</w:t>
      </w:r>
      <w:r>
        <w:t>élaboration d</w:t>
      </w:r>
      <w:r w:rsidR="00EA2535">
        <w:t>’</w:t>
      </w:r>
      <w:r>
        <w:t xml:space="preserve">une </w:t>
      </w:r>
      <w:r w:rsidR="00EB4761" w:rsidRPr="00EB4761">
        <w:t>ob</w:t>
      </w:r>
      <w:r>
        <w:t>servation générale sur l</w:t>
      </w:r>
      <w:r w:rsidR="00EA2535">
        <w:t>’</w:t>
      </w:r>
      <w:r>
        <w:t xml:space="preserve">article 19; il faudra donc désigner </w:t>
      </w:r>
      <w:r w:rsidR="00EB4761" w:rsidRPr="00EB4761">
        <w:t xml:space="preserve">un rapporteur à la session suivante. Il faudra également désigner un rapporteur </w:t>
      </w:r>
      <w:r>
        <w:t>qui sera chargé de la révision d</w:t>
      </w:r>
      <w:r w:rsidR="00EB4761" w:rsidRPr="00EB4761">
        <w:t xml:space="preserve">es directives générales concernant la </w:t>
      </w:r>
      <w:r>
        <w:t xml:space="preserve">forme et le contenu </w:t>
      </w:r>
      <w:r w:rsidR="00EB4761" w:rsidRPr="00EB4761">
        <w:t>des rapports.</w:t>
      </w:r>
      <w:r>
        <w:t xml:space="preserve"> Les décisions du b</w:t>
      </w:r>
      <w:r w:rsidR="00EB4761" w:rsidRPr="00EB4761">
        <w:t>ureau sont de simples recommandations qui doivent être confirmées par le Comité en séance plénière. Cependant, en ce qui concerne le sujet de la proc</w:t>
      </w:r>
      <w:r>
        <w:t>haine observation générale, le b</w:t>
      </w:r>
      <w:r w:rsidR="00EB4761" w:rsidRPr="00EB4761">
        <w:t>ureau pense qu</w:t>
      </w:r>
      <w:r w:rsidR="00EA2535">
        <w:t>’</w:t>
      </w:r>
      <w:r w:rsidR="00EB4761" w:rsidRPr="00EB4761">
        <w:t>il peut d</w:t>
      </w:r>
      <w:r w:rsidR="00EA2535">
        <w:t>’</w:t>
      </w:r>
      <w:r w:rsidR="00EB4761" w:rsidRPr="00EB4761">
        <w:t>ores et déjà être</w:t>
      </w:r>
      <w:r w:rsidR="0063010F">
        <w:t xml:space="preserve"> approuvé et annoncé, car sa </w:t>
      </w:r>
      <w:r w:rsidR="00EB4761" w:rsidRPr="00EB4761">
        <w:t>décision est le fruit de consultations approfondies avec les membres.</w:t>
      </w:r>
    </w:p>
    <w:p w:rsidR="00EB4761" w:rsidRDefault="000965DC" w:rsidP="00EB4761">
      <w:pPr>
        <w:tabs>
          <w:tab w:val="left" w:pos="0"/>
        </w:tabs>
        <w:spacing w:after="240"/>
      </w:pPr>
      <w:r>
        <w:t>5.</w:t>
      </w:r>
      <w:r>
        <w:tab/>
      </w:r>
      <w:r w:rsidR="00EB4761" w:rsidRPr="00EB4761">
        <w:rPr>
          <w:u w:val="single"/>
        </w:rPr>
        <w:t>Sir Nigel RODLEY</w:t>
      </w:r>
      <w:r>
        <w:t xml:space="preserve">, </w:t>
      </w:r>
      <w:r w:rsidRPr="000965DC">
        <w:rPr>
          <w:u w:val="single"/>
        </w:rPr>
        <w:t>M</w:t>
      </w:r>
      <w:r w:rsidRPr="000965DC">
        <w:rPr>
          <w:u w:val="single"/>
          <w:vertAlign w:val="superscript"/>
        </w:rPr>
        <w:t>me</w:t>
      </w:r>
      <w:r w:rsidRPr="000965DC">
        <w:rPr>
          <w:u w:val="single"/>
        </w:rPr>
        <w:t> CHANET</w:t>
      </w:r>
      <w:r>
        <w:t xml:space="preserve"> et </w:t>
      </w:r>
      <w:r w:rsidRPr="000965DC">
        <w:rPr>
          <w:u w:val="single"/>
        </w:rPr>
        <w:t>M. SHEARER</w:t>
      </w:r>
      <w:r>
        <w:t xml:space="preserve"> objectent </w:t>
      </w:r>
      <w:r w:rsidR="0063010F">
        <w:t xml:space="preserve">parce </w:t>
      </w:r>
      <w:r>
        <w:t>que le quorum n</w:t>
      </w:r>
      <w:r w:rsidR="00EA2535">
        <w:t>’</w:t>
      </w:r>
      <w:r>
        <w:t>est pas atteint.</w:t>
      </w:r>
    </w:p>
    <w:p w:rsidR="009C2309" w:rsidRPr="009C2309" w:rsidRDefault="009C2309" w:rsidP="009C2309">
      <w:pPr>
        <w:tabs>
          <w:tab w:val="left" w:pos="0"/>
        </w:tabs>
        <w:spacing w:after="240"/>
      </w:pPr>
      <w:r>
        <w:t>6.</w:t>
      </w:r>
      <w:r>
        <w:tab/>
      </w:r>
      <w:r w:rsidRPr="009C2309">
        <w:t xml:space="preserve">Après un échange de vues auquel prennent part </w:t>
      </w:r>
      <w:r w:rsidRPr="009C2309">
        <w:rPr>
          <w:u w:val="single"/>
        </w:rPr>
        <w:t>M. O</w:t>
      </w:r>
      <w:r w:rsidR="00EA2535">
        <w:rPr>
          <w:u w:val="single"/>
        </w:rPr>
        <w:t>’</w:t>
      </w:r>
      <w:r w:rsidRPr="009C2309">
        <w:rPr>
          <w:u w:val="single"/>
        </w:rPr>
        <w:t>FLAHERTY</w:t>
      </w:r>
      <w:r>
        <w:t xml:space="preserve">, </w:t>
      </w:r>
      <w:r w:rsidRPr="009C2309">
        <w:rPr>
          <w:u w:val="single"/>
        </w:rPr>
        <w:t>M</w:t>
      </w:r>
      <w:r w:rsidRPr="009C2309">
        <w:rPr>
          <w:u w:val="single"/>
          <w:vertAlign w:val="superscript"/>
        </w:rPr>
        <w:t>me</w:t>
      </w:r>
      <w:r w:rsidRPr="009C2309">
        <w:rPr>
          <w:u w:val="single"/>
        </w:rPr>
        <w:t> PALM</w:t>
      </w:r>
      <w:r>
        <w:t xml:space="preserve">, </w:t>
      </w:r>
      <w:r w:rsidRPr="009C2309">
        <w:rPr>
          <w:u w:val="single"/>
        </w:rPr>
        <w:t>M. LALLAH</w:t>
      </w:r>
      <w:r>
        <w:t xml:space="preserve">, </w:t>
      </w:r>
      <w:r w:rsidRPr="009C2309">
        <w:rPr>
          <w:u w:val="single"/>
        </w:rPr>
        <w:t>Sir Nigel RODLEY</w:t>
      </w:r>
      <w:r>
        <w:t xml:space="preserve">, </w:t>
      </w:r>
      <w:r w:rsidRPr="009C2309">
        <w:rPr>
          <w:u w:val="single"/>
        </w:rPr>
        <w:t>M. KHALIL</w:t>
      </w:r>
      <w:r>
        <w:t xml:space="preserve">, </w:t>
      </w:r>
      <w:r w:rsidRPr="009C2309">
        <w:rPr>
          <w:u w:val="single"/>
        </w:rPr>
        <w:t>M. BHAGWATI</w:t>
      </w:r>
      <w:r>
        <w:t xml:space="preserve"> et lui-même, le </w:t>
      </w:r>
      <w:r w:rsidRPr="009C2309">
        <w:rPr>
          <w:u w:val="single"/>
        </w:rPr>
        <w:t>PRÉSIDENT</w:t>
      </w:r>
      <w:r>
        <w:t xml:space="preserve"> annonce </w:t>
      </w:r>
      <w:r w:rsidRPr="009C2309">
        <w:t>que la prochaine observation générale portera sur l</w:t>
      </w:r>
      <w:r w:rsidR="00EA2535">
        <w:t>’</w:t>
      </w:r>
      <w:r w:rsidRPr="009C2309">
        <w:t xml:space="preserve">article 19 </w:t>
      </w:r>
      <w:r>
        <w:t xml:space="preserve">du Pacte </w:t>
      </w:r>
      <w:r w:rsidRPr="009C2309">
        <w:t xml:space="preserve">et que </w:t>
      </w:r>
      <w:r>
        <w:t>le</w:t>
      </w:r>
      <w:r w:rsidRPr="009C2309">
        <w:t xml:space="preserve"> rapporteur sera </w:t>
      </w:r>
      <w:r>
        <w:t>désigné</w:t>
      </w:r>
      <w:r w:rsidRPr="009C2309">
        <w:t xml:space="preserve"> à la quatre-vingt-quinzième session,</w:t>
      </w:r>
      <w:r>
        <w:t xml:space="preserve"> </w:t>
      </w:r>
      <w:r w:rsidRPr="009C2309">
        <w:t>à New York.</w:t>
      </w:r>
    </w:p>
    <w:p w:rsidR="009C2309" w:rsidRPr="009C2309" w:rsidRDefault="009C2309" w:rsidP="009C2309">
      <w:pPr>
        <w:tabs>
          <w:tab w:val="left" w:pos="0"/>
        </w:tabs>
        <w:spacing w:after="240"/>
        <w:rPr>
          <w:u w:val="single"/>
        </w:rPr>
      </w:pPr>
      <w:r>
        <w:t>7.</w:t>
      </w:r>
      <w:r>
        <w:tab/>
      </w:r>
      <w:r w:rsidRPr="009C2309">
        <w:rPr>
          <w:u w:val="single"/>
        </w:rPr>
        <w:t>M. SHEARER</w:t>
      </w:r>
      <w:r w:rsidRPr="009C2309">
        <w:t xml:space="preserve"> </w:t>
      </w:r>
      <w:r>
        <w:t>dit qu</w:t>
      </w:r>
      <w:r w:rsidR="00EA2535">
        <w:t>’</w:t>
      </w:r>
      <w:r>
        <w:t>il serait bon de rappeler aux membres du Comité qu</w:t>
      </w:r>
      <w:r w:rsidR="00EA2535">
        <w:t>’</w:t>
      </w:r>
      <w:r>
        <w:t>il est nécessaire d</w:t>
      </w:r>
      <w:r w:rsidR="00EA2535">
        <w:t>’</w:t>
      </w:r>
      <w:r>
        <w:t>être présent</w:t>
      </w:r>
      <w:r w:rsidR="0063010F">
        <w:t>s</w:t>
      </w:r>
      <w:r>
        <w:t xml:space="preserve"> </w:t>
      </w:r>
      <w:r w:rsidRPr="009C2309">
        <w:t>jusqu</w:t>
      </w:r>
      <w:r w:rsidR="00EA2535">
        <w:t>’</w:t>
      </w:r>
      <w:r w:rsidRPr="009C2309">
        <w:t>à la fin de la session</w:t>
      </w:r>
      <w:r>
        <w:t xml:space="preserve"> afin que le quorum puisse être atteint.</w:t>
      </w:r>
    </w:p>
    <w:p w:rsidR="00EA2535" w:rsidRDefault="009C2309" w:rsidP="00EA2535">
      <w:pPr>
        <w:spacing w:after="240"/>
      </w:pPr>
      <w:r>
        <w:t>8.</w:t>
      </w:r>
      <w:r>
        <w:tab/>
      </w:r>
      <w:r w:rsidRPr="009C2309">
        <w:rPr>
          <w:u w:val="single"/>
        </w:rPr>
        <w:t>M. O</w:t>
      </w:r>
      <w:r w:rsidR="00EA2535">
        <w:rPr>
          <w:u w:val="single"/>
        </w:rPr>
        <w:t>’</w:t>
      </w:r>
      <w:r w:rsidRPr="009C2309">
        <w:rPr>
          <w:u w:val="single"/>
        </w:rPr>
        <w:t>FLAHERTY</w:t>
      </w:r>
      <w:r w:rsidRPr="009C2309">
        <w:t xml:space="preserve">, </w:t>
      </w:r>
      <w:r w:rsidRPr="009C2309">
        <w:rPr>
          <w:u w:val="single"/>
        </w:rPr>
        <w:t>M. GLÈLÈ</w:t>
      </w:r>
      <w:r>
        <w:rPr>
          <w:u w:val="single"/>
        </w:rPr>
        <w:t xml:space="preserve"> AHANHANZO</w:t>
      </w:r>
      <w:r w:rsidR="00EA2535">
        <w:t xml:space="preserve">, </w:t>
      </w:r>
      <w:r w:rsidRPr="009C2309">
        <w:rPr>
          <w:u w:val="single"/>
        </w:rPr>
        <w:t>M. KHALIL</w:t>
      </w:r>
      <w:r w:rsidRPr="009C2309">
        <w:t xml:space="preserve">, </w:t>
      </w:r>
      <w:r w:rsidRPr="009C2309">
        <w:rPr>
          <w:u w:val="single"/>
        </w:rPr>
        <w:t>M. BHAGWATI</w:t>
      </w:r>
      <w:r w:rsidRPr="009C2309">
        <w:t xml:space="preserve"> </w:t>
      </w:r>
      <w:r w:rsidR="00EA2535">
        <w:t xml:space="preserve">et </w:t>
      </w:r>
      <w:r w:rsidR="00EA2535">
        <w:rPr>
          <w:u w:val="single"/>
        </w:rPr>
        <w:t>M. </w:t>
      </w:r>
      <w:r w:rsidRPr="009C2309">
        <w:rPr>
          <w:u w:val="single"/>
        </w:rPr>
        <w:t>O</w:t>
      </w:r>
      <w:r w:rsidR="00EA2535">
        <w:rPr>
          <w:u w:val="single"/>
        </w:rPr>
        <w:t>’</w:t>
      </w:r>
      <w:r w:rsidRPr="009C2309">
        <w:rPr>
          <w:u w:val="single"/>
        </w:rPr>
        <w:t>FLAHERTY</w:t>
      </w:r>
      <w:r w:rsidRPr="009C2309">
        <w:t xml:space="preserve"> </w:t>
      </w:r>
      <w:r w:rsidR="00EA2535">
        <w:t>insistent eux aussi sur la nécessité pour les membres du Comité et pour les membres du Groupe de travail des communications d’assister à toutes les séances.</w:t>
      </w:r>
    </w:p>
    <w:p w:rsidR="009C2309" w:rsidRPr="009C2309" w:rsidRDefault="00EA2535" w:rsidP="009C2309">
      <w:pPr>
        <w:tabs>
          <w:tab w:val="left" w:pos="0"/>
        </w:tabs>
        <w:spacing w:after="240"/>
      </w:pPr>
      <w:r>
        <w:t>9.</w:t>
      </w:r>
      <w:r>
        <w:tab/>
      </w:r>
      <w:r w:rsidR="009C2309" w:rsidRPr="009C2309">
        <w:rPr>
          <w:u w:val="single"/>
        </w:rPr>
        <w:t>M. SCHMIDT</w:t>
      </w:r>
      <w:r w:rsidR="009C2309" w:rsidRPr="0063010F">
        <w:t xml:space="preserve"> </w:t>
      </w:r>
      <w:r w:rsidR="009C2309" w:rsidRPr="009C2309">
        <w:t>(</w:t>
      </w:r>
      <w:r>
        <w:t>Haut-Commissariat</w:t>
      </w:r>
      <w:r w:rsidR="009C2309" w:rsidRPr="009C2309">
        <w:t>) indique que dans le rapport présenté à la plénière par le Président du Groupe de travail</w:t>
      </w:r>
      <w:r>
        <w:t xml:space="preserve"> des communications</w:t>
      </w:r>
      <w:r w:rsidR="009C2309" w:rsidRPr="009C2309">
        <w:t>, il est précisé qu</w:t>
      </w:r>
      <w:r>
        <w:t>’</w:t>
      </w:r>
      <w:r w:rsidR="009C2309" w:rsidRPr="009C2309">
        <w:t>un certain nombre de membres n</w:t>
      </w:r>
      <w:r>
        <w:t>’</w:t>
      </w:r>
      <w:r w:rsidR="009C2309" w:rsidRPr="009C2309">
        <w:t>ont assisté qu</w:t>
      </w:r>
      <w:r>
        <w:t>’</w:t>
      </w:r>
      <w:r w:rsidR="009C2309" w:rsidRPr="009C2309">
        <w:t xml:space="preserve">à certaines des séances. Il serait possible, si les membres du Comité le jugent nécessaire, de noter </w:t>
      </w:r>
      <w:r>
        <w:t xml:space="preserve">exactement </w:t>
      </w:r>
      <w:r w:rsidR="009C2309" w:rsidRPr="009C2309">
        <w:t xml:space="preserve">le nombre de séances auxquelles a assisté chaque membre du Groupe de travail. </w:t>
      </w:r>
      <w:r>
        <w:t>Actuellement 425</w:t>
      </w:r>
      <w:r w:rsidR="009C2309" w:rsidRPr="009C2309">
        <w:t xml:space="preserve"> communications </w:t>
      </w:r>
      <w:r>
        <w:t xml:space="preserve">sont </w:t>
      </w:r>
      <w:r w:rsidR="009C2309" w:rsidRPr="009C2309">
        <w:t>en suspens, et l</w:t>
      </w:r>
      <w:r>
        <w:t>’</w:t>
      </w:r>
      <w:r w:rsidR="009C2309" w:rsidRPr="009C2309">
        <w:t>examen de 10</w:t>
      </w:r>
      <w:r>
        <w:t> </w:t>
      </w:r>
      <w:r w:rsidR="009C2309" w:rsidRPr="009C2309">
        <w:t xml:space="preserve">communications </w:t>
      </w:r>
      <w:r>
        <w:t xml:space="preserve">a dû être </w:t>
      </w:r>
      <w:r w:rsidR="009C2309" w:rsidRPr="009C2309">
        <w:t>reporté à la quatre-vingt-quinzième session</w:t>
      </w:r>
      <w:r>
        <w:t xml:space="preserve"> faute de quorum</w:t>
      </w:r>
      <w:r w:rsidR="009C2309" w:rsidRPr="009C2309">
        <w:t>. M.</w:t>
      </w:r>
      <w:r>
        <w:t> </w:t>
      </w:r>
      <w:r w:rsidR="009C2309" w:rsidRPr="009C2309">
        <w:t>Schmidt forme le vœu que les membres du Comité seront en mesure de se réunir jusqu</w:t>
      </w:r>
      <w:r>
        <w:t>’</w:t>
      </w:r>
      <w:r w:rsidR="009C2309" w:rsidRPr="009C2309">
        <w:t>à 13</w:t>
      </w:r>
      <w:r>
        <w:t> </w:t>
      </w:r>
      <w:r w:rsidR="009C2309" w:rsidRPr="009C2309">
        <w:t>heure</w:t>
      </w:r>
      <w:r>
        <w:t>s</w:t>
      </w:r>
      <w:r w:rsidR="009C2309" w:rsidRPr="009C2309">
        <w:t xml:space="preserve"> le dernier jour de la session suivante. En vue de la quatre-vingt-quinzième session, le secrétariat général indiquera clairement dans la lettre d</w:t>
      </w:r>
      <w:r>
        <w:t>’</w:t>
      </w:r>
      <w:r w:rsidR="009C2309" w:rsidRPr="009C2309">
        <w:t xml:space="preserve">invitation que les membres du Comité </w:t>
      </w:r>
      <w:r>
        <w:t xml:space="preserve">doivent </w:t>
      </w:r>
      <w:r w:rsidR="009C2309" w:rsidRPr="009C2309">
        <w:t xml:space="preserve">être présents </w:t>
      </w:r>
      <w:r>
        <w:t xml:space="preserve">à toutes les séances et au moins jusqu’à 13 </w:t>
      </w:r>
      <w:r w:rsidR="009C2309" w:rsidRPr="009C2309">
        <w:t xml:space="preserve">heures </w:t>
      </w:r>
      <w:r>
        <w:t xml:space="preserve">le dernier jour de la session. Cette </w:t>
      </w:r>
      <w:r w:rsidR="009C2309" w:rsidRPr="009C2309">
        <w:t>précision figurera également dans l</w:t>
      </w:r>
      <w:r>
        <w:t>’</w:t>
      </w:r>
      <w:r w:rsidR="009C2309" w:rsidRPr="009C2309">
        <w:t>ordre du jour.</w:t>
      </w:r>
      <w:r>
        <w:t xml:space="preserve"> Enfin, le Comité pourrait envisager de se réunir aussi l’après-midi du dernier jour de la session, comme le font d’autres organes conventionnels.</w:t>
      </w:r>
    </w:p>
    <w:p w:rsidR="009C2309" w:rsidRPr="009C2309" w:rsidRDefault="009C2309" w:rsidP="009C2309">
      <w:pPr>
        <w:tabs>
          <w:tab w:val="left" w:pos="0"/>
        </w:tabs>
        <w:spacing w:after="240"/>
      </w:pPr>
      <w:r w:rsidRPr="009C2309">
        <w:t>CLÔTURE DE LA SESSION</w:t>
      </w:r>
    </w:p>
    <w:p w:rsidR="009C2309" w:rsidRPr="009C2309" w:rsidRDefault="00EA2535" w:rsidP="009C2309">
      <w:pPr>
        <w:tabs>
          <w:tab w:val="left" w:pos="0"/>
        </w:tabs>
        <w:spacing w:after="240"/>
      </w:pPr>
      <w:r>
        <w:t>10.</w:t>
      </w:r>
      <w:r>
        <w:tab/>
      </w:r>
      <w:r w:rsidR="009C2309" w:rsidRPr="009C2309">
        <w:t xml:space="preserve">Après un échange de félicitations et de remerciements, le </w:t>
      </w:r>
      <w:r w:rsidR="009C2309" w:rsidRPr="00EA2535">
        <w:rPr>
          <w:u w:val="single"/>
        </w:rPr>
        <w:t>P</w:t>
      </w:r>
      <w:r w:rsidRPr="00EA2535">
        <w:rPr>
          <w:u w:val="single"/>
        </w:rPr>
        <w:t>RÉSIDENT</w:t>
      </w:r>
      <w:r w:rsidR="009C2309" w:rsidRPr="009C2309">
        <w:t xml:space="preserve"> </w:t>
      </w:r>
      <w:r w:rsidR="0063010F">
        <w:t>prononce</w:t>
      </w:r>
      <w:r w:rsidR="009C2309" w:rsidRPr="009C2309">
        <w:t xml:space="preserve"> </w:t>
      </w:r>
      <w:r>
        <w:t>la clôture de la session.</w:t>
      </w:r>
    </w:p>
    <w:p w:rsidR="00EB4761" w:rsidRDefault="009C2309" w:rsidP="00EA2535">
      <w:pPr>
        <w:tabs>
          <w:tab w:val="left" w:pos="0"/>
        </w:tabs>
        <w:spacing w:after="240"/>
        <w:jc w:val="center"/>
        <w:rPr>
          <w:i/>
        </w:rPr>
      </w:pPr>
      <w:r w:rsidRPr="009C2309">
        <w:rPr>
          <w:i/>
        </w:rPr>
        <w:t>La séance est levée à 11 heures.</w:t>
      </w:r>
    </w:p>
    <w:p w:rsidR="00EA2535" w:rsidRPr="00EA2535" w:rsidRDefault="00EA2535" w:rsidP="00EA2535">
      <w:pPr>
        <w:tabs>
          <w:tab w:val="left" w:pos="0"/>
        </w:tabs>
        <w:spacing w:after="240"/>
        <w:jc w:val="center"/>
      </w:pPr>
      <w:r>
        <w:t>-----</w:t>
      </w:r>
    </w:p>
    <w:sectPr w:rsidR="00EA2535" w:rsidRPr="00EA2535" w:rsidSect="00EB4761">
      <w:headerReference w:type="even" r:id="rId9"/>
      <w:headerReference w:type="default" r:id="rId10"/>
      <w:footerReference w:type="first" r:id="rId11"/>
      <w:footnotePr>
        <w:numFmt w:val="chicago"/>
      </w:footnotePr>
      <w:pgSz w:w="11906" w:h="16838"/>
      <w:pgMar w:top="1134" w:right="850" w:bottom="1984" w:left="1701" w:header="850" w:footer="170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C00" w:rsidRDefault="002C3C00">
      <w:r>
        <w:separator/>
      </w:r>
    </w:p>
  </w:endnote>
  <w:endnote w:type="continuationSeparator" w:id="0">
    <w:p w:rsidR="002C3C00" w:rsidRDefault="002C3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B8F" w:rsidRDefault="00876B8F">
    <w:pPr>
      <w:spacing w:after="120"/>
    </w:pPr>
    <w:r>
      <w:t>________________________</w:t>
    </w:r>
  </w:p>
  <w:p w:rsidR="00876B8F" w:rsidRDefault="00876B8F">
    <w:pPr>
      <w:spacing w:after="120"/>
      <w:ind w:firstLine="567"/>
    </w:pPr>
    <w:r>
      <w:t>Le présent compte rendu est sujet à rectifications.</w:t>
    </w:r>
  </w:p>
  <w:p w:rsidR="00876B8F" w:rsidRDefault="00876B8F">
    <w:pPr>
      <w:spacing w:after="120"/>
      <w:ind w:firstLine="567"/>
    </w:pPr>
    <w:r>
      <w:t xml:space="preserve">Les rectifications doivent être rédigées dans l’une des langues de travail. Elles doivent être présentées dans un mémorandum et être également incorporées à un exemplaire du compte rendu. Il convient de les adresser, </w:t>
    </w:r>
    <w:r>
      <w:rPr>
        <w:u w:val="single"/>
      </w:rPr>
      <w:t>une semaine au plus tard à compter de la date du présent document</w:t>
    </w:r>
    <w:r>
      <w:t>, au Groupe d’édition, bureau E.4108, Palais des Nations, Genève.</w:t>
    </w:r>
  </w:p>
  <w:p w:rsidR="00876B8F" w:rsidRDefault="00876B8F">
    <w:pPr>
      <w:spacing w:after="240"/>
      <w:ind w:firstLine="567"/>
    </w:pPr>
    <w:r>
      <w:t>Les rectifications aux comptes rendus des séances publiques du Comité seront groupées dans un rectificatif unique qui sera publié peu après la session.</w:t>
    </w:r>
  </w:p>
  <w:p w:rsidR="00876B8F" w:rsidRDefault="00876B8F">
    <w:pPr>
      <w:pStyle w:val="Footer"/>
    </w:pPr>
    <w:r>
      <w:t>GE.0</w:t>
    </w:r>
    <w:r w:rsidR="00EB4761">
      <w:t>8</w:t>
    </w:r>
    <w:r>
      <w:noBreakHyphen/>
    </w:r>
    <w:r w:rsidR="00EB4761">
      <w:t>44887</w:t>
    </w:r>
    <w:r>
      <w:t xml:space="preserve"> (F)</w:t>
    </w:r>
    <w:r w:rsidR="00EB4761">
      <w:t xml:space="preserve">    </w:t>
    </w:r>
    <w:r w:rsidR="00632CA0">
      <w:t>051108    230309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C00" w:rsidRDefault="002C3C00">
      <w:r>
        <w:separator/>
      </w:r>
    </w:p>
  </w:footnote>
  <w:footnote w:type="continuationSeparator" w:id="0">
    <w:p w:rsidR="002C3C00" w:rsidRDefault="002C3C00">
      <w:r>
        <w:continuationSeparator/>
      </w:r>
    </w:p>
  </w:footnote>
  <w:footnote w:id="1">
    <w:p w:rsidR="00EB4761" w:rsidRDefault="00EB4761">
      <w:pPr>
        <w:pStyle w:val="FootnoteText"/>
      </w:pPr>
      <w:r>
        <w:rPr>
          <w:rStyle w:val="FootnoteReference"/>
        </w:rPr>
        <w:t>*</w:t>
      </w:r>
      <w:r>
        <w:t xml:space="preserve"> Il n’a pas été établi de compte rendu pour la 2596</w:t>
      </w:r>
      <w:r w:rsidRPr="00EB4761">
        <w:rPr>
          <w:vertAlign w:val="superscript"/>
        </w:rPr>
        <w:t>e</w:t>
      </w:r>
      <w:r>
        <w:t xml:space="preserve"> séance.</w:t>
      </w:r>
    </w:p>
    <w:p w:rsidR="00EB4761" w:rsidRDefault="00EB4761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761" w:rsidRDefault="00EB4761">
    <w:pPr>
      <w:pStyle w:val="Header"/>
    </w:pPr>
    <w:r>
      <w:t>CCPR/C/SR.2597</w:t>
    </w:r>
  </w:p>
  <w:p w:rsidR="00EB4761" w:rsidRDefault="00EB4761">
    <w:pPr>
      <w:pStyle w:val="Head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A01333">
      <w:rPr>
        <w:noProof/>
      </w:rPr>
      <w:t>2</w:t>
    </w:r>
    <w:r>
      <w:fldChar w:fldCharType="end"/>
    </w:r>
  </w:p>
  <w:p w:rsidR="00EB4761" w:rsidRDefault="00EB47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761" w:rsidRDefault="00EB4761" w:rsidP="00EB4761">
    <w:pPr>
      <w:pStyle w:val="Header"/>
      <w:tabs>
        <w:tab w:val="clear" w:pos="6804"/>
        <w:tab w:val="left" w:pos="6803"/>
      </w:tabs>
    </w:pPr>
    <w:r>
      <w:tab/>
      <w:t>CCPR/C/SR.2597</w:t>
    </w:r>
  </w:p>
  <w:p w:rsidR="00EB4761" w:rsidRDefault="00EB4761" w:rsidP="00EB4761">
    <w:pPr>
      <w:pStyle w:val="Header"/>
      <w:tabs>
        <w:tab w:val="clear" w:pos="6804"/>
        <w:tab w:val="left" w:pos="6803"/>
      </w:tabs>
    </w:pP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A01333">
      <w:rPr>
        <w:noProof/>
      </w:rPr>
      <w:t>3</w:t>
    </w:r>
    <w:r>
      <w:fldChar w:fldCharType="end"/>
    </w:r>
  </w:p>
  <w:p w:rsidR="00EB4761" w:rsidRDefault="00EB4761" w:rsidP="00EB4761">
    <w:pPr>
      <w:pStyle w:val="Header"/>
      <w:tabs>
        <w:tab w:val="clear" w:pos="6804"/>
        <w:tab w:val="left" w:pos="680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F49C6"/>
    <w:multiLevelType w:val="singleLevel"/>
    <w:tmpl w:val="2140F390"/>
    <w:lvl w:ilvl="0">
      <w:start w:val="1"/>
      <w:numFmt w:val="lowerRoman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1">
    <w:nsid w:val="3CB061AB"/>
    <w:multiLevelType w:val="singleLevel"/>
    <w:tmpl w:val="26EC9486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">
    <w:nsid w:val="7CF349BD"/>
    <w:multiLevelType w:val="singleLevel"/>
    <w:tmpl w:val="870C3F4E"/>
    <w:lvl w:ilvl="0">
      <w:start w:val="1"/>
      <w:numFmt w:val="lowerRoman"/>
      <w:lvlText w:val="%1)"/>
      <w:lvlJc w:val="right"/>
      <w:pPr>
        <w:tabs>
          <w:tab w:val="num" w:pos="504"/>
        </w:tabs>
        <w:ind w:left="504" w:hanging="216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6B8F"/>
    <w:rsid w:val="00071511"/>
    <w:rsid w:val="000965DC"/>
    <w:rsid w:val="0022782C"/>
    <w:rsid w:val="002C3C00"/>
    <w:rsid w:val="002C59D3"/>
    <w:rsid w:val="003A7EAE"/>
    <w:rsid w:val="004F5977"/>
    <w:rsid w:val="006042DF"/>
    <w:rsid w:val="0063010F"/>
    <w:rsid w:val="00632CA0"/>
    <w:rsid w:val="006514A1"/>
    <w:rsid w:val="006569FC"/>
    <w:rsid w:val="007F7073"/>
    <w:rsid w:val="00876B8F"/>
    <w:rsid w:val="009353B2"/>
    <w:rsid w:val="009C01DC"/>
    <w:rsid w:val="009C2309"/>
    <w:rsid w:val="00A01333"/>
    <w:rsid w:val="00A450CF"/>
    <w:rsid w:val="00AB4111"/>
    <w:rsid w:val="00C74701"/>
    <w:rsid w:val="00CC30F7"/>
    <w:rsid w:val="00CD27D4"/>
    <w:rsid w:val="00D569A9"/>
    <w:rsid w:val="00E50DC7"/>
    <w:rsid w:val="00E61D8E"/>
    <w:rsid w:val="00EA2535"/>
    <w:rsid w:val="00EB4761"/>
    <w:rsid w:val="00EC1561"/>
    <w:rsid w:val="00FF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1D8E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E61D8E"/>
    <w:pPr>
      <w:keepNext/>
      <w:spacing w:after="2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61D8E"/>
    <w:pPr>
      <w:keepNext/>
      <w:spacing w:after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61D8E"/>
    <w:pPr>
      <w:keepNext/>
      <w:spacing w:after="240"/>
      <w:outlineLvl w:val="2"/>
    </w:pPr>
  </w:style>
  <w:style w:type="character" w:default="1" w:styleId="DefaultParagraphFont">
    <w:name w:val="Default Paragraph Font"/>
    <w:rsid w:val="00E61D8E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61D8E"/>
  </w:style>
  <w:style w:type="character" w:styleId="EndnoteReference">
    <w:name w:val="endnote reference"/>
    <w:rsid w:val="00E61D8E"/>
    <w:rPr>
      <w:rFonts w:ascii="Times New Roman" w:hAnsi="Times New Roman"/>
      <w:b/>
      <w:sz w:val="24"/>
      <w:vertAlign w:val="superscript"/>
    </w:rPr>
  </w:style>
  <w:style w:type="character" w:styleId="FootnoteReference">
    <w:name w:val="footnote reference"/>
    <w:rsid w:val="00E61D8E"/>
    <w:rPr>
      <w:rFonts w:ascii="Times New Roman" w:hAnsi="Times New Roman"/>
      <w:b/>
      <w:sz w:val="24"/>
      <w:vertAlign w:val="superscript"/>
    </w:rPr>
  </w:style>
  <w:style w:type="paragraph" w:styleId="FootnoteText">
    <w:name w:val="footnote text"/>
    <w:basedOn w:val="Normal"/>
    <w:rsid w:val="00E61D8E"/>
  </w:style>
  <w:style w:type="paragraph" w:styleId="EndnoteText">
    <w:name w:val="endnote text"/>
    <w:basedOn w:val="Normal"/>
    <w:rsid w:val="00E61D8E"/>
  </w:style>
  <w:style w:type="character" w:styleId="PageNumber">
    <w:name w:val="page number"/>
    <w:basedOn w:val="DefaultParagraphFont"/>
    <w:rsid w:val="00E61D8E"/>
  </w:style>
  <w:style w:type="paragraph" w:styleId="Header">
    <w:name w:val="header"/>
    <w:basedOn w:val="Normal"/>
    <w:rsid w:val="00E61D8E"/>
    <w:pPr>
      <w:tabs>
        <w:tab w:val="left" w:pos="6804"/>
      </w:tabs>
    </w:pPr>
  </w:style>
  <w:style w:type="paragraph" w:styleId="Footer">
    <w:name w:val="footer"/>
    <w:basedOn w:val="Normal"/>
    <w:rsid w:val="00E61D8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R1</Template>
  <TotalTime>0</TotalTime>
  <Pages>3</Pages>
  <Words>848</Words>
  <Characters>4557</Characters>
  <Application>Microsoft Office Word</Application>
  <DocSecurity>4</DocSecurity>
  <Lines>87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CCPR/C/SR.2597</vt:lpstr>
    </vt:vector>
  </TitlesOfParts>
  <Company>ONU</Company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CCPR/C/SR.2597</dc:title>
  <dc:subject/>
  <dc:creator>desk</dc:creator>
  <cp:keywords/>
  <dc:description/>
  <cp:lastModifiedBy>C. Guebey</cp:lastModifiedBy>
  <cp:revision>2</cp:revision>
  <cp:lastPrinted>2009-03-23T09:18:00Z</cp:lastPrinted>
  <dcterms:created xsi:type="dcterms:W3CDTF">2009-03-23T09:21:00Z</dcterms:created>
  <dcterms:modified xsi:type="dcterms:W3CDTF">2009-03-23T09:21:00Z</dcterms:modified>
</cp:coreProperties>
</file>