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CERD</w:t>
            </w:r>
            <w:r>
              <w:t>/C/SR.1917</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26 de julio de 2010</w:t>
            </w:r>
          </w:p>
          <w:p w:rsidR="00000000" w:rsidRDefault="00000000">
            <w:r>
              <w:t>Español</w:t>
            </w:r>
          </w:p>
          <w:p w:rsidR="00000000" w:rsidRDefault="00000000">
            <w:r>
              <w:t>Original: francés</w:t>
            </w:r>
          </w:p>
        </w:tc>
      </w:tr>
    </w:tbl>
    <w:p w:rsidR="00000000" w:rsidRDefault="00000000">
      <w:pPr>
        <w:spacing w:before="120" w:line="240" w:lineRule="auto"/>
        <w:rPr>
          <w:b/>
          <w:sz w:val="24"/>
          <w:szCs w:val="24"/>
        </w:rPr>
      </w:pPr>
      <w:r>
        <w:rPr>
          <w:b/>
          <w:sz w:val="24"/>
          <w:szCs w:val="24"/>
        </w:rPr>
        <w:t>Comité para la Eliminación de la Discriminación Racial</w:t>
      </w:r>
    </w:p>
    <w:p w:rsidR="00000000" w:rsidRDefault="00000000">
      <w:pPr>
        <w:spacing w:after="120" w:line="240" w:lineRule="auto"/>
        <w:rPr>
          <w:b/>
          <w:szCs w:val="24"/>
        </w:rPr>
      </w:pPr>
      <w:r>
        <w:rPr>
          <w:b/>
          <w:szCs w:val="24"/>
        </w:rPr>
        <w:t>74º período de sesiones</w:t>
      </w:r>
    </w:p>
    <w:p w:rsidR="00000000" w:rsidRDefault="00000000">
      <w:pPr>
        <w:rPr>
          <w:b/>
          <w:szCs w:val="24"/>
        </w:rPr>
      </w:pPr>
      <w:r>
        <w:rPr>
          <w:b/>
          <w:szCs w:val="24"/>
        </w:rPr>
        <w:t>Acta resumida de la 1917ª sesión</w:t>
      </w:r>
    </w:p>
    <w:p w:rsidR="00000000" w:rsidRDefault="00000000">
      <w:pPr>
        <w:rPr>
          <w:szCs w:val="24"/>
        </w:rPr>
      </w:pPr>
      <w:r>
        <w:rPr>
          <w:szCs w:val="24"/>
        </w:rPr>
        <w:t xml:space="preserve">Celebrada en el Palais Wilson, Ginebra, el miércoles 25 de febrero de </w:t>
      </w:r>
      <w:smartTag w:uri="urn:schemas-microsoft-com:office:smarttags" w:element="metricconverter">
        <w:smartTagPr>
          <w:attr w:name="ProductID" w:val="2009, a"/>
        </w:smartTagPr>
        <w:r>
          <w:rPr>
            <w:szCs w:val="24"/>
          </w:rPr>
          <w:t>2009, a</w:t>
        </w:r>
      </w:smartTag>
      <w:r>
        <w:rPr>
          <w:szCs w:val="24"/>
        </w:rPr>
        <w:t xml:space="preserve"> las 10.00 horas</w:t>
      </w:r>
    </w:p>
    <w:p w:rsidR="00000000" w:rsidRDefault="00000000">
      <w:pPr>
        <w:tabs>
          <w:tab w:val="right" w:pos="992"/>
          <w:tab w:val="left" w:pos="1134"/>
          <w:tab w:val="right" w:leader="dot" w:pos="8505"/>
        </w:tabs>
        <w:spacing w:before="120"/>
        <w:rPr>
          <w:szCs w:val="24"/>
        </w:rPr>
      </w:pPr>
      <w:r>
        <w:rPr>
          <w:b/>
          <w:bCs/>
          <w:szCs w:val="24"/>
        </w:rPr>
        <w:tab/>
      </w:r>
      <w:r>
        <w:rPr>
          <w:bCs/>
          <w:i/>
          <w:szCs w:val="24"/>
        </w:rPr>
        <w:t>Presidenta:</w:t>
      </w:r>
      <w:r>
        <w:rPr>
          <w:i/>
          <w:szCs w:val="24"/>
        </w:rPr>
        <w:tab/>
      </w:r>
      <w:r>
        <w:rPr>
          <w:szCs w:val="24"/>
        </w:rPr>
        <w:t>Sra. Dah</w:t>
      </w:r>
    </w:p>
    <w:p w:rsidR="00000000" w:rsidRDefault="00000000">
      <w:pPr>
        <w:pStyle w:val="HChG"/>
        <w:rPr>
          <w:b w:val="0"/>
          <w:szCs w:val="24"/>
        </w:rPr>
      </w:pPr>
      <w:r>
        <w:rPr>
          <w:b w:val="0"/>
          <w:szCs w:val="24"/>
        </w:rPr>
        <w:t>Sumario</w:t>
      </w:r>
    </w:p>
    <w:p w:rsidR="00000000" w:rsidRDefault="00000000">
      <w:pPr>
        <w:pStyle w:val="SingleTxtG"/>
        <w:ind w:right="1701"/>
        <w:jc w:val="left"/>
      </w:pPr>
      <w:r>
        <w:t xml:space="preserve">Examen de los informes, observaciones e información presentados por los Estados partes de conformidad con el artículo 9 de la Convención </w:t>
      </w:r>
      <w:r>
        <w:rPr>
          <w:i/>
        </w:rPr>
        <w:t>(continuación)</w:t>
      </w:r>
    </w:p>
    <w:p w:rsidR="00000000" w:rsidRDefault="00000000">
      <w:pPr>
        <w:pStyle w:val="SingleTxtG"/>
        <w:ind w:left="1701" w:right="1701"/>
        <w:jc w:val="left"/>
        <w:rPr>
          <w:szCs w:val="24"/>
        </w:rPr>
      </w:pPr>
      <w:r>
        <w:rPr>
          <w:i/>
          <w:szCs w:val="24"/>
        </w:rPr>
        <w:t>Informes periódicos 11º y 12º de Suriname</w:t>
      </w:r>
      <w:r>
        <w:rPr>
          <w:szCs w:val="24"/>
        </w:rPr>
        <w:t xml:space="preserve"> (continuación)</w:t>
      </w:r>
    </w:p>
    <w:p w:rsidR="00000000" w:rsidRDefault="00000000">
      <w:pPr>
        <w:pStyle w:val="SingleTxtG"/>
        <w:ind w:left="1701" w:right="1701"/>
        <w:jc w:val="left"/>
        <w:rPr>
          <w:i/>
        </w:rPr>
      </w:pPr>
      <w:r>
        <w:rPr>
          <w:i/>
          <w:szCs w:val="23"/>
        </w:rPr>
        <w:t xml:space="preserve">Evaluación de la aplicación de </w:t>
      </w:r>
      <w:smartTag w:uri="urn:schemas-microsoft-com:office:smarttags" w:element="PersonName">
        <w:smartTagPr>
          <w:attr w:name="ProductID" w:val="la Convenci￳n"/>
        </w:smartTagPr>
        <w:r>
          <w:rPr>
            <w:i/>
            <w:szCs w:val="23"/>
          </w:rPr>
          <w:t>la Convención</w:t>
        </w:r>
      </w:smartTag>
      <w:r>
        <w:rPr>
          <w:i/>
          <w:szCs w:val="23"/>
        </w:rPr>
        <w:t xml:space="preserve"> en los Estados partes cuyos informes debían haberse presentado hace mucho tiempo</w:t>
      </w:r>
      <w:r>
        <w:rPr>
          <w:i/>
          <w:szCs w:val="24"/>
        </w:rPr>
        <w:t>: Gambia</w:t>
      </w:r>
    </w:p>
    <w:p w:rsidR="00000000" w:rsidRDefault="00000000"/>
    <w:p w:rsidR="00000000" w:rsidRDefault="00000000"/>
    <w:p w:rsidR="00000000" w:rsidRDefault="00000000">
      <w:pPr>
        <w:pStyle w:val="SingleTxtG"/>
        <w:rPr>
          <w:i/>
        </w:rPr>
      </w:pPr>
      <w:r>
        <w:br w:type="page"/>
      </w:r>
      <w:r>
        <w:rPr>
          <w:i/>
        </w:rPr>
        <w:t>Se declara abierta la sesión a las 10.15 horas.</w:t>
      </w:r>
    </w:p>
    <w:p w:rsidR="00000000" w:rsidRDefault="00000000">
      <w:pPr>
        <w:pStyle w:val="H23G"/>
        <w:ind w:right="1701"/>
        <w:rPr>
          <w:b w:val="0"/>
        </w:rPr>
      </w:pPr>
      <w:r>
        <w:tab/>
      </w:r>
      <w:r>
        <w:tab/>
        <w:t xml:space="preserve">Examen de los informes, observaciones e información presentados por </w:t>
      </w:r>
      <w:r>
        <w:br/>
        <w:t xml:space="preserve">los Estados partes de conformidad con el artículo 9 de la Convención </w:t>
      </w:r>
      <w:r>
        <w:br/>
      </w:r>
      <w:r>
        <w:rPr>
          <w:b w:val="0"/>
        </w:rPr>
        <w:t xml:space="preserve">(tema 5 del programa) </w:t>
      </w:r>
      <w:r>
        <w:rPr>
          <w:b w:val="0"/>
          <w:i/>
        </w:rPr>
        <w:t>(continuación)</w:t>
      </w:r>
    </w:p>
    <w:p w:rsidR="00000000" w:rsidRDefault="00000000">
      <w:pPr>
        <w:pStyle w:val="H4G"/>
        <w:rPr>
          <w:u w:val="single"/>
        </w:rPr>
      </w:pPr>
      <w:r>
        <w:tab/>
      </w:r>
      <w:r>
        <w:tab/>
        <w:t>Informes periódicos 11º y 12º de Suriname (CERD/C/SUR/12; HRI/CORE/1/</w:t>
      </w:r>
      <w:r>
        <w:br/>
        <w:t>Add.39/Rev.1; lista de cuestiones que han de abordarse y respuestas escritas,</w:t>
      </w:r>
      <w:r>
        <w:br/>
        <w:t>documentos sin signatura distribuidos durante la sesión, en inglés solamente) (continuación)</w:t>
      </w:r>
    </w:p>
    <w:p w:rsidR="00000000" w:rsidRDefault="00000000">
      <w:pPr>
        <w:pStyle w:val="SingleTxtG"/>
        <w:rPr>
          <w:i/>
        </w:rPr>
      </w:pPr>
      <w:r>
        <w:t>1.</w:t>
      </w:r>
      <w:r>
        <w:tab/>
      </w:r>
      <w:r>
        <w:rPr>
          <w:i/>
        </w:rPr>
        <w:t xml:space="preserve">Por invitación de </w:t>
      </w:r>
      <w:smartTag w:uri="urn:schemas-microsoft-com:office:smarttags" w:element="PersonName">
        <w:smartTagPr>
          <w:attr w:name="ProductID" w:val="ޖ枨ޖ㦹瓼⸲⸵⸴ㄳgġ✡谀&#10;la Presidenta㟠ޝī✡谀慠፷煨፷Õ✡蠀㬘͜+-格ޖ瓾瓾瓾ß✡輀搰ޖ桨ޖ㦹瓼⸲⸵⸴㜳&#10;Ù✡贀洰ޖ梘ޖ騂瓹敓楲污穩摥䐴üÃ✡耀et&#10;la ConvenciónÍ✡E谀&#10;LA CONVENTION憌ù÷✡谀&#10;La Turquía Lañ✡輀敐ޖ楘ޖ㦹瓼⸲⸵⸴㈳gû✡輀晰ޖ榈ޖ궇瓼⸲⸵㤲㠮䄼üå✡ʁ踀晀ޖ榸ޖ粰瓼⸲⸵㤲㌮7ꟼøï✡c踀无ޖ槨ޖ궇瓼⸲⸵㤲ㄮ8맬ùé✡踀榠ޖ樘ޖ竼瓼⸲⸵㤲㈮1&#10;✡耀Ĩetla Eliminación✡袶谀&#10;la Pr￩sidenteon✡踀汀ޖ檨ޖ쒕瓼⸲⸵㤲㈮8뤄û✡谀&#10;&#10;la R￩publique✡蠀µ✡踀儘ᚪ欸ޖ夃瓶⸲⸵㤲㈮7똜û¿✡輀掠ޖ歨ޖ㦹瓼⸲⸵⸴㤳&#10;¹✡t谀ᜌ烚浐ޚ㽠烚&#10;£✡褀洀ޖ毈ޖ먎瓶祓瑳浥敒楧瑳祲­✡言毸ޖ瓶瓾⸱⸳㐱㌮㈮㈮6ùW✡踀乀ᚪ氨ޖ蹫瓼⸲⸵㤲㌮2凬üQ✡踀冈ᚪ汘ޖ닣瓼⸲⸵㤲㌮0攬ù[✡踀戠ޖ沈ޖ娗瓶⸲⸵㤲㌮1ûE✡言咘ᚪ沸ޖ衤瓾⸱⸳㐱㌮㈮ㄮ2ùO✡踀到ᚪ注ޖ蠁瓼⸲⸵㤲㌮6䘼üI✡茚輀洘ޖ嶍瓻桐獹捩污谄ùs✡c贀殰ޖ浈ޖ댰瓷潃汬捥楴湯証ù}✡蠀垠׃ꀸ׃ݷݷ͜͜g✡蠀≓ၓ≓㰂a✡踀䴨ᚪ淘ޖ뷼瓼⸲⸵㤲㌮5&#10;k✡蠀耐&amp;糠&amp;ะ׀찺뒿䉌⦰螚䇆ᄀ猐ׂ✡蠀NT Authority\SYSTEM✡蠀†&amp;ኀ׀Ὀׂ薏幬ย䝠ﺚ㏪똗獱ᄀ澰ׂ✡踀凸ᚪ溘ޖ蓢瓼⸲⸵㤲㌮3ᢴþ✡캜言唈ᚪ滈ޖ諙瓾⸱⸳㐱㌮㈮ㄮ2ý&#10;✡蠀㜨͜+-滼ޖ瓾瓾瓾7✡蠀Ἐׂะ׀†&amp;ོ䤁䫌䢆퓕ы迯耀㥠ޔ鷣鍚혦ࠠ좐ޘ濸͝&#10;타뉉✳쭴蠀de뉔✳蠀la뉓✳蠀de뉞✳蠀de뉝✳蠀.뉘✳蠀El놧✳蠀ha놢✳蠀sido놡✳蠀por耀놬✳蠀de놫✳蠀sus놶✳蠀en놵✳蠀las놰✳蠀,ecla놿✳ 蠀ata l놺✳s蠀dea l놹✳ 蠀lahor놄✳.蠀gran놃✳蠀que놎✳蠀la농✳蠀del놈✳蠀al⟜耀놗✳蠀de높✳蠀y놑✳蠀el놜✳蠀que놛✳蠀para뇦✳蠀suL뇥✳嬌蠀&#10;labor뇠✳蠀&#10;posee뇯✳岌蠀el뇪✳蠀de뇩✳蠀la뇴✳蠀.뇳✳蠀&#10;㌹⟜耀뇾✳蠀.s뇽✳蠀es1뇸✳蠀La뇇✳蠀de뇂✳蠀que뇁✳蠀la鴣博풦ࠠ㛠ލﻘׄ 타侹✦蠀una侤✦蠀&#10;serie侣✦蠀de.侮✦蠀de侭✦蠀para侨✦蠀el佗✦蠀,佒✦蠀&#10;desde佑✦蠀su作✦蠀73佛✦蠀º但✦蠀de佅✦蠀,佀✦蠀en住✦蠀de佊✦蠀2008佉✦蠀,佴✦蠀la佳✦蠀Alta佾✦蠀que鵶ན푦 䶐֪儐ޏ麡퐳ఠḯ皫ਖ皫ẅ皫೶皤੆皢ൠ皢ὴ皢˪皢跉皢৸皢˴皢̒皢᪩皢̈皢ˈ皢譆皡磾皡箙皡˾皢䲫皡먝皡諱皡ˠ皢皡꣝皡皡̜皢䋗皥縂皡盖皡䋡皥䋫皥䋵皥䋿皥䌉皥㔧皥㢁皥䌓皥䌝皥䌧皥䌱皥䌻皥䍅皥㡭皥䍏皥䍙皥䍣皥䍭皥䍷皥䎁皥䎋皥䎕皥㢋皥䎟皥䎩皥䎳皥䎽皥䏇皥䏑皥㝇皥䏛皥䏥皥䏯皥㜽皥䏹皥䐃皥䐍皥䐗皥䐡皥㡏皥㫻皥㡣皥㡙皥䐫皥䐵皥䐿皥䑉皥䑓皥䑝皥䑧皥䑱皥䑻皥䒅皥䒏皥㡷皥䒙皥䒣皥䒭皥䒷皥䓁皥䓋皥䓕皥䓟皥䓩皥䓳皥䓽皥䔇皥䔑皥䔛皥䔥皥䔯皥䔹皥䕃皥䕍皥䕗皥䕡皥䕫皥䕵皥䕿皥䖉皥䖓皥䖝皥䖧皥䖱皥䖻皥䗅皥䗏皥䗙皥䗣皥䗭皥䗷皥䘁皥䘋皥䘕皥䘟皥䘩皥䘳皥䘽皥࿸࿸࿸࿸࿸࿸࿸࿸ ࿸$࿸(࿸,࿸0࿸4࿸8࿸&lt;࿸@࿸D࿸H࿸L࿸P࿸T࿸X࿸\࿸`࿸d࿸h࿸l࿸࿸࿸࿸࿸࿸࿸࿸ ࿸¤࿸¨࿸¬࿸°࿸´࿸¸࿸¼࿸À࿸Ä࿸È࿸Ì࿸Ð࿸Ô࿸Ø࿸Ü࿸à࿸ä࿸è࿸ì࿸ð࿸ô࿸ø࿸ü࿸Ā࿸Ą࿸Ĉ࿸Č࿸Đ࿸Ĕ࿸Ę࿸Ĝ࿸Ġ࿸Ĥ࿸Ĩ࿸Ĭ࿸İ࿸Ĵ࿸ĸ࿸ļ࿸ŀ࿸ń࿸ň࿸Ō࿸Ő࿸Ŕ࿸Ř࿸Ŝ࿸Š࿸Ÿ࿸ż࿸ƀ࿸Ƅ࿸ƈ࿸ƌ࿸Ɛ࿸Ɣ࿸Ƙ࿸Ɯ࿸Ơ࿸Ƥ࿸ƨ࿸Ƭ࿸ư࿸ƴ࿸Ƹ࿸Ƽ࿸ǀ࿸Ǆ࿸ǈ࿸ǌ࿸ǐ࿸ǔ࿸ǘ࿸ǜ࿸Ǡ࿸Ǥ࿸Ǩ࿸Ǭ࿸ǰ࿸Ǵ࿸Ǹ࿸Ǽ࿸Ȁ࿸Ȅ࿸Ȉ࿸Ȍ࿸Ȑ࿸Ȕ࿸Ș࿸Ȝ࿸Ƞ࿸Ȥ࿸Ȩ࿸Ȭ࿸Ȱ࿸ȴ࿸ȸ࿸ȼ࿸ɀ࿸Ʉ࿸Ɉ࿸Ɍ࿸ɐ࿸ɔ࿸ɬ࿸ɰ࿸ɴ࿸ɸ࿸ɼ࿸ʀ࿸ʄ࿸ʈ࿸ʌ࿸ʐ࿸ʔ࿸ʘ࿸ʜ࿸ʠ࿸ʤ࿸ʨ࿸ʬ࿸ʰ࿸ʴ࿸ʸ࿸ʼ࿸ˀ࿸˄࿸ˈ࿸ˌ࿸ː࿸˔࿸˘࿸˜࿸ˠ࿸ˤ࿸˨࿸ˬ࿸˰࿸˴࿸˸࿸˼࿸̀࿸̄࿸̈࿸̌࿸̐࿸̔࿸̘࿸̜࿸̠࿸̤࿸̨࿸̬࿸̰࿸̴࿸̸࿸̼࿸̀࿸̈́࿸͈࿸͠࿸ͤ࿸ͨ࿸ͬ࿸Ͱ࿸ʹ࿸͸࿸ͼ࿸΀࿸΄࿸Έ࿸Ό࿸ΐ࿸Δ࿸Θ࿸Μ࿸Π࿸Τ࿸Ψ࿸ά࿸ΰ࿸δ࿸θ࿸μ࿸π࿸τ࿸ψ࿸ό࿸ϐ࿸ϔ࿸Ϙ࿸Ϝ࿸Ϡ࿸Ϥ࿸Ϩ࿸Ϭ࿸ϰ࿸ϴ࿸ϸ࿸ϼ࿸Ѐ࿸Є࿸Ј࿸Ќ࿸А࿸Д࿸И࿸М࿸Р࿸Ф࿸Ш࿸Ь࿸а࿸д࿸и࿸м࿸є࿸ј࿸ќ࿸Ѡ࿸Ѥ࿸Ѩ࿸Ѭ࿸Ѱ࿸Ѵ࿸Ѹ࿸Ѽ࿸Ҁ࿸҄࿸҈࿸Ҍ࿸Ґ࿸Ҕ࿸Ҙ࿸Ҝ࿸Ҡ࿸Ҥ࿸Ҩ࿸Ҭ࿸Ұ࿸Ҵ࿸Ҹ࿸Ҽ࿸Ӏ࿸ӄ࿸ӈ࿸ӌ࿸Ӑ࿸Ӕ࿸Ә࿸Ӝ࿸Ӡ࿸Ӥ࿸Ө࿸Ӭ࿸Ӱ࿸Ӵ࿸Ӹ࿸Ӽ࿸Ԁ࿸Ԅ࿸Ԉ࿸Ԍ࿸Ԑ࿸Ԕ࿸Ԙ࿸Ԝ࿸Ԡ࿸Ԥ࿸Ԩ࿸Ԭ࿸԰࿸Ո࿸Ռ࿸Ր࿸Ք࿸՘࿸՜࿸ՠ࿸դ࿸ը࿸լ࿸հ࿸մ࿸ո࿸ռ࿸ր࿸ք࿸ֈ࿸֌࿸֐࿸֔࿸֘࿸֜࿸֠࿸֤࿸֨࿸֬࿸ְ࿸ִ࿸ָ࿸ּ࿸׀࿸ׄ࿸׈࿸׌࿸א࿸ה࿸ט࿸ל࿸נ࿸פ࿸ר࿸׬࿸װ࿸״࿸׸࿸׼࿸؀࿸؄࿸؈࿸،࿸ؐ࿸ؔ࿸ؘ࿸؜࿸ؠ࿸ؤ࿸ؼ࿸ـ࿸ل࿸و࿸ٌ࿸ِ࿸ٔ࿸٘࿸ٜ࿸٠࿸٤࿸٨࿸٬࿸ٰ࿸ٴ࿸ٸ࿸ټ࿸ڀ࿸ڄ࿸ڈ࿸ڌ࿸ڐ࿸ڔ࿸ژ࿸ڜ࿸ڠ࿸ڤ࿸ڨ࿸ڬ࿸ڰ࿸ڴ࿸ڸ࿸ڼ࿸ۀ࿸ۄ࿸ۈ࿸ی࿸ې࿸۔࿸ۘ࿸ۜ࿸۠࿸ۤ࿸ۨ࿸۬࿸۰࿸۴࿸۸࿸ۼ࿸܀࿸܄࿸܈࿸܌࿸ܐ࿸ܔ࿸ܘ࿸ܰ࿸ܴ࿸ܸ࿸ܼ࿸݀࿸݄࿸݈࿸݌࿸ݐ࿸ݔ࿸ݘ࿸ݜ࿸ݠ࿸ݤ࿸ݨ࿸ݬ࿸ݰ࿸ݴ࿸ݸ࿸ݼ࿸ހ࿸ބ࿸ވ࿸ތ࿸ސ࿸ޔ࿸ޘ࿸ޜ࿸ޠ࿸ޤ࿸ި࿸ެ࿸ް࿸޴࿸޸࿸޼࿸߀࿸߄࿸߈࿸ߌ࿸ߐ࿸ߔ࿸ߘ࿸ߜ࿸ߠ࿸ߤ࿸ߨ࿸߬࿸߰࿸ߴ࿸߸࿸߼࿸ࠀ࿸ࠄ࿸ࠈ࿸ࠌ࿸ࠤ࿸ࠨ࿸ࠬ࿸࠰࿸࠴࿸࠸࿸࠼࿸ࡀ࿸ࡄ࿸ࡈ࿸ࡌ࿸ࡐ࿸ࡔ࿸ࡘ࿸࡜࿸ࡠ࿸ࡤ࿸ࡨ࿸࡬࿸ࡰ࿸ࡴ࿸ࡸ࿸ࡼ࿸ࢀ࿸ࢄ࿸࢈࿸ࢌ࿸࢐࿸࢔࿸࢘࿸࢜࿸ࢠ࿸ࢤ࿸ࢨ࿸ࢬ࿸ࢰ࿸ࢴ࿸ࢸ࿸ࢼ࿸ࣀ࿸ࣄ࿸ࣈ࿸࣌࿸࣐࿸ࣔ࿸ࣘ࿸ࣜ࿸࣠࿸ࣤ࿸ࣨ࿸࣬࿸ࣰ࿸ࣴ࿸ࣸ࿸ࣼ࿸ऀ࿸घ࿸ज࿸ठ࿸त࿸न࿸ब࿸र࿸ऴ࿸स࿸़࿸ी࿸ॄ࿸ै࿸ौ࿸ॐ࿸॔࿸क़࿸ड़࿸ॠ࿸।࿸२࿸६࿸॰࿸ॴ࿸ॸ࿸ॼ࿸ঀ࿸঄࿸ঈ࿸ঌ࿸ঐ࿸ঔ࿸ঘ࿸জ࿸ঠ࿸ত࿸ন࿸ব࿸র࿸঴࿸স࿸়࿸ী࿸ৄ࿸ৈ࿸ৌ࿸৐࿸৔࿸৘࿸ড়࿸ৠ࿸৤࿸২࿸৬࿸ৰ࿸৴࿸਌࿸ਐ࿸ਔ࿸ਘ࿸ਜ࿸ਠ࿸ਤ࿸ਨ࿸ਬ࿸ਰ࿸਴࿸ਸ࿸਼࿸ੀ࿸੄࿸ੈ࿸ੌ࿸੐࿸੔࿸੘࿸ੜ࿸੠࿸੤࿸੨࿸੬࿸ੰ࿸ੴ࿸੸࿸੼࿸઀࿸઄࿸ઈ࿸ઌ࿸ઐ࿸ઔ࿸ઘ࿸જ࿸ઠ࿸ત࿸ન࿸બ࿸ર࿸઴࿸સ࿸઼࿸ી࿸ૄ࿸ૈ࿸ૌ࿸ૐ࿸૔࿸૘࿸૜࿸ૠ࿸૤࿸૨࿸଀࿸଄࿸ଈ࿸ଌ࿸ଐ࿸ଔ࿸ଘ࿸ଜ࿸ଠ࿸ତ࿸ନ࿸ବ࿸ର࿸଴࿸ସ࿸଼࿸ୀ࿸ୄ࿸ୈ࿸ୌ࿸୐࿸୔࿸୘࿸ଡ଼࿸ୠ࿸୤࿸୨࿸୬࿸୰࿸୴࿸୸࿸୼࿸஀࿸஄࿸ஈ࿸஌࿸ஐ࿸ஔ࿸஘࿸ஜ࿸஠࿸த࿸ந࿸஬࿸ர࿸ழ࿸ஸ࿸஼࿸ீ࿸௄࿸ை࿸ௌ࿸ௐ࿸௔࿸௘࿸௜࿸௴࿸௸࿸௼࿸ఀ࿸ఄ࿸ఈ࿸ఌ࿸ఐ࿸ఔ࿸ఘ࿸జ࿸ఠ࿸త࿸న࿸బ࿸ర࿸ఴ࿸స࿸఼࿸ీ࿸ౄ࿸ై࿸ౌ࿸౐࿸౔࿸ౘ࿸౜࿸ౠ࿸౤࿸౨࿸౬࿸౰࿸౴࿸౸࿸౼࿸ಀ࿸಄࿸ಈ࿸ಌ࿸ಐ࿸ಔ࿸ಘ࿸ಜ࿸ಠ࿸ತ࿸ನ࿸ಬ࿸ರ࿸಴࿸ಸ࿸಼࿸ೀ࿸ೄ࿸ೈ࿸ೌ࿸೐࿸೨࿸೬࿸೰࿸೴࿸೸࿸೼࿸ഀ࿸ഄ࿸ഈ࿸ഌ࿸ഐ࿸ഔ࿸ഘ࿸ജ࿸ഠ࿸ത࿸ന࿸ബ࿸ര࿸ഴ࿸സ࿸഼࿸ീ࿸ൄ࿸ൈ࿸ൌ࿸൐࿸ൔ࿸൘࿸൜࿸ൠ࿸൤࿸൨࿸൬࿸൰࿸൴࿸൸࿸ർ࿸඀࿸඄࿸ඈ࿸ඌ࿸ඐ࿸ඔ࿸඘࿸ග࿸ච࿸ඤ࿸ඨ࿸ඬ࿸ධ࿸ප࿸ම࿸඼࿸ව࿸හ࿸ො࿸෠࿸෤࿸෨࿸෬࿸෰࿸෴࿸෸࿸෼࿸฀࿸ค࿸จ࿸ฌ࿸ฐ࿸ด࿸ธ࿸ผ࿸ภ࿸ฤ࿸ศ࿸ฬ࿸ะ࿸ิ࿸ุ࿸฼࿸เ࿸ไ࿸่࿸์࿸๐࿸๔࿸๘࿸๜࿸๠࿸๤࿸๨࿸๬࿸๰࿸๴࿸๸࿸๼࿸຀࿸ຄ࿸ຈ࿸ຌ࿸ຐ࿸ດ࿸ຘ࿸ຜ࿸ຠ࿸຤࿸ຨ࿸ຬ࿸ະ࿸ິ࿸ຸ࿸໐࿸໔࿸໘࿸ໜ࿸໠࿸໤࿸໨࿸໬࿸໰࿸໴࿸໸࿸໼࿸ༀ࿸༄࿸༈࿸༌࿸༐࿸༔࿸༘࿸༜࿸༠࿸༤࿸༨࿸༬࿸༰࿸༴࿸༸࿸༼࿸ཀ࿸ང࿸཈࿸ཌ࿸ཐ࿸པ࿸མ࿸ཛྷ࿸འ࿸ཤ࿸ཨ࿸ཬ࿸཰࿸ུ࿸ླྀ࿸ོ࿸ྀ࿸྄࿸ྈ࿸ྌ࿸ྐ࿸ྔ࿸྘࿸ྜ࿸ྠ࿸ྤ࿸ྨ࿸ྫྷ࿸࿄࿸࿈࿸࿌࿸࿐࿸࿔࿸࿘࿸࿜࿸࿠࿸࿤࿸࿨࿸࿬࿸࿰࿸࿴࿸࿸࿸࿼࿸က࿸င࿸ဈ࿸ဌ࿸တ࿸န࿸ဘ࿸လ࿸ဠ࿸ဤ࿸ဨ࿸ာ࿸ူ࿸ဴ࿸း࿸ြ࿸၀࿸၄࿸၈࿸၌࿸ၐ࿸ၔ࿸ၘ࿸ၜ࿸ၠ࿸ၤ࿸ၨ࿸ၬ࿸ၰ࿸ၴ࿸ၸ࿸ၼ࿸ႀ࿸ႄ࿸ႈ࿸ႌ࿸႐࿸႔࿸႘࿸ႜ࿸Ⴀ࿸Ⴘ࿸Ⴜ࿸Ⴠ࿸Ⴤ࿸჈࿸჌࿸ა࿸ე࿸ი࿸ნ࿸რ࿸ფ࿸შ࿸წ࿸ჰ࿸ჴ࿸ჸ࿸ჼ࿸ᄀ࿸ᄄ࿸ᄈ࿸ᄌ࿸ᄐ࿸ᄔ࿸ᄘ࿸ᄜ࿸ᄠ࿸ᄤ࿸ᄨ࿸ᄬ࿸ᄰ࿸ᄴ࿸ᄸ࿸ᄼ࿸ᅀ࿸ᅄ࿸ᅈ࿸ᅌ࿸ᅐ࿸ᅔ࿸ᅘ࿸ᅜ࿸ᅠ࿸ᅤ࿸ᅨ࿸ᅬ࿸ᅰ࿸ᅴ࿸ᅸ࿸ᅼ࿸ᆀ࿸ᆄ࿸ᆈ࿸ᆌ࿸ᆐ࿸ᆔ࿸ᆬ࿸ᆰ࿸ᆴ࿸ᆸ࿸ᆼ࿸ᇀ࿸ᇄ࿸ᇈ࿸ᇌ࿸ᇐ࿸ᇔ࿸ᇘ࿸ᇜ࿸ᇠ࿸ᇤ࿸ᇨ࿸ᇬ࿸ᇰ࿸ᇴ࿸ᇸ࿸ᇼ࿸ሀ࿸ሄ࿸ለ࿸ሌ࿸ሐ࿸ሔ࿸መ࿸ሜ࿸ሠ࿸ሤ࿸ረ࿸ሬ࿸ሰ࿸ሴ࿸ሸ࿸ሼ࿸ቀ࿸ቄ࿸ቈ࿸ቌ࿸ቐ࿸ቔ࿸ቘ࿸ቜ࿸በ࿸ቤ࿸ቨ࿸ቬ࿸ተ࿸ቴ࿸ቸ࿸ቼ࿸ኀ࿸ኄ࿸ኈ࿸አ࿸ኤ࿸ከ࿸ኬ࿸ኰ࿸ኴ࿸ኸ࿸ኼ࿸ዀ࿸ዄ࿸ወ࿸ዌ࿸ዐ࿸ዔ࿸ዘ࿸ዜ࿸ዠ࿸ዤ࿸የ࿸ዬ࿸ደ࿸ዴ࿸ዸ࿸ዼ࿸ጀ࿸ጄ࿸ገ࿸ጌ࿸ጐ࿸ጔ࿸ጘ࿸ጜ࿸ጠ࿸ጤ࿸ጨ࿸ጬ࿸ጰ࿸ጴ࿸ጸ࿸ጼ࿸ፀ࿸ፄ࿸ፈ࿸ፌ࿸ፐ࿸ፔ࿸ፘ࿸፜࿸፠࿸፤࿸፨࿸፬࿸፰࿸፴࿸፸࿸፼࿸᎔࿸᎘࿸᎜࿸Ꭰ࿸Ꭴ࿸Ꭸ࿸Ꭼ࿸Ꮀ࿸Ꮄ࿸Ꮈ࿸Ꮌ࿸Ꮐ࿸Ꮔ࿸Ꮘ࿸Ꮜ࿸Ꮠ࿸Ꮤ࿸Ꮨ࿸Ꮬ࿸Ꮰ࿸Ꮴ࿸Ꮸ࿸Ꮼ࿸Ᏸ࿸Ᏼ࿸ᏸ࿸ᏼ࿸᐀࿸ᐄ࿸ᐈ࿸ᐌ࿸ᐐ࿸ᐔ࿸ᐘ࿸ᐜ࿸ᐠ࿸ᐤ࿸ᐨ࿸ᐬ࿸ᐰ࿸ᐴ࿸ᐸ࿸ᐼ࿸ᑀ࿸ᑄ࿸ᑈ࿸ᑌ࿸ᑐ࿸ᑔ࿸ᑘ࿸ᑜ࿸ᑠ࿸ᑤ࿸ᑨ࿸ᑬ࿸ᑰ࿸ᒈ࿸ᒌ࿸ᒐ࿸ᒔ࿸ᒘ࿸ᒜ࿸ᒠ࿸ᒤ࿸ᒨ࿸ᒬ࿸ᒰ࿸ᒴ࿸ᒸ࿸ᒼ࿸ᓀ࿸ᓄ࿸ᓈ࿸ᓌ࿸ᓐ࿸ᓔ࿸ᓘ࿸ᓜ࿸ᓠ࿸ᓤ࿸ᓨ࿸ᓬ࿸ᓰ࿸ᓴ࿸ᓸ࿸ᓼ࿸ᔀ࿸ᔄ࿸ᔈ࿸ᔌ࿸ᔐ࿸ᔔ࿸ᔘ࿸ᔜ࿸ᔠ࿸ᔤ࿸ᔨ࿸ᔬ࿸ᔰ࿸ᔴ࿸ᔸ࿸ᔼ࿸ᕀ࿸ᕄ࿸ᕈ࿸ᕌ࿸ᕐ࿸ᕔ࿸ᕘ࿸ᕜ࿸ᕠ࿸ᕤ࿸ᕼ࿸ᖀ࿸ᖄ࿸ᖈ࿸ᖌ࿸ᖐ࿸ᖔ࿸ᖘ࿸ᖜ࿸ᖠ࿸ᖤ࿸ᖨ࿸ᖬ࿸ᖰ࿸ᖴ࿸ᖸ࿸ᖼ࿸ᗀ࿸ᗄ࿸ᗈ࿸ᗌ࿸ᗐ࿸ᗔ࿸ᗘ࿸ᗜ࿸ᗠ࿸ᗤ࿸ᗨ࿸ᗬ࿸ᗰ࿸ᗴ࿸ᗸ࿸ᗼ࿸ᘀ࿸ᘄ࿸ᘈ࿸ᘌ࿸ᘐ࿸ᘔ࿸ᘘ࿸ᘜ࿸ᘠ࿸ᘤ࿸ᘨ࿸ᘬ࿸ᘰ࿸ᘴ࿸ᘸ࿸ᘼ࿸ᙀ࿸ᙄ࿸ᙈ࿸ᙌ࿸ᙐ࿸ᙔ࿸ᙘ࿸ᙰ࿸ᙴ࿸ᙸ࿸ᙼ࿸ ࿸ᚄ࿸ᚈ࿸ᚌ࿸ᚐ࿸ᚔ࿸ᚘ࿸᚜࿸ᚠ࿸ᚤ࿸ᚨ࿸ᚬ࿸ᚰ࿸ᚴ࿸ᚸ࿸ᚼ࿸ᛀ࿸ᛄ࿸ᛈ࿸ᛌ࿸ᛐ࿸ᛔ࿸ᛘ࿸ᛜ࿸ᛠ࿸ᛤ࿸ᛨ࿸᛬࿸ᛰ࿸ᛴ࿸ᛸ࿸᛼࿸ᜀ࿸ᜄ࿸ᜈ࿸ᜌ࿸ᜐ࿸᜔࿸᜘࿸᜜࿸ᜠ࿸ᜤ࿸ᜨ࿸ᜬ࿸ᜰ࿸᜴࿸᜸࿸᜼࿸ᝀ࿸ᝄ࿸ᝈ࿸ᝌ࿸ᝤ࿸ᝨ࿸ᝬ࿸ᝰ࿸᝴࿸᝸࿸᝼࿸ក࿸ង࿸ឈ࿸ឌ࿸ថ࿸ប࿸ម࿸វ࿸ហ࿸ឤ࿸ឨ࿸ឬ࿸ឰ࿸឴࿸ី࿸ូ࿸ៀ࿸ោ࿸ៈ࿸៌࿸័࿸។࿸៘࿸ៜ࿸០࿸៤࿸៨࿸៬࿸៰࿸៴࿸៸࿸៼࿸᠀࿸᠄࿸᠈࿸᠌࿸᠐࿸᠔࿸᠘࿸᠜࿸ᠠ࿸ᠤ࿸ᠨ࿸ᠬ࿸ᠰ࿸ᠴ࿸ᠸ࿸ᠼ࿸ᡀ࿸ᡘ࿸ᡜ࿸ᡠ࿸ᡤ࿸ᡨ࿸ᡬ࿸ᡰ࿸ᡴ࿸ᡸ࿸᡼࿸ᢀ࿸ᢄ࿸ᢈ࿸ᢌ࿸ᢐ࿸ᢔ࿸ᢘ࿸ᢜ࿸ᢠ࿸ᢤ࿸ᢨ࿸᢬࿸ᢰ࿸ᢴ࿸ᢸ࿸ᢼ࿸ᣀ࿸ᣄ࿸ᣈ࿸ᣌ࿸ᣐ࿸ᣔ࿸ᣘ࿸ᣜ࿸ᣠ࿸ᣤ࿸ᣨ࿸ᣬ࿸ᣰ࿸ᣴ࿸᣸࿸᣼࿸ᤀ࿸ᤄ࿸ᤈ࿸ᤌ࿸ᤐ࿸ᤔ࿸ᤘ࿸ᤜ࿸ᤠ࿸ᤤ࿸ᤨ࿸᤬࿸ᤰ࿸ᤴ࿸᥌࿸ᥐ࿸ᥔ࿸ᥘ࿸ᥜ࿸ᥠ࿸ᥤ࿸ᥨ࿸ᥬ࿸ᥰ࿸ᥴ࿸᥸࿸᥼࿸ᦀ࿸ᦄ࿸ᦈ࿸ᦌ࿸ᦐ࿸ᦔ࿸ᦘ࿸ᦜ࿸ᦠ࿸ᦤ࿸ᦨ࿸᦬࿸ᦰ࿸ᦴ࿸ᦸ࿸ᦼ࿸ᧀ࿸ᧄ࿸ᧈ࿸᧌࿸᧐࿸᧔࿸᧘࿸᧜࿸᧠࿸᧤࿸᧨࿸᧬࿸᧰࿸᧴࿸᧸࿸᧼࿸ᨀ࿸ᨄ࿸ᨈ࿸ᨌ࿸ᨐ࿸ᨔ࿸ᨘ࿸᨜࿸ᨠ࿸ᨤ࿸ᨨ࿸ᩀ࿸ᩄ࿸ᩈ࿸ᩌ࿸ᩐ࿸ᩔ࿸ᩘ࿸ᩜ࿸᩠࿸ᩤ࿸ᩨ࿸ᩬ࿸ᩰ࿸ᩴ࿸᩸࿸᩼࿸᪀࿸᪄࿸᪈࿸᪌࿸᪐࿸᪔࿸᪘࿸᪜࿸᪠࿸᪤࿸᪨࿸᪬࿸᪰࿸᪴࿸᪸࿸᪼࿸ᫀ࿸᫄࿸᫈࿸ᫌ࿸᫐࿸᫔࿸᫘࿸᫜࿸᫠࿸᫤࿸᫨࿸᫬࿸᫰࿸᫴࿸᫸࿸᫼࿸ᬀ࿸ᬄ࿸ᬈ࿸ᬌ࿸ᬐ࿸ᬔ࿸ᬘ࿸ᬜ࿸᬴࿸ᬸ࿸ᬼ࿸ᭀ࿸᭄࿸ᭈ࿸ᭌ࿸᭐࿸᭔࿸᭘࿸᭜࿸᭠࿸᭤࿸᭨࿸᭬࿸᭰࿸᭴࿸᭸࿸᭼࿸ᮀ࿸ᮄ࿸ᮈ࿸ᮌ࿸ᮐ࿸ᮔ࿸ᮘ࿸ᮜ࿸ᮠ࿸ᮤ࿸ᮨ࿸ᮬ࿸᮰࿸᮴࿸᮸࿸ᮼ࿸ᯀ࿸ᯄ࿸ᯈ࿸ᯌ࿸ᯐ࿸ᯔ࿸ᯘ࿸ᯜ࿸ᯠ࿸ᯤ࿸ᯨ࿸ᯬ࿸ᯰ࿸᯴࿸᯸࿸᯼࿸ᰀ࿸ᰄ࿸ᰈ࿸ᰌ࿸ᰐ࿸ᰨ࿸ᰬ࿸ᰰ࿸ᰴ࿸᰸࿸᰼࿸᱀࿸᱄࿸᱈࿸᱌࿸᱐࿸᱔࿸᱘࿸ᱜ࿸ᱠ࿸ᱤ࿸ᱨ࿸ᱬ࿸ᱰ࿸ᱴ࿸ᱸ࿸ᱼ࿸ᲀ࿸ᲄ࿸ᲈ࿸᲌࿸Ა࿸Ე࿸Ი࿸Ნ࿸Რ࿸Ფ࿸Შ࿸Წ࿸Ჰ࿸Ჴ࿸Ჸ࿸᲼࿸᳀࿸᳄࿸᳈࿸᳌࿸᳐࿸᳔࿸᳘࿸᳜࿸᳠࿸᳤࿸᳨࿸ᳬ࿸ᳰ࿸᳴࿸᳸࿸᳼࿸ᴀ࿸ᴄ࿸ᴜ࿸ᴠ࿸ᴤ࿸ᴨ࿸ᴬ࿸ᴰ࿸ᴴ࿸ᴸ࿸ᴼ࿸ᵀ࿸ᵄ࿸ᵈ࿸ᵌ࿸ᵐ࿸ᵔ࿸ᵘ࿸ᵜ࿸ᵠ࿸ᵤ࿸ᵨ࿸ᵬ࿸ᵰ࿸ᵴ࿸ᵸ࿸ᵼ࿸ᶀ࿸ᶄ࿸ᶈ࿸ᶌ࿸ᶐ࿸ᶔ࿸ᶘ࿸ᶜ࿸ᶠ࿸ᶤ࿸ᶨ࿸ᶬ࿸ᶰ࿸ᶴ࿸ᶸ࿸ᶼ࿸᷀࿸᷄࿸᷈࿸᷌࿸᷐࿸ᷔ࿸ᷘ࿸ᷜ࿸ᷠ࿸ᷤ࿸ᷨ࿸ᷬ࿸ᷰ࿸ᷴ࿸᷸࿸Ḑ࿸Ḕ࿸Ḙ࿸Ḝ࿸Ḡ࿸Ḥ࿸Ḩ࿸Ḭ࿸Ḱ࿸Ḵ࿸Ḹ࿸Ḽ࿸Ṁ࿸Ṅ࿸Ṉ࿸Ṍ࿸Ṑ࿸Ṕ࿸Ṙ࿸Ṝ࿸Ṡ࿸Ṥ࿸Ṩ࿸Ṭ࿸Ṱ࿸Ṵ࿸Ṹ࿸Ṽ࿸饣᝚ퟤࠠ쀠,濸͝&#10;타ꖐ₇蠀偆噄ø넀ސЀĀ翿&#10;ÿ䙨އÿ翿ꖰ₇耀b9◀᷄◨᷄☐᷄☸᷄♠᷄⚈᷄⛘᷄❐᷄➠᷄⟰᷄⡨᷄⢸᷄⤈᷄⦀᷄⧸᷄⩰᷄⫀᷄⬸᷄⮈᷄⯘᷄ⱐ᷄Ⲡ᷄⳰᷄ⵀ᷄ⶐ᷄ⷠ᷄⸰᷄⺨᷄⻸᷄⽈᷄⿀᷄〸᷄よ᷄㄀᷄ㅐ᷄㇈᷄㉀᷄㊐᷄㋠᷄㌰᷄㎀᷄㏐᷄㑈᷄㓀᷄㔐᷄㖈᷄㘀᷄㙐᷄㚠᷄㜘᷄㝨᷄㞸᷄㠈᷄㢀᷄㣐᷄㤠᷄㥰᷄杻᷃ꗐ₇.耀&quot;:◀᷄◨᷄☐᷄☸᷄♠᷄⚈᷄⛘᷄❐᷄➠᷄⟰᷄⡨᷄⢸᷄⤈᷄⦀᷄⧸᷄⩰᷄⫀᷄⬸᷄⮈᷄⯘᷄ⱐ᷄Ⲡ᷄⳰᷄ⵀ᷄ⶐ᷄ⷠ᷄⸰᷄⺨᷄⻸᷄⽈᷄⿀᷄〸᷄よ᷄㄀᷄ㅐ᷄㇈᷄㉀᷄㊐᷄㋠᷄㌰᷄㎀᷄㏐᷄㑈᷄㓀᷄㔐᷄㖈᷄㘀᷄㙐᷄㚠᷄㜘᷄㝨᷄㞸᷄㠈᷄㢀᷄㣐᷄㤠᷄㥰᷄㧀᷄ꗰ₇耀₇N耀Æ痷袠痷Ϩ鮨ֱ跼痷覈痷趨痷뮤痵믈痵踜痷믜痵뮴痵䑐㠹ٸ痵۞痵ꐐ₇耀¢ӘӘB⑍骓₇馛耀÷痷袠痷Ϩ娐ׄ跼痷覈痷趨痷뮤痵믈痵踜痷믜痵뮴痵䑐㠹ꐰ₇耀Â痵䐞痵.ӘӘꑐ₇耀â₇耀痷袠痷Ϩ鵀ֱ跼痷覈痷趨痷뮤痵믈痵踜痷믜痵뮴痵䑐㠹ٸ痵۞痵ꑰ₇耀Ăཔཔ₇耀Ĩ痷袠痷Ϩ尐ׄ跼痷覈痷趨痷뮤痵믈痵踜痷믜痵뮴痵䑐㠹꒐₇耀Ģ䎸痵䐞痵.པ꒰₇耀łosta₇d耀ř trabajoHꂞ흘䳑꠴ꞵ耿d₇耀ŪEstadoꓐ₇ 耀Ţovincia del trabajoI硿䑯Ⴤ䇋쒦͍啃霕dʡ₇耀ƊCalle del trabajoꓰ₇耀Ƃ₇耀ƗJ䘏삿䕓䌐逼낏dʡFax del trabajoꌐ₇耀Ƣ₇耀ƻK釯⸧䋊㺓饼뺟଱dʡPágina principal₇e耀Ǆtrabajoꌰ₇耀ǂLठ嘱⒑䤙캙暴닽dʡTeléfono del trabajo₇耀Ǭꍐ₇M耀Ǣ樕ਞ䳗₇즰耀ǱʡNúmero de devolución de llamadaN퇃뽓䧠使枅艚訝䋅dꍰ₇耀ȂTeléfono del automóvil₇耀ȝ₇耀ȞO淪远뤩䄫邺稹琥﹥dʡHijoꎐ₇耀ȢP霄푲軱䏯⒐팫ᢁ핿dʡTe₇f耀Ɏ₇ 耀ɋincipal de ꎰ₇ 耀ɂpresaQ薉恀䜽熱꡿➜dʡDepartamentoꏐ₇耀ɢ₇耀ɸ猆ﲟﾏ䵉뚟︿₇d耀ɿʡDirección de correo electrónicoꏰ₇耀ʂS羣턫䞅亊ᩩdʡCorreo electrónico 2₇耀ʥ₇耀ʰꈐ₇耀ʢ偣㢖䉨醄犷爱⧏dʡCorreo electrónico 3U㞴摍䮭馰籾阄쩪dꈰ₇ʡ耀˂₇耀˒ista de correos electrónicos₇耀ˡV蓘頝䒳ᖖ姇멭dʡNoꉐ₇r耀ˢpara mostrar de correo electrónico₇耀˿W伤챯悃䯔咇䵧롺dʡArchivo como₇耀ꉰ₇耀̂X䪧鲧䃶￹dʡNombre₇耀̬ꊐ₇耀̢Y硄ᒗ歉䪭ᒧ冤怄dʡ₇耀̓Nombre completoꊰ₇耀͂Z遑捞傥䮢큎읖陲d₇耀͙Sexoꋐ₇耀͢₇[耀ʹ㲌퓰䳹嚷嵎䐤쵻dʡNombre propio₇耀Ά\옼᝭⚈争䎁䞣ྀFꋰ₇耀΂Aficiones₇耀Υ]┿巂帑䫟ﺜඑỐ瀾dʡꄐ₇r耀΢ción partic₇a耀γ^荔飹慺䚸悅᭛뽤褟dʡCiudad del domicilꄰ₇耀ς₇耀_옼᝭⚈争₇ྀ耀ʡPaís o región del domicilioꅐ₇耀`媡ࢦ䏝㶣纎薭dʡApartado de correos del domicilioa掙箟ਿ䬒붉쥑꼘dʡCódigo postal del domicilio博퀦ࠠ唸׃鴀ޏ타㒈╨谀菱怬톔怤廊怬炘͜ᳬ怞늀׀㒁╨谀菱怬톔怤廊怬炘͜ᳬ怞닐׀㒖╨谀菱怬톔怤廊怬炘͜ᳬ怞댠׀㒯╨谀菱怬톔怤廊怬炘͜ᳬ怞데׀㒤╨谀菱怬톔怤廊怬炘͜ᳬ怞돨׀㒽╨谀菱怬톔怤廊怬炘͜ᳬ怞됸׀㒲╨谀菱怬톔怤廊怬炘͜ᳬ怞뒰׀㓋╨谀菱怬톔怤廊怬炘͜ᳬ怞딀׀㓀╨谀菱怬톔怤廊怬炘͜ᳬ怞땸׀㓙╨谀菱怬톔怤廊怬炘͜ᳬ怞뗈׀㓮╨谀菱怬톔怤廊怬炘͜ᳬ怞똘׀㓧╨谀菱怬톔怤廊怬炘͜ᳬ怞뙨׀㓼╨谀菱怬톔怤廊怬炘͜ᳬ怞뚸׀㓵╨谀菱怬톔怤廊怬炘͜ᳬ怞뜰׀㔊╨谀菱怬톔怤廊怬炘͜ᳬ怞램׀㔃╨谀菱怬톔怤廊怬炘͜ᳬ怞럸׀㔘╨谀菱怬톔怤廊怬炘͜ᳬ怞롰׀㔑╨谀菱怬톔怤廊怬炘͜ᳬ怞루׀㔦╨谀菱怬톔怤廊怬炘͜ᳬ怞뤸׀㔿╨谀菱怬톔怤廊怬炘͜ᳬ怞릈׀㔴╨谀菱怬톔怤廊怬炘͜ᳬ怞먀׀㕍╨谀菱怬톔怤廊怬炘͜ᳬ怞멐׀㕂╨谀菱怬톔怤廊怬炘͜ᳬ怞몠׀㕛╨谀菱怬톔怤廊怬炘͜ᳬ怞묘׀㕐╨谀菱怬톔怤廊怬炘͜ᳬ怞뭨׀㕩╨谀菱怬톔怤廊怬炘͜ᳬ怞뮸׀㕾╨谀菱怬톔怤廊怬炘͜ᳬ怞배׀㕷╨谀菱怬톔怤廊怬炘͜ᳬ怞벀׀㖌╨谀菱怬톔怤廊怬炘͜ᳬ怞본׀㖅╨谀菱怬톔怤廊怬炘͜ᳬ怞뵈׀㖚╨谀菱怬톔怤廊怬炘͜ᳬ怞뷀׀㖓╨谀菱怬톔怤廊怬炘͜ᳬ怞븐׀㖨╨谀菱怬톔怤廊怬炘͜ᳬ怞빠׀㖡╨谀菱怬톔怤廊怬炘͜ᳬ怞뺰׀㖶╨谀菱怬톔怤廊怬炘͜ᳬ怞뼨׀㗏╨谀菱怬톔怤廊怬炘͜ᳬ怞뽸׀㗄╨谀菱怬톔怤廊怬炘͜ᳬ怞뿈׀㗝╨谀菱怬톔怤廊怬炘͜ᳬ怞쀘׀㗒╨谀菱怬톔怤廊怬炘͜ᳬ怞쁨׀㗫╨谀菱怬톔怤廊怬炘͜ᳬ怞삸׀㗠╨谀菱怬톔怤廊怬炘͜ᳬ怞섈׀㗹╨谀菱怬톔怤廊怬炘͜ᳬ怞솀׀㨎╨谀菱怬톔怤廊怬炘͜ᳬ怞쇐׀㨇╨谀菱怬톔怤廊怬炘͜ᳬ怞술׀㨜╨谀菱怬톔怤廊怬炘͜ᳬ怞슘׀㨕╨谀菱怬톔怤廊怬炘͜ᳬ怞싨׀㨪╨谀菱怬톔怤廊怬炘͜ᳬ怞쌸׀㨣╨谀菱怬톔怤廊怬炘͜ᳬ怞쎰׀㨸╨谀菱怬톔怤廊怬炘͜ᳬ怞쐀׀㨱╨谀菱怬톔怤廊怬炘͜ᳬ怞쑸׀㩆╨谀菱怬톔怤廊怬炘͜ᳬ怞쓈׀㩟╨谀菱怬톔怤廊怬炘͜ᳬ怞씘׀㩔╨谀菱怬톔怤廊怬炘͜ᳬ怞얐׀㩭╨谀菱怬톔怤廊怬炘͜ᳬ怞엠׀㩢╨谀菱怬톔怤廊怬炘͜ᳬ怞옰׀㩻╨谀菱怬톔怤廊怬炘͜ᳬ怞욀׀㩰╨谀菱怬톔怤廊怬炘͜ᳬ怞웸׀㪉╨谀菱怬톔怤廊怬炘͜ᳬ怞읰׀㪞╨谀菱怬톔怤廊怬炘͜ᳬ怞쟀׀㪗╨谀菱怬톔怤廊怬炘͜ᳬ怞점׀㪬╨谀菱怬톔怤廊怬炘͜ᳬ怞좈׀㪥╨谀菱怬톔怤廊怬炘͜ᳬ怞죘׀㪺╨谀菱怬톔怤廊怬炘͜ᳬ怞쥐׀㪳╨谀菱怬톔怤廊怬炘͜ᳬ怞즠׀㫈╨谀菱怬톔怤廊怬炘͜ᳬ怞쨘׀㫁╨谀菱怬톔怤廊怬炘͜ᳬ怞쩨׀㫖╨谀菱怬톔怤廊怬炘͜ᳬ怞쪸׀㫯╨谀菱怬톔怤廊怬炘͜ᳬ怞쬈׀㫤╨谀菱怬톔怤廊怬炘͜ᳬ怞쭘׀㫽╨谀菱怬톔怤廊怬炘͜ᳬ怞쮨׀㫲╨谀菱怬톔怤廊怬炘͜ᳬ怞쯸׀㬋╨谀菱怬톔怤廊怬炘͜ᳬ怞챰׀㬀╨谀菱怬톔怤廊怬炘͜ᳬ怞쳀׀㬙╨谀菱怬톔怤廊怬炘͜ᳬ怞촐׀㬮╨谀菱怬톔怤廊怬炘͜ᳬ怞쵠׀㬧╨谀菱怬톔怤廊怬炘͜ᳬ怞췘׀㬼╨谀菱怬톔怤廊怬炘͜ᳬ怞츨׀㬵╨谀菱怬톔怤廊怬炘͜ᳬ怞칸׀㭊╨谀菱怬톔怤廊怬炘͜ᳬ怞컰׀㭃╨谀菱怬톔怤廊怬炘͜ᳬ怞콀׀㭘╨谀菱怬톔怤廊怬炘͜ᳬ怞쾐׀㭑╨谀菱怬톔怤廊怬炘͜ᳬ怞쿠׀㭦╨谀菱怬톔怤廊怬炘͜ᳬ怞큘׀㭿╨谀菱怬톔怤廊怬炘͜ᳬ怞탐׀㭴╨谀菱怬톔怤廊怬炘͜ᳬ怞턠׀㮍╨谀菱怬톔怤廊怬炘͜ᳬ怞텰׀㮂╨谀菱怬톔怤廊怬炘͜ᳬ怞퇀׀㮛╨谀菱怬톔怤廊怬炘͜ᳬ怞툸׀㮐╨谀菱怬톔怤廊怬炘͜ᳬ怞튈׀㮩╨谀菱怬톔怤廊怬炘͜ᳬ怞틘׀㮾╨谀菱怬톔怤廊怬炘͜ᳬ怞패׀㮷╨谀菱怬톔怤廊怬炘͜ᳬ怞퍸׀㯌╨谀菱怬톔怤廊怬炘͜ᳬ怞폈׀㯅╨谀菱怬톔怤廊怬炘͜ᳬ怞푀׀㯚╨谀菱怬톔怤廊怬炘͜ᳬ怞풐׀㯓╨谀菱怬톔怤廊怬炘͜ᳬ怞퓠׀㯨╨谀菱怬톔怤廊怬炘͜ᳬ怞픰׀㯡╨谀菱怬톔怤廊怬炘͜ᳬ怞햀׀㯶╨谀菱怬톔怤廊怬炘͜ᳬ怞헸׀㠏╨谀菱怬톔怤廊怬炘͜ᳬ怞홰׀㠄╨谀菱怬톔怤廊怬炘͜ᳬ怞훀׀㠝╨谀菱怬톔怤廊怬炘͜ᳬ怞휐׀㠒╨谀菱怬톔怤廊怬炘͜ᳬ怞히׀㠫╨谀菱怬톔怤廊怬炘͜ᳬ怞ퟘ׀㠠╨谀菱怬톔怤廊怬炘͜ᳬ怞׀㠹╨谀菱怬톔怤廊怬炘͜ᳬ怞׀㡎╨谀菱怬톔怤廊怬炘͜ᳬ怞׀㡇╨谀菱怬톔怤廊怬炘͜ᳬ怞׀㡜╨谀菱怬톔怤廊怬炘͜ᳬ怞׀㡕╨谀菱怬톔怤廊怬炘͜ᳬ怞׀㡪╨谀菱怬톔怤廊怬炘͜ᳬ怞׀㡣╨谀菱怬톔怤廊怬炘͜ᳬ怞׀㡸╨谀菱怬톔怤廊怬炘͜ᳬ怞׀㡱╨谀菱怬톔怤廊怬炘͜ᳬ怞׀㢆╨谀菱怬톔怤廊怬炘͜ᳬ怞׀㢟╨谀菱怬톔怤廊怬炘͜ᳬ怞׀㢔╨谀菱怬톔怤廊怬炘͜ᳬ怞׀㢭╨谀菱怬톔怤廊怬炘͜ᳬ怞׀㢢╨谀菱怬톔怤廊怬炘͜ᳬ怞׀㢻╨谀菱怬톔怤廊怬炘͜ᳬ怞׀㢰╨谀菱怬톔怤廊怬炘͜ᳬ怞׀㣉╨谀菱怬톔怤廊怬炘͜ᳬ怞׀㣞╨谀菱怬톔怤廊怬炘͜ᳬ怞׀㣗╨谀菱怬톔怤廊怬炘͜ᳬ怞׀㣬╨谀菱怬톔怤廊怬炘͜ᳬ怞׀㣥╨谀菱怬톔怤廊怬炘͜ᳬ怞׀㣺╨谀菱怬톔怤廊怬炘͜ᳬ怞׀㣳╨谀菱怬톔怤廊怬炘͜ᳬ怞׀㤈╨谀菱怬톔怤廊怬炘͜ᳬ怞׀㤁╨谀菱怬톔怤廊怬炘͜ᳬ怞׀㤖╨谀菱怬톔怤廊怬炘͜ᳬ怞׀㤯╨谀菱怬톔怤廊怬炘͜ᳬ怞׀㤤╨谀菱怬톔怤廊怬炘͜ᳬ怞׀㤽╨谀菱怬톔怤廊怬炘͜ᳬ怞׀㤲╨谀菱怬톔怤廊怬炘͜ᳬ怞׀㥋╨谀菱怬톔怤廊怬炘͜ᳬ怞׀㥀╨谀菱怬톔怤廊怬炘͜ᳬ怞׀㥙╨谀菱怬톔怤廊怬炘͜ᳬ怞׀㥮╨谀菱怬톔怤廊怬炘͜ᳬ怞׀㥧╨谀菱怬톔怤廊怬炘͜ᳬ怞׀㥼╨谀菱怬톔怤廊怬炘͜ᳬ怞׀㥵╨谀菱怬톔怤廊怬炘͜ᳬ怞׀㦊╨谀菱怬톔怤廊怬炘͜ᳬ怞׀㦃╨谀菱怬톔怤廊怬炘͜ᳬ怞׀㦘╨谀菱怬톔怤廊怬炘͜ᳬ怞׀㦑╨谀菱怬톔怤廊怬炘͜ᳬ怞׀㦦╨谀菱怬톔怤廊怬炘͜ᳬ怞׀㦿╨谀菱怬톔怤廊怬炘͜ᳬ怞׀㦴╨谀菱怬톔怤廊怬炘͜ᳬ怞׀㧍╨谀菱怬톔怤廊怬炘͜ᳬ怞׀㧂╨谀菱怬톔怤廊怬炘͜ᳬ怞׀㧛╨谀菱怬톔怤廊怬炘͜ᳬ怞׀㧐╨谀菱怬톔怤廊怬炘͜ᳬ怞׀㧩╨谀菱怬톔怤廊怬炘͜ᳬ怞׀㧾╨谀菱怬톔怤廊怬炘͜ᳬ怞׀㧷╨谀菱怬톔怤廊怬炘͜ᳬ怞׀㸌╨谀菱怬톔怤廊怬炘͜ᳬ怞׀㸅╨谀菱怬톔怤廊怬炘͜ᳬ怞׀㸚╨谀菱怬톔怤廊怬炘͜ᳬ怞׀㸓╨谀菱怬톔怤廊怬炘͜ᳬ怞׀㸨╨谀菱怬톔怤廊怬炘͜ᳬ怞׀㸡╨谀菱怬톔怤廊怬炘͜ᳬ怞׀㸶╨谀菱怬톔怤廊怬炘͜ᳬ怞׀㹏╨谀菱怬톔怤廊怬炘͜ᳬ怞׀㹄╨谀菱怬톔怤廊怬炘͜ᳬ怞׀㹝╨谀菱怬톔怤廊怬炘͜ᳬ怞׀㹒╨谀菱怬톔怤廊怬炘͜ᳬ怞׀㹫╨谀菱怬톔怤廊怬炘͜ᳬ怞׀㹠╨谀菱怬톔怤廊怬炘͜ᳬ怞׀㹹╨谀菱怬톔怤廊怬炘͜ᳬ怞׀㺎╨谀菱怬톔怤廊怬炘͜ᳬ怞׀㺇╨谀菱怬톔怤廊怬炘͜ᳬ怞׀㺜╨谀菱怬톔怤廊怬炘͜ᳬ怞׀㺕╨谀菱怬톔怤廊怬炘͜ᳬ怞׀㺪╨谀菱怬톔怤廊怬炘͜ᳬ怞׀㺣╨谀菱怬톔怤廊怬炘͜ᳬ怞׀㺸╨谀菱怬톔怤廊怬炘͜ᳬ怞׀㺱╨谀菱怬톔怤廊怬炘͜ᳬ怞׀㻆╨谀菱怬톔怤廊怬炘͜ᳬ怞׀㻟╨谀菱怬톔怤廊怬炘͜ᳬ怞׀㻔╨谀菱怬톔怤廊怬炘͜ᳬ怞鴘ޏ㻭╨谀菱怬톔怤廊怬炘͜ᳬ怞鶐ޏ㻢╨谀菱怬톔怤廊怬炘͜ᳬ怞鷠ޏ㻻╨谀菱怬톔怤廊怬炘͜ᳬ怞鸰ޏ㻰╨谀菱怬톔怤廊怬炘͜ᳬ怞麨ޏ㼉╨谀菱怬톔怤廊怬炘͜ᳬ怞黸ޏ㼞╨谀菱怬톔怤廊怬炘͜ᳬ怞齈ޏ㼗╨谀菱怬톔怤廊怬炘͜ᳬ怞鿀ޏ㼬╨谀菱怬톔怤廊怬炘͜ᳬ怞ꀸޏ㼥╨谀菱怬톔怤廊怬炘͜ᳬ怞ꂈޏ㼺╨谀菱怬톔怤廊怬炘͜ᳬ怞ꃘޏ㼳╨谀菱怬톔怤廊怬炘͜ᳬ怞ꅐޏ㽈╨谀菱怬톔怤廊怬炘͜ᳬ怞ꆠޏ㽁╨谀菱怬톔怤廊怬炘͜ᳬ怞ꈘޏ㽖╨谀菱怬톔怤廊怬炘͜ᳬ怞ꉨޏ㽯╨谀菱怬톔怤廊怬炘͜ᳬ怞ꊸޏ㽤╨谀菱怬톔怤廊怬炘͜ᳬ怞ꌰޏ㽽╨谀菱怬톔怤廊怬炘͜ᳬ怞ꎨޏ㽲╨谀菱怬톔怤廊怬炘͜ᳬ怞ꏸޏ㾋╨谀菱怬톔怤廊怬炘͜ᳬ怞ꑈޏ㾀╨谀菱怬톔怤廊怬炘͜ᳬ怞꓀ޏ㾙╨谀菱怬톔怤廊怬炘͜ᳬ怞ꔐޏ㾮╨谀菱怬톔怤廊怬炘͜ᳬ怞ꕠޏ㾧╨谀菱怬톔怤廊怬炘͜ᳬ怞ꗘޏ㾼╨谀菱怬톔怤廊怬炘͜ᳬ怞Ꙑޏ㾵╨谀菱怬톔怤廊怬炘͜ᳬ怞ꚠޏ㿊╨谀菱怬톔怤廊怬炘͜ᳬ怞꛰ޏ㿃╨谀菱怬톔怤廊怬炘͜ᳬ怞Ꝩޏ㿘╨谀菱怬톔怤廊怬炘͜ᳬ怞꟠ޏ㿑╨谀菱怬톔怤廊怬炘͜ᳬ怞ꡘޏ㿦╨谀菱怬톔怤廊怬炘͜ᳬ怞ꢨޏ㿿╨谀菱怬톔怤廊怬炘͜ᳬ怞ꤠޏ㿴╨谀菱怬톔怤廊怬炘͜ᳬ怞ꥰޏ㰍╨谀菱怬톔怤廊怬炘͜ᳬ怞ꧨޏ㰂╨谀菱怬톔怤廊怬炘͜ᳬ怞꨸ޏ㰛╨谀菱怬톔怤廊怬炘͜ᳬ怞ꪰޏ㰐╨谀菱怬톔怤廊怬炘͜ᳬ怞꬀ޏ㰩╨谀菱怬톔怤廊怬炘͜ᳬ怞ꭸޏ㰾╨谀菱怬톔怤廊怬炘͜ᳬ怞ꯈޏ㰷╨谀菱怬톔怤廊怬炘͜ᳬ怞걀ޏ㱌╨谀菱怬톔怤廊怬炘͜ᳬ怞겐ޏ㱅╨谀菱怬톔怤廊怬炘͜ᳬ怞고ޏ㱚╨谀菱怬톔怤廊怬炘͜ᳬ怞굘ޏ㱓╨谀菱怬톔怤廊怬炘͜ᳬ怞궨ޏ㱨╨谀菱怬톔怤廊怬炘͜ᳬ怞긠ޏ㱡╨谀菱怬톔怤廊怬炘͜ᳬ怞깰ޏ㱶╨谀菱怬톔怤廊怬炘͜ᳬ怞껀ޏ㲏╨谀菱怬톔怤廊怬炘͜ᳬ怞꼐ޏ㲄╨谀菱怬톔怤廊怬炘͜ᳬ怞꽠ޏ㲝╨谀菱怬톔怤廊怬炘͜ᳬ怞꾰ޏ㲒╨谀菱怬톔怤廊怬炘͜ᳬ怞뀨ޏ㲫╨谀菱怬톔怤廊怬炘͜ᳬ怞끸ޏ㲠╨谀菱怬톔怤廊怬炘͜ᳬ怞냰ޏ㲹╨谀菱怬톔怤廊怬炘͜ᳬ怞녀ޏ㳎╨谀菱怬톔怤廊怬炘͜ᳬ怞놐ޏ㳇╨谀菱怬톔怤廊怬炘͜ᳬ怞눈ޏ㳜╨谀菱怬톔怤廊怬炘͜ᳬ怞뉘ޏ㳕╨谀菱怬톔怤廊怬炘͜ᳬ怞닐ޏ㳪╨谀菱怬톔怤廊怬炘͜ᳬ怞댠ޏ㳣╨谀菱怬톔怤廊怬炘͜ᳬ怞됐ޏ㳸╨谀菱怬톔怤廊怬炘͜ᳬ怞둠ޏ㳱╨谀菱怬톔怤廊怬炘͜ᳬ怞뒰ޏ㴆╨谀菱怬톔怤廊怬炘͜ᳬ怞딀ޏ㴟╨谀菱怬톔怤廊怬炘͜ᳬ怞땐ޏ㴔╨谀菱怬톔怤廊怬炘͜ᳬ怞뗈ޏ㴭╨谀菱怬톔怤廊怬炘͜ᳬ怞똘ޏ㴢╨谀菱怬톔怤廊怬炘͜ᳬ怞뚐ޏ㴻╨谀菱怬톔怤廊怬炘͜ᳬ怞뛠ޏ㴰╨谀菱怬톔怤廊怬炘͜ᳬ怞뜰ޏ㵉╨谀菱怬톔怤廊怬炘͜ᳬ怞램ޏ㵞╨谀菱怬톔怤廊怬炘͜ᳬ怞렠ޏ㵗╨谀菱怬톔怤廊怬炘͜ᳬ怞롰ޏ㵬╨谀菱怬톔怤廊怬炘͜ᳬ怞룀ޏ㵥╨谀菱怬톔怤廊怬炘͜ᳬ怞뤸ޏ㵺╨谀菱怬톔怤廊怬炘͜ᳬ怞린ޏ㵳╨谀菱怬톔怤廊怬炘͜ᳬ怞먀ޏ㶈╨谀菱怬톔怤廊怬炘͜ᳬ怞멸ޏ㶁╨谀菱怬톔怤廊怬炘͜ᳬ怞뫰ޏ㶖╨谀菱怬톔怤廊怬炘͜ᳬ怞뭀ޏ㶯╨谀菱怬톔怤廊怬炘͜ᳬ怞뮐ޏ㶤╨谀菱怬톔怤廊怬炘͜ᳬ怞믠ޏ㶽╨谀菱怬톔怤廊怬炘͜ᳬ怞배ޏ㶲╨谀菱怬톔怤廊怬炘͜ᳬ怞벨ޏ㷋╨谀菱怬톔怤廊怬炘͜ᳬ怞본ޏ㷀╨谀菱怬톔怤廊怬炘͜ᳬ怞뵈ޏ㷙╨谀菱怬톔怤廊怬炘͜ᳬ怞뷀ޏ㷮╨谀菱怬톔怤廊怬炘͜ᳬ怞븸ޏ㷧╨谀菱怬톔怤廊怬炘͜ᳬ怞뺈ޏ㷼╨谀菱怬톔怤廊怬炘͜ᳬ怞뼀ޏ㷵╨谀菱怬톔怤廊怬炘͜ᳬ怞뽐ޏȊ╨谀菱怬톔怤廊怬炘͜ᳬ怞뿈ޏȃ╨谀菱怬톔怤廊怬炘͜ᳬ怞쀘ޏȘ╨谀菱怬톔怤廊怬炘͜ᳬ怞삐ޏȑ╨谀菱怬톔怤廊怬炘͜ᳬ怞섈ޏȦ╨谀菱怬톔怤廊怬炘͜ᳬ怞션ޏȿ╨谀菱怬톔怤廊怬炘͜ᳬ怞쇐ޏȴ╨谀菱怬톔怤廊怬炘͜ᳬ怞쉈ޏɍ╨谀菱怬톔怤廊怬炘͜ᳬ怞싀ޏɂ╨谀菱怬톔怤廊怬炘͜ᳬ怞쌐ޏɛ╨谀菱怬톔怤廊怬炘͜ᳬ怞쎈ޏɐ╨谀菱怬톔怤廊怬炘͜ᳬ怞쏘ޏɩ╨谀菱怬톔怤廊怬炘͜ᳬ怞쐨ޏɾ╨谀菱怬톔怤廊怬炘͜ᳬ怞쒠ޏɷ╨谀菱怬톔怤廊怬炘͜ᳬ怞쓰ޏʌ╨谀菱怬톔怤廊怬炘͜ᳬ怞앀ޏʅ╨谀菱怬톔怤廊怬炘͜ᳬ怞얐ޏʚ╨谀菱怬톔怤廊怬炘͜ᳬ怞예ޏʓ╨谀菱怬톔怤廊怬炘͜ᳬ怞욀ޏʨ╨谀菱怬톔怤廊怬炘͜ᳬ怞원ޏʡ╨谀菱怬톔怤廊怬炘͜ᳬ怞유ޏʶ╨谀菱怬톔怤廊怬炘͜ᳬ怞읰ޏˏ╨谀菱怬톔怤廊怬炘͜ᳬ怞쟀ޏ˄╨谀菱怬톔怤廊怬炘͜ᳬ怞점ޏ˝╨谀菱怬톔怤廊怬炘͜ᳬ怞좈ޏ˒╨谀菱怬톔怤廊怬炘͜ᳬ怞죘ޏ˫╨谀菱怬톔怤廊怬炘͜ᳬ怞줨ޏˠ╨谀菱怬톔怤廊怬炘͜ᳬ怞쥸ޏ˹╨谀菱怬톔怤廊怬炘͜ᳬ怞질ޏ̎╨谀菱怬톔怤廊怬炘͜ᳬ怞쨘ޏ̇╨谀菱怬톔怤廊怬炘͜ᳬ怞쪐ޏ̜╨谀菱怬톔怤廊怬炘͜ᳬ怞쫠ޏ̕╨谀菱怬톔怤廊怬炘͜ᳬ怞쬰ޏ̪╨谀菱怬톔怤廊怬炘͜ᳬ怞쮀ޏ̣╨谀菱怬톔怤廊怬炘͜ᳬ怞쯐ޏ̸╨谀菱怬톔怤廊怬炘͜ᳬ怞찠ޏ̱╨谀菱怬톔怤廊怬炘͜ᳬ怞처ޏ͆╨谀菱怬톔怤廊怬炘͜ᳬ怞쳨ޏ͟╨谀菱怬톔怤廊怬炘͜ᳬ怞쵠ޏ͔╨谀菱怬톔怤廊怬炘͜ᳬ怞춰ޏͭ╨谀菱怬톔怤廊怬炘͜ᳬ怞츨ޏ͢╨谀菱怬톔怤廊怬炘͜ᳬ怞칸ޏͻ╨谀菱怬톔怤廊怬炘͜ᳬ怞컈ޏͰ╨谀菱怬톔怤廊怬炘͜ᳬ怞콀ޏΉ╨谀菱怬톔怤廊怬炘͜ᳬ怞쾐ޏΞ╨谀菱怬톔怤廊怬炘͜ᳬ怞쿠ޏΗ╨谀菱怬톔怤廊怬炘͜ᳬ怞퀰ޏά╨谀菱怬톔怤廊怬炘͜ᳬ怞킨ޏΥ╨谀菱怬톔怤廊怬炘͜ᳬ怞탸ޏκ╨谀菱怬톔怤廊怬炘͜ᳬ怞텈ޏγ╨谀菱怬톔怤廊怬炘͜ᳬ怞톘ޏψ╨谀菱怬톔怤廊怬炘͜ᳬ怞퇨ޏρ╨谀菱怬톔怤廊怬炘͜ᳬ怞툸ޏϖ╨谀菱怬톔怤廊怬炘͜ᳬ怞튈ޏϯ╨谀菱怬톔怤廊怬炘͜ᳬ怞팀ޏϤ╨谀菱怬톔怤廊怬炘͜ᳬ怞퍐ޏϽ╨谀菱怬톔怤廊怬炘͜ᳬ怞펠ޏϲ╨谀菱怬톔怤廊怬炘͜ᳬ怞퐘ޏ╨谀菱怬톔怤廊怬炘͜ᳬ怞풐ޏ╨谀菱怬톔怤廊怬炘͜ᳬ怞퓠ޏ╨谀菱怬톔怤廊怬炘͜ᳬ怞하ޏ.╨谀菱怬톔怤廊怬炘͜ᳬ怞햨ޏ'╨谀菱怬톔怤廊怬炘͜ᳬ怞혠ޏ&lt;╨谀菱怬톔怤廊怬炘͜ᳬ怞홰ޏ5╨谀菱怬톔怤廊怬炘͜ᳬ怞훨ޏJ╨谀菱怬톔怤廊怬炘͜ᳬ怞휸ޏC╨谀菱怬톔怤廊怬炘͜ᳬ怞히ޏX╨谀菱怬톔怤廊怬炘͜ᳬ怞ퟘޏQ╨谀菱怬톔怤廊怬炘͜ᳬ怞ޏf╨谀菱怬톔怤廊怬炘͜ᳬ怞ޏ╨谀菱怬톔怤廊怬炘͜ᳬ怞ޏt╨谀菱怬톔怤廊怬炘͜ᳬ怞ޏ╨谀菱怬톔怤廊怬炘͜ᳬ怞ޏ╨谀菱怬톔怤廊怬炘͜ᳬ怞ޏ╨谀菱怬톔怤廊怬炘͜ᳬ怞ޏ╨谀菱怬톔怤廊怬炘͜ᳬ怞ޏ©╨谀菱怬톔怤廊怬炘͜ᳬ怞ޏ¾╨谀菱怬톔怤廊怬炘͜ᳬ怞ޏ·╨谀菱怬톔怤廊怬炘͜ᳬ怞ޏÌ╨谀菱怬톔怤廊怬炘͜ᳬ怞ޏÅ╨谀菱怬톔怤廊怬炘͜ᳬ怞ޏÚ╨谀菱怬톔怤廊怬炘͜ᳬ怞ޏÓ╨谀菱怬톔怤廊怬炘͜ᳬ怞ޏè╨谀菱怬톔怤廊怬炘͜ᳬ怞ޏá╨谀菱怬톔怤廊怬炘͜ᳬ怞ޏö╨谀菱怬톔怤廊怬炘͜ᳬ怞ޏď╨谀菱怬톔怤廊怬炘͜ᳬ怞ޏĄ╨谀菱怬톔怤廊怬炘͜ᳬ怞ޏĝ╨谀菱怬톔怤廊怬炘͜ᳬ怞ޏĒ╨谀菱怬톔怤廊怬炘͜ᳬ怞ޏī╨谀菱怬톔怤廊怬炘͜ᳬ怞ޏĠ╨谀菱怬톔怤廊怬炘͜ᳬ怞ޏĹ╨谀菱怬톔怤廊怬炘͜ᳬ怞ޏŎ╨谀菱怬톔怤廊怬炘͜ᳬ怞ޏŇ╨谀菱怬톔怤廊怬炘͜ᳬ怞ޏŜ╨谀菱怬톔怤廊怬炘͜ᳬ怞ޏŕ╨谀菱怬톔怤廊怬炘͜ᳬ怞ޏŪ╨谀菱怬톔怤廊怬炘͜ᳬ怞ޏţ╨谀菱怬톔怤廊怬炘͜ᳬ怞ޏŸ╨谀菱怬톔怤廊怬炘͜ᳬ怞ޏű╨谀菱怬톔怤廊怬炘͜ᳬ怞ޏƆ╨谀菱怬톔怤廊怬炘͜ᳬ怞ޏƟ╨谀菱怬톔怤廊怬炘͜ᳬ怞ޏƔ╨谀菱怬톔怤廊怬炘͜ᳬ怞ޏƭ╨谀菱怬톔怤廊怬炘͜ᳬ怞ޏƢ╨谀菱怬톔怤廊怬炘͜ᳬ怞ޏƻ╨谀菱怬톔怤廊怬炘͜ᳬ怞ޏư╨谀菱怬톔怤廊怬炘͜ᳬ怞ޏǉ╨谀菱怬톔怤廊怬炘͜ᳬ怞ޏǞ╨谀菱怬톔怤廊怬炘͜ᳬ怞ޏǗ╨谀菱怬톔怤廊怬炘͜ᳬ怞ޏǬ╨谀菱怬톔怤廊怬炘͜ᳬ怞ޏǥ╨谀菱怬톔怤廊怬炘͜ᳬ怞ޏǺ╨谀菱怬톔怤廊怬炘͜ᳬ怞ޏǳ╨谀菱怬톔怤廊怬炘͜ᳬ怞ޏ؈╨谀菱怬톔怤廊怬炘͜ᳬ怞ޏ؁╨谀菱怬톔怤廊怬炘͜ᳬ怞ޏؖ╨谀菱怬톔怤廊怬炘͜ᳬ怞ޏد╨谀菱怬톔怤廊怬炘͜ᳬ怞ޏؤ╨谀菱怬톔怤廊怬炘͜ᳬ怞ޏؽ╨谀菱怬톔怤廊怬炘͜ᳬ怞ޏز╨谀菱怬톔怤廊怬炘͜ᳬ怞ޏً╨谀菱怬톔怤廊怬炘͜ᳬ怞ޏـ╨谀菱怬톔怤廊怬炘͜ᳬ怞ޏٙ╨谀菱怬톔怤廊怬炘͜ᳬ怞ޏٮ╨谀菱怬톔怤廊怬炘͜ᳬ怞ޏ٧╨谀菱怬톔怤廊怬炘͜ᳬ怞ޏټ╨谀菱怬톔怤廊怬炘͜ᳬ怞ޏٵ╨谀菱怬톔怤廊怬炘͜ᳬ怞ޏڊ╨谀菱怬톔怤廊怬炘͜ᳬ怞ޏڃ╨谀菱怬톔怤廊怬炘͜ᳬ怞ޏژ╨谀菱怬톔怤廊怬炘͜ᳬ怞ޏڑ╨谀菱怬톔怤廊怬炘͜ᳬ怞ޏڦ╨谀菱怬톔怤廊怬炘͜ᳬ怞ޏڿ╨谀菱怬톔怤廊怬炘͜ᳬ怞ޏڴ╨谀菱怬톔怤廊怬炘͜ᳬ怞ޏۍ╨谀菱怬톔怤廊怬炘͜ᳬ怞ޏۂ╨谀菱怬톔怤廊怬炘͜ᳬ怞ޏۛ╨谀菱怬톔怤廊怬炘͜ᳬ怞ޏې╨谀菱怬톔怤廊怬炘͜ᳬ怞ޏ۩╨谀菱怬톔怤廊怬炘͜ᳬ怞ޏ۾╨谀菱怬톔怤廊怬炘͜ᳬ怞ޏ۷╨谀菱怬톔怤廊怬炘͜ᳬ怞ޏ܌╨谀菱怬톔怤廊怬炘͜ᳬ怞ޏ܅╨谀菱怬톔怤廊怬炘͜ᳬ怞ޏܚ╨谀菱怬톔怤廊怬炘͜ᳬ怞ޏܓ╨谀菱怬톔怤廊怬炘͜ᳬ怞ޏܨ╨谀菱怬톔怤廊怬炘͜ᳬ怞ޏܡ╨谀菱怬톔怤廊怬炘͜ᳬ怞ޏܶ╨蠀recomendacionesn Racial.ݏ╨谀菱怬톔怤廊怬炘͜ᳬ怞ޏ݄╨谀菱怬톔怤廊怬炘͜ᳬ怞ޏݝ╨谀菱怬톔怤廊怬炘͜ᳬ怞ޏݒ╨谀菱怬톔怤廊怬炘͜ᳬ怞ޏݫ╨谀菱怬톔怤廊怬炘͜ᳬ怞ޏݠ╨谀菱怬톔怤廊怬炘͜ᳬ怞ޏݹ╨谀菱怬톔怤廊怬炘͜ᳬ怞ޏގ╨谀菱怬톔怤廊怬炘͜ᳬ怞ޏއ╨谀菱怬톔怤廊怬炘͜ᳬ怞殺ޏޜ╨谀菱怬톔怤廊怬炘͜ᳬ怞燎ޏޕ╨谀菱怬톔怤廊怬炘͜ᳬ怞塚ޏު╨谀菱怬톔怤廊怬炘͜ᳬ怞愈ޏޣ╨谀菱怬톔怤廊怬炘͜ᳬ怞ﬀޏ޸╨谀菱怬톔怤廊怬炘͜ᳬ怞ﭸޏޱ╨谀菱怬톔怤廊怬炘͜ᳬ怞ﯰޏ߆╨谀菱怬톔怤廊怬炘͜ᳬ怞ﱀޏߟ╨谀菱怬톔怤廊怬炘͜ᳬ怞ﲸޏߔ╨谀菱怬톔怤廊怬炘͜ᳬ怞ﴈޏ߭╨谀菱怬톔怤廊怬炘͜ᳬ怞ﶀޏߢ╨谀菱怬톔怤廊怬炘͜ᳬ怞ﷸޏ߻╨谀菱怬톔怤廊怬炘͜ᳬ怞﹈ޏ߰╨谀菱怬톔怤廊怬炘͜ᳬ怞ﺘޏЉ╨谀菱怬톔怤廊怬炘͜ᳬ怞０ޏО╨谀菱怬톔怤廊怬炘͜ᳬ怞ﾈޏЗ╨谀菱怬톔怤廊怬炘͜ᳬ怞￘ޏЬ╨谀菱怬톔怤廊怬炘͜ᳬ怞PސХ╨谀菱怬톔怤廊怬炘͜ᳬ怞 ސк╨谀菱怬톔怤廊怬炘͜ᳬ怞Ęސг╨谀菱怬톔怤廊怬炘͜ᳬ怞Ũސш╨谀菱怬톔怤廊怬炘͜ᳬ怞Ƹސс╨谀菱怬톔怤廊怬炘͜ᳬ怞Ȱސі╨谀菱怬톔怤廊怬炘͜ᳬ怞ʀސѯ╨谀菱怬톔怤廊怬炘͜ᳬ怞˸ސѤ╨谀菱怬톔怤廊怬炘͜ᳬ怞Ͱސѽ╨谀菱怬톔怤廊怬炘͜ᳬ怞πސѲ╨谀菱怬톔怤廊怬炘͜ᳬ怞Аސҋ╨谀菱怬톔怤廊怬炘͜ᳬ怞҈ސҀ╨谀菱怬톔怤廊怬炘͜ᳬ怞Әސҙ╨谀菱怬톔怤廊怬炘͜ᳬ怞ԨސҮ╨谀菱怬톔怤廊怬炘͜ᳬ怞֠ސҧ╨谀菱怬톔怤廊怬炘͜ᳬ怞װސҼ╨谀菱怬톔怤廊怬炘͜ᳬ怞ـސҵ╨谀菱怬톔怤廊怬炘͜ᳬ怞ڸސӊ╨谀菱怬톔怤廊怬炘͜ᳬ怞ܰސӃ╨谀菱怬톔怤廊怬炘͜ᳬ怞ހސӘ╨谀菱怬톔怤廊怬炘͜ᳬ怞ߐސӑ╨谀菱怬톔怤廊怬炘͜ᳬ怞ࡈސӦ╨谀菱怬톔怤廊怬炘͜ᳬ怞ࣀސӿ╨谀菱怬톔怤廊怬炘͜ᳬ怞ऐސӴ╨谀菱怬톔怤廊怬炘͜ᳬ怞ॠސԍ╨谀菱怬톔怤廊怬炘͜ᳬ怞৘ސԂ╨谀菱怬톔怤廊怬炘͜ᳬ怞ਨސԛ╨谀菱怬톔怤廊怬炘͜ᳬ怞੸ސԐ╨谀菱怬톔怤廊怬炘͜ᳬ怞૰ސԩ╨谀菱怬톔怤廊怬炘͜ᳬ怞୨ސԾ╨谀菱怬톔怤廊怬炘͜ᳬ怞ஸސԷ╨谀菱怬톔怤廊怬炘͜ᳬ怞ఈސՌ╨谀菱"/>
        </w:smartTagPr>
        <w:r>
          <w:rPr>
            <w:i/>
          </w:rPr>
          <w:t>la Presidenta</w:t>
        </w:r>
      </w:smartTag>
      <w:r>
        <w:rPr>
          <w:i/>
        </w:rPr>
        <w:t>, la delegación de Suriname vuelve a tomar asiento a la mesa del Comité.</w:t>
      </w:r>
    </w:p>
    <w:p w:rsidR="00000000" w:rsidRDefault="00000000">
      <w:pPr>
        <w:pStyle w:val="SingleTxtG"/>
      </w:pPr>
      <w:r>
        <w:t>2.</w:t>
      </w:r>
      <w:r>
        <w:tab/>
      </w:r>
      <w:r>
        <w:rPr>
          <w:b/>
        </w:rPr>
        <w:t>La Sra. Waterval</w:t>
      </w:r>
      <w:r>
        <w:t xml:space="preserve"> (Suriname) dice que si no se ha elaborado el informe de conformidad con las Directrices relativas al documento específicamente destinado al Comité (CERD/C/2007/1), es porque el Gobierno de Suriname había entendido, de la lectura de la carta que el Comité le había dirigido en 2006, para recordarle que debía presentar el informe periódico de Suriname antes de abril de 2007, que el Comité esperaba esencialmente información sobre el seguimiento dado a sus observaciones finales relativas al informe final, respuestas a las preguntas adjuntas a su carta e información sobre la situación de las minorías indígenas y de los cimarrones. La delegación dice que en adelante el Gobierno de Suriname elaborará sus informes periódicos sobre la base de las Directrices revisadas. </w:t>
      </w:r>
    </w:p>
    <w:p w:rsidR="00000000" w:rsidRDefault="00000000">
      <w:pPr>
        <w:pStyle w:val="SingleTxtG"/>
      </w:pPr>
      <w:r>
        <w:t>3.</w:t>
      </w:r>
      <w:r>
        <w:tab/>
        <w:t xml:space="preserve">Después de la presentación del informe final se han logrado pocos progresos en el sentido de la ratificación de la Convenio Nº 169 de </w:t>
      </w:r>
      <w:smartTag w:uri="urn:schemas-microsoft-com:office:smarttags" w:element="PersonName">
        <w:smartTagPr>
          <w:attr w:name="ProductID" w:val="la Organizaci￳n Internacional"/>
        </w:smartTagPr>
        <w:smartTag w:uri="urn:schemas-microsoft-com:office:smarttags" w:element="PersonName">
          <w:smartTagPr>
            <w:attr w:name="ProductID" w:val="la Organizaci￳n"/>
          </w:smartTagPr>
          <w:r>
            <w:t>la Organización</w:t>
          </w:r>
        </w:smartTag>
        <w:r>
          <w:t xml:space="preserve"> Internacional</w:t>
        </w:r>
      </w:smartTag>
      <w:r>
        <w:t xml:space="preserve"> del Trabajo sobre los pueblos indígenas y tribales en países independientes, porque los diversos ministerios competentes todavía deben solucionar varias cuestiones complejas antes de que Suriname pueda ratificar dicho instrumento.</w:t>
      </w:r>
    </w:p>
    <w:p w:rsidR="00000000" w:rsidRDefault="00000000">
      <w:pPr>
        <w:pStyle w:val="SingleTxtG"/>
      </w:pPr>
      <w:r>
        <w:t>4.</w:t>
      </w:r>
      <w:r>
        <w:tab/>
        <w:t xml:space="preserve">Todavía no se ha aprobado proyecto de ley de minería. Como el texto data de 2004, se han iniciado trabajos para adaptarlo a la situación actual. Cuando el Presidente de </w:t>
      </w:r>
      <w:smartTag w:uri="urn:schemas-microsoft-com:office:smarttags" w:element="PersonName">
        <w:smartTagPr>
          <w:attr w:name="ProductID" w:val="la Rep￺blica"/>
        </w:smartTagPr>
        <w:r>
          <w:t>la República</w:t>
        </w:r>
      </w:smartTag>
      <w:r>
        <w:t xml:space="preserve"> o el Ministro de Recursos Naturales recibe una solicitud de licencia para la explotación de los recursos mineros, deberá consultarse de antemano al Gobernador del Distrito de la zona de que se trate. Éste manifiesta su opinión después de haber consultado a su vez con las poblaciones interesadas, que se pronuncian durante la asamblea tradicional de la aldea, o </w:t>
      </w:r>
      <w:r>
        <w:rPr>
          <w:i/>
        </w:rPr>
        <w:t>krutu</w:t>
      </w:r>
      <w:r>
        <w:t xml:space="preserve">. A este propósito la delegación indica que la solicitud de explotación presentada por </w:t>
      </w:r>
      <w:r>
        <w:rPr>
          <w:i/>
        </w:rPr>
        <w:t>Chong Heng Tai</w:t>
      </w:r>
      <w:r>
        <w:t xml:space="preserve">, multinacional china que pretendía construir una fábrica de producción de aceite de palma en Patamakka, fue rechazada porque la población local se opuso al proyecto. </w:t>
      </w:r>
    </w:p>
    <w:p w:rsidR="00000000" w:rsidRDefault="00000000">
      <w:pPr>
        <w:pStyle w:val="SingleTxtG"/>
      </w:pPr>
      <w:r>
        <w:t>5.</w:t>
      </w:r>
      <w:r>
        <w:tab/>
        <w:t xml:space="preserve">El </w:t>
      </w:r>
      <w:r>
        <w:rPr>
          <w:bCs/>
          <w:lang w:val="es-ES_tradnl"/>
        </w:rPr>
        <w:t>Instituto Nacional de Medio Ambiente y Desarrollo</w:t>
      </w:r>
      <w:r>
        <w:t xml:space="preserve"> de Suriname (NIMOS) es un organismo independiente encargado de seleccionar los proyectos de explotación aurífera con miras a realizar estudios de su repercusión sobre le medio ambiente y presentar sus conclusiones sobre los resultados de dichos estudios al Ministerio de Trabajo, Tecnología y Medio Ambiente. Este organismo será la autoridad competente en materia de protección del medio ambiente una vez que se haya aprobado el proyecto de ley marco sobre el medio ambiente. Sobre la base de estos estudios sobre el impacto ambiental, el NIMOS asesora a la autoridad habilitada para expedir las autorizaciones de explotación y le comunica su opinión sobre las posibles repercusiones ecológicas y sociales de los proyectos. El NIMOS ha establecido directrices para la realización de estudios sobre la repercusión ambiental en esferas como la extracción de minerales, la explotación forestal y la producción de energía. Todos los proyectos de extracción aurífera deben ser objeto de un estudio sobre la repercusión y sus actividades son sometidas a controles periódicos. </w:t>
      </w:r>
    </w:p>
    <w:p w:rsidR="00000000" w:rsidRDefault="00000000">
      <w:pPr>
        <w:pStyle w:val="SingleTxtG"/>
      </w:pPr>
      <w:r>
        <w:t>6.</w:t>
      </w:r>
      <w:r>
        <w:tab/>
        <w:t xml:space="preserve">Suriname tiene la intención de organizar un sistema que permita garantizar los derechos colectivos a la tenencia de tierras de los indígenas y los cimarrones, a ejemplo de los demás países de la región. Con todo, se trata de una tarea ardua debido a que estas dos comunidades suelen ocupar las mismas zonas y que las tierras sobre las que pretenden tener derechos son muy vastas debido a su estilo de vida nómada. El Estado ha comenzado a abordar la tarea pero probablemente habrá que esperar varios años antes de que se reconozcan en una ley los derechos colectivos a la tenencia de tierras de los indígenas y de los cimarrones. En julio de 2008 la comisión presidencial encargada de los derechos a la tenencia de tierras presentó su informe final, que están examinando actualmente el Presidente de </w:t>
      </w:r>
      <w:smartTag w:uri="urn:schemas-microsoft-com:office:smarttags" w:element="PersonName">
        <w:smartTagPr>
          <w:attr w:name="ProductID" w:val="la Rep￺blica"/>
        </w:smartTagPr>
        <w:r>
          <w:t>la República</w:t>
        </w:r>
      </w:smartTag>
      <w:r>
        <w:t xml:space="preserve"> y el Consejo de Ministros. El Gobierno de Suriname se propone adoptar un plan ambicioso relativo a la utilización de las tierras en los planos regional y local, en particular las zonas forestales, según el cual una parte de estas zonas se reservará para actividades de extracción de amplitud limitada, otra a la explotación forestal y otra a la agricultura. El Gobierno de Suriname ha decidido elaborar un plan de acción estratégico en favor de la explotación duradera de los bosques, que reemplazará a la política nacional actual en materia de explotación forestal. Deberá someterse próximamente al Parlamento un proyecto de ley sobre la creación de un organismo encargado de la explotación de los bosques y de la naturaleza.</w:t>
      </w:r>
    </w:p>
    <w:p w:rsidR="00000000" w:rsidRDefault="00000000">
      <w:pPr>
        <w:pStyle w:val="SingleTxtG"/>
      </w:pPr>
      <w:r>
        <w:t>7.</w:t>
      </w:r>
      <w:r>
        <w:tab/>
        <w:t xml:space="preserve">En su discurso inaugural pronunciado el 1º de octubre de 2008, el Presidente de </w:t>
      </w:r>
      <w:smartTag w:uri="urn:schemas-microsoft-com:office:smarttags" w:element="PersonName">
        <w:smartTagPr>
          <w:attr w:name="ProductID" w:val="la Rep￺blica"/>
        </w:smartTagPr>
        <w:r>
          <w:t>la República</w:t>
        </w:r>
      </w:smartTag>
      <w:r>
        <w:t xml:space="preserve"> indicó que en las políticas que se pondrían en marcha durante el año se haría hincapié en la cuestión de los derechos a la tenencia de tierras de los indígenas y que se reuniría la información necesaria para la ejecución del proyecto de desarrollo duradero de las regiones del interior del país con miras a la elaboración de un proyecto de ley sobre las costumbres y métodos tradicionales de demarcación de los territorios en que viven las minorías indígenas y los cimarrones.</w:t>
      </w:r>
    </w:p>
    <w:p w:rsidR="00000000" w:rsidRDefault="00000000">
      <w:pPr>
        <w:pStyle w:val="SingleTxtG"/>
      </w:pPr>
      <w:r>
        <w:t>8.</w:t>
      </w:r>
      <w:r>
        <w:tab/>
        <w:t xml:space="preserve">En cuanto al curso dado a la sentencia de </w:t>
      </w:r>
      <w:smartTag w:uri="urn:schemas-microsoft-com:office:smarttags" w:element="PersonName">
        <w:smartTagPr>
          <w:attr w:name="ProductID" w:val="la Corte Interamericana"/>
        </w:smartTagPr>
        <w:r>
          <w:t>la Corte Interamericana</w:t>
        </w:r>
      </w:smartTag>
      <w:r>
        <w:t xml:space="preserve"> de Derechos Humanos en el caso </w:t>
      </w:r>
      <w:r>
        <w:rPr>
          <w:i/>
        </w:rPr>
        <w:t>Moiwana</w:t>
      </w:r>
      <w:r>
        <w:t xml:space="preserve">, relativo a la matanza de 40 habitantes de la aldea cimarrón de Moiwana perteneciente a la comunidad n'djuka, perpetrada en 1986 por las fuerzas armadas de Suriname y la destrucción de las viviendas de esa aldea, la Sra. Waterval indica que el Gobierno de Suriname ha aplicado prácticamente en su totalidad la decisión de </w:t>
      </w:r>
      <w:smartTag w:uri="urn:schemas-microsoft-com:office:smarttags" w:element="PersonName">
        <w:smartTagPr>
          <w:attr w:name="ProductID" w:val="la Corte Interamericana"/>
        </w:smartTagPr>
        <w:r>
          <w:t>la Corte Interamericana</w:t>
        </w:r>
      </w:smartTag>
      <w:r>
        <w:t xml:space="preserve"> de Derechos Humanos. Se han organizado reuniones destinadas a los supervivientes para tenerlos informados sobre la situación de la aplicación de la decisión. Además, el 15 de julio de 2006, el Presidente de </w:t>
      </w:r>
      <w:smartTag w:uri="urn:schemas-microsoft-com:office:smarttags" w:element="PersonName">
        <w:smartTagPr>
          <w:attr w:name="ProductID" w:val="la Rep￺blica"/>
        </w:smartTagPr>
        <w:r>
          <w:t>la República</w:t>
        </w:r>
      </w:smartTag>
      <w:r>
        <w:t xml:space="preserve"> presentó excusas públicas a los cimarrones en general y a la comunidad n'djuka en particular, y, en enero de 2008 inauguró un monumento en memoria de las víctimas. En marzo de 2008 los órganos judiciales y la policía concluyeron su investigación y determinaron el lugar donde se encontraban los despojos de las víctimas. Se hizo un llamamiento a los testigos a fin de recabar elementos nuevos para la investigación, pero esta iniciativa no suscitó reacción alguna. Por otra parte, el Gobierno ha asignado recursos a una fundación con miras a la reconstrucción de la aldea de Moiwana. Gracias a esta ayuda, se han construido ya tres viviendas. Se ha indemnizado a un total de 130 personas, todas familiares de los desaparecidos. La comisión nacional encargada de aplicar la decisión de </w:t>
      </w:r>
      <w:smartTag w:uri="urn:schemas-microsoft-com:office:smarttags" w:element="PersonName">
        <w:smartTagPr>
          <w:attr w:name="ProductID" w:val="la Corte"/>
        </w:smartTagPr>
        <w:r>
          <w:t>la Corte</w:t>
        </w:r>
      </w:smartTag>
      <w:r>
        <w:t xml:space="preserve"> continuará sus trabajos y, presentará a ésta un informe cada año.</w:t>
      </w:r>
    </w:p>
    <w:p w:rsidR="00000000" w:rsidRDefault="00000000">
      <w:pPr>
        <w:pStyle w:val="SingleTxtG"/>
      </w:pPr>
      <w:r>
        <w:t>9.</w:t>
      </w:r>
      <w:r>
        <w:tab/>
        <w:t xml:space="preserve">A raíz de la decisión adoptada por </w:t>
      </w:r>
      <w:smartTag w:uri="urn:schemas-microsoft-com:office:smarttags" w:element="PersonName">
        <w:smartTagPr>
          <w:attr w:name="ProductID" w:val="la Corte Interamericana"/>
        </w:smartTagPr>
        <w:r>
          <w:t>la Corte Interamericana</w:t>
        </w:r>
      </w:smartTag>
      <w:r>
        <w:t xml:space="preserve"> de Derechos Humanos</w:t>
      </w:r>
      <w:r>
        <w:br/>
        <w:t xml:space="preserve">en el caso </w:t>
      </w:r>
      <w:r>
        <w:rPr>
          <w:i/>
          <w:iCs/>
        </w:rPr>
        <w:t>Saramaka c. Suriname</w:t>
      </w:r>
      <w:r>
        <w:t>, la comunidad saramaka celebró una reunión en mayo</w:t>
      </w:r>
      <w:r>
        <w:br/>
        <w:t xml:space="preserve">de 2008 en la que participaron el Ministro de Desarrollo Regional y el Ministro de ordenación del territorio, de la gestión de las tierras y de los recursos forestales, a fin de examinar el tenor de esta decisión. Por otra parte, el Ministro de Desarrollo Regional y diversas organizaciones de defensa de los derechos de los cimarrones participaron en una mesa redonda organizada en los Países Bajos para debatir los medios para dar cumplimiento a esta decisión. El Consejo de Ministros ha aprobado un presupuesto destinado a financiar la aplicación de esta decisión y, en diciembre de 2008, se creó una comisión encargada de coordinar las actividades entabladas. Esta comisión, que se reunió por primera vez en febrero de 2009, cumplirá su mandato en colaboración con las organizaciones que representan a la minoría saramaka. Actualmente </w:t>
      </w:r>
      <w:smartTag w:uri="urn:schemas-microsoft-com:office:smarttags" w:element="PersonName">
        <w:smartTagPr>
          <w:attr w:name="ProductID" w:val="la Corte Interamericana"/>
        </w:smartTagPr>
        <w:r>
          <w:t>la Corte Interamericana</w:t>
        </w:r>
      </w:smartTag>
      <w:r>
        <w:t xml:space="preserve"> de Derechos Humanos tiene ante sí una solicitud presentada por las minorías kalina y lokono que, como los saramaka, invocan una violación de sus derechos colectivos a la tenencia de tierras. </w:t>
      </w:r>
    </w:p>
    <w:p w:rsidR="00000000" w:rsidRDefault="00000000">
      <w:pPr>
        <w:pStyle w:val="SingleTxtG"/>
      </w:pPr>
      <w:r>
        <w:t>10.</w:t>
      </w:r>
      <w:r>
        <w:tab/>
        <w:t xml:space="preserve">En cuanto a la percepción de la palabra "cimarrón" por las personas designadas por este término, </w:t>
      </w:r>
      <w:smartTag w:uri="urn:schemas-microsoft-com:office:smarttags" w:element="PersonName">
        <w:smartTagPr>
          <w:attr w:name="ProductID" w:val="La Sra. WATERVAL"/>
        </w:smartTagPr>
        <w:r>
          <w:t>la Sra. Waterval</w:t>
        </w:r>
      </w:smartTag>
      <w:r>
        <w:t xml:space="preserve"> indica que las opiniones están a veces muy divididas entre los propios interesados: algunos desean que se les llame "cimarrones", en tanto que otros prefieren que se les conozca como </w:t>
      </w:r>
      <w:r>
        <w:rPr>
          <w:i/>
          <w:iCs/>
        </w:rPr>
        <w:t>Bush Negroes</w:t>
      </w:r>
      <w:r>
        <w:t xml:space="preserve"> (negros de los bosques), como se usaba</w:t>
      </w:r>
      <w:r>
        <w:br/>
        <w:t xml:space="preserve">en el pasado. La palabra </w:t>
      </w:r>
      <w:r>
        <w:rPr>
          <w:i/>
        </w:rPr>
        <w:t>créole</w:t>
      </w:r>
      <w:r>
        <w:t xml:space="preserve"> (criollo) se aplica a los negros que viven en las zonas urbanas y sucede que algunas personas se autodenominan criollos para distinguirse de los </w:t>
      </w:r>
      <w:r>
        <w:rPr>
          <w:i/>
          <w:iCs/>
        </w:rPr>
        <w:t>Bush Negroes</w:t>
      </w:r>
      <w:r>
        <w:rPr>
          <w:iCs/>
        </w:rPr>
        <w:t xml:space="preserve">. Se entiende por </w:t>
      </w:r>
      <w:r>
        <w:rPr>
          <w:i/>
          <w:iCs/>
        </w:rPr>
        <w:t>métis</w:t>
      </w:r>
      <w:r>
        <w:t xml:space="preserve"> (mestizos) a las personas que proceden de la mezcla de dos razas o más. Pero, habida cuenta de que prácticamente la totalidad de la población de Suriname es mestiza, la utilización de los términos mencionados varía en función de las circunstancias y de la subjetividad de los interesados. Por último, el término </w:t>
      </w:r>
      <w:r>
        <w:rPr>
          <w:i/>
          <w:iCs/>
        </w:rPr>
        <w:t>kaukasisch</w:t>
      </w:r>
      <w:r>
        <w:t xml:space="preserve"> utilizado en la versión inglesa del informe se aplica a los blancos. </w:t>
      </w:r>
    </w:p>
    <w:p w:rsidR="00000000" w:rsidRDefault="00000000">
      <w:pPr>
        <w:pStyle w:val="SingleTxtG"/>
      </w:pPr>
      <w:r>
        <w:t>11.</w:t>
      </w:r>
      <w:r>
        <w:tab/>
      </w:r>
      <w:r>
        <w:rPr>
          <w:b/>
        </w:rPr>
        <w:t>La Sra. Waterval</w:t>
      </w:r>
      <w:r>
        <w:t xml:space="preserve"> (Suriname) explica que las cifras que figuran en el anexo del informe periódico de su país sobre la composición de ciertas empresas tienen sencillamente por objeto mostrar que cada una de ellas emplea a personal cimarrón. </w:t>
      </w:r>
    </w:p>
    <w:p w:rsidR="00000000" w:rsidRDefault="00000000">
      <w:pPr>
        <w:pStyle w:val="SingleTxtG"/>
      </w:pPr>
      <w:r>
        <w:t>12.</w:t>
      </w:r>
      <w:r>
        <w:tab/>
      </w:r>
      <w:r>
        <w:rPr>
          <w:b/>
        </w:rPr>
        <w:t>La Sra. Vinkwolk</w:t>
      </w:r>
      <w:r>
        <w:t xml:space="preserve"> (Suriname) indica que todavía no se ha creado el Tribunal Constitucional pero que el Parlamento tiene actualmente ante sí un proyecto de ley relativo a su establecimiento. El Gobierno hace esfuerzos para acelerar el proceso.</w:t>
      </w:r>
    </w:p>
    <w:p w:rsidR="00000000" w:rsidRDefault="00000000">
      <w:pPr>
        <w:pStyle w:val="SingleTxtG"/>
      </w:pPr>
      <w:r>
        <w:t>13.</w:t>
      </w:r>
      <w:r>
        <w:tab/>
      </w:r>
      <w:smartTag w:uri="urn:schemas-microsoft-com:office:smarttags" w:element="PersonName">
        <w:smartTagPr>
          <w:attr w:name="ProductID" w:val="La Sra. VINKWOLK"/>
        </w:smartTagPr>
        <w:r>
          <w:t>La Sra. Vinkwolk</w:t>
        </w:r>
      </w:smartTag>
      <w:r>
        <w:t xml:space="preserve"> explica por otra parte que el sistema judicial de Suriname garantiza a sus ciudadanos recursos legales adecuados con respecto a cualquier presunto atentado contra sus derechos a la tenencia de tierras. En el artículo 1386 del Código Civil se estipula que todo ciudadano puede acudir a una jurisdicción independiente en caso de presunto atentado contra sus derechos de propiedad cometido por un individuo o por el Estado. La representante señala que debido a la escasez de magistrados, en 2004 el Gobierno comenzó a ofrecer cursos de formación para los oficios de juez y de abogado.</w:t>
      </w:r>
      <w:r>
        <w:br/>
        <w:t>En 2009 el Ministerio de Justicia y Policía certificó a siete nuevos magistrados que acaban de concluir su formación. Se están dictando cursos de formación para la función de fiscal y los interesados podrán diplomarse en 2012.</w:t>
      </w:r>
    </w:p>
    <w:p w:rsidR="00000000" w:rsidRDefault="00000000">
      <w:pPr>
        <w:pStyle w:val="SingleTxtG"/>
      </w:pPr>
      <w:r>
        <w:t>14.</w:t>
      </w:r>
      <w:r>
        <w:tab/>
      </w:r>
      <w:r>
        <w:rPr>
          <w:b/>
        </w:rPr>
        <w:t>El Sr. Mac Donald</w:t>
      </w:r>
      <w:r>
        <w:t xml:space="preserve"> (Suriname) indica que la ejecución del Programa de lucha contra el paludismo ha permitido reducir el número de casos en el país y alcanzar una tasa de mortalidad palúdica nula para los años 2007, 2008 y 2009, de conformidad con el Objetivo 6 de Desarrollo del Milenio. Con la ayuda del Fondo Mundial de Lucha contra el Paludismo, se esfuerza para reducir aún más las tasas de infección palúdica de las poblaciones migrantes del interior del país. </w:t>
      </w:r>
    </w:p>
    <w:p w:rsidR="00000000" w:rsidRDefault="00000000">
      <w:pPr>
        <w:pStyle w:val="SingleTxtG"/>
      </w:pPr>
      <w:r>
        <w:t>15.</w:t>
      </w:r>
      <w:r>
        <w:tab/>
        <w:t xml:space="preserve">La mortalidad debida al VIH/SIDA sigue disminuyendo, tanto que esta enfermedad ha dejado de ser la causa principal de mortalidad entre las personas de </w:t>
      </w:r>
      <w:smartTag w:uri="urn:schemas-microsoft-com:office:smarttags" w:element="metricconverter">
        <w:smartTagPr>
          <w:attr w:name="ProductID" w:val="24 a"/>
        </w:smartTagPr>
        <w:r>
          <w:t>24 a</w:t>
        </w:r>
      </w:smartTag>
      <w:r>
        <w:t xml:space="preserve"> 49 años de edad, aunque sigue siendo excesivamente elevada en Suriname, como en la mayoría de los países en el Caribe. Se han adoptado medidas para lograr una mejor difusión del Programa de prevención del VIH/SIDA, en especial entre las mujeres gestantes, gracias al Programa de prevención de la transmisión de madre a hijo. En los programas intensivos de prevención, se da preferencia a los exámenes de detección precoz gratuitos así como a la promoción del uso de preservativos y al mejoramiento de su disponibilidad, no sólo en las zonas urbanas sino también en las del interior, en particular las zonas mineras. </w:t>
      </w:r>
    </w:p>
    <w:p w:rsidR="00000000" w:rsidRDefault="00000000">
      <w:pPr>
        <w:pStyle w:val="SingleTxtG"/>
      </w:pPr>
      <w:r>
        <w:t>16.</w:t>
      </w:r>
      <w:r>
        <w:tab/>
        <w:t>Con respecto a la situación sanitaria en el interior del país, el Sr. Mac Donald indica que el Gobierno tiene previsto iniciar, en 2009, las obras de reconstrucción del hospital general de Albina, en el distrito de Marowijne, y la construcción de un nuevo hospital en Atjoni, en el distrito de Sipaliwini. Además, se procederá a restaurar o ampliar las clínicas regionales en la zona de la selva tropical para facilitar el acceso de las comunidades indígenas del interior a la atención de la salud.</w:t>
      </w:r>
    </w:p>
    <w:p w:rsidR="00000000" w:rsidRDefault="00000000">
      <w:pPr>
        <w:pStyle w:val="SingleTxtG"/>
      </w:pPr>
      <w:r>
        <w:t>17.</w:t>
      </w:r>
      <w:r>
        <w:tab/>
        <w:t>En cuanto a la situación en materia de educación en el interior del país, el</w:t>
      </w:r>
      <w:r>
        <w:br/>
        <w:t>Sr. Mac Donald indica que el Gobierno de Suriname ha decidido restaurar la mayoría de los establecimientos escolares y construir por lo menos 80 nuevas aulas. En 2009 se inaugurará asimismo dos nuevos edificios de alojamiento para estudiantes, uno en la isla de Stoelmans y el otro en Atjoni. El Gobierno hace asimismo hincapié en la formación de los alumnos de los niveles secundario y superior y recientemente se ha iniciado un programa especial de formación docente para cimarrones e indígenas para subvenir a las necesidades educativas de las poblaciones del interior del país.</w:t>
      </w:r>
    </w:p>
    <w:p w:rsidR="00000000" w:rsidRDefault="00000000">
      <w:pPr>
        <w:pStyle w:val="SingleTxtG"/>
      </w:pPr>
      <w:r>
        <w:t>18.</w:t>
      </w:r>
      <w:r>
        <w:tab/>
        <w:t>El Sr. Mac Donald indica que en Suriname hay muchos descendientes de cimarrones e indígenas en el seno de la administración, entre ellos, en particular, tres ministros, varios secretarios permanentes y secretarios permanentes adjuntos, un Embajador, un Cónsul general y, varios diplomáticos de alto rango. También hay muchos parlamentarios y miembros del Consejo del Estado pertenecientes a estas dos comunidades.</w:t>
      </w:r>
    </w:p>
    <w:p w:rsidR="00000000" w:rsidRDefault="00000000">
      <w:pPr>
        <w:pStyle w:val="SingleTxtG"/>
      </w:pPr>
      <w:r>
        <w:t>19.</w:t>
      </w:r>
      <w:r>
        <w:tab/>
        <w:t xml:space="preserve">Respondiendo a la pregunta del Sr. Avtonomov sobre los diferentes tipos de matrimonios celebrados en Suriname, el Sr. Mac Donald explica que toda persona puede contraer matrimonio, religioso o no. En el interior del país la situación es más complicada porque el matrimonio debe ser celebrado por un funcionario oficial designado, que suele ser miembro de la aldea de que se trate, y luego registrado por </w:t>
      </w:r>
      <w:smartTag w:uri="urn:schemas-microsoft-com:office:smarttags" w:element="PersonName">
        <w:smartTagPr>
          <w:attr w:name="ProductID" w:val="la Oficina"/>
        </w:smartTagPr>
        <w:r>
          <w:t>la Oficina</w:t>
        </w:r>
      </w:smartTag>
      <w:r>
        <w:t xml:space="preserve"> de asuntos civiles o el comisario de la región. Por otra parte, el Ministro de Justicia ha incrementado en dos años, la edad núbil de los jóvenes de ambos sexos.</w:t>
      </w:r>
    </w:p>
    <w:p w:rsidR="00000000" w:rsidRDefault="00000000">
      <w:pPr>
        <w:pStyle w:val="SingleTxtG"/>
      </w:pPr>
      <w:r>
        <w:t>20.</w:t>
      </w:r>
      <w:r>
        <w:tab/>
      </w:r>
      <w:r>
        <w:rPr>
          <w:b/>
        </w:rPr>
        <w:t>El Sr. Lindgren Alves</w:t>
      </w:r>
      <w:r>
        <w:t xml:space="preserve"> estima que la situación de Suriname demuestra hasta qué punto resulta difícil obligar a un país, </w:t>
      </w:r>
      <w:r>
        <w:rPr>
          <w:i/>
        </w:rPr>
        <w:t>a fortiori</w:t>
      </w:r>
      <w:r>
        <w:t xml:space="preserve"> muy diferente de los países europeos y de sus vecinos sudamericanos, a adaptarse rigurosamente a las normas internacionales de derechos humanos. Reconoce que es muy complicado para el Estado parte definir los derechos territoriales de los cimarrones y de los indígenas porque éstos viven en el mismo territorio, pero cada uno reivindica su derecho a la tenencia de tierras. El Sr. Lindgren Alves se pregunta a este respecto si era realmente oportuno acudir a </w:t>
      </w:r>
      <w:smartTag w:uri="urn:schemas-microsoft-com:office:smarttags" w:element="PersonName">
        <w:smartTagPr>
          <w:attr w:name="ProductID" w:val="la Corte Interamericana"/>
        </w:smartTagPr>
        <w:r>
          <w:t>la Corte Interamericana</w:t>
        </w:r>
      </w:smartTag>
      <w:r>
        <w:t xml:space="preserve"> de Derecho Humanos para el arreglo de controversias en materia de tierras. </w:t>
      </w:r>
    </w:p>
    <w:p w:rsidR="00000000" w:rsidRDefault="00000000">
      <w:pPr>
        <w:pStyle w:val="SingleTxtG"/>
      </w:pPr>
      <w:r>
        <w:t>21.</w:t>
      </w:r>
      <w:r>
        <w:tab/>
        <w:t xml:space="preserve">El Sr. Lindgren Alves se felicita de que la delegación de Suriname haya evocado a las poblaciones "mezcladas" o mestizas y recuerda a este respecto que personalmente había insistido para que en los censos nacionales se permitiese que las personas interrogadas se definan a sí mismas como de raza mixta, es decir, como mestizos. </w:t>
      </w:r>
    </w:p>
    <w:p w:rsidR="00000000" w:rsidRDefault="00000000">
      <w:pPr>
        <w:pStyle w:val="SingleTxtG"/>
      </w:pPr>
      <w:r>
        <w:t>22.</w:t>
      </w:r>
      <w:r>
        <w:tab/>
      </w:r>
      <w:r>
        <w:rPr>
          <w:b/>
        </w:rPr>
        <w:t>El Sr. Lahiri</w:t>
      </w:r>
      <w:r>
        <w:t xml:space="preserve"> recuerda que existen vínculos afectivos muy fuertes entre Suriname y </w:t>
      </w:r>
      <w:smartTag w:uri="urn:schemas-microsoft-com:office:smarttags" w:element="PersonName">
        <w:smartTagPr>
          <w:attr w:name="ProductID" w:val="la India"/>
        </w:smartTagPr>
        <w:r>
          <w:t>la India</w:t>
        </w:r>
      </w:smartTag>
      <w:r>
        <w:t xml:space="preserve">, de donde muchas personas emigraron a Suriname, forzadamente o en condiciones muy difíciles, para trabajar. Luego pudieron progresar libremente en Suriname. Se felicita de que los partidos políticos de Suriname, casi todos fundados en criterios étnicos, hayan podido evitar los conflictos étnicos corrientes en otros lugares y en países vecinos con una composición social comparable. </w:t>
      </w:r>
    </w:p>
    <w:p w:rsidR="00000000" w:rsidRDefault="00000000">
      <w:pPr>
        <w:pStyle w:val="SingleTxtG"/>
      </w:pPr>
      <w:r>
        <w:t>23.</w:t>
      </w:r>
      <w:r>
        <w:tab/>
        <w:t xml:space="preserve">El Sr. Lahiri afirma estar muy impresionado por la determinación evidente del Gobierno de Suriname de examinar y solucionar todos los problema relativos a los derechos a la tenencia de tierras. Estima que aun cuando Suriname niegue la existencia de una discriminación </w:t>
      </w:r>
      <w:r>
        <w:rPr>
          <w:i/>
        </w:rPr>
        <w:t>de jure</w:t>
      </w:r>
      <w:r>
        <w:t xml:space="preserve">, debe garantizar la igualdad de todos sus ciudadano </w:t>
      </w:r>
      <w:r>
        <w:rPr>
          <w:i/>
          <w:iCs/>
        </w:rPr>
        <w:t>de facto</w:t>
      </w:r>
      <w:r>
        <w:t xml:space="preserve">. </w:t>
      </w:r>
    </w:p>
    <w:p w:rsidR="00000000" w:rsidRDefault="00000000">
      <w:pPr>
        <w:pStyle w:val="SingleTxtG"/>
      </w:pPr>
      <w:r>
        <w:t>24.</w:t>
      </w:r>
      <w:r>
        <w:tab/>
      </w:r>
      <w:r>
        <w:rPr>
          <w:b/>
        </w:rPr>
        <w:t xml:space="preserve">El Sr. Cali Tzay </w:t>
      </w:r>
      <w:r>
        <w:t>recuerda que la cuestión de la autoidentificación procede del proceso discriminatorio ejercido contra todos los grupos étnicos de Suriname con el</w:t>
      </w:r>
      <w:r>
        <w:br/>
        <w:t>correr de los años y estima interesante conocer qué papel desempeña el Estado en el reconocimiento del valor de las culturas que integran la sociedad surinamesa. Le parece arriesgado afirmar que todas las personas residentes en el territorio del Estado parte son surinameses, por cuanto ello tiende a disimular la verdadera identidad étnica de la mayoría de la población del país.</w:t>
      </w:r>
    </w:p>
    <w:p w:rsidR="00000000" w:rsidRDefault="00000000">
      <w:pPr>
        <w:pStyle w:val="SingleTxtG"/>
      </w:pPr>
      <w:r>
        <w:t>25.</w:t>
      </w:r>
      <w:r>
        <w:tab/>
        <w:t xml:space="preserve">El Sr. Cali Tzay pide a la delegación de Suriname que indique si Suriname votó a favor de la adopción de </w:t>
      </w:r>
      <w:smartTag w:uri="urn:schemas-microsoft-com:office:smarttags" w:element="PersonName">
        <w:smartTagPr>
          <w:attr w:name="ProductID" w:val="la Declaraci￳n"/>
        </w:smartTagPr>
        <w:r>
          <w:t>la Declaración</w:t>
        </w:r>
      </w:smartTag>
      <w:r>
        <w:t xml:space="preserve"> de las Naciones Unidas sobre los derechos de los pueblos indígenas el 13 de septiembre de 2007. </w:t>
      </w:r>
    </w:p>
    <w:p w:rsidR="00000000" w:rsidRDefault="00000000">
      <w:pPr>
        <w:pStyle w:val="SingleTxtG"/>
      </w:pPr>
      <w:r>
        <w:t>26.</w:t>
      </w:r>
      <w:r>
        <w:tab/>
      </w:r>
      <w:r>
        <w:rPr>
          <w:b/>
        </w:rPr>
        <w:t>El Sr. Ewomsan</w:t>
      </w:r>
      <w:r>
        <w:t xml:space="preserve"> desearía conocer la situación de las relaciones entre las poblaciones indígenas y los cimarrones y en particular sobre la cuestión de los derechos a la tenencia de tierras </w:t>
      </w:r>
    </w:p>
    <w:p w:rsidR="00000000" w:rsidRDefault="00000000">
      <w:pPr>
        <w:pStyle w:val="SingleTxtG"/>
      </w:pPr>
      <w:r>
        <w:t>27.</w:t>
      </w:r>
      <w:r>
        <w:tab/>
      </w:r>
      <w:r>
        <w:rPr>
          <w:b/>
        </w:rPr>
        <w:t>El Sr. Murillo Martínez</w:t>
      </w:r>
      <w:r>
        <w:t xml:space="preserve"> (Relator para Suriname) desea saber cuál será el nivel de financiamiento del Comité nacional encargado de coordinar la aplicación del fallo emitido, el 28 de noviembre de 2007, por </w:t>
      </w:r>
      <w:smartTag w:uri="urn:schemas-microsoft-com:office:smarttags" w:element="PersonName">
        <w:smartTagPr>
          <w:attr w:name="ProductID" w:val="la Corte Interamericana"/>
        </w:smartTagPr>
        <w:r>
          <w:t>la Corte Interamericana</w:t>
        </w:r>
      </w:smartTag>
      <w:r>
        <w:t xml:space="preserve"> de Derechos Humanos en el marco del caso </w:t>
      </w:r>
      <w:r>
        <w:rPr>
          <w:i/>
        </w:rPr>
        <w:t>pueblo saramaka c</w:t>
      </w:r>
      <w:r>
        <w:rPr>
          <w:iCs/>
        </w:rPr>
        <w:t xml:space="preserve">. </w:t>
      </w:r>
      <w:r>
        <w:rPr>
          <w:i/>
        </w:rPr>
        <w:t>Suriname</w:t>
      </w:r>
      <w:r>
        <w:t xml:space="preserve">. Desea asimismo conocer el monto de la indemnización financiera otorgada a las 130 víctimas reconocidas como tales por </w:t>
      </w:r>
      <w:smartTag w:uri="urn:schemas-microsoft-com:office:smarttags" w:element="PersonName">
        <w:smartTagPr>
          <w:attr w:name="ProductID" w:val="la Corte Interamericana"/>
        </w:smartTagPr>
        <w:r>
          <w:t>la Corte Interamericana</w:t>
        </w:r>
      </w:smartTag>
      <w:r>
        <w:t xml:space="preserve"> de Derechos Humanos en su sentencia relativa al caso </w:t>
      </w:r>
      <w:r>
        <w:rPr>
          <w:i/>
        </w:rPr>
        <w:t>aldea</w:t>
      </w:r>
      <w:r>
        <w:t xml:space="preserve"> </w:t>
      </w:r>
      <w:r>
        <w:rPr>
          <w:i/>
        </w:rPr>
        <w:t>de Moiwana</w:t>
      </w:r>
      <w:r>
        <w:rPr>
          <w:i/>
        </w:rPr>
        <w:br/>
        <w:t>c. Suriname</w:t>
      </w:r>
      <w:r>
        <w:t xml:space="preserve">, de 15 de junio de 2005. </w:t>
      </w:r>
    </w:p>
    <w:p w:rsidR="00000000" w:rsidRDefault="00000000">
      <w:pPr>
        <w:pStyle w:val="SingleTxtG"/>
      </w:pPr>
      <w:r>
        <w:t>28.</w:t>
      </w:r>
      <w:r>
        <w:tab/>
      </w:r>
      <w:r>
        <w:rPr>
          <w:b/>
        </w:rPr>
        <w:t>El Sr. Mac Donald</w:t>
      </w:r>
      <w:r>
        <w:t xml:space="preserve"> (Suriname) indica que Suriname votó a favor de la adopción de </w:t>
      </w:r>
      <w:smartTag w:uri="urn:schemas-microsoft-com:office:smarttags" w:element="PersonName">
        <w:smartTagPr>
          <w:attr w:name="ProductID" w:val="la Declaraci￳n"/>
        </w:smartTagPr>
        <w:r>
          <w:t>la Declaración</w:t>
        </w:r>
      </w:smartTag>
      <w:r>
        <w:t xml:space="preserve"> de las Naciones Unidas sobre los derechos de los pueblos indígenas. Destaca que los cimarrones jamás fueron sometidos a la esclavitud y que han vivido siempre en sus bosques. </w:t>
      </w:r>
    </w:p>
    <w:p w:rsidR="00000000" w:rsidRDefault="00000000">
      <w:pPr>
        <w:pStyle w:val="SingleTxtG"/>
      </w:pPr>
      <w:r>
        <w:t>29.</w:t>
      </w:r>
      <w:r>
        <w:tab/>
      </w:r>
      <w:r>
        <w:rPr>
          <w:b/>
        </w:rPr>
        <w:t>La Sra. Waterval</w:t>
      </w:r>
      <w:r>
        <w:t xml:space="preserve"> (Suriname) dice que las aldeas de cimarrones se encuentran en tierras pertenecientes a los pueblos indígenas y que los cimarrones cultivan vínculos estrechos y armoniosos con los pueblos indígenas. El Gobierno de Suriname se esfuerza por aplicar los fallos emitidos por el Tribunal Europeo de Derechos Humanos, en especial en lo relativo a la indemnización de los habitantes de la aldea de Moiwana y del pueblo indígena saramaka. </w:t>
      </w:r>
    </w:p>
    <w:p w:rsidR="00000000" w:rsidRDefault="00000000">
      <w:pPr>
        <w:pStyle w:val="SingleTxtG"/>
      </w:pPr>
      <w:r>
        <w:t>30.</w:t>
      </w:r>
      <w:r>
        <w:tab/>
      </w:r>
      <w:r>
        <w:rPr>
          <w:b/>
        </w:rPr>
        <w:t>La Sra. Vinkwolk</w:t>
      </w:r>
      <w:r>
        <w:t xml:space="preserve"> (Suriname) dice que a raíz de la decisión de </w:t>
      </w:r>
      <w:smartTag w:uri="urn:schemas-microsoft-com:office:smarttags" w:element="PersonName">
        <w:smartTagPr>
          <w:attr w:name="ProductID" w:val="la Corte Interamericana"/>
        </w:smartTagPr>
        <w:r>
          <w:t>la Corte Interamericana</w:t>
        </w:r>
      </w:smartTag>
      <w:r>
        <w:t xml:space="preserve"> de Derechos Humanos, el Gobierno ha reservado fondos por un monto equivalente a 310.000 dólares de los Estados Unidos para organizar la fundación para el desarrollo de la aldea de Moiwana.</w:t>
      </w:r>
    </w:p>
    <w:p w:rsidR="00000000" w:rsidRDefault="00000000">
      <w:pPr>
        <w:pStyle w:val="SingleTxtG"/>
      </w:pPr>
      <w:r>
        <w:t>31.</w:t>
      </w:r>
      <w:r>
        <w:tab/>
      </w:r>
      <w:r>
        <w:rPr>
          <w:b/>
        </w:rPr>
        <w:t>El Sr. Murillo Martínez</w:t>
      </w:r>
      <w:r>
        <w:t xml:space="preserve"> (Relator para Suriname) se felicita del diálogo franco y constructivo entablado entre el Comité y la delegación. Entre los puntos positivos se felicita de la enmienda de la Ley de 1973 sobre el matrimonio, de la mejor consideración por parte de la autoridades surinamesas de las reivindicaciones y demandas de los pueblos indígenas y de los cimarrones, así como de la voluntad manifiesta de los poderes públicos de aplicar los fallos emitidos por </w:t>
      </w:r>
      <w:smartTag w:uri="urn:schemas-microsoft-com:office:smarttags" w:element="PersonName">
        <w:smartTagPr>
          <w:attr w:name="ProductID" w:val="la Corte Interamericana"/>
        </w:smartTagPr>
        <w:r>
          <w:t>la Corte Interamericana</w:t>
        </w:r>
      </w:smartTag>
      <w:r>
        <w:t xml:space="preserve"> de Derechos Humanos. Entre los temas que son materia de preocupación, observa que el acceso de los pueblos indígenas y de los cimarrones a los recursos naturales parece plantear todavía importantes problemas y que la mayoría de las organizaciones que administran los recursos naturales están dirigidas exclusivamente por representantes del Estado, sin consulta alguna con los pueblos indígenas y cimarrón.</w:t>
      </w:r>
    </w:p>
    <w:p w:rsidR="00000000" w:rsidRDefault="00000000">
      <w:pPr>
        <w:pStyle w:val="SingleTxtG"/>
      </w:pPr>
      <w:r>
        <w:t>32.</w:t>
      </w:r>
      <w:r>
        <w:tab/>
        <w:t xml:space="preserve">El Relator dice estar asimismo preocupado por la falta de garantías en los tribunales de justicia, lo que obliga a los pueblos indígenas y cimarrón a recurrir a instancias internacionales tales como </w:t>
      </w:r>
      <w:smartTag w:uri="urn:schemas-microsoft-com:office:smarttags" w:element="PersonName">
        <w:smartTagPr>
          <w:attr w:name="ProductID" w:val="la Corte Interamericana"/>
        </w:smartTagPr>
        <w:r>
          <w:t>la Corte Interamericana</w:t>
        </w:r>
      </w:smartTag>
      <w:r>
        <w:t xml:space="preserve"> de Derechos Humanos para afirmar sus derechos. Evidentemente, la falta de concertación y de diálogo entre los pueblos indígenas, los cimarrones y los poderes públicos impide solucionar los problemas de tenencia de tierras. Por lo tanto, el Relator recomienda a Suriname la creación de espacios de coordinación y que tome en cuenta las recomendaciones formuladas por los órganos convencionales en lo relativo a la defensa y la promoción de los pueblos indígenas. Sugiere asimismo al Estado parte que en su próximo informe periódico proporcione información sobre el establecimiento del Tribunal Constitucional, sobre la adopción del proyecto de ley de minería y sobre los progresos concretos realizados con respecto a la aplicación del Acuerdo de Paz de 1992. </w:t>
      </w:r>
    </w:p>
    <w:p w:rsidR="00000000" w:rsidRDefault="00000000">
      <w:pPr>
        <w:pStyle w:val="SingleTxtG"/>
      </w:pPr>
      <w:r>
        <w:t>33.</w:t>
      </w:r>
      <w:r>
        <w:tab/>
      </w:r>
      <w:r>
        <w:rPr>
          <w:b/>
        </w:rPr>
        <w:t>La Presidenta</w:t>
      </w:r>
      <w:r>
        <w:t xml:space="preserve"> observa que desde 2004, fecha del inicio de su mandato en el seno del Comité, ha tenido ya el placer de examinar dos informes periódicos de Suriname.</w:t>
      </w:r>
      <w:r>
        <w:br/>
        <w:t xml:space="preserve">Si bien este Estado parte no se ha ajustado a las directrices del Comité en materia de la presentación de informes, por respeto al Comité, ha cumplido escrupulosamente con sus obligaciones convencionales enviando a Ginebra a una delegación para alimentar el diálogo con el Comité. </w:t>
      </w:r>
      <w:smartTag w:uri="urn:schemas-microsoft-com:office:smarttags" w:element="PersonName">
        <w:smartTagPr>
          <w:attr w:name="ProductID" w:val="La PRESIDENTA"/>
        </w:smartTagPr>
        <w:r>
          <w:t>La Presidenta</w:t>
        </w:r>
      </w:smartTag>
      <w:r>
        <w:t xml:space="preserve"> aprecia muchísimo el interés del Estado parte por los trabajos del Comité. Subraya finalmente que Suriname ofrece un ejemplo perfecto de cooperación con los órganos convencionales en países pequeños que invocan la falta de recursos financieros y de otra índole para justificar la presentación tardía de sus informes periódicos.</w:t>
      </w:r>
    </w:p>
    <w:p w:rsidR="00000000" w:rsidRDefault="00000000">
      <w:pPr>
        <w:pStyle w:val="SingleTxtG"/>
      </w:pPr>
      <w:r>
        <w:t>34.</w:t>
      </w:r>
      <w:r>
        <w:tab/>
      </w:r>
      <w:r>
        <w:rPr>
          <w:b/>
        </w:rPr>
        <w:t>El Sr. Mac Donald</w:t>
      </w:r>
      <w:r>
        <w:t xml:space="preserve"> (Suriname) asegura a los miembros del Comité que su país seguirá presentando lo más puntualmente posible sus informes sobre la aplicación de </w:t>
      </w:r>
      <w:smartTag w:uri="urn:schemas-microsoft-com:office:smarttags" w:element="PersonName">
        <w:smartTagPr>
          <w:attr w:name="ProductID" w:val="la Convenci￳n"/>
        </w:smartTagPr>
        <w:r>
          <w:t>la Convención</w:t>
        </w:r>
      </w:smartTag>
      <w:r>
        <w:t xml:space="preserve"> a escala nacional y que transmitirá a las autoridades competentes todas las observaciones positivas y negativas formuladas por los miembros del Comité.</w:t>
      </w:r>
    </w:p>
    <w:p w:rsidR="00000000" w:rsidRDefault="00000000">
      <w:pPr>
        <w:pStyle w:val="SingleTxtG"/>
        <w:rPr>
          <w:i/>
        </w:rPr>
      </w:pPr>
      <w:r>
        <w:rPr>
          <w:iCs/>
        </w:rPr>
        <w:t>35.</w:t>
      </w:r>
      <w:r>
        <w:rPr>
          <w:i/>
        </w:rPr>
        <w:tab/>
        <w:t xml:space="preserve">La delegación de Suriname se retira. </w:t>
      </w:r>
    </w:p>
    <w:p w:rsidR="00000000" w:rsidRDefault="00000000">
      <w:pPr>
        <w:pStyle w:val="SingleTxtG"/>
      </w:pPr>
      <w:r>
        <w:rPr>
          <w:i/>
        </w:rPr>
        <w:t>Se suspende la sesión a las 11.55 horas y se reanuda a las 12.20 horas.</w:t>
      </w:r>
    </w:p>
    <w:p w:rsidR="00000000" w:rsidRDefault="00000000">
      <w:pPr>
        <w:pStyle w:val="H4G"/>
      </w:pPr>
      <w:r>
        <w:tab/>
      </w:r>
      <w:r>
        <w:tab/>
        <w:t xml:space="preserve">Evaluación de la aplicación de </w:t>
      </w:r>
      <w:smartTag w:uri="urn:schemas-microsoft-com:office:smarttags" w:element="PersonName">
        <w:smartTagPr>
          <w:attr w:name="ProductID" w:val="la Convenci￳n"/>
        </w:smartTagPr>
        <w:r>
          <w:t>la Convención</w:t>
        </w:r>
      </w:smartTag>
      <w:r>
        <w:t xml:space="preserve"> en los Estados partes cuyos informes</w:t>
      </w:r>
      <w:r>
        <w:br/>
        <w:t>debían haberse presentado hace mucho tiempo: Gambia</w:t>
      </w:r>
    </w:p>
    <w:p w:rsidR="00000000" w:rsidRDefault="00000000">
      <w:pPr>
        <w:pStyle w:val="SingleTxtG"/>
      </w:pPr>
      <w:r>
        <w:t>36.</w:t>
      </w:r>
      <w:r>
        <w:tab/>
      </w:r>
      <w:r>
        <w:rPr>
          <w:b/>
        </w:rPr>
        <w:t>El Sr. Amir</w:t>
      </w:r>
      <w:r>
        <w:t xml:space="preserve"> (Relator para Gambia) dice que Gambia ratificó </w:t>
      </w:r>
      <w:smartTag w:uri="urn:schemas-microsoft-com:office:smarttags" w:element="PersonName">
        <w:smartTagPr>
          <w:attr w:name="ProductID" w:val="la Convenci￳n"/>
        </w:smartTagPr>
        <w:r>
          <w:t>la Convención</w:t>
        </w:r>
      </w:smartTag>
      <w:r>
        <w:t xml:space="preserve"> de 1978 y presentó un informe inicial en 1980. Desde entonces la situación en Gambia ha sido examinada tres veces con arreglo al procedimiento de evaluación, sin contar la reunión actual. El Estado parte, que debía presentar su segundo informe periódico en 1982, no ha presentado informe alguno ni ha proporcionado explicación alguna al Comité. De lo que se trata ahora es saber qué hará el Comité para lograr que Gambia reaccione. </w:t>
      </w:r>
    </w:p>
    <w:p w:rsidR="00000000" w:rsidRDefault="00000000">
      <w:pPr>
        <w:pStyle w:val="SingleTxtG"/>
      </w:pPr>
      <w:r>
        <w:t>37.</w:t>
      </w:r>
      <w:r>
        <w:tab/>
        <w:t xml:space="preserve">El Sr. Amir propone que el Comité elabore observaciones finales sobre la base de la información facilitada por otras fuentes, y dirigir al Gobierno de Gambia una carta recordándole de sus obligaciones en virtud de </w:t>
      </w:r>
      <w:smartTag w:uri="urn:schemas-microsoft-com:office:smarttags" w:element="PersonName">
        <w:smartTagPr>
          <w:attr w:name="ProductID" w:val="la Convenci￳n."/>
        </w:smartTagPr>
        <w:r>
          <w:t>la Convención.</w:t>
        </w:r>
      </w:smartTag>
      <w:r>
        <w:t xml:space="preserve"> </w:t>
      </w:r>
    </w:p>
    <w:p w:rsidR="00000000" w:rsidRDefault="00000000">
      <w:pPr>
        <w:pStyle w:val="SingleTxtG"/>
      </w:pPr>
      <w:r>
        <w:t>38.</w:t>
      </w:r>
      <w:r>
        <w:tab/>
      </w:r>
      <w:r>
        <w:rPr>
          <w:b/>
        </w:rPr>
        <w:t>El Sr. Prosper</w:t>
      </w:r>
      <w:r>
        <w:t xml:space="preserve"> dice que la falta de medios podría eventualmente justificar la presentación por parte de Gambia de un informe de calidad mediocre, porque se sustrae de sus obligaciones interrumpiendo todo vínculo con el Comité durante cerca de 30 años. También sugiere que el Comité advierta por escrito al Estado parte que si no presenta un informe antes de una fecha determinada por el Comité, éste declarará en su siguiente período de sesiones, que Gambia no cumple con sus obligaciones en virtud de </w:t>
      </w:r>
      <w:smartTag w:uri="urn:schemas-microsoft-com:office:smarttags" w:element="PersonName">
        <w:smartTagPr>
          <w:attr w:name="ProductID" w:val="la Convenci￳n."/>
        </w:smartTagPr>
        <w:r>
          <w:t>la Convención.</w:t>
        </w:r>
      </w:smartTag>
      <w:r>
        <w:t xml:space="preserve"> </w:t>
      </w:r>
    </w:p>
    <w:p w:rsidR="00000000" w:rsidRDefault="00000000">
      <w:pPr>
        <w:pStyle w:val="SingleTxtG"/>
      </w:pPr>
      <w:r>
        <w:t>39.</w:t>
      </w:r>
      <w:r>
        <w:tab/>
      </w:r>
      <w:r>
        <w:rPr>
          <w:b/>
        </w:rPr>
        <w:t>El Sr. Ewomsan</w:t>
      </w:r>
      <w:r>
        <w:t xml:space="preserve"> dice que Gambia no podría invocar credibilidad la falta de recursos, por cuanto dispone de suficientes medios para acoger ciertos períodos de sesiones de </w:t>
      </w:r>
      <w:smartTag w:uri="urn:schemas-microsoft-com:office:smarttags" w:element="PersonName">
        <w:smartTagPr>
          <w:attr w:name="ProductID" w:val="la Comisi￳n Africana"/>
        </w:smartTagPr>
        <w:smartTag w:uri="urn:schemas-microsoft-com:office:smarttags" w:element="PersonName">
          <w:smartTagPr>
            <w:attr w:name="ProductID" w:val="la Comisi￳n"/>
          </w:smartTagPr>
          <w:r>
            <w:t>la Comisión</w:t>
          </w:r>
        </w:smartTag>
        <w:r>
          <w:t xml:space="preserve"> Africana</w:t>
        </w:r>
      </w:smartTag>
      <w:r>
        <w:t xml:space="preserve"> de Derechos Humanos y de los Pueblos, cuya sede se encuentra en su territorio. Propone que el Comité se dirija al Programa de las Naciones Unidas para el Desarrollo (PNUD) para tener una mejor idea de la situación en la que se encuentra Gambia, en relación con el turismo sexual y el sida. </w:t>
      </w:r>
    </w:p>
    <w:p w:rsidR="00000000" w:rsidRDefault="00000000">
      <w:pPr>
        <w:pStyle w:val="SingleTxtG"/>
      </w:pPr>
      <w:r>
        <w:t>40.</w:t>
      </w:r>
      <w:r>
        <w:tab/>
      </w:r>
      <w:r>
        <w:rPr>
          <w:b/>
        </w:rPr>
        <w:t>El Sr. Aboul-Nasr</w:t>
      </w:r>
      <w:r>
        <w:t xml:space="preserve"> se pregunta si el Comité está capacitado para emitir un juicio en lugar de un Estado parte que no cumple con sus obligaciones. No desearía que al proceder de esa manera, el Comité se exponga a críticas, en particular por haberse excedido de sus prerrogativas. </w:t>
      </w:r>
    </w:p>
    <w:p w:rsidR="00000000" w:rsidRDefault="00000000">
      <w:pPr>
        <w:pStyle w:val="SingleTxtG"/>
      </w:pPr>
      <w:r>
        <w:t>41.</w:t>
      </w:r>
      <w:r>
        <w:tab/>
      </w:r>
      <w:r>
        <w:rPr>
          <w:b/>
        </w:rPr>
        <w:t xml:space="preserve">El Sr. de Gouttes </w:t>
      </w:r>
      <w:r>
        <w:t xml:space="preserve">evoca el principio de </w:t>
      </w:r>
      <w:r>
        <w:rPr>
          <w:i/>
        </w:rPr>
        <w:t>Pacta sunt servanda</w:t>
      </w:r>
      <w:r>
        <w:t xml:space="preserve">, a saber, que todo tratado en vigor obliga a las partes y debe ser cumplido por ellas de buena fe, lo que no autoriza efectivamente al Comité a condenar a Gambia. También se inclina a favor de que el Comité elabore observaciones finales sobre la situación en Gambia y que envíe al Estado parte una carta recordándole sus obligaciones. </w:t>
      </w:r>
    </w:p>
    <w:p w:rsidR="00000000" w:rsidRDefault="00000000">
      <w:pPr>
        <w:pStyle w:val="SingleTxtG"/>
      </w:pPr>
      <w:r>
        <w:t>42.</w:t>
      </w:r>
      <w:r>
        <w:tab/>
      </w:r>
      <w:r>
        <w:rPr>
          <w:b/>
        </w:rPr>
        <w:t>El Sr. Kemal</w:t>
      </w:r>
      <w:r>
        <w:t xml:space="preserve"> se suma a la propuesta de vincular al PNUD a la iniciativa del Comité de incitar a Gambia a cumplir con sus obligaciones y propone que se someta el problema a los Estados partes en </w:t>
      </w:r>
      <w:smartTag w:uri="urn:schemas-microsoft-com:office:smarttags" w:element="PersonName">
        <w:smartTagPr>
          <w:attr w:name="ProductID" w:val="la Convenci￳n"/>
        </w:smartTagPr>
        <w:r>
          <w:t>la Convención</w:t>
        </w:r>
      </w:smartTag>
      <w:r>
        <w:t xml:space="preserve"> durante su reunión anual que ha de celebrarse en enero.</w:t>
      </w:r>
    </w:p>
    <w:p w:rsidR="00000000" w:rsidRDefault="00000000">
      <w:pPr>
        <w:pStyle w:val="SingleTxtG"/>
      </w:pPr>
      <w:r>
        <w:t>43.</w:t>
      </w:r>
      <w:r>
        <w:tab/>
      </w:r>
      <w:r>
        <w:rPr>
          <w:b/>
        </w:rPr>
        <w:t>El Sr. Lindgren Alves</w:t>
      </w:r>
      <w:r>
        <w:t xml:space="preserve"> propone además que se comunique a los Estados partes, en dicha reunión, la lista de todos los Estados partes cuyos informes debían haberse presentado hace mucho tiempo. El Comité podría incluso pedir al Secretario General de las Naciones Unidas que transmita dicha lista a todos los presidentes de las reuniones de los Estados partes para que le den lectura sistemáticamente al iniciarse cada período de sesiones. </w:t>
      </w:r>
    </w:p>
    <w:p w:rsidR="00000000" w:rsidRDefault="00000000">
      <w:pPr>
        <w:pStyle w:val="SingleTxtG"/>
      </w:pPr>
      <w:r>
        <w:t>44.</w:t>
      </w:r>
      <w:r>
        <w:tab/>
      </w:r>
      <w:r>
        <w:rPr>
          <w:b/>
        </w:rPr>
        <w:t>La Presidenta</w:t>
      </w:r>
      <w:r>
        <w:t xml:space="preserve"> piensa que Gambia firmó </w:t>
      </w:r>
      <w:smartTag w:uri="urn:schemas-microsoft-com:office:smarttags" w:element="PersonName">
        <w:smartTagPr>
          <w:attr w:name="ProductID" w:val="la Convenci￳n"/>
        </w:smartTagPr>
        <w:r>
          <w:t>la Convención</w:t>
        </w:r>
      </w:smartTag>
      <w:r>
        <w:t xml:space="preserve"> porque era "políticamente correcto" hacerlo en ese momento, y que el Comité tiene razón al exigir un mayor compromiso por parte de este Estado, que por lo demás es el país huésped de </w:t>
      </w:r>
      <w:smartTag w:uri="urn:schemas-microsoft-com:office:smarttags" w:element="PersonName">
        <w:smartTagPr>
          <w:attr w:name="ProductID" w:val="la Comisi￳n Africana"/>
        </w:smartTagPr>
        <w:smartTag w:uri="urn:schemas-microsoft-com:office:smarttags" w:element="PersonName">
          <w:smartTagPr>
            <w:attr w:name="ProductID" w:val="la Comisi￳n"/>
          </w:smartTagPr>
          <w:r>
            <w:t>la Comisión</w:t>
          </w:r>
        </w:smartTag>
        <w:r>
          <w:t xml:space="preserve"> Africana</w:t>
        </w:r>
      </w:smartTag>
      <w:r>
        <w:t xml:space="preserve"> de Derechos Humanos y de los Pueblos. Sugiere que el Comité adopte, en una sesión ulterior, observaciones finales sobre la aplicación de </w:t>
      </w:r>
      <w:smartTag w:uri="urn:schemas-microsoft-com:office:smarttags" w:element="PersonName">
        <w:smartTagPr>
          <w:attr w:name="ProductID" w:val="la Convenci￳n"/>
        </w:smartTagPr>
        <w:r>
          <w:t>la Convención</w:t>
        </w:r>
      </w:smartTag>
      <w:r>
        <w:t xml:space="preserve"> en Gambia sobre la base de la información de que disponga.</w:t>
      </w:r>
    </w:p>
    <w:p w:rsidR="00000000" w:rsidRDefault="00000000">
      <w:pPr>
        <w:pStyle w:val="SingleTxtG"/>
      </w:pPr>
      <w:r>
        <w:t>45.</w:t>
      </w:r>
      <w:r>
        <w:tab/>
        <w:t xml:space="preserve">Por último, el Comité podría invitar al Estado parte a cumplir con sus obligaciones dirigiéndole una carta en dicho sentido por conducto de su Ministerio de Relaciones Exteriores, de </w:t>
      </w:r>
      <w:smartTag w:uri="urn:schemas-microsoft-com:office:smarttags" w:element="PersonName">
        <w:smartTagPr>
          <w:attr w:name="ProductID" w:val="la Embajada"/>
        </w:smartTagPr>
        <w:r>
          <w:t>la Embajada</w:t>
        </w:r>
      </w:smartTag>
      <w:r>
        <w:t xml:space="preserve"> de Gambia en París (que abarca a Suiza), de </w:t>
      </w:r>
      <w:smartTag w:uri="urn:schemas-microsoft-com:office:smarttags" w:element="PersonName">
        <w:smartTagPr>
          <w:attr w:name="ProductID" w:val="la Misi￳n Permanente"/>
        </w:smartTagPr>
        <w:smartTag w:uri="urn:schemas-microsoft-com:office:smarttags" w:element="PersonName">
          <w:smartTagPr>
            <w:attr w:name="ProductID" w:val="la Misi￳n"/>
          </w:smartTagPr>
          <w:r>
            <w:t>la Misión</w:t>
          </w:r>
        </w:smartTag>
        <w:r>
          <w:t xml:space="preserve"> Permanente</w:t>
        </w:r>
      </w:smartTag>
      <w:r>
        <w:t xml:space="preserve"> de Gambia ante las Naciones Unidas en Nueva York así como ante el PNUD. El Comité podría además dirigir una copia de dicho correo al Secretario General de las Naciones Unidas, a quien los Estados partes, en virtud del artículo 9 de </w:t>
      </w:r>
      <w:smartTag w:uri="urn:schemas-microsoft-com:office:smarttags" w:element="PersonName">
        <w:smartTagPr>
          <w:attr w:name="ProductID" w:val="la Convenci￳n"/>
        </w:smartTagPr>
        <w:r>
          <w:t>la Convención</w:t>
        </w:r>
      </w:smartTag>
      <w:r>
        <w:t xml:space="preserve">, deben presentar, para su examen por el Comité, un informe sobre las medidas legislativas, judiciales, administrativas o de otra índole que hayan adoptado y que sirvan para hacer efectivas las disposiciones de </w:t>
      </w:r>
      <w:smartTag w:uri="urn:schemas-microsoft-com:office:smarttags" w:element="PersonName">
        <w:smartTagPr>
          <w:attr w:name="ProductID" w:val="la Convenci￳n."/>
        </w:smartTagPr>
        <w:r>
          <w:t>la Convención.</w:t>
        </w:r>
      </w:smartTag>
    </w:p>
    <w:p w:rsidR="00000000" w:rsidRDefault="00000000">
      <w:pPr>
        <w:pStyle w:val="SingleTxtG"/>
        <w:rPr>
          <w:i/>
        </w:rPr>
      </w:pPr>
      <w:r>
        <w:rPr>
          <w:iCs/>
        </w:rPr>
        <w:t>46.</w:t>
      </w:r>
      <w:r>
        <w:rPr>
          <w:iCs/>
        </w:rPr>
        <w:tab/>
      </w:r>
      <w:r>
        <w:rPr>
          <w:i/>
          <w:iCs/>
        </w:rPr>
        <w:t>Así queda decidido</w:t>
      </w:r>
      <w:r>
        <w:rPr>
          <w:i/>
        </w:rPr>
        <w:t>.</w:t>
      </w:r>
    </w:p>
    <w:p w:rsidR="00000000" w:rsidRDefault="00000000">
      <w:pPr>
        <w:pStyle w:val="SingleTxtG"/>
      </w:pPr>
      <w:r>
        <w:rPr>
          <w:i/>
        </w:rPr>
        <w:t>Se levanta la sesión a las 13.00 horas.</w:t>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GE.09-40841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GE.09-40841</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bottom w:val="single" w:sz="4" w:space="1" w:color="auto"/>
      </w:pBdr>
      <w:rPr>
        <w:sz w:val="20"/>
      </w:rPr>
    </w:pPr>
  </w:p>
  <w:p w:rsidR="00000000" w:rsidRDefault="00000000">
    <w:pPr>
      <w:pStyle w:val="FootnoteText"/>
    </w:pPr>
    <w:r>
      <w:tab/>
    </w:r>
    <w:r>
      <w:tab/>
      <w:t>La presente acta podrá ser objeto de correcciones.</w:t>
    </w:r>
  </w:p>
  <w:p w:rsidR="00000000" w:rsidRDefault="00000000">
    <w:pPr>
      <w:pStyle w:val="FootnoteText"/>
    </w:pPr>
    <w:r>
      <w:tab/>
    </w:r>
    <w:r>
      <w:tab/>
      <w:t xml:space="preserve">Las correcciones deberán redactarse en uno de los idiomas de trabajo. Deberán presentarse en forma de memorando, incorporarse en un ejemplar del acta y enviarse, </w:t>
    </w:r>
    <w:r>
      <w:rPr>
        <w:rFonts w:ascii="TimesNewRoman,Bold" w:hAnsi="TimesNewRoman,Bold" w:cs="TimesNewRoman,Bold"/>
        <w:bCs/>
        <w:i/>
      </w:rPr>
      <w:t>dentro del plazo de una semana a partir de la fecha del presente documento</w:t>
    </w:r>
    <w:r>
      <w:t xml:space="preserve">, a </w:t>
    </w:r>
    <w:smartTag w:uri="urn:schemas-microsoft-com:office:smarttags" w:element="PersonName">
      <w:smartTagPr>
        <w:attr w:name="ProductID" w:val="la Dependencia"/>
      </w:smartTagPr>
      <w:r>
        <w:t>la Dependencia</w:t>
      </w:r>
    </w:smartTag>
    <w:r>
      <w:t xml:space="preserve"> de Edición, oficina E.4108, Palacio de las Naciones, Ginebra.</w:t>
    </w:r>
  </w:p>
  <w:p w:rsidR="00000000" w:rsidRDefault="00000000">
    <w:pPr>
      <w:pStyle w:val="FootnoteText"/>
    </w:pPr>
    <w:r>
      <w:tab/>
    </w:r>
    <w:r>
      <w:tab/>
      <w:t>Las correcciones que se introduzcan en las actas de las sesiones públicas del Comité se reunirán en un documento único que se publicará poco después del período de sesiones.</w:t>
    </w:r>
  </w:p>
  <w:p w:rsidR="00000000" w:rsidRDefault="00000000">
    <w:pPr>
      <w:pStyle w:val="Footer"/>
      <w:spacing w:before="480"/>
    </w:pPr>
    <w:r>
      <w:rPr>
        <w:sz w:val="20"/>
      </w:rPr>
      <w:t>GE.09-40841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12.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150610    260710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CERD/C/SR.1917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CERD/C/SR.1917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autoRedefine/>
    <w:pPr>
      <w:tabs>
        <w:tab w:val="right" w:pos="1021"/>
      </w:tabs>
      <w:spacing w:after="120"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8</Pages>
  <Words>4167</Words>
  <Characters>22920</Characters>
  <Application>Microsoft Office Word</Application>
  <DocSecurity>4</DocSecurity>
  <Lines>191</Lines>
  <Paragraphs>54</Paragraphs>
  <ScaleCrop>false</ScaleCrop>
  <HeadingPairs>
    <vt:vector size="2" baseType="variant">
      <vt:variant>
        <vt:lpstr>Título</vt:lpstr>
      </vt:variant>
      <vt:variant>
        <vt:i4>1</vt:i4>
      </vt:variant>
    </vt:vector>
  </HeadingPairs>
  <TitlesOfParts>
    <vt:vector size="1" baseType="lpstr">
      <vt:lpstr>CERD/C/SR.1917 - 09-40841</vt:lpstr>
    </vt:vector>
  </TitlesOfParts>
  <Company/>
  <LinksUpToDate>false</LinksUpToDate>
  <CharactersWithSpaces>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CERD/C/SR.1917 - 09-40841</dc:title>
  <dc:subject>final</dc:subject>
  <dc:creator>c. martínez</dc:creator>
  <cp:keywords/>
  <dc:description/>
  <cp:lastModifiedBy>Admieng</cp:lastModifiedBy>
  <cp:revision>2</cp:revision>
  <cp:lastPrinted>2010-06-22T09:14:00Z</cp:lastPrinted>
  <dcterms:created xsi:type="dcterms:W3CDTF">2010-07-26T12:31:00Z</dcterms:created>
  <dcterms:modified xsi:type="dcterms:W3CDTF">2010-07-26T12:31:00Z</dcterms:modified>
</cp:coreProperties>
</file>