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A22F57"/>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A22F57" w:rsidP="00A22F57">
            <w:pPr>
              <w:jc w:val="right"/>
            </w:pPr>
            <w:r w:rsidRPr="00A22F57">
              <w:rPr>
                <w:sz w:val="40"/>
              </w:rPr>
              <w:t>CERD</w:t>
            </w:r>
            <w:r>
              <w:t>/C/SRB/Q/2-5</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A22F57" w:rsidP="009D5F1A">
            <w:pPr>
              <w:spacing w:before="240"/>
            </w:pPr>
            <w:r>
              <w:t>Distr. générale</w:t>
            </w:r>
          </w:p>
          <w:p w:rsidR="00A22F57" w:rsidRDefault="00971349" w:rsidP="00A22F57">
            <w:pPr>
              <w:spacing w:line="240" w:lineRule="exact"/>
            </w:pPr>
            <w:r>
              <w:t>4 </w:t>
            </w:r>
            <w:r w:rsidR="00A22F57">
              <w:t>octobre 2017</w:t>
            </w:r>
          </w:p>
          <w:p w:rsidR="00A22F57" w:rsidRDefault="00A22F57" w:rsidP="00A22F57">
            <w:pPr>
              <w:spacing w:line="240" w:lineRule="exact"/>
            </w:pPr>
            <w:r>
              <w:t>Français</w:t>
            </w:r>
          </w:p>
          <w:p w:rsidR="00A22F57" w:rsidRDefault="00971349" w:rsidP="00A22F57">
            <w:pPr>
              <w:spacing w:line="240" w:lineRule="exact"/>
            </w:pPr>
            <w:r>
              <w:t>Original </w:t>
            </w:r>
            <w:r w:rsidR="00A22F57">
              <w:t>: anglais</w:t>
            </w:r>
          </w:p>
          <w:p w:rsidR="00A22F57" w:rsidRPr="00DB58B5" w:rsidRDefault="00A22F57" w:rsidP="00A22F57">
            <w:pPr>
              <w:spacing w:line="240" w:lineRule="exact"/>
            </w:pPr>
            <w:r>
              <w:t>Anglais, espagnol et français seulement</w:t>
            </w:r>
          </w:p>
        </w:tc>
      </w:tr>
    </w:tbl>
    <w:p w:rsidR="00A22F57" w:rsidRDefault="00623CA8" w:rsidP="00623CA8">
      <w:pPr>
        <w:spacing w:before="120"/>
        <w:rPr>
          <w:b/>
          <w:sz w:val="24"/>
          <w:szCs w:val="24"/>
        </w:rPr>
      </w:pPr>
      <w:r w:rsidRPr="00C56102">
        <w:rPr>
          <w:b/>
          <w:sz w:val="24"/>
          <w:szCs w:val="24"/>
        </w:rPr>
        <w:t>Comité pour l’élimination de la discrimination raciale</w:t>
      </w:r>
    </w:p>
    <w:p w:rsidR="00A22F57" w:rsidRPr="001720CA" w:rsidRDefault="00A22F57" w:rsidP="00780585">
      <w:pPr>
        <w:rPr>
          <w:b/>
          <w:lang w:val="fr-FR"/>
        </w:rPr>
      </w:pPr>
      <w:r w:rsidRPr="00971349">
        <w:rPr>
          <w:b/>
          <w:lang w:val="fr-FR"/>
        </w:rPr>
        <w:t>Quatre</w:t>
      </w:r>
      <w:r w:rsidR="00971349" w:rsidRPr="00971349">
        <w:rPr>
          <w:b/>
          <w:lang w:val="fr-FR"/>
        </w:rPr>
        <w:noBreakHyphen/>
      </w:r>
      <w:r w:rsidRPr="00971349">
        <w:rPr>
          <w:b/>
          <w:lang w:val="fr-FR"/>
        </w:rPr>
        <w:t>vingt</w:t>
      </w:r>
      <w:r w:rsidR="00971349" w:rsidRPr="00971349">
        <w:rPr>
          <w:b/>
          <w:lang w:val="fr-FR"/>
        </w:rPr>
        <w:noBreakHyphen/>
      </w:r>
      <w:r w:rsidRPr="00971349">
        <w:rPr>
          <w:b/>
          <w:lang w:val="fr-FR"/>
        </w:rPr>
        <w:t>quatorzième </w:t>
      </w:r>
      <w:r w:rsidRPr="001720CA">
        <w:rPr>
          <w:b/>
          <w:lang w:val="fr-FR"/>
        </w:rPr>
        <w:t xml:space="preserve">session </w:t>
      </w:r>
    </w:p>
    <w:p w:rsidR="00A22F57" w:rsidRPr="001720CA" w:rsidRDefault="00C12846" w:rsidP="00780585">
      <w:pPr>
        <w:rPr>
          <w:lang w:val="fr-FR"/>
        </w:rPr>
      </w:pPr>
      <w:r>
        <w:rPr>
          <w:lang w:val="fr-FR"/>
        </w:rPr>
        <w:t>20 </w:t>
      </w:r>
      <w:r w:rsidR="00971349" w:rsidRPr="00C12846">
        <w:rPr>
          <w:lang w:val="fr-FR"/>
        </w:rPr>
        <w:t>novembre</w:t>
      </w:r>
      <w:r w:rsidR="00971349">
        <w:rPr>
          <w:lang w:val="fr-FR"/>
        </w:rPr>
        <w:noBreakHyphen/>
      </w:r>
      <w:r>
        <w:rPr>
          <w:lang w:val="fr-FR"/>
        </w:rPr>
        <w:t>8 </w:t>
      </w:r>
      <w:r w:rsidR="00971349" w:rsidRPr="00C12846">
        <w:rPr>
          <w:lang w:val="fr-FR"/>
        </w:rPr>
        <w:t>décembre 2017</w:t>
      </w:r>
    </w:p>
    <w:p w:rsidR="00A22F57" w:rsidRPr="001720CA" w:rsidRDefault="00C12846" w:rsidP="00780585">
      <w:pPr>
        <w:rPr>
          <w:lang w:val="fr-FR"/>
        </w:rPr>
      </w:pPr>
      <w:r>
        <w:rPr>
          <w:lang w:val="fr-FR"/>
        </w:rPr>
        <w:t>Point 4</w:t>
      </w:r>
      <w:r w:rsidR="00A22F57" w:rsidRPr="001720CA">
        <w:rPr>
          <w:lang w:val="fr-FR"/>
        </w:rPr>
        <w:t xml:space="preserve"> de l’ordre du jour provisoire</w:t>
      </w:r>
    </w:p>
    <w:p w:rsidR="00A22F57" w:rsidRPr="001720CA" w:rsidRDefault="00A22F57" w:rsidP="00780585">
      <w:pPr>
        <w:rPr>
          <w:b/>
          <w:lang w:val="fr-FR"/>
        </w:rPr>
      </w:pPr>
      <w:r w:rsidRPr="001720CA">
        <w:rPr>
          <w:b/>
          <w:lang w:val="fr-FR"/>
        </w:rPr>
        <w:t xml:space="preserve">Examen des rapports, observations et renseignements soumis </w:t>
      </w:r>
      <w:r w:rsidRPr="001720CA">
        <w:rPr>
          <w:b/>
          <w:lang w:val="fr-FR"/>
        </w:rPr>
        <w:br/>
        <w:t>par les États part</w:t>
      </w:r>
      <w:r w:rsidR="008F621F">
        <w:rPr>
          <w:b/>
          <w:lang w:val="fr-FR"/>
        </w:rPr>
        <w:t>ies en application de l’article </w:t>
      </w:r>
      <w:r w:rsidRPr="001720CA">
        <w:rPr>
          <w:b/>
          <w:lang w:val="fr-FR"/>
        </w:rPr>
        <w:t>9 de la Convention</w:t>
      </w:r>
    </w:p>
    <w:p w:rsidR="00A22F57" w:rsidRPr="001720CA" w:rsidRDefault="00A22F57" w:rsidP="00780585">
      <w:pPr>
        <w:pStyle w:val="HChG"/>
        <w:rPr>
          <w:lang w:val="fr-FR"/>
        </w:rPr>
      </w:pPr>
      <w:r w:rsidRPr="001720CA">
        <w:rPr>
          <w:lang w:val="fr-FR"/>
        </w:rPr>
        <w:tab/>
      </w:r>
      <w:r w:rsidRPr="001720CA">
        <w:rPr>
          <w:lang w:val="fr-FR"/>
        </w:rPr>
        <w:tab/>
        <w:t xml:space="preserve">Liste de thèmes concernant le </w:t>
      </w:r>
      <w:r w:rsidR="00971349" w:rsidRPr="00C12846">
        <w:rPr>
          <w:lang w:val="fr-FR"/>
        </w:rPr>
        <w:t>rapport de la Serbie valant deuxième à cinquième rapports périodiques</w:t>
      </w:r>
    </w:p>
    <w:p w:rsidR="00A22F57" w:rsidRPr="00876A0B" w:rsidRDefault="00A22F57" w:rsidP="00780585">
      <w:pPr>
        <w:pStyle w:val="H1G"/>
        <w:rPr>
          <w:lang w:val="fr-FR"/>
        </w:rPr>
      </w:pPr>
      <w:r w:rsidRPr="00876A0B">
        <w:rPr>
          <w:lang w:val="fr-FR"/>
        </w:rPr>
        <w:tab/>
      </w:r>
      <w:r w:rsidRPr="00876A0B">
        <w:rPr>
          <w:lang w:val="fr-FR"/>
        </w:rPr>
        <w:tab/>
      </w:r>
      <w:r>
        <w:rPr>
          <w:lang w:val="fr-FR"/>
        </w:rPr>
        <w:t xml:space="preserve">Note du Rapporteur </w:t>
      </w:r>
      <w:r w:rsidR="00C12846">
        <w:rPr>
          <w:lang w:val="fr-FR"/>
        </w:rPr>
        <w:t>de pays</w:t>
      </w:r>
    </w:p>
    <w:p w:rsidR="00E038F2" w:rsidRPr="00C12846" w:rsidRDefault="00971349" w:rsidP="00C12846">
      <w:pPr>
        <w:pStyle w:val="SingleTxtG"/>
      </w:pPr>
      <w:r w:rsidRPr="00C12846">
        <w:rPr>
          <w:lang w:val="fr-FR"/>
        </w:rPr>
        <w:t>1.</w:t>
      </w:r>
      <w:r w:rsidRPr="00C12846">
        <w:rPr>
          <w:lang w:val="fr-FR"/>
        </w:rPr>
        <w:tab/>
        <w:t>À sa soixante</w:t>
      </w:r>
      <w:r>
        <w:rPr>
          <w:lang w:val="fr-FR"/>
        </w:rPr>
        <w:noBreakHyphen/>
      </w:r>
      <w:r w:rsidR="008F621F">
        <w:rPr>
          <w:lang w:val="fr-FR"/>
        </w:rPr>
        <w:t>seizième session (A/65/18, par. </w:t>
      </w:r>
      <w:r w:rsidRPr="00C12846">
        <w:rPr>
          <w:lang w:val="fr-FR"/>
        </w:rPr>
        <w:t xml:space="preserve">85), le Comité pour l’élimination de la discrimination raciale a décidé que le rapporteur de pays ferait parvenir à l’État partie concerné une courte liste de thèmes en vue de guider et de structurer le dialogue entre la délégation de l’État partie et le Comité pendant l’examen </w:t>
      </w:r>
      <w:r w:rsidR="002E1A19">
        <w:rPr>
          <w:lang w:val="fr-FR"/>
        </w:rPr>
        <w:t>du rapport de l’État partie. On </w:t>
      </w:r>
      <w:r w:rsidRPr="00C12846">
        <w:rPr>
          <w:lang w:val="fr-FR"/>
        </w:rPr>
        <w:t>trouvera ci</w:t>
      </w:r>
      <w:r>
        <w:rPr>
          <w:lang w:val="fr-FR"/>
        </w:rPr>
        <w:noBreakHyphen/>
      </w:r>
      <w:r w:rsidRPr="00C12846">
        <w:rPr>
          <w:lang w:val="fr-FR"/>
        </w:rPr>
        <w:t>après une liste de thèmes non exhaustive, d’autres questions pouvant être traitées au cours du dialogue.</w:t>
      </w:r>
      <w:r w:rsidR="008F621F">
        <w:rPr>
          <w:lang w:val="fr-FR"/>
        </w:rPr>
        <w:t xml:space="preserve"> </w:t>
      </w:r>
      <w:r w:rsidRPr="00C12846">
        <w:rPr>
          <w:lang w:val="fr-FR"/>
        </w:rPr>
        <w:t xml:space="preserve">Cette liste n’appelle pas de réponses écrites. </w:t>
      </w:r>
    </w:p>
    <w:p w:rsidR="00E038F2" w:rsidRPr="00C12846" w:rsidRDefault="00971349" w:rsidP="00C12846">
      <w:pPr>
        <w:pStyle w:val="H23G"/>
      </w:pPr>
      <w:r w:rsidRPr="00C12846">
        <w:rPr>
          <w:lang w:val="fr-FR"/>
        </w:rPr>
        <w:tab/>
      </w:r>
      <w:r w:rsidRPr="00C12846">
        <w:rPr>
          <w:lang w:val="fr-FR"/>
        </w:rPr>
        <w:tab/>
        <w:t>Lutte c</w:t>
      </w:r>
      <w:r>
        <w:rPr>
          <w:lang w:val="fr-FR"/>
        </w:rPr>
        <w:t>ontre la discrimination raciale </w:t>
      </w:r>
      <w:r w:rsidRPr="00C12846">
        <w:rPr>
          <w:lang w:val="fr-FR"/>
        </w:rPr>
        <w:t xml:space="preserve">: cadre juridique et institutionnel, et politiques publiques (art. 2 à 7) </w:t>
      </w:r>
    </w:p>
    <w:p w:rsidR="00E038F2" w:rsidRPr="00C12846" w:rsidRDefault="008F621F" w:rsidP="00C12846">
      <w:pPr>
        <w:pStyle w:val="SingleTxtG"/>
      </w:pPr>
      <w:r>
        <w:rPr>
          <w:lang w:val="fr-FR"/>
        </w:rPr>
        <w:t>2.</w:t>
      </w:r>
      <w:r w:rsidR="00971349" w:rsidRPr="00C12846">
        <w:rPr>
          <w:lang w:val="fr-FR"/>
        </w:rPr>
        <w:tab/>
        <w:t>Renseignements à jour sur le financement du Commissaire à la protection de l’égalité et du Défenseur des citoyens (Médiateur de la Serbie) et sur leurs activités en matière de lutte contre le</w:t>
      </w:r>
      <w:r w:rsidR="00607AC1">
        <w:rPr>
          <w:lang w:val="fr-FR"/>
        </w:rPr>
        <w:t xml:space="preserve"> racisme (CERD/C/SRB/CO/1, par. 11 et 20 ; CERD/C/SRB/2</w:t>
      </w:r>
      <w:r w:rsidR="00971349">
        <w:rPr>
          <w:lang w:val="fr-FR"/>
        </w:rPr>
        <w:noBreakHyphen/>
      </w:r>
      <w:r w:rsidR="00607AC1">
        <w:rPr>
          <w:lang w:val="fr-FR"/>
        </w:rPr>
        <w:t>5, par. </w:t>
      </w:r>
      <w:r w:rsidR="00971349" w:rsidRPr="00C12846">
        <w:rPr>
          <w:lang w:val="fr-FR"/>
        </w:rPr>
        <w:t>147 à 15</w:t>
      </w:r>
      <w:r w:rsidR="00607AC1">
        <w:rPr>
          <w:lang w:val="fr-FR"/>
        </w:rPr>
        <w:t>3 ; CERD/C/SRB/CO/1/Add.1, par. </w:t>
      </w:r>
      <w:r w:rsidR="00971349" w:rsidRPr="00C12846">
        <w:rPr>
          <w:lang w:val="fr-FR"/>
        </w:rPr>
        <w:t>5 à 32).</w:t>
      </w:r>
    </w:p>
    <w:p w:rsidR="00E038F2" w:rsidRPr="00C12846" w:rsidRDefault="00971349" w:rsidP="00C12846">
      <w:pPr>
        <w:pStyle w:val="SingleTxtG"/>
      </w:pPr>
      <w:r w:rsidRPr="00C12846">
        <w:rPr>
          <w:lang w:val="fr-FR"/>
        </w:rPr>
        <w:t>3.</w:t>
      </w:r>
      <w:r w:rsidRPr="00C12846">
        <w:rPr>
          <w:lang w:val="fr-FR"/>
        </w:rPr>
        <w:tab/>
        <w:t>Données statistiques à jour, ventilées par origine ethnique, sur l’exercice des droits écono</w:t>
      </w:r>
      <w:r w:rsidR="006E531A">
        <w:rPr>
          <w:lang w:val="fr-FR"/>
        </w:rPr>
        <w:t>miques, sociaux et culturels, y </w:t>
      </w:r>
      <w:r w:rsidRPr="00C12846">
        <w:rPr>
          <w:lang w:val="fr-FR"/>
        </w:rPr>
        <w:t>compris l’accès au logement et aux services de santé (CERD/C/SRB/CO/1,</w:t>
      </w:r>
      <w:r w:rsidR="00607AC1">
        <w:rPr>
          <w:lang w:val="fr-FR"/>
        </w:rPr>
        <w:t xml:space="preserve"> par. 12 ; CERD/C/SRB/2</w:t>
      </w:r>
      <w:r>
        <w:rPr>
          <w:lang w:val="fr-FR"/>
        </w:rPr>
        <w:noBreakHyphen/>
      </w:r>
      <w:r w:rsidR="00607AC1">
        <w:rPr>
          <w:lang w:val="fr-FR"/>
        </w:rPr>
        <w:t>5, par. </w:t>
      </w:r>
      <w:r w:rsidRPr="00C12846">
        <w:rPr>
          <w:lang w:val="fr-FR"/>
        </w:rPr>
        <w:t>4 à 8 et annexe 2).</w:t>
      </w:r>
    </w:p>
    <w:p w:rsidR="00E038F2" w:rsidRPr="00C12846" w:rsidRDefault="00971349" w:rsidP="00C12846">
      <w:pPr>
        <w:pStyle w:val="SingleTxtG"/>
      </w:pPr>
      <w:r w:rsidRPr="00C12846">
        <w:rPr>
          <w:lang w:val="fr-FR"/>
        </w:rPr>
        <w:t>4.</w:t>
      </w:r>
      <w:r w:rsidRPr="00C12846">
        <w:rPr>
          <w:lang w:val="fr-FR"/>
        </w:rPr>
        <w:tab/>
        <w:t xml:space="preserve">Lois définissant et interdisant les infractions motivées par la haine raciale ; données statistiques sur l’invocation de circonstances aggravantes pour les infractions motivées par la race, la nationalité ou l’origine </w:t>
      </w:r>
      <w:r w:rsidR="00607AC1">
        <w:rPr>
          <w:lang w:val="fr-FR"/>
        </w:rPr>
        <w:t>ethnique (CERD/C/SRB/CO/1, par. 13 ; CERD/C/SRB/2</w:t>
      </w:r>
      <w:r>
        <w:rPr>
          <w:lang w:val="fr-FR"/>
        </w:rPr>
        <w:noBreakHyphen/>
      </w:r>
      <w:r w:rsidR="00607AC1">
        <w:rPr>
          <w:lang w:val="fr-FR"/>
        </w:rPr>
        <w:t>5, par. </w:t>
      </w:r>
      <w:r w:rsidRPr="00C12846">
        <w:rPr>
          <w:lang w:val="fr-FR"/>
        </w:rPr>
        <w:t>28 à 34 et 68 à 79).</w:t>
      </w:r>
    </w:p>
    <w:p w:rsidR="00E038F2" w:rsidRPr="00C12846" w:rsidRDefault="00971349" w:rsidP="00C12846">
      <w:pPr>
        <w:pStyle w:val="SingleTxtG"/>
      </w:pPr>
      <w:r w:rsidRPr="00C12846">
        <w:rPr>
          <w:lang w:val="fr-FR"/>
        </w:rPr>
        <w:t>5.</w:t>
      </w:r>
      <w:r w:rsidRPr="00C12846">
        <w:rPr>
          <w:lang w:val="fr-FR"/>
        </w:rPr>
        <w:tab/>
        <w:t>Données statistiques à jour sur les affaires ayant donné lieu à des enquêtes, à des poursuites et à des sanctions pour discrimination raciale, discours de haine raciale et incitation à la haine raciale, et exemples d’</w:t>
      </w:r>
      <w:r w:rsidR="00607AC1">
        <w:rPr>
          <w:lang w:val="fr-FR"/>
        </w:rPr>
        <w:t>affaires (CERD/C/SRB/CO/1, par. 13 et 20 ; CERD/C/SRB/2</w:t>
      </w:r>
      <w:r>
        <w:rPr>
          <w:lang w:val="fr-FR"/>
        </w:rPr>
        <w:noBreakHyphen/>
      </w:r>
      <w:r w:rsidR="00607AC1">
        <w:rPr>
          <w:lang w:val="fr-FR"/>
        </w:rPr>
        <w:t>5, par. </w:t>
      </w:r>
      <w:r w:rsidRPr="00C12846">
        <w:rPr>
          <w:lang w:val="fr-FR"/>
        </w:rPr>
        <w:t>28 à 34, 68 à 79 et annexe 3).</w:t>
      </w:r>
    </w:p>
    <w:p w:rsidR="00E038F2" w:rsidRPr="00C12846" w:rsidRDefault="00971349" w:rsidP="00C12846">
      <w:pPr>
        <w:pStyle w:val="SingleTxtG"/>
      </w:pPr>
      <w:r w:rsidRPr="00C12846">
        <w:rPr>
          <w:lang w:val="fr-FR"/>
        </w:rPr>
        <w:t>6.</w:t>
      </w:r>
      <w:r w:rsidRPr="00C12846">
        <w:rPr>
          <w:lang w:val="fr-FR"/>
        </w:rPr>
        <w:tab/>
        <w:t>Mesures particulières prises pour recenser et combattre les discours de haine raciale tenus par différentes sources, y compris les personnalités pol</w:t>
      </w:r>
      <w:r>
        <w:rPr>
          <w:lang w:val="fr-FR"/>
        </w:rPr>
        <w:t>itiques, les médias, les plate</w:t>
      </w:r>
      <w:r w:rsidRPr="00C12846">
        <w:rPr>
          <w:lang w:val="fr-FR"/>
        </w:rPr>
        <w:t xml:space="preserve">formes en ligne, ainsi que les supporters et les organisations de football, et résultats obtenus en la matière </w:t>
      </w:r>
      <w:r w:rsidR="00607AC1">
        <w:rPr>
          <w:lang w:val="fr-FR"/>
        </w:rPr>
        <w:t>(CERD/C/SRB/2</w:t>
      </w:r>
      <w:r>
        <w:rPr>
          <w:lang w:val="fr-FR"/>
        </w:rPr>
        <w:noBreakHyphen/>
      </w:r>
      <w:r w:rsidR="00607AC1">
        <w:rPr>
          <w:lang w:val="fr-FR"/>
        </w:rPr>
        <w:t>5, par. 29 à 33 ; CERD/C/SRB/2</w:t>
      </w:r>
      <w:r>
        <w:rPr>
          <w:lang w:val="fr-FR"/>
        </w:rPr>
        <w:noBreakHyphen/>
      </w:r>
      <w:r w:rsidR="00607AC1">
        <w:rPr>
          <w:lang w:val="fr-FR"/>
        </w:rPr>
        <w:t>5, par. </w:t>
      </w:r>
      <w:r w:rsidRPr="00C12846">
        <w:rPr>
          <w:lang w:val="fr-FR"/>
        </w:rPr>
        <w:t>31, 32, 78, 162 et 171).</w:t>
      </w:r>
    </w:p>
    <w:p w:rsidR="00E038F2" w:rsidRPr="00C12846" w:rsidRDefault="00971349" w:rsidP="00C12846">
      <w:pPr>
        <w:pStyle w:val="SingleTxtG"/>
      </w:pPr>
      <w:r w:rsidRPr="00C12846">
        <w:rPr>
          <w:lang w:val="fr-FR"/>
        </w:rPr>
        <w:lastRenderedPageBreak/>
        <w:t>7.</w:t>
      </w:r>
      <w:r w:rsidRPr="00C12846">
        <w:rPr>
          <w:lang w:val="fr-FR"/>
        </w:rPr>
        <w:tab/>
        <w:t>Renseignements sur le pouvoir de décision des conseils des minorités nationales et sur l’efficacité des mesures qu’ils ont prises.</w:t>
      </w:r>
    </w:p>
    <w:p w:rsidR="00E038F2" w:rsidRPr="00C12846" w:rsidRDefault="00971349" w:rsidP="00C12846">
      <w:pPr>
        <w:pStyle w:val="H23G"/>
      </w:pPr>
      <w:r w:rsidRPr="00C12846">
        <w:rPr>
          <w:lang w:val="fr-FR"/>
        </w:rPr>
        <w:tab/>
      </w:r>
      <w:r w:rsidRPr="00C12846">
        <w:rPr>
          <w:lang w:val="fr-FR"/>
        </w:rPr>
        <w:tab/>
        <w:t>Situation des Roms, Ashkali et tziganes</w:t>
      </w:r>
      <w:r w:rsidR="00C12846">
        <w:rPr>
          <w:lang w:val="fr-FR"/>
        </w:rPr>
        <w:t xml:space="preserve"> (art. </w:t>
      </w:r>
      <w:r w:rsidRPr="00C12846">
        <w:rPr>
          <w:lang w:val="fr-FR"/>
        </w:rPr>
        <w:t xml:space="preserve">2 à 7) </w:t>
      </w:r>
    </w:p>
    <w:p w:rsidR="00E038F2" w:rsidRPr="00C12846" w:rsidRDefault="00971349" w:rsidP="00C12846">
      <w:pPr>
        <w:pStyle w:val="SingleTxtG"/>
      </w:pPr>
      <w:r w:rsidRPr="00C12846">
        <w:rPr>
          <w:lang w:val="fr-FR"/>
        </w:rPr>
        <w:t>8.</w:t>
      </w:r>
      <w:r w:rsidRPr="00C12846">
        <w:rPr>
          <w:lang w:val="fr-FR"/>
        </w:rPr>
        <w:tab/>
        <w:t xml:space="preserve">Résultats des mesures prises, le cas échéant, pour améliorer les conditions de logement des Roms, des Ashkali et des tziganes, et pour élaborer des programmes de logements sociaux à leur intention ; renseignements sur la nouvelle loi sur le logement et les immeubles à usage d’habitation ; mesures prises pour éviter la ségrégation des minorités dans le secteur du logement </w:t>
      </w:r>
      <w:r w:rsidR="00607AC1">
        <w:rPr>
          <w:lang w:val="fr-FR"/>
        </w:rPr>
        <w:t>(CERD/C/SRB/CO/1, par. 14 ; CERD/C/SRB/2</w:t>
      </w:r>
      <w:r>
        <w:rPr>
          <w:lang w:val="fr-FR"/>
        </w:rPr>
        <w:noBreakHyphen/>
      </w:r>
      <w:r w:rsidR="00607AC1">
        <w:rPr>
          <w:lang w:val="fr-FR"/>
        </w:rPr>
        <w:t>5, par. </w:t>
      </w:r>
      <w:r w:rsidRPr="00C12846">
        <w:rPr>
          <w:lang w:val="fr-FR"/>
        </w:rPr>
        <w:t>56 et 60 à 67).</w:t>
      </w:r>
    </w:p>
    <w:p w:rsidR="00E038F2" w:rsidRPr="006E531A" w:rsidRDefault="00971349" w:rsidP="00C12846">
      <w:pPr>
        <w:pStyle w:val="SingleTxtG"/>
      </w:pPr>
      <w:r w:rsidRPr="006E531A">
        <w:rPr>
          <w:lang w:val="fr-FR"/>
        </w:rPr>
        <w:t>9.</w:t>
      </w:r>
      <w:r w:rsidRPr="006E531A">
        <w:rPr>
          <w:lang w:val="fr-FR"/>
        </w:rPr>
        <w:tab/>
        <w:t xml:space="preserve">Renseignements sur les mesures particulières prises pour mettre fin à la ségrégation de fait dans l’enseignement public, faciliter l’accès à une éducation de qualité, mettre en place des </w:t>
      </w:r>
      <w:r w:rsidRPr="006E531A">
        <w:rPr>
          <w:bCs/>
          <w:lang w:val="fr-FR"/>
        </w:rPr>
        <w:t>procédures d’accueil, d’évaluation et de placement des enfants roms rapatriés de pays d’Europe occidentale</w:t>
      </w:r>
      <w:r w:rsidRPr="006E531A">
        <w:rPr>
          <w:lang w:val="fr-FR"/>
        </w:rPr>
        <w:t>, et mieux sensibiliser les enseignants à l’importance de ces procédures</w:t>
      </w:r>
      <w:r w:rsidR="00607AC1" w:rsidRPr="006E531A">
        <w:rPr>
          <w:lang w:val="fr-FR"/>
        </w:rPr>
        <w:t xml:space="preserve"> (CERD/C/SRB/CO/1, par. 15 ; CERD/C/SRB/2</w:t>
      </w:r>
      <w:r w:rsidRPr="006E531A">
        <w:rPr>
          <w:lang w:val="fr-FR"/>
        </w:rPr>
        <w:noBreakHyphen/>
      </w:r>
      <w:r w:rsidR="00607AC1" w:rsidRPr="006E531A">
        <w:rPr>
          <w:lang w:val="fr-FR"/>
        </w:rPr>
        <w:t>5, par. </w:t>
      </w:r>
      <w:r w:rsidRPr="006E531A">
        <w:rPr>
          <w:lang w:val="fr-FR"/>
        </w:rPr>
        <w:t xml:space="preserve">131 à 134, 176 et annexes 2 et </w:t>
      </w:r>
      <w:r w:rsidR="00607AC1" w:rsidRPr="006E531A">
        <w:rPr>
          <w:lang w:val="fr-FR"/>
        </w:rPr>
        <w:t>5 ; CERD/C/SRB/CO/1/Add.1, par. </w:t>
      </w:r>
      <w:r w:rsidRPr="006E531A">
        <w:rPr>
          <w:lang w:val="fr-FR"/>
        </w:rPr>
        <w:t>33 à 78).</w:t>
      </w:r>
      <w:bookmarkStart w:id="0" w:name="_GoBack"/>
      <w:bookmarkEnd w:id="0"/>
    </w:p>
    <w:p w:rsidR="00E038F2" w:rsidRPr="00C12846" w:rsidRDefault="00971349" w:rsidP="00C12846">
      <w:pPr>
        <w:pStyle w:val="SingleTxtG"/>
      </w:pPr>
      <w:r w:rsidRPr="00C12846">
        <w:rPr>
          <w:lang w:val="fr-FR"/>
        </w:rPr>
        <w:t>10.</w:t>
      </w:r>
      <w:r w:rsidRPr="00C12846">
        <w:rPr>
          <w:lang w:val="fr-FR"/>
        </w:rPr>
        <w:tab/>
        <w:t>Résultats des mesures prises pour lutter contre la discrimination à l’égard des Roms, des Ashkali et des tziganes, et leur garantir l’accès à l’emploi, aux soins de santé et aux lieux publics ainsi qu’une participation à la vie politique dans des conditions d’égalité (CERD</w:t>
      </w:r>
      <w:r w:rsidR="00607AC1">
        <w:rPr>
          <w:lang w:val="fr-FR"/>
        </w:rPr>
        <w:t>/C/SRB/CO/1, par. 16 ; CERD/C/SRB/2</w:t>
      </w:r>
      <w:r>
        <w:rPr>
          <w:lang w:val="fr-FR"/>
        </w:rPr>
        <w:noBreakHyphen/>
      </w:r>
      <w:r w:rsidR="00607AC1">
        <w:rPr>
          <w:lang w:val="fr-FR"/>
        </w:rPr>
        <w:t>5, par. </w:t>
      </w:r>
      <w:r w:rsidRPr="00C12846">
        <w:rPr>
          <w:lang w:val="fr-FR"/>
        </w:rPr>
        <w:t xml:space="preserve">35 à 59 et annexes 2 et </w:t>
      </w:r>
      <w:r w:rsidR="00607AC1">
        <w:rPr>
          <w:lang w:val="fr-FR"/>
        </w:rPr>
        <w:t>4 ; CERD/C/SRB/CO/1/Add.1, par. </w:t>
      </w:r>
      <w:r w:rsidRPr="00C12846">
        <w:rPr>
          <w:lang w:val="fr-FR"/>
        </w:rPr>
        <w:t xml:space="preserve">82 à 103). </w:t>
      </w:r>
    </w:p>
    <w:p w:rsidR="00E038F2" w:rsidRPr="00C12846" w:rsidRDefault="00971349" w:rsidP="00C12846">
      <w:pPr>
        <w:pStyle w:val="SingleTxtG"/>
      </w:pPr>
      <w:r w:rsidRPr="00C12846">
        <w:rPr>
          <w:lang w:val="fr-FR"/>
        </w:rPr>
        <w:t>11.</w:t>
      </w:r>
      <w:r w:rsidRPr="00C12846">
        <w:rPr>
          <w:lang w:val="fr-FR"/>
        </w:rPr>
        <w:tab/>
        <w:t>Résultats des mesures prises pour faire en sorte que chacun ait accès aux documents d’identité nécessaires à l’exercice de se</w:t>
      </w:r>
      <w:r w:rsidR="00607AC1">
        <w:rPr>
          <w:lang w:val="fr-FR"/>
        </w:rPr>
        <w:t>s droits (CERD/C/SRB/CO/1, par. 19 ; CERD/C/SRB/2</w:t>
      </w:r>
      <w:r>
        <w:rPr>
          <w:lang w:val="fr-FR"/>
        </w:rPr>
        <w:noBreakHyphen/>
      </w:r>
      <w:r w:rsidR="00607AC1">
        <w:rPr>
          <w:lang w:val="fr-FR"/>
        </w:rPr>
        <w:t>5, par. </w:t>
      </w:r>
      <w:r w:rsidRPr="00C12846">
        <w:rPr>
          <w:lang w:val="fr-FR"/>
        </w:rPr>
        <w:t>121).</w:t>
      </w:r>
    </w:p>
    <w:p w:rsidR="00E038F2" w:rsidRPr="00C12846" w:rsidRDefault="00971349" w:rsidP="00C12846">
      <w:pPr>
        <w:pStyle w:val="SingleTxtG"/>
      </w:pPr>
      <w:r w:rsidRPr="00C12846">
        <w:rPr>
          <w:lang w:val="fr-FR"/>
        </w:rPr>
        <w:t>12.</w:t>
      </w:r>
      <w:r w:rsidRPr="00C12846">
        <w:rPr>
          <w:lang w:val="fr-FR"/>
        </w:rPr>
        <w:tab/>
        <w:t xml:space="preserve">Résultats de la mise en œuvre de la stratégie d’amélioration de la situation des Roms ainsi que de la stratégie en faveur de l’insertion sociale des Roms et de son plan d’action pour la période </w:t>
      </w:r>
      <w:r w:rsidR="00607AC1">
        <w:rPr>
          <w:lang w:val="fr-FR"/>
        </w:rPr>
        <w:t>2016</w:t>
      </w:r>
      <w:r>
        <w:rPr>
          <w:lang w:val="fr-FR"/>
        </w:rPr>
        <w:noBreakHyphen/>
      </w:r>
      <w:r w:rsidR="00607AC1">
        <w:rPr>
          <w:lang w:val="fr-FR"/>
        </w:rPr>
        <w:t>2025 (CERD/C/SRB/2</w:t>
      </w:r>
      <w:r>
        <w:rPr>
          <w:lang w:val="fr-FR"/>
        </w:rPr>
        <w:noBreakHyphen/>
      </w:r>
      <w:r w:rsidR="00607AC1">
        <w:rPr>
          <w:lang w:val="fr-FR"/>
        </w:rPr>
        <w:t>5, par. </w:t>
      </w:r>
      <w:r w:rsidRPr="00C12846">
        <w:rPr>
          <w:lang w:val="fr-FR"/>
        </w:rPr>
        <w:t>25 à 27).</w:t>
      </w:r>
    </w:p>
    <w:p w:rsidR="00E038F2" w:rsidRPr="00C12846" w:rsidRDefault="00971349" w:rsidP="00B635CE">
      <w:pPr>
        <w:pStyle w:val="H23G"/>
      </w:pPr>
      <w:r w:rsidRPr="00C12846">
        <w:rPr>
          <w:lang w:val="fr-FR"/>
        </w:rPr>
        <w:tab/>
      </w:r>
      <w:r w:rsidRPr="00C12846">
        <w:rPr>
          <w:lang w:val="fr-FR"/>
        </w:rPr>
        <w:tab/>
        <w:t>Situation des a</w:t>
      </w:r>
      <w:r w:rsidR="00B635CE">
        <w:rPr>
          <w:lang w:val="fr-FR"/>
        </w:rPr>
        <w:t>utres minorités ethniques (art. </w:t>
      </w:r>
      <w:r w:rsidRPr="00C12846">
        <w:rPr>
          <w:lang w:val="fr-FR"/>
        </w:rPr>
        <w:t>2 à 7)</w:t>
      </w:r>
    </w:p>
    <w:p w:rsidR="00E038F2" w:rsidRPr="00971349" w:rsidRDefault="00971349" w:rsidP="00C12846">
      <w:pPr>
        <w:pStyle w:val="SingleTxtG"/>
        <w:rPr>
          <w:spacing w:val="-2"/>
        </w:rPr>
      </w:pPr>
      <w:r w:rsidRPr="00971349">
        <w:rPr>
          <w:spacing w:val="-2"/>
          <w:lang w:val="fr-FR"/>
        </w:rPr>
        <w:t>13.</w:t>
      </w:r>
      <w:r w:rsidRPr="00971349">
        <w:rPr>
          <w:spacing w:val="-2"/>
          <w:lang w:val="fr-FR"/>
        </w:rPr>
        <w:tab/>
        <w:t>Résultats des mesures prises pour lutter contre la stigmatisation et les préjugés dont sont victimes les communautés albanaise, bosniaque, valaque et bunjevac</w:t>
      </w:r>
      <w:r w:rsidR="00607AC1" w:rsidRPr="00971349">
        <w:rPr>
          <w:spacing w:val="-2"/>
          <w:lang w:val="fr-FR"/>
        </w:rPr>
        <w:t xml:space="preserve"> (CERD/C/SRB/CO/1, par. 17 ; CERD/C/SRB/2</w:t>
      </w:r>
      <w:r w:rsidRPr="00971349">
        <w:rPr>
          <w:spacing w:val="-2"/>
          <w:lang w:val="fr-FR"/>
        </w:rPr>
        <w:noBreakHyphen/>
      </w:r>
      <w:r w:rsidR="00607AC1" w:rsidRPr="00971349">
        <w:rPr>
          <w:spacing w:val="-2"/>
          <w:lang w:val="fr-FR"/>
        </w:rPr>
        <w:t>5, par. </w:t>
      </w:r>
      <w:r w:rsidRPr="00971349">
        <w:rPr>
          <w:spacing w:val="-2"/>
          <w:lang w:val="fr-FR"/>
        </w:rPr>
        <w:t>35 à 59).</w:t>
      </w:r>
    </w:p>
    <w:p w:rsidR="00E038F2" w:rsidRPr="00C12846" w:rsidRDefault="00971349" w:rsidP="00C12846">
      <w:pPr>
        <w:pStyle w:val="SingleTxtG"/>
      </w:pPr>
      <w:r w:rsidRPr="00C12846">
        <w:rPr>
          <w:lang w:val="fr-FR"/>
        </w:rPr>
        <w:t>14.</w:t>
      </w:r>
      <w:r w:rsidRPr="00C12846">
        <w:rPr>
          <w:lang w:val="fr-FR"/>
        </w:rPr>
        <w:tab/>
        <w:t>Mesures prises pour veiller à ce que les minorités ethnoreligieuses jouissent du droit à la liberté de religion et que les biens qui leur ont été confisqués leur soient r</w:t>
      </w:r>
      <w:r w:rsidR="00607AC1">
        <w:rPr>
          <w:lang w:val="fr-FR"/>
        </w:rPr>
        <w:t>estitués (CERD/C/SRB/CO/1, par. 18 ; CERD/C/SRB/2</w:t>
      </w:r>
      <w:r>
        <w:rPr>
          <w:lang w:val="fr-FR"/>
        </w:rPr>
        <w:noBreakHyphen/>
      </w:r>
      <w:r w:rsidR="00607AC1">
        <w:rPr>
          <w:lang w:val="fr-FR"/>
        </w:rPr>
        <w:t>5, par. </w:t>
      </w:r>
      <w:r w:rsidRPr="00C12846">
        <w:rPr>
          <w:lang w:val="fr-FR"/>
        </w:rPr>
        <w:t>109 à 112).</w:t>
      </w:r>
    </w:p>
    <w:p w:rsidR="00E038F2" w:rsidRPr="00607AC1" w:rsidRDefault="00971349" w:rsidP="00C12846">
      <w:pPr>
        <w:pStyle w:val="SingleTxtG"/>
        <w:rPr>
          <w:spacing w:val="-2"/>
        </w:rPr>
      </w:pPr>
      <w:r w:rsidRPr="00607AC1">
        <w:rPr>
          <w:spacing w:val="-2"/>
          <w:lang w:val="fr-FR"/>
        </w:rPr>
        <w:t>15.</w:t>
      </w:r>
      <w:r w:rsidRPr="00607AC1">
        <w:rPr>
          <w:spacing w:val="-2"/>
          <w:lang w:val="fr-FR"/>
        </w:rPr>
        <w:tab/>
        <w:t>Initiatives prises pour reconnaître officiellement que le massacre de Srebrenica constitue un génocide (voir Tribunal pénal international pour l’ex</w:t>
      </w:r>
      <w:r>
        <w:rPr>
          <w:spacing w:val="-2"/>
          <w:lang w:val="fr-FR"/>
        </w:rPr>
        <w:noBreakHyphen/>
      </w:r>
      <w:r w:rsidRPr="00607AC1">
        <w:rPr>
          <w:spacing w:val="-2"/>
          <w:lang w:val="fr-FR"/>
        </w:rPr>
        <w:t xml:space="preserve">Yougoslavie, Chambre d’appel, </w:t>
      </w:r>
      <w:r w:rsidRPr="00607AC1">
        <w:rPr>
          <w:i/>
          <w:iCs/>
          <w:spacing w:val="-2"/>
          <w:lang w:val="fr-FR"/>
        </w:rPr>
        <w:t xml:space="preserve">Le Procureur </w:t>
      </w:r>
      <w:r w:rsidRPr="00607AC1">
        <w:rPr>
          <w:iCs/>
          <w:spacing w:val="-2"/>
          <w:lang w:val="fr-FR"/>
        </w:rPr>
        <w:t>c</w:t>
      </w:r>
      <w:r w:rsidR="00607AC1" w:rsidRPr="00607AC1">
        <w:rPr>
          <w:i/>
          <w:iCs/>
          <w:spacing w:val="-2"/>
          <w:lang w:val="fr-FR"/>
        </w:rPr>
        <w:t>. </w:t>
      </w:r>
      <w:r w:rsidRPr="00607AC1">
        <w:rPr>
          <w:i/>
          <w:iCs/>
          <w:spacing w:val="-2"/>
          <w:lang w:val="fr-FR"/>
        </w:rPr>
        <w:t>Krstić</w:t>
      </w:r>
      <w:r w:rsidR="00607AC1" w:rsidRPr="00607AC1">
        <w:rPr>
          <w:spacing w:val="-2"/>
          <w:lang w:val="fr-FR"/>
        </w:rPr>
        <w:t xml:space="preserve">, affaire </w:t>
      </w:r>
      <w:r w:rsidR="00607AC1" w:rsidRPr="00607AC1">
        <w:rPr>
          <w:rFonts w:eastAsia="MS Mincho"/>
          <w:spacing w:val="-2"/>
          <w:szCs w:val="22"/>
          <w:lang w:val="fr-FR"/>
        </w:rPr>
        <w:t>n</w:t>
      </w:r>
      <w:r w:rsidR="00607AC1" w:rsidRPr="00607AC1">
        <w:rPr>
          <w:rFonts w:eastAsia="MS Mincho"/>
          <w:spacing w:val="-2"/>
          <w:szCs w:val="22"/>
          <w:vertAlign w:val="superscript"/>
          <w:lang w:val="fr-FR"/>
        </w:rPr>
        <w:t>o</w:t>
      </w:r>
      <w:r w:rsidR="00607AC1" w:rsidRPr="00607AC1">
        <w:rPr>
          <w:spacing w:val="-2"/>
          <w:lang w:val="fr-FR"/>
        </w:rPr>
        <w:t> IT</w:t>
      </w:r>
      <w:r>
        <w:rPr>
          <w:spacing w:val="-2"/>
          <w:lang w:val="fr-FR"/>
        </w:rPr>
        <w:noBreakHyphen/>
      </w:r>
      <w:r w:rsidR="00607AC1" w:rsidRPr="00607AC1">
        <w:rPr>
          <w:spacing w:val="-2"/>
          <w:lang w:val="fr-FR"/>
        </w:rPr>
        <w:t>98</w:t>
      </w:r>
      <w:r>
        <w:rPr>
          <w:spacing w:val="-2"/>
          <w:lang w:val="fr-FR"/>
        </w:rPr>
        <w:noBreakHyphen/>
      </w:r>
      <w:r w:rsidR="00607AC1" w:rsidRPr="00607AC1">
        <w:rPr>
          <w:spacing w:val="-2"/>
          <w:lang w:val="fr-FR"/>
        </w:rPr>
        <w:t>33</w:t>
      </w:r>
      <w:r>
        <w:rPr>
          <w:spacing w:val="-2"/>
          <w:lang w:val="fr-FR"/>
        </w:rPr>
        <w:noBreakHyphen/>
      </w:r>
      <w:r w:rsidR="00607AC1" w:rsidRPr="00607AC1">
        <w:rPr>
          <w:spacing w:val="-2"/>
          <w:lang w:val="fr-FR"/>
        </w:rPr>
        <w:t>A, arrêt du 19 avril 2004, par. </w:t>
      </w:r>
      <w:r w:rsidRPr="00607AC1">
        <w:rPr>
          <w:spacing w:val="-2"/>
          <w:lang w:val="fr-FR"/>
        </w:rPr>
        <w:t>35 et 38).</w:t>
      </w:r>
    </w:p>
    <w:p w:rsidR="00E038F2" w:rsidRPr="00C12846" w:rsidRDefault="00971349" w:rsidP="00B635CE">
      <w:pPr>
        <w:pStyle w:val="H23G"/>
      </w:pPr>
      <w:r w:rsidRPr="00C12846">
        <w:rPr>
          <w:lang w:val="fr-FR"/>
        </w:rPr>
        <w:tab/>
      </w:r>
      <w:r w:rsidRPr="00C12846">
        <w:rPr>
          <w:lang w:val="fr-FR"/>
        </w:rPr>
        <w:tab/>
        <w:t>Situation des non</w:t>
      </w:r>
      <w:r>
        <w:rPr>
          <w:lang w:val="fr-FR"/>
        </w:rPr>
        <w:noBreakHyphen/>
      </w:r>
      <w:r w:rsidRPr="00C12846">
        <w:rPr>
          <w:lang w:val="fr-FR"/>
        </w:rPr>
        <w:t xml:space="preserve">ressortissants, notamment des travailleurs migrants, </w:t>
      </w:r>
      <w:r w:rsidR="00B363CE">
        <w:rPr>
          <w:lang w:val="fr-FR"/>
        </w:rPr>
        <w:br/>
      </w:r>
      <w:r w:rsidRPr="00C12846">
        <w:rPr>
          <w:lang w:val="fr-FR"/>
        </w:rPr>
        <w:t>des demandeurs d’</w:t>
      </w:r>
      <w:r w:rsidR="00B635CE">
        <w:rPr>
          <w:lang w:val="fr-FR"/>
        </w:rPr>
        <w:t>asile et des réfugiés (art. </w:t>
      </w:r>
      <w:r w:rsidRPr="00C12846">
        <w:rPr>
          <w:lang w:val="fr-FR"/>
        </w:rPr>
        <w:t>2 à 7)</w:t>
      </w:r>
    </w:p>
    <w:p w:rsidR="00E038F2" w:rsidRPr="00C12846" w:rsidRDefault="00971349" w:rsidP="00C12846">
      <w:pPr>
        <w:pStyle w:val="SingleTxtG"/>
      </w:pPr>
      <w:r w:rsidRPr="00C12846">
        <w:rPr>
          <w:lang w:val="fr-FR"/>
        </w:rPr>
        <w:t>16.</w:t>
      </w:r>
      <w:r w:rsidRPr="00C12846">
        <w:rPr>
          <w:lang w:val="fr-FR"/>
        </w:rPr>
        <w:tab/>
        <w:t>Mesures prises pour lutter contre la traite des personnes, notamment la traite des migrants, des demandeurs d’asile et des enf</w:t>
      </w:r>
      <w:r w:rsidR="00607AC1">
        <w:rPr>
          <w:lang w:val="fr-FR"/>
        </w:rPr>
        <w:t>ants roms (CERD/C/SRB/2</w:t>
      </w:r>
      <w:r>
        <w:rPr>
          <w:lang w:val="fr-FR"/>
        </w:rPr>
        <w:noBreakHyphen/>
      </w:r>
      <w:r w:rsidR="00607AC1">
        <w:rPr>
          <w:lang w:val="fr-FR"/>
        </w:rPr>
        <w:t>5, par. </w:t>
      </w:r>
      <w:r w:rsidRPr="00C12846">
        <w:rPr>
          <w:lang w:val="fr-FR"/>
        </w:rPr>
        <w:t>88).</w:t>
      </w:r>
    </w:p>
    <w:p w:rsidR="00E038F2" w:rsidRPr="00C12846" w:rsidRDefault="00971349" w:rsidP="00C12846">
      <w:pPr>
        <w:pStyle w:val="SingleTxtG"/>
      </w:pPr>
      <w:r w:rsidRPr="00C12846">
        <w:rPr>
          <w:lang w:val="fr-FR"/>
        </w:rPr>
        <w:t>17.</w:t>
      </w:r>
      <w:r w:rsidRPr="00C12846">
        <w:rPr>
          <w:lang w:val="fr-FR"/>
        </w:rPr>
        <w:tab/>
        <w:t>Taux d’octroi de l’asile et adéquation du financement des procédures d’</w:t>
      </w:r>
      <w:r w:rsidR="00607AC1">
        <w:rPr>
          <w:lang w:val="fr-FR"/>
        </w:rPr>
        <w:t>asile (CERD/C/SRB/2</w:t>
      </w:r>
      <w:r>
        <w:rPr>
          <w:lang w:val="fr-FR"/>
        </w:rPr>
        <w:noBreakHyphen/>
      </w:r>
      <w:r w:rsidR="00607AC1">
        <w:rPr>
          <w:lang w:val="fr-FR"/>
        </w:rPr>
        <w:t>5, par. </w:t>
      </w:r>
      <w:r w:rsidRPr="00C12846">
        <w:rPr>
          <w:lang w:val="fr-FR"/>
        </w:rPr>
        <w:t xml:space="preserve">22). </w:t>
      </w:r>
    </w:p>
    <w:p w:rsidR="00E038F2" w:rsidRPr="00C12846" w:rsidRDefault="00971349" w:rsidP="00C12846">
      <w:pPr>
        <w:pStyle w:val="SingleTxtG"/>
      </w:pPr>
      <w:r w:rsidRPr="00C12846">
        <w:rPr>
          <w:lang w:val="fr-FR"/>
        </w:rPr>
        <w:t>18.</w:t>
      </w:r>
      <w:r w:rsidRPr="00C12846">
        <w:rPr>
          <w:lang w:val="fr-FR"/>
        </w:rPr>
        <w:tab/>
        <w:t>Données statistiques relatives à l’expulsion des demandeurs d’asile vers des pays tiers ; renseignements concernant les enquêtes sur les mauvais traitements dont auraient été victimes des demandeurs d’asile et d’autres migrants sans papiers.</w:t>
      </w:r>
    </w:p>
    <w:p w:rsidR="00E038F2" w:rsidRPr="00C12846" w:rsidRDefault="00971349" w:rsidP="00C12846">
      <w:pPr>
        <w:pStyle w:val="SingleTxtG"/>
      </w:pPr>
      <w:r w:rsidRPr="00C12846">
        <w:rPr>
          <w:lang w:val="fr-FR"/>
        </w:rPr>
        <w:t>19.</w:t>
      </w:r>
      <w:r w:rsidRPr="00C12846">
        <w:rPr>
          <w:lang w:val="fr-FR"/>
        </w:rPr>
        <w:tab/>
        <w:t>Renseignements sur les mesures prise</w:t>
      </w:r>
      <w:r w:rsidR="007D7632">
        <w:rPr>
          <w:lang w:val="fr-FR"/>
        </w:rPr>
        <w:t>s pour garantir aux migrants, y </w:t>
      </w:r>
      <w:r w:rsidRPr="00C12846">
        <w:rPr>
          <w:lang w:val="fr-FR"/>
        </w:rPr>
        <w:t xml:space="preserve">compris ceux qui reviennent de pays d’Europe occidentale, des logements convenables, des possibilités d’emploi et des soins de santé, et offrir </w:t>
      </w:r>
      <w:r w:rsidR="002E1A19">
        <w:rPr>
          <w:lang w:val="fr-FR"/>
        </w:rPr>
        <w:t>des possibilités d’éducation, y </w:t>
      </w:r>
      <w:r w:rsidRPr="00C12846">
        <w:rPr>
          <w:lang w:val="fr-FR"/>
        </w:rPr>
        <w:t>compris de formation professionnelle, aux enfants migrants non ac</w:t>
      </w:r>
      <w:r w:rsidR="00607AC1">
        <w:rPr>
          <w:lang w:val="fr-FR"/>
        </w:rPr>
        <w:t>compagnés (CERD/C/SRB/2</w:t>
      </w:r>
      <w:r>
        <w:rPr>
          <w:lang w:val="fr-FR"/>
        </w:rPr>
        <w:noBreakHyphen/>
      </w:r>
      <w:r w:rsidR="00607AC1">
        <w:rPr>
          <w:lang w:val="fr-FR"/>
        </w:rPr>
        <w:t>5, par. </w:t>
      </w:r>
      <w:r w:rsidRPr="00C12846">
        <w:rPr>
          <w:lang w:val="fr-FR"/>
        </w:rPr>
        <w:t>13 à 22).</w:t>
      </w:r>
    </w:p>
    <w:p w:rsidR="00E038F2" w:rsidRPr="00C12846" w:rsidRDefault="00971349" w:rsidP="00B363CE">
      <w:pPr>
        <w:pStyle w:val="H23G"/>
      </w:pPr>
      <w:r w:rsidRPr="00C12846">
        <w:rPr>
          <w:lang w:val="fr-FR"/>
        </w:rPr>
        <w:lastRenderedPageBreak/>
        <w:tab/>
      </w:r>
      <w:r w:rsidRPr="00C12846">
        <w:rPr>
          <w:lang w:val="fr-FR"/>
        </w:rPr>
        <w:tab/>
        <w:t>Autres préoccupations</w:t>
      </w:r>
    </w:p>
    <w:p w:rsidR="00E038F2" w:rsidRPr="007D7632" w:rsidRDefault="00971349" w:rsidP="00C12846">
      <w:pPr>
        <w:pStyle w:val="SingleTxtG"/>
      </w:pPr>
      <w:r w:rsidRPr="007D7632">
        <w:rPr>
          <w:lang w:val="fr-FR"/>
        </w:rPr>
        <w:t>20.</w:t>
      </w:r>
      <w:r w:rsidRPr="007D7632">
        <w:rPr>
          <w:lang w:val="fr-FR"/>
        </w:rPr>
        <w:tab/>
        <w:t>Programmes d’éducation et de formation aux droits de l’homme mis en œuvre à l’intention des membres de l’appareil judiciaire, des forces de l’ordre, des avocats, des enseignants, des élèves et du grand public pour favoriser le dialogue entre les cultures, la tolérance et la compréhension (CERD/C/SRB/CO/1,</w:t>
      </w:r>
      <w:r w:rsidR="008F621F" w:rsidRPr="007D7632">
        <w:rPr>
          <w:lang w:val="fr-FR"/>
        </w:rPr>
        <w:t xml:space="preserve"> par. 21 ; CERD/C/SRB/2</w:t>
      </w:r>
      <w:r>
        <w:rPr>
          <w:lang w:val="fr-FR"/>
        </w:rPr>
        <w:noBreakHyphen/>
      </w:r>
      <w:r w:rsidR="008F621F" w:rsidRPr="007D7632">
        <w:rPr>
          <w:lang w:val="fr-FR"/>
        </w:rPr>
        <w:t>5, par. </w:t>
      </w:r>
      <w:r w:rsidRPr="007D7632">
        <w:rPr>
          <w:lang w:val="fr-FR"/>
        </w:rPr>
        <w:t xml:space="preserve">165 à 171). </w:t>
      </w:r>
    </w:p>
    <w:p w:rsidR="00984B29" w:rsidRDefault="00971349" w:rsidP="00C12846">
      <w:pPr>
        <w:pStyle w:val="SingleTxtG"/>
        <w:rPr>
          <w:lang w:val="fr-FR"/>
        </w:rPr>
      </w:pPr>
      <w:r w:rsidRPr="00C12846">
        <w:rPr>
          <w:lang w:val="fr-FR"/>
        </w:rPr>
        <w:t>21.</w:t>
      </w:r>
      <w:r w:rsidRPr="00C12846">
        <w:rPr>
          <w:lang w:val="fr-FR"/>
        </w:rPr>
        <w:tab/>
        <w:t>Coopération avec le Tribunal pénal international pour l’ex</w:t>
      </w:r>
      <w:r>
        <w:rPr>
          <w:lang w:val="fr-FR"/>
        </w:rPr>
        <w:noBreakHyphen/>
      </w:r>
      <w:r w:rsidRPr="00C12846">
        <w:rPr>
          <w:lang w:val="fr-FR"/>
        </w:rPr>
        <w:t>Yougoslavie ; mesures prises pour que toutes les personnes soupçonnées de complicité et de participation à des crimes contre l’humanité soient traduites en justice (CERD/CO/SRB/CO/1</w:t>
      </w:r>
      <w:r w:rsidR="008F621F">
        <w:rPr>
          <w:lang w:val="fr-FR"/>
        </w:rPr>
        <w:t>, par. </w:t>
      </w:r>
      <w:r w:rsidRPr="00C12846">
        <w:rPr>
          <w:lang w:val="fr-FR"/>
        </w:rPr>
        <w:t>2</w:t>
      </w:r>
      <w:r w:rsidR="008F621F">
        <w:rPr>
          <w:lang w:val="fr-FR"/>
        </w:rPr>
        <w:t>2 ; CERD/C/SRB/CO/1/Add.1, par. </w:t>
      </w:r>
      <w:r w:rsidRPr="00C12846">
        <w:rPr>
          <w:lang w:val="fr-FR"/>
        </w:rPr>
        <w:t>104 à 110).</w:t>
      </w:r>
    </w:p>
    <w:p w:rsidR="00B363CE" w:rsidRPr="00B363CE" w:rsidRDefault="00B363CE" w:rsidP="00B363CE">
      <w:pPr>
        <w:pStyle w:val="SingleTxtG"/>
        <w:spacing w:before="240" w:after="0"/>
        <w:jc w:val="center"/>
        <w:rPr>
          <w:u w:val="single"/>
        </w:rPr>
      </w:pPr>
      <w:r>
        <w:rPr>
          <w:u w:val="single"/>
        </w:rPr>
        <w:tab/>
      </w:r>
      <w:r>
        <w:rPr>
          <w:u w:val="single"/>
        </w:rPr>
        <w:tab/>
      </w:r>
      <w:r>
        <w:rPr>
          <w:u w:val="single"/>
        </w:rPr>
        <w:tab/>
      </w:r>
    </w:p>
    <w:sectPr w:rsidR="00B363CE" w:rsidRPr="00B363CE" w:rsidSect="00A22F5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7C7" w:rsidRDefault="00FD47C7" w:rsidP="00F95C08">
      <w:pPr>
        <w:spacing w:line="240" w:lineRule="auto"/>
      </w:pPr>
    </w:p>
  </w:endnote>
  <w:endnote w:type="continuationSeparator" w:id="0">
    <w:p w:rsidR="00FD47C7" w:rsidRPr="00AC3823" w:rsidRDefault="00FD47C7" w:rsidP="00AC3823">
      <w:pPr>
        <w:pStyle w:val="Pieddepage"/>
      </w:pPr>
    </w:p>
  </w:endnote>
  <w:endnote w:type="continuationNotice" w:id="1">
    <w:p w:rsidR="00FD47C7" w:rsidRDefault="00FD47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F57" w:rsidRPr="00A22F57" w:rsidRDefault="00A22F57" w:rsidP="00A22F57">
    <w:pPr>
      <w:pStyle w:val="Pieddepage"/>
      <w:tabs>
        <w:tab w:val="right" w:pos="9638"/>
      </w:tabs>
    </w:pPr>
    <w:r w:rsidRPr="00A22F57">
      <w:rPr>
        <w:b/>
        <w:sz w:val="18"/>
      </w:rPr>
      <w:fldChar w:fldCharType="begin"/>
    </w:r>
    <w:r w:rsidRPr="00A22F57">
      <w:rPr>
        <w:b/>
        <w:sz w:val="18"/>
      </w:rPr>
      <w:instrText xml:space="preserve"> PAGE  \* MERGEFORMAT </w:instrText>
    </w:r>
    <w:r w:rsidRPr="00A22F57">
      <w:rPr>
        <w:b/>
        <w:sz w:val="18"/>
      </w:rPr>
      <w:fldChar w:fldCharType="separate"/>
    </w:r>
    <w:r w:rsidR="008C59C3">
      <w:rPr>
        <w:b/>
        <w:noProof/>
        <w:sz w:val="18"/>
      </w:rPr>
      <w:t>2</w:t>
    </w:r>
    <w:r w:rsidRPr="00A22F57">
      <w:rPr>
        <w:b/>
        <w:sz w:val="18"/>
      </w:rPr>
      <w:fldChar w:fldCharType="end"/>
    </w:r>
    <w:r>
      <w:rPr>
        <w:b/>
        <w:sz w:val="18"/>
      </w:rPr>
      <w:tab/>
    </w:r>
    <w:r>
      <w:t>GE.17-17393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F57" w:rsidRPr="00A22F57" w:rsidRDefault="00A22F57" w:rsidP="00A22F57">
    <w:pPr>
      <w:pStyle w:val="Pieddepage"/>
      <w:tabs>
        <w:tab w:val="right" w:pos="9638"/>
      </w:tabs>
      <w:rPr>
        <w:b/>
        <w:sz w:val="18"/>
      </w:rPr>
    </w:pPr>
    <w:r>
      <w:t>GE.17-17393</w:t>
    </w:r>
    <w:r>
      <w:tab/>
    </w:r>
    <w:r w:rsidRPr="00A22F57">
      <w:rPr>
        <w:b/>
        <w:sz w:val="18"/>
      </w:rPr>
      <w:fldChar w:fldCharType="begin"/>
    </w:r>
    <w:r w:rsidRPr="00A22F57">
      <w:rPr>
        <w:b/>
        <w:sz w:val="18"/>
      </w:rPr>
      <w:instrText xml:space="preserve"> PAGE  \* MERGEFORMAT </w:instrText>
    </w:r>
    <w:r w:rsidRPr="00A22F57">
      <w:rPr>
        <w:b/>
        <w:sz w:val="18"/>
      </w:rPr>
      <w:fldChar w:fldCharType="separate"/>
    </w:r>
    <w:r w:rsidR="008C59C3">
      <w:rPr>
        <w:b/>
        <w:noProof/>
        <w:sz w:val="18"/>
      </w:rPr>
      <w:t>3</w:t>
    </w:r>
    <w:r w:rsidRPr="00A22F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B29" w:rsidRPr="00A22F57" w:rsidRDefault="00A22F57" w:rsidP="00A22F57">
    <w:pPr>
      <w:pStyle w:val="Pieddepage"/>
      <w:spacing w:before="120"/>
      <w:rPr>
        <w:sz w:val="20"/>
      </w:rPr>
    </w:pPr>
    <w:r>
      <w:rPr>
        <w:sz w:val="20"/>
      </w:rPr>
      <w:t>GE.</w:t>
    </w:r>
    <w:r w:rsidR="00984B29">
      <w:rPr>
        <w:noProof/>
        <w:lang w:eastAsia="fr-CH"/>
      </w:rPr>
      <w:drawing>
        <wp:anchor distT="0" distB="0" distL="114300" distR="114300" simplePos="0" relativeHeight="251660288"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17-17393  (F)</w:t>
    </w:r>
    <w:r w:rsidR="00C12846">
      <w:rPr>
        <w:sz w:val="20"/>
      </w:rPr>
      <w:t xml:space="preserve">    111017    121017</w:t>
    </w:r>
    <w:r>
      <w:rPr>
        <w:sz w:val="20"/>
      </w:rPr>
      <w:br/>
    </w:r>
    <w:r w:rsidRPr="00A22F57">
      <w:rPr>
        <w:rFonts w:ascii="C39T30Lfz" w:hAnsi="C39T30Lfz"/>
        <w:sz w:val="56"/>
      </w:rPr>
      <w:t></w:t>
    </w:r>
    <w:r w:rsidRPr="00A22F57">
      <w:rPr>
        <w:rFonts w:ascii="C39T30Lfz" w:hAnsi="C39T30Lfz"/>
        <w:sz w:val="56"/>
      </w:rPr>
      <w:t></w:t>
    </w:r>
    <w:r w:rsidRPr="00A22F57">
      <w:rPr>
        <w:rFonts w:ascii="C39T30Lfz" w:hAnsi="C39T30Lfz"/>
        <w:sz w:val="56"/>
      </w:rPr>
      <w:t></w:t>
    </w:r>
    <w:r w:rsidRPr="00A22F57">
      <w:rPr>
        <w:rFonts w:ascii="C39T30Lfz" w:hAnsi="C39T30Lfz"/>
        <w:sz w:val="56"/>
      </w:rPr>
      <w:t></w:t>
    </w:r>
    <w:r w:rsidRPr="00A22F57">
      <w:rPr>
        <w:rFonts w:ascii="C39T30Lfz" w:hAnsi="C39T30Lfz"/>
        <w:sz w:val="56"/>
      </w:rPr>
      <w:t></w:t>
    </w:r>
    <w:r w:rsidRPr="00A22F57">
      <w:rPr>
        <w:rFonts w:ascii="C39T30Lfz" w:hAnsi="C39T30Lfz"/>
        <w:sz w:val="56"/>
      </w:rPr>
      <w:t></w:t>
    </w:r>
    <w:r w:rsidRPr="00A22F57">
      <w:rPr>
        <w:rFonts w:ascii="C39T30Lfz" w:hAnsi="C39T30Lfz"/>
        <w:sz w:val="56"/>
      </w:rPr>
      <w:t></w:t>
    </w:r>
    <w:r w:rsidRPr="00A22F57">
      <w:rPr>
        <w:rFonts w:ascii="C39T30Lfz" w:hAnsi="C39T30Lfz"/>
        <w:sz w:val="56"/>
      </w:rPr>
      <w:t></w:t>
    </w:r>
    <w:r w:rsidRPr="00A22F5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SRB/Q/2-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B/Q/2-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7C7" w:rsidRPr="00AC3823" w:rsidRDefault="00FD47C7" w:rsidP="00AC3823">
      <w:pPr>
        <w:pStyle w:val="Pieddepage"/>
        <w:tabs>
          <w:tab w:val="right" w:pos="2155"/>
        </w:tabs>
        <w:spacing w:after="80" w:line="240" w:lineRule="atLeast"/>
        <w:ind w:left="680"/>
        <w:rPr>
          <w:u w:val="single"/>
        </w:rPr>
      </w:pPr>
      <w:r>
        <w:rPr>
          <w:u w:val="single"/>
        </w:rPr>
        <w:tab/>
      </w:r>
    </w:p>
  </w:footnote>
  <w:footnote w:type="continuationSeparator" w:id="0">
    <w:p w:rsidR="00FD47C7" w:rsidRPr="00AC3823" w:rsidRDefault="00FD47C7" w:rsidP="00AC3823">
      <w:pPr>
        <w:pStyle w:val="Pieddepage"/>
        <w:tabs>
          <w:tab w:val="right" w:pos="2155"/>
        </w:tabs>
        <w:spacing w:after="80" w:line="240" w:lineRule="atLeast"/>
        <w:ind w:left="680"/>
        <w:rPr>
          <w:u w:val="single"/>
        </w:rPr>
      </w:pPr>
      <w:r>
        <w:rPr>
          <w:u w:val="single"/>
        </w:rPr>
        <w:tab/>
      </w:r>
    </w:p>
  </w:footnote>
  <w:footnote w:type="continuationNotice" w:id="1">
    <w:p w:rsidR="00FD47C7" w:rsidRPr="00AC3823" w:rsidRDefault="00FD47C7">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F57" w:rsidRPr="00A22F57" w:rsidRDefault="008C59C3">
    <w:pPr>
      <w:pStyle w:val="En-tte"/>
    </w:pPr>
    <w:r>
      <w:fldChar w:fldCharType="begin"/>
    </w:r>
    <w:r>
      <w:instrText xml:space="preserve"> TITLE  \* MERGEFORMAT </w:instrText>
    </w:r>
    <w:r>
      <w:fldChar w:fldCharType="separate"/>
    </w:r>
    <w:r>
      <w:t>CERD/C/SRB/Q/2-5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F57" w:rsidRPr="00A22F57" w:rsidRDefault="008C59C3" w:rsidP="00A22F57">
    <w:pPr>
      <w:pStyle w:val="En-tte"/>
      <w:jc w:val="right"/>
    </w:pPr>
    <w:r>
      <w:fldChar w:fldCharType="begin"/>
    </w:r>
    <w:r>
      <w:instrText xml:space="preserve"> TITLE  \* MERGEFORMAT </w:instrText>
    </w:r>
    <w:r>
      <w:fldChar w:fldCharType="separate"/>
    </w:r>
    <w:r>
      <w:t>CERD/C/SRB/Q/2-5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7C7"/>
    <w:rsid w:val="00017F94"/>
    <w:rsid w:val="00023842"/>
    <w:rsid w:val="000334F9"/>
    <w:rsid w:val="0007796D"/>
    <w:rsid w:val="000B7790"/>
    <w:rsid w:val="00111F2F"/>
    <w:rsid w:val="0014365E"/>
    <w:rsid w:val="00176178"/>
    <w:rsid w:val="001F525A"/>
    <w:rsid w:val="00212AFD"/>
    <w:rsid w:val="00215BEC"/>
    <w:rsid w:val="00223272"/>
    <w:rsid w:val="0024779E"/>
    <w:rsid w:val="002E1A19"/>
    <w:rsid w:val="002F4930"/>
    <w:rsid w:val="00446FE5"/>
    <w:rsid w:val="00452396"/>
    <w:rsid w:val="004F094E"/>
    <w:rsid w:val="005505B7"/>
    <w:rsid w:val="00573BE5"/>
    <w:rsid w:val="00586ED3"/>
    <w:rsid w:val="00596AA9"/>
    <w:rsid w:val="00607AC1"/>
    <w:rsid w:val="00623CA8"/>
    <w:rsid w:val="006E531A"/>
    <w:rsid w:val="00712E6E"/>
    <w:rsid w:val="0071601D"/>
    <w:rsid w:val="00780585"/>
    <w:rsid w:val="00783E9F"/>
    <w:rsid w:val="007A62E6"/>
    <w:rsid w:val="007D7632"/>
    <w:rsid w:val="0080684C"/>
    <w:rsid w:val="00871C75"/>
    <w:rsid w:val="008776DC"/>
    <w:rsid w:val="008C59C3"/>
    <w:rsid w:val="008F621F"/>
    <w:rsid w:val="009705C8"/>
    <w:rsid w:val="00971349"/>
    <w:rsid w:val="00984B29"/>
    <w:rsid w:val="009D5F1A"/>
    <w:rsid w:val="00A22F57"/>
    <w:rsid w:val="00A30353"/>
    <w:rsid w:val="00AC3823"/>
    <w:rsid w:val="00AE323C"/>
    <w:rsid w:val="00B00181"/>
    <w:rsid w:val="00B363CE"/>
    <w:rsid w:val="00B635CE"/>
    <w:rsid w:val="00B765F7"/>
    <w:rsid w:val="00BA0CA9"/>
    <w:rsid w:val="00BB0B66"/>
    <w:rsid w:val="00C02897"/>
    <w:rsid w:val="00C12846"/>
    <w:rsid w:val="00CF7DD6"/>
    <w:rsid w:val="00D3439C"/>
    <w:rsid w:val="00DB1831"/>
    <w:rsid w:val="00DC0149"/>
    <w:rsid w:val="00DD3BFD"/>
    <w:rsid w:val="00DF6678"/>
    <w:rsid w:val="00F660DF"/>
    <w:rsid w:val="00F95C08"/>
    <w:rsid w:val="00FD47C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C6DB38"/>
  <w15:docId w15:val="{E6AA3D6B-E4A5-4291-AD18-C0557839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3</Pages>
  <Words>1114</Words>
  <Characters>6127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CERD/C/SRB/Q/2-5</vt:lpstr>
    </vt:vector>
  </TitlesOfParts>
  <Company>DCM</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CERD/C/SRB/Q/2-5</dc:title>
  <dc:subject/>
  <dc:creator>DEVOS</dc:creator>
  <cp:keywords/>
  <cp:lastModifiedBy>DEVOS</cp:lastModifiedBy>
  <cp:revision>3</cp:revision>
  <cp:lastPrinted>2017-10-12T08:57:00Z</cp:lastPrinted>
  <dcterms:created xsi:type="dcterms:W3CDTF">2017-10-12T08:57:00Z</dcterms:created>
  <dcterms:modified xsi:type="dcterms:W3CDTF">2017-10-12T08:58:00Z</dcterms:modified>
</cp:coreProperties>
</file>