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36"/>
        <w:gridCol w:w="3366"/>
      </w:tblGrid>
      <w:tr w:rsidR="00A154CB" w:rsidRPr="00A505DC">
        <w:tblPrEx>
          <w:tblCellMar>
            <w:top w:w="0" w:type="dxa"/>
            <w:bottom w:w="0" w:type="dxa"/>
          </w:tblCellMar>
        </w:tblPrEx>
        <w:tc>
          <w:tcPr>
            <w:tcW w:w="1890" w:type="dxa"/>
            <w:tcBorders>
              <w:top w:val="nil"/>
              <w:left w:val="nil"/>
              <w:bottom w:val="single" w:sz="4" w:space="0" w:color="auto"/>
              <w:right w:val="nil"/>
            </w:tcBorders>
          </w:tcPr>
          <w:p w:rsidR="00A154CB" w:rsidRPr="00A505DC" w:rsidRDefault="00A154CB">
            <w:pPr>
              <w:spacing w:after="60"/>
              <w:rPr>
                <w:rFonts w:ascii="Arial" w:hAnsi="Arial" w:cs="Arial"/>
                <w:b/>
                <w:sz w:val="16"/>
              </w:rPr>
            </w:pPr>
            <w:r w:rsidRPr="00A505DC">
              <w:rPr>
                <w:rFonts w:ascii="Arial" w:hAnsi="Arial" w:cs="Arial"/>
                <w:b/>
                <w:sz w:val="28"/>
              </w:rPr>
              <w:t>NACIONES UNIDAS</w:t>
            </w:r>
          </w:p>
        </w:tc>
        <w:tc>
          <w:tcPr>
            <w:tcW w:w="4536" w:type="dxa"/>
            <w:tcBorders>
              <w:top w:val="nil"/>
              <w:left w:val="nil"/>
              <w:bottom w:val="single" w:sz="4" w:space="0" w:color="auto"/>
              <w:right w:val="nil"/>
            </w:tcBorders>
          </w:tcPr>
          <w:p w:rsidR="00A154CB" w:rsidRPr="001B1065" w:rsidRDefault="00A154CB">
            <w:pPr>
              <w:spacing w:after="60"/>
              <w:rPr>
                <w:rFonts w:ascii="Times New Roman" w:hAnsi="Times New Roman"/>
                <w:sz w:val="24"/>
              </w:rPr>
            </w:pPr>
          </w:p>
        </w:tc>
        <w:tc>
          <w:tcPr>
            <w:tcW w:w="3366" w:type="dxa"/>
            <w:tcBorders>
              <w:top w:val="nil"/>
              <w:left w:val="nil"/>
              <w:bottom w:val="single" w:sz="4" w:space="0" w:color="auto"/>
              <w:right w:val="nil"/>
            </w:tcBorders>
            <w:vAlign w:val="bottom"/>
          </w:tcPr>
          <w:p w:rsidR="00A154CB" w:rsidRPr="00A505DC" w:rsidRDefault="00A154CB">
            <w:pPr>
              <w:spacing w:after="60"/>
              <w:jc w:val="right"/>
              <w:rPr>
                <w:rFonts w:ascii="Arial" w:hAnsi="Arial" w:cs="Arial"/>
                <w:b/>
                <w:sz w:val="72"/>
              </w:rPr>
            </w:pPr>
            <w:r w:rsidRPr="00A505DC">
              <w:rPr>
                <w:rFonts w:ascii="Arial" w:hAnsi="Arial" w:cs="Arial"/>
                <w:b/>
                <w:sz w:val="72"/>
              </w:rPr>
              <w:t>CERD</w:t>
            </w:r>
          </w:p>
        </w:tc>
      </w:tr>
      <w:tr w:rsidR="00A154CB" w:rsidRPr="001B1065">
        <w:tblPrEx>
          <w:tblCellMar>
            <w:top w:w="0" w:type="dxa"/>
            <w:bottom w:w="0" w:type="dxa"/>
          </w:tblCellMar>
        </w:tblPrEx>
        <w:trPr>
          <w:trHeight w:val="2576"/>
        </w:trPr>
        <w:tc>
          <w:tcPr>
            <w:tcW w:w="1890" w:type="dxa"/>
            <w:tcBorders>
              <w:top w:val="single" w:sz="4" w:space="0" w:color="auto"/>
              <w:left w:val="nil"/>
              <w:bottom w:val="single" w:sz="36" w:space="0" w:color="auto"/>
              <w:right w:val="nil"/>
            </w:tcBorders>
          </w:tcPr>
          <w:p w:rsidR="00A154CB" w:rsidRPr="001B1065" w:rsidRDefault="00A154CB">
            <w:pPr>
              <w:spacing w:after="60"/>
              <w:rPr>
                <w:rFonts w:ascii="Times New Roman" w:hAnsi="Times New Roman"/>
                <w:sz w:val="24"/>
              </w:rPr>
            </w:pPr>
            <w:r w:rsidRPr="00A505DC">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418843080" r:id="rId8"/>
              </w:pict>
            </w:r>
          </w:p>
        </w:tc>
        <w:tc>
          <w:tcPr>
            <w:tcW w:w="4536" w:type="dxa"/>
            <w:tcBorders>
              <w:top w:val="single" w:sz="4" w:space="0" w:color="auto"/>
              <w:left w:val="nil"/>
              <w:bottom w:val="single" w:sz="36" w:space="0" w:color="auto"/>
              <w:right w:val="nil"/>
            </w:tcBorders>
          </w:tcPr>
          <w:p w:rsidR="00A154CB" w:rsidRPr="00A505DC" w:rsidRDefault="00A154CB">
            <w:pPr>
              <w:spacing w:before="360" w:after="60"/>
              <w:rPr>
                <w:rFonts w:ascii="Arial" w:hAnsi="Arial" w:cs="Arial"/>
                <w:b/>
                <w:sz w:val="32"/>
              </w:rPr>
            </w:pPr>
            <w:r>
              <w:rPr>
                <w:rFonts w:ascii="Arial" w:hAnsi="Arial" w:cs="Arial"/>
                <w:b/>
                <w:sz w:val="32"/>
              </w:rPr>
              <w:t>Convención</w:t>
            </w:r>
            <w:r w:rsidRPr="00A505DC">
              <w:rPr>
                <w:rFonts w:ascii="Arial" w:hAnsi="Arial" w:cs="Arial"/>
                <w:b/>
                <w:sz w:val="32"/>
              </w:rPr>
              <w:t xml:space="preserve"> Internacional sobre la Eliminación de todas las Formas de Discriminación Racial</w:t>
            </w:r>
          </w:p>
          <w:p w:rsidR="00A154CB" w:rsidRPr="00A505DC" w:rsidRDefault="00A154CB">
            <w:pPr>
              <w:spacing w:before="360" w:after="60"/>
              <w:rPr>
                <w:rFonts w:ascii="Arial" w:hAnsi="Arial" w:cs="Arial"/>
                <w:b/>
                <w:sz w:val="32"/>
              </w:rPr>
            </w:pPr>
          </w:p>
        </w:tc>
        <w:tc>
          <w:tcPr>
            <w:tcW w:w="3366" w:type="dxa"/>
            <w:tcBorders>
              <w:top w:val="single" w:sz="4" w:space="0" w:color="auto"/>
              <w:left w:val="nil"/>
              <w:bottom w:val="single" w:sz="36" w:space="0" w:color="auto"/>
              <w:right w:val="nil"/>
            </w:tcBorders>
          </w:tcPr>
          <w:p w:rsidR="00A154CB" w:rsidRDefault="00A154CB">
            <w:pPr>
              <w:spacing w:after="0" w:line="240" w:lineRule="auto"/>
              <w:rPr>
                <w:rFonts w:ascii="Times New Roman" w:hAnsi="Times New Roman"/>
                <w:sz w:val="24"/>
                <w:lang w:val="pt-BR"/>
              </w:rPr>
            </w:pPr>
          </w:p>
          <w:p w:rsidR="00A154CB" w:rsidRDefault="00A154CB">
            <w:pPr>
              <w:spacing w:after="0" w:line="240" w:lineRule="auto"/>
              <w:rPr>
                <w:rFonts w:ascii="Times New Roman" w:hAnsi="Times New Roman"/>
                <w:sz w:val="24"/>
                <w:lang w:val="es-ES"/>
              </w:rPr>
            </w:pPr>
          </w:p>
          <w:p w:rsidR="00A154CB" w:rsidRDefault="00A154CB">
            <w:pPr>
              <w:spacing w:after="0" w:line="240" w:lineRule="auto"/>
              <w:rPr>
                <w:rFonts w:ascii="Times New Roman" w:hAnsi="Times New Roman"/>
                <w:sz w:val="24"/>
                <w:lang w:val="es-ES"/>
              </w:rPr>
            </w:pPr>
            <w:r>
              <w:rPr>
                <w:rFonts w:ascii="Times New Roman" w:hAnsi="Times New Roman"/>
                <w:sz w:val="24"/>
                <w:lang w:val="es-ES"/>
              </w:rPr>
              <w:t>Distr.</w:t>
            </w:r>
          </w:p>
          <w:p w:rsidR="00A154CB" w:rsidRDefault="00A154CB">
            <w:pPr>
              <w:spacing w:after="0" w:line="240" w:lineRule="auto"/>
              <w:rPr>
                <w:rFonts w:ascii="Times New Roman" w:hAnsi="Times New Roman"/>
                <w:sz w:val="24"/>
                <w:lang w:val="pt-BR"/>
              </w:rPr>
            </w:pPr>
            <w:r>
              <w:rPr>
                <w:rFonts w:ascii="Times New Roman" w:hAnsi="Times New Roman"/>
                <w:sz w:val="24"/>
                <w:lang w:val="pt-BR"/>
              </w:rPr>
              <w:t>GENERAL</w:t>
            </w:r>
          </w:p>
          <w:p w:rsidR="00A154CB" w:rsidRDefault="00A154CB">
            <w:pPr>
              <w:spacing w:after="0" w:line="240" w:lineRule="auto"/>
              <w:rPr>
                <w:rFonts w:ascii="Times New Roman" w:hAnsi="Times New Roman"/>
                <w:sz w:val="24"/>
                <w:lang w:val="pt-BR"/>
              </w:rPr>
            </w:pPr>
          </w:p>
          <w:p w:rsidR="00A154CB" w:rsidRDefault="00A154CB">
            <w:pPr>
              <w:spacing w:after="0" w:line="240" w:lineRule="auto"/>
              <w:rPr>
                <w:rFonts w:ascii="Times New Roman" w:hAnsi="Times New Roman"/>
                <w:sz w:val="24"/>
                <w:lang w:val="pt-BR"/>
              </w:rPr>
            </w:pPr>
            <w:r w:rsidRPr="001B1065">
              <w:rPr>
                <w:rFonts w:ascii="Times New Roman" w:hAnsi="Times New Roman"/>
                <w:sz w:val="24"/>
              </w:rPr>
              <w:fldChar w:fldCharType="begin"/>
            </w:r>
            <w:r>
              <w:rPr>
                <w:rFonts w:ascii="Times New Roman" w:hAnsi="Times New Roman"/>
                <w:sz w:val="24"/>
                <w:lang w:val="pt-BR"/>
              </w:rPr>
              <w:instrText xml:space="preserve"> FILLIN "Symbol" \* MERGEFORMAT </w:instrText>
            </w:r>
            <w:r w:rsidRPr="001B1065">
              <w:rPr>
                <w:rFonts w:ascii="Times New Roman" w:hAnsi="Times New Roman"/>
                <w:sz w:val="24"/>
              </w:rPr>
              <w:fldChar w:fldCharType="separate"/>
            </w:r>
            <w:r>
              <w:rPr>
                <w:rFonts w:ascii="Times New Roman" w:hAnsi="Times New Roman"/>
                <w:sz w:val="24"/>
                <w:lang w:val="pt-BR"/>
              </w:rPr>
              <w:t>CERD/C/SR.1822</w:t>
            </w:r>
            <w:r w:rsidRPr="001B1065">
              <w:rPr>
                <w:rFonts w:ascii="Times New Roman" w:hAnsi="Times New Roman"/>
                <w:sz w:val="24"/>
              </w:rPr>
              <w:fldChar w:fldCharType="end"/>
            </w:r>
          </w:p>
          <w:p w:rsidR="000A7AA9" w:rsidRDefault="000A7AA9" w:rsidP="000A7AA9">
            <w:pPr>
              <w:spacing w:after="0" w:line="240" w:lineRule="auto"/>
              <w:rPr>
                <w:rFonts w:ascii="Times New Roman" w:hAnsi="Times New Roman"/>
                <w:sz w:val="24"/>
              </w:rPr>
            </w:pPr>
            <w:r>
              <w:rPr>
                <w:rFonts w:ascii="Times New Roman" w:hAnsi="Times New Roman"/>
                <w:sz w:val="24"/>
              </w:rPr>
              <w:t xml:space="preserve">13 de enero </w:t>
            </w:r>
            <w:r w:rsidR="00FF5AA7">
              <w:rPr>
                <w:rFonts w:ascii="Times New Roman" w:hAnsi="Times New Roman"/>
                <w:sz w:val="24"/>
              </w:rPr>
              <w:t xml:space="preserve">de </w:t>
            </w:r>
            <w:r>
              <w:rPr>
                <w:rFonts w:ascii="Times New Roman" w:hAnsi="Times New Roman"/>
                <w:sz w:val="24"/>
              </w:rPr>
              <w:t>2010</w:t>
            </w:r>
          </w:p>
          <w:p w:rsidR="00A154CB" w:rsidRDefault="00A154CB">
            <w:pPr>
              <w:spacing w:after="0" w:line="240" w:lineRule="auto"/>
              <w:rPr>
                <w:rFonts w:ascii="Times New Roman" w:hAnsi="Times New Roman"/>
                <w:sz w:val="24"/>
              </w:rPr>
            </w:pPr>
          </w:p>
          <w:p w:rsidR="00A154CB" w:rsidRPr="001B1065" w:rsidRDefault="00A154CB">
            <w:pPr>
              <w:spacing w:after="0" w:line="240" w:lineRule="auto"/>
              <w:rPr>
                <w:rFonts w:ascii="Times New Roman" w:hAnsi="Times New Roman"/>
                <w:sz w:val="24"/>
              </w:rPr>
            </w:pPr>
            <w:r>
              <w:rPr>
                <w:rFonts w:ascii="Times New Roman" w:hAnsi="Times New Roman"/>
                <w:sz w:val="24"/>
              </w:rPr>
              <w:t>ESPAÑOL</w:t>
            </w:r>
            <w:r w:rsidRPr="001B1065">
              <w:rPr>
                <w:rFonts w:ascii="Times New Roman" w:hAnsi="Times New Roman"/>
                <w:sz w:val="24"/>
              </w:rPr>
              <w:t xml:space="preserve"> </w:t>
            </w:r>
          </w:p>
          <w:p w:rsidR="00A154CB" w:rsidRPr="001B1065" w:rsidRDefault="00A154CB">
            <w:pPr>
              <w:spacing w:after="0" w:line="240" w:lineRule="auto"/>
              <w:rPr>
                <w:rFonts w:ascii="Times New Roman" w:hAnsi="Times New Roman"/>
                <w:sz w:val="24"/>
              </w:rPr>
            </w:pPr>
            <w:r w:rsidRPr="001B1065">
              <w:rPr>
                <w:rFonts w:ascii="Times New Roman" w:hAnsi="Times New Roman"/>
                <w:sz w:val="24"/>
              </w:rPr>
              <w:t>Original:</w:t>
            </w:r>
            <w:r>
              <w:rPr>
                <w:rFonts w:ascii="Times New Roman" w:hAnsi="Times New Roman"/>
                <w:sz w:val="24"/>
              </w:rPr>
              <w:t xml:space="preserve"> INGLÉS</w:t>
            </w:r>
          </w:p>
        </w:tc>
      </w:tr>
    </w:tbl>
    <w:p w:rsidR="00A154CB" w:rsidRPr="001B1065" w:rsidRDefault="00A154CB">
      <w:pPr>
        <w:spacing w:after="60"/>
        <w:jc w:val="center"/>
        <w:rPr>
          <w:rFonts w:ascii="Times New Roman" w:hAnsi="Times New Roman"/>
          <w:sz w:val="24"/>
        </w:rPr>
      </w:pPr>
    </w:p>
    <w:p w:rsidR="00A154CB" w:rsidRDefault="00A154CB">
      <w:pPr>
        <w:spacing w:after="0"/>
        <w:rPr>
          <w:rFonts w:ascii="Times New Roman" w:hAnsi="Times New Roman"/>
          <w:sz w:val="24"/>
        </w:rPr>
      </w:pPr>
      <w:r w:rsidRPr="001B1065">
        <w:rPr>
          <w:rFonts w:ascii="Times New Roman" w:hAnsi="Times New Roman"/>
          <w:sz w:val="24"/>
        </w:rPr>
        <w:t xml:space="preserve">COMITÉ PARA </w:t>
      </w:r>
      <w:smartTag w:uri="urn:schemas-microsoft-com:office:smarttags" w:element="PersonName">
        <w:smartTagPr>
          <w:attr w:name="ProductID" w:val="LA ELIMINACIￓN DE LA"/>
        </w:smartTagPr>
        <w:r w:rsidRPr="001B1065">
          <w:rPr>
            <w:rFonts w:ascii="Times New Roman" w:hAnsi="Times New Roman"/>
            <w:sz w:val="24"/>
          </w:rPr>
          <w:t>LA ELIMINACIÓN DE LA</w:t>
        </w:r>
      </w:smartTag>
    </w:p>
    <w:p w:rsidR="00A154CB" w:rsidRPr="001B1065" w:rsidRDefault="00A154CB">
      <w:pPr>
        <w:spacing w:after="0"/>
        <w:rPr>
          <w:rFonts w:ascii="Times New Roman" w:hAnsi="Times New Roman"/>
          <w:sz w:val="24"/>
        </w:rPr>
      </w:pPr>
      <w:r w:rsidRPr="001B1065">
        <w:rPr>
          <w:rFonts w:ascii="Times New Roman" w:hAnsi="Times New Roman"/>
          <w:sz w:val="24"/>
        </w:rPr>
        <w:t>DISCRIMINACIÓN RACIAL</w:t>
      </w:r>
    </w:p>
    <w:p w:rsidR="00A154CB" w:rsidRPr="001B1065" w:rsidRDefault="00A154CB">
      <w:pPr>
        <w:spacing w:after="600" w:line="240" w:lineRule="auto"/>
        <w:rPr>
          <w:rFonts w:ascii="Times New Roman" w:hAnsi="Times New Roman"/>
          <w:sz w:val="24"/>
        </w:rPr>
      </w:pPr>
      <w:r w:rsidRPr="001B1065">
        <w:rPr>
          <w:rFonts w:ascii="Times New Roman" w:hAnsi="Times New Roman"/>
          <w:sz w:val="24"/>
        </w:rPr>
        <w:t xml:space="preserve">71º período de sesiones </w:t>
      </w:r>
    </w:p>
    <w:p w:rsidR="00A154CB" w:rsidRDefault="00A154CB">
      <w:pPr>
        <w:spacing w:after="60"/>
        <w:jc w:val="center"/>
        <w:rPr>
          <w:rFonts w:ascii="Times New Roman" w:hAnsi="Times New Roman"/>
          <w:b/>
          <w:sz w:val="24"/>
        </w:rPr>
      </w:pPr>
      <w:r>
        <w:rPr>
          <w:rFonts w:ascii="Times New Roman" w:hAnsi="Times New Roman"/>
          <w:b/>
          <w:sz w:val="24"/>
        </w:rPr>
        <w:t>ACTA RESUMIDA DE LA 1822</w:t>
      </w:r>
      <w:r>
        <w:rPr>
          <w:rFonts w:ascii="Times New Roman" w:hAnsi="Times New Roman"/>
          <w:b/>
          <w:sz w:val="24"/>
          <w:vertAlign w:val="superscript"/>
        </w:rPr>
        <w:t>a</w:t>
      </w:r>
      <w:r>
        <w:rPr>
          <w:rFonts w:ascii="Times New Roman" w:hAnsi="Times New Roman"/>
          <w:b/>
          <w:sz w:val="24"/>
        </w:rPr>
        <w:t xml:space="preserve"> SESIÓN</w:t>
      </w:r>
    </w:p>
    <w:p w:rsidR="00A154CB" w:rsidRDefault="00A154CB">
      <w:pPr>
        <w:spacing w:after="60"/>
        <w:jc w:val="center"/>
        <w:rPr>
          <w:rFonts w:ascii="Times New Roman" w:hAnsi="Times New Roman"/>
          <w:b/>
          <w:sz w:val="24"/>
        </w:rPr>
      </w:pPr>
      <w:r>
        <w:rPr>
          <w:rFonts w:ascii="Times New Roman" w:hAnsi="Times New Roman"/>
          <w:b/>
          <w:sz w:val="24"/>
        </w:rPr>
        <w:t>celebrada en el Palais Wilson, Ginebra,</w:t>
      </w:r>
      <w:r>
        <w:rPr>
          <w:rFonts w:ascii="Times New Roman" w:hAnsi="Times New Roman"/>
          <w:b/>
          <w:sz w:val="24"/>
        </w:rPr>
        <w:br/>
        <w:t xml:space="preserve">el jueves 2 de agosto de </w:t>
      </w:r>
      <w:smartTag w:uri="urn:schemas-microsoft-com:office:smarttags" w:element="metricconverter">
        <w:smartTagPr>
          <w:attr w:name="ProductID" w:val="2007, a"/>
        </w:smartTagPr>
        <w:r>
          <w:rPr>
            <w:rFonts w:ascii="Times New Roman" w:hAnsi="Times New Roman"/>
            <w:b/>
            <w:sz w:val="24"/>
          </w:rPr>
          <w:t>2007, a</w:t>
        </w:r>
      </w:smartTag>
      <w:r>
        <w:rPr>
          <w:rFonts w:ascii="Times New Roman" w:hAnsi="Times New Roman"/>
          <w:b/>
          <w:sz w:val="24"/>
        </w:rPr>
        <w:t xml:space="preserve"> las 10.00 horas</w:t>
      </w:r>
    </w:p>
    <w:p w:rsidR="00A154CB" w:rsidRDefault="00A154CB">
      <w:pPr>
        <w:spacing w:after="600"/>
        <w:jc w:val="center"/>
        <w:rPr>
          <w:rFonts w:ascii="Times New Roman" w:hAnsi="Times New Roman"/>
          <w:b/>
          <w:sz w:val="24"/>
        </w:rPr>
      </w:pPr>
      <w:r>
        <w:rPr>
          <w:rFonts w:ascii="Times New Roman" w:hAnsi="Times New Roman"/>
          <w:b/>
          <w:sz w:val="24"/>
        </w:rPr>
        <w:t>Presidente: Sr. de GOUTTES</w:t>
      </w:r>
    </w:p>
    <w:p w:rsidR="00A154CB" w:rsidRDefault="00A154CB">
      <w:pPr>
        <w:spacing w:after="60"/>
        <w:jc w:val="center"/>
        <w:rPr>
          <w:rFonts w:ascii="Times New Roman" w:hAnsi="Times New Roman"/>
          <w:b/>
          <w:sz w:val="24"/>
        </w:rPr>
      </w:pPr>
      <w:r>
        <w:rPr>
          <w:rFonts w:ascii="Times New Roman" w:hAnsi="Times New Roman"/>
          <w:b/>
          <w:sz w:val="24"/>
        </w:rPr>
        <w:t>SUMARIO</w:t>
      </w:r>
    </w:p>
    <w:p w:rsidR="00A154CB" w:rsidRDefault="00A154CB">
      <w:pPr>
        <w:spacing w:after="240"/>
        <w:rPr>
          <w:rFonts w:ascii="Times New Roman" w:hAnsi="Times New Roman"/>
          <w:sz w:val="24"/>
        </w:rPr>
      </w:pPr>
      <w:r>
        <w:rPr>
          <w:rFonts w:ascii="Times New Roman" w:hAnsi="Times New Roman"/>
          <w:b/>
          <w:sz w:val="24"/>
        </w:rPr>
        <w:t xml:space="preserve">EXAMEN DE LOS INFORMES, OBSERVACIONES E INFORMACIÓN PRESENTADOS POR LOS ESTADOS PARTES DE CONFORMIDAD CON EL ARTÍCULO 9 DE LA CONVENCIÓN </w:t>
      </w:r>
      <w:r>
        <w:rPr>
          <w:rFonts w:ascii="Times New Roman" w:hAnsi="Times New Roman"/>
          <w:i/>
          <w:sz w:val="24"/>
        </w:rPr>
        <w:t>(continuación)</w:t>
      </w:r>
      <w:r>
        <w:rPr>
          <w:rFonts w:ascii="Times New Roman" w:hAnsi="Times New Roman"/>
          <w:sz w:val="24"/>
        </w:rPr>
        <w:t xml:space="preserve"> </w:t>
      </w:r>
    </w:p>
    <w:p w:rsidR="00A154CB" w:rsidRDefault="00A154CB">
      <w:pPr>
        <w:spacing w:after="240"/>
        <w:rPr>
          <w:rFonts w:ascii="Times New Roman" w:hAnsi="Times New Roman"/>
          <w:b/>
          <w:sz w:val="24"/>
        </w:rPr>
      </w:pPr>
      <w:r>
        <w:rPr>
          <w:rFonts w:ascii="Times New Roman" w:hAnsi="Times New Roman"/>
          <w:b/>
          <w:sz w:val="24"/>
        </w:rPr>
        <w:tab/>
        <w:t xml:space="preserve">Informes periódicos 15º a 17º de Nueva Zelandia </w:t>
      </w:r>
      <w:r>
        <w:rPr>
          <w:rFonts w:ascii="Times New Roman" w:hAnsi="Times New Roman"/>
          <w:i/>
          <w:sz w:val="24"/>
        </w:rPr>
        <w:t>(continuación)</w:t>
      </w:r>
    </w:p>
    <w:p w:rsidR="00A154CB" w:rsidRDefault="00A154CB">
      <w:pPr>
        <w:spacing w:after="240"/>
        <w:jc w:val="center"/>
        <w:rPr>
          <w:rFonts w:ascii="Times New Roman" w:hAnsi="Times New Roman"/>
          <w:i/>
          <w:sz w:val="24"/>
        </w:rPr>
      </w:pPr>
      <w:r>
        <w:rPr>
          <w:rFonts w:ascii="Times New Roman" w:hAnsi="Times New Roman"/>
          <w:sz w:val="24"/>
          <w:u w:val="single"/>
        </w:rPr>
        <w:br w:type="page"/>
      </w:r>
      <w:r>
        <w:rPr>
          <w:rFonts w:ascii="Times New Roman" w:hAnsi="Times New Roman"/>
          <w:i/>
          <w:sz w:val="24"/>
        </w:rPr>
        <w:t>Se declara abierta la sesión a las 10.15 horas.</w:t>
      </w:r>
    </w:p>
    <w:p w:rsidR="00A154CB" w:rsidRDefault="00A154CB">
      <w:pPr>
        <w:spacing w:after="240"/>
        <w:rPr>
          <w:rFonts w:ascii="Times New Roman" w:hAnsi="Times New Roman"/>
          <w:sz w:val="24"/>
        </w:rPr>
      </w:pPr>
      <w:r>
        <w:rPr>
          <w:rFonts w:ascii="Times New Roman" w:hAnsi="Times New Roman"/>
          <w:b/>
          <w:sz w:val="24"/>
        </w:rPr>
        <w:t xml:space="preserve">EXAMEN DE LOS INFORMES, OBSERVACIONES E INFORMACIÓN PRESENTADOS POR LOS ESTADOS PARTES DE CONFORMIDAD CON EL ARTÍCULO 9 DE LA CONVENCIÓN </w:t>
      </w:r>
      <w:r>
        <w:rPr>
          <w:rFonts w:ascii="Times New Roman" w:hAnsi="Times New Roman"/>
          <w:sz w:val="24"/>
        </w:rPr>
        <w:t xml:space="preserve">(tema 6 del programa) </w:t>
      </w:r>
      <w:r>
        <w:rPr>
          <w:rFonts w:ascii="Times New Roman" w:hAnsi="Times New Roman"/>
          <w:i/>
          <w:sz w:val="24"/>
        </w:rPr>
        <w:t>(continuación)</w:t>
      </w:r>
    </w:p>
    <w:p w:rsidR="00A154CB" w:rsidRDefault="00A154CB">
      <w:pPr>
        <w:spacing w:after="240"/>
        <w:ind w:left="567"/>
        <w:rPr>
          <w:rFonts w:ascii="Times New Roman" w:hAnsi="Times New Roman"/>
          <w:sz w:val="24"/>
        </w:rPr>
      </w:pPr>
      <w:r>
        <w:rPr>
          <w:rFonts w:ascii="Times New Roman" w:hAnsi="Times New Roman"/>
          <w:b/>
          <w:sz w:val="24"/>
        </w:rPr>
        <w:t xml:space="preserve">Informes periódicos 15º a 17º de Nueva Zelandia </w:t>
      </w:r>
      <w:r>
        <w:rPr>
          <w:rFonts w:ascii="Times New Roman" w:hAnsi="Times New Roman"/>
          <w:sz w:val="24"/>
        </w:rPr>
        <w:t xml:space="preserve">(CERD/C/NZL/17; HRI/CORE/NZL/2006) </w:t>
      </w:r>
      <w:r>
        <w:rPr>
          <w:rFonts w:ascii="Times New Roman" w:hAnsi="Times New Roman"/>
          <w:i/>
          <w:sz w:val="24"/>
        </w:rPr>
        <w:t>(continuación)</w:t>
      </w:r>
    </w:p>
    <w:p w:rsidR="00A154CB" w:rsidRDefault="00A154CB">
      <w:pPr>
        <w:pStyle w:val="ParaNo"/>
        <w:tabs>
          <w:tab w:val="clear" w:pos="360"/>
          <w:tab w:val="clear" w:pos="737"/>
        </w:tabs>
        <w:ind w:left="0" w:firstLine="0"/>
        <w:rPr>
          <w:i/>
          <w:lang w:val="es-CO"/>
        </w:rPr>
      </w:pPr>
      <w:r>
        <w:rPr>
          <w:i/>
          <w:lang w:val="es-CO"/>
        </w:rPr>
        <w:t xml:space="preserve">Por invitación del Presidente, los miembros de </w:t>
      </w:r>
      <w:smartTag w:uri="urn:schemas-microsoft-com:office:smarttags" w:element="PersonName">
        <w:smartTagPr>
          <w:attr w:name="ProductID" w:val="la delegaci￳n Nueva Zelandia"/>
        </w:smartTagPr>
        <w:r>
          <w:rPr>
            <w:i/>
            <w:lang w:val="es-CO"/>
          </w:rPr>
          <w:t>la delegación Nueva Zelandia</w:t>
        </w:r>
      </w:smartTag>
      <w:r>
        <w:rPr>
          <w:i/>
          <w:lang w:val="es-CO"/>
        </w:rPr>
        <w:t xml:space="preserve"> vuelven a tomar asiento a la mesa del Comité.</w:t>
      </w:r>
    </w:p>
    <w:p w:rsidR="00A154CB" w:rsidRPr="00A505DC" w:rsidRDefault="00A154CB">
      <w:pPr>
        <w:pStyle w:val="ParaNo"/>
        <w:tabs>
          <w:tab w:val="clear" w:pos="360"/>
          <w:tab w:val="clear" w:pos="737"/>
        </w:tabs>
        <w:autoSpaceDE w:val="0"/>
        <w:autoSpaceDN w:val="0"/>
        <w:adjustRightInd w:val="0"/>
        <w:ind w:left="0"/>
        <w:rPr>
          <w:lang w:val="es-CO" w:eastAsia="es-ES"/>
        </w:rPr>
      </w:pPr>
      <w:r>
        <w:rPr>
          <w:lang w:val="es-CO"/>
        </w:rPr>
        <w:t xml:space="preserve">El </w:t>
      </w:r>
      <w:r>
        <w:rPr>
          <w:b/>
          <w:lang w:val="es-CO"/>
        </w:rPr>
        <w:t>Sr. de BRES</w:t>
      </w:r>
      <w:r w:rsidRPr="00A505DC">
        <w:rPr>
          <w:lang w:val="es-CO" w:eastAsia="es-ES"/>
        </w:rPr>
        <w:t xml:space="preserve"> (Comisión de Derechos Humanos de Nueva Zelandia), hablando por invitación del Presidente, dice que es la primera vez que la Comisión ha aparecido por derecho </w:t>
      </w:r>
      <w:r>
        <w:rPr>
          <w:lang w:val="es-CO" w:eastAsia="es-ES"/>
        </w:rPr>
        <w:t xml:space="preserve">propio </w:t>
      </w:r>
      <w:r w:rsidRPr="00A505DC">
        <w:rPr>
          <w:lang w:val="es-CO" w:eastAsia="es-ES"/>
        </w:rPr>
        <w:t xml:space="preserve">ante un órgano establecido en virtud de los tratados de las Naciones Unidas. Le complace que el Relator para el país haya utilizado el informe de la </w:t>
      </w:r>
      <w:r>
        <w:rPr>
          <w:lang w:val="es-CO" w:eastAsia="es-ES"/>
        </w:rPr>
        <w:t>Comisión de Derechos Humanos</w:t>
      </w:r>
      <w:r w:rsidRPr="00A505DC">
        <w:rPr>
          <w:lang w:val="es-CO" w:eastAsia="es-ES"/>
        </w:rPr>
        <w:t xml:space="preserve"> de Nueva Zelandia</w:t>
      </w:r>
      <w:r>
        <w:rPr>
          <w:lang w:val="es-CO" w:eastAsia="es-ES"/>
        </w:rPr>
        <w:t xml:space="preserve"> sobre </w:t>
      </w:r>
      <w:r w:rsidRPr="00A505DC">
        <w:rPr>
          <w:lang w:val="es-CO" w:eastAsia="es-ES"/>
        </w:rPr>
        <w:t xml:space="preserve">las </w:t>
      </w:r>
      <w:r>
        <w:rPr>
          <w:i/>
          <w:lang w:val="es-CO" w:eastAsia="es-ES"/>
        </w:rPr>
        <w:t>relaciones raciales en 2006</w:t>
      </w:r>
      <w:r w:rsidRPr="00A505DC">
        <w:rPr>
          <w:lang w:val="es-CO" w:eastAsia="es-ES"/>
        </w:rPr>
        <w:t xml:space="preserve">, en que se han especificado varios desafíos. </w:t>
      </w:r>
      <w:r>
        <w:rPr>
          <w:lang w:val="es-CO" w:eastAsia="es-ES"/>
        </w:rPr>
        <w:t xml:space="preserve">Está convencido de </w:t>
      </w:r>
      <w:r w:rsidRPr="00A505DC">
        <w:rPr>
          <w:lang w:val="es-CO" w:eastAsia="es-ES"/>
        </w:rPr>
        <w:t xml:space="preserve">que </w:t>
      </w:r>
      <w:r>
        <w:rPr>
          <w:lang w:val="es-CO" w:eastAsia="es-ES"/>
        </w:rPr>
        <w:t>el Gobierno</w:t>
      </w:r>
      <w:r w:rsidRPr="00A505DC">
        <w:rPr>
          <w:lang w:val="es-CO" w:eastAsia="es-ES"/>
        </w:rPr>
        <w:t xml:space="preserve"> </w:t>
      </w:r>
      <w:r>
        <w:rPr>
          <w:lang w:val="es-CO" w:eastAsia="es-ES"/>
        </w:rPr>
        <w:t xml:space="preserve">comprende </w:t>
      </w:r>
      <w:r w:rsidRPr="00A505DC">
        <w:rPr>
          <w:lang w:val="es-CO" w:eastAsia="es-ES"/>
        </w:rPr>
        <w:t xml:space="preserve">la importancia de esos desafíos, pero agradecería una </w:t>
      </w:r>
      <w:r>
        <w:rPr>
          <w:lang w:val="es-CO" w:eastAsia="es-ES"/>
        </w:rPr>
        <w:t xml:space="preserve">confirmación </w:t>
      </w:r>
      <w:r w:rsidRPr="00A505DC">
        <w:rPr>
          <w:lang w:val="es-CO" w:eastAsia="es-ES"/>
        </w:rPr>
        <w:t xml:space="preserve">por parte de </w:t>
      </w:r>
      <w:r>
        <w:rPr>
          <w:lang w:val="es-CO" w:eastAsia="es-ES"/>
        </w:rPr>
        <w:t>Comité</w:t>
      </w:r>
      <w:r w:rsidRPr="00A505DC">
        <w:rPr>
          <w:lang w:val="es-CO" w:eastAsia="es-ES"/>
        </w:rPr>
        <w:t>.</w:t>
      </w:r>
    </w:p>
    <w:p w:rsidR="00A154CB" w:rsidRPr="001B1065" w:rsidRDefault="00A154CB">
      <w:pPr>
        <w:autoSpaceDE w:val="0"/>
        <w:autoSpaceDN w:val="0"/>
        <w:adjustRightInd w:val="0"/>
        <w:spacing w:after="240" w:line="240" w:lineRule="auto"/>
        <w:rPr>
          <w:rFonts w:ascii="Times New Roman" w:hAnsi="Times New Roman"/>
          <w:sz w:val="24"/>
          <w:lang w:eastAsia="es-ES"/>
        </w:rPr>
      </w:pPr>
      <w:r w:rsidRPr="001B1065">
        <w:rPr>
          <w:rFonts w:ascii="Times New Roman" w:hAnsi="Times New Roman"/>
          <w:sz w:val="24"/>
          <w:lang w:eastAsia="es-ES"/>
        </w:rPr>
        <w:t xml:space="preserve">3. </w:t>
      </w:r>
      <w:r w:rsidRPr="001B1065">
        <w:rPr>
          <w:rFonts w:ascii="Times New Roman" w:hAnsi="Times New Roman"/>
          <w:sz w:val="24"/>
          <w:lang w:eastAsia="es-ES"/>
        </w:rPr>
        <w:tab/>
        <w:t xml:space="preserve">La Comisión ha recibido financiación adicional para los cuatro próximos años en el presupuesto de mayo de 2007, lo que representa un aumento anual del 20%. En julio de 2007 el Gobierno respondió al Plan de Acción de Nueva Zelandia para los Derechos Humanos, elaborado por </w:t>
      </w:r>
      <w:smartTag w:uri="urn:schemas-microsoft-com:office:smarttags" w:element="PersonName">
        <w:smartTagPr>
          <w:attr w:name="ProductID" w:val="la Comisi￳n. Dicho Plan"/>
        </w:smartTagPr>
        <w:r w:rsidRPr="001B1065">
          <w:rPr>
            <w:rFonts w:ascii="Times New Roman" w:hAnsi="Times New Roman"/>
            <w:sz w:val="24"/>
            <w:lang w:eastAsia="es-ES"/>
          </w:rPr>
          <w:t>la Comisión. Dicho Plan</w:t>
        </w:r>
      </w:smartTag>
      <w:r w:rsidRPr="001B1065">
        <w:rPr>
          <w:rFonts w:ascii="Times New Roman" w:hAnsi="Times New Roman"/>
          <w:sz w:val="24"/>
          <w:lang w:eastAsia="es-ES"/>
        </w:rPr>
        <w:t xml:space="preserve"> de Acción se remitirá a los jefes ejecutivos de los departamentos gubernamentales, quienes indicarán sus prioridades para </w:t>
      </w:r>
      <w:smartTag w:uri="urn:schemas-microsoft-com:office:smarttags" w:element="PersonName">
        <w:smartTagPr>
          <w:attr w:name="ProductID" w:val="la acci￳n. La Comisi￳n"/>
        </w:smartTagPr>
        <w:r w:rsidRPr="001B1065">
          <w:rPr>
            <w:rFonts w:ascii="Times New Roman" w:hAnsi="Times New Roman"/>
            <w:sz w:val="24"/>
            <w:lang w:eastAsia="es-ES"/>
          </w:rPr>
          <w:t>la acción. La Comisión</w:t>
        </w:r>
      </w:smartTag>
      <w:r w:rsidRPr="001B1065">
        <w:rPr>
          <w:rFonts w:ascii="Times New Roman" w:hAnsi="Times New Roman"/>
          <w:sz w:val="24"/>
          <w:lang w:eastAsia="es-ES"/>
        </w:rPr>
        <w:t xml:space="preserve"> supervisará sus progresos, lo que supondrá la realización de un examen de mitad de período. El orador reconoce que se han emprendido ya muchas iniciativas, a pesar del retraso de la respuesta oficial del Gobierno.</w:t>
      </w:r>
    </w:p>
    <w:p w:rsidR="00A154CB" w:rsidRPr="001B1065" w:rsidRDefault="00A154CB">
      <w:pPr>
        <w:autoSpaceDE w:val="0"/>
        <w:autoSpaceDN w:val="0"/>
        <w:adjustRightInd w:val="0"/>
        <w:spacing w:after="240" w:line="240" w:lineRule="auto"/>
        <w:rPr>
          <w:rFonts w:ascii="Times New Roman" w:hAnsi="Times New Roman"/>
          <w:sz w:val="24"/>
          <w:lang w:eastAsia="es-ES"/>
        </w:rPr>
      </w:pPr>
      <w:r w:rsidRPr="001B1065">
        <w:rPr>
          <w:rFonts w:ascii="Times New Roman" w:hAnsi="Times New Roman"/>
          <w:sz w:val="24"/>
          <w:lang w:eastAsia="es-ES"/>
        </w:rPr>
        <w:t xml:space="preserve">4. </w:t>
      </w:r>
      <w:r w:rsidRPr="001B1065">
        <w:rPr>
          <w:rFonts w:ascii="Times New Roman" w:hAnsi="Times New Roman"/>
          <w:sz w:val="24"/>
          <w:lang w:eastAsia="es-ES"/>
        </w:rPr>
        <w:tab/>
        <w:t xml:space="preserve">Durante el debate público mantenido entre 2004 y 2006 acerca de las medidas especiales, la Comisión llamó la atención sobre las medidas especiales </w:t>
      </w:r>
      <w:r>
        <w:rPr>
          <w:rFonts w:ascii="Times New Roman" w:hAnsi="Times New Roman"/>
          <w:sz w:val="24"/>
          <w:lang w:eastAsia="es-ES"/>
        </w:rPr>
        <w:t xml:space="preserve">previstas </w:t>
      </w:r>
      <w:r w:rsidRPr="001B1065">
        <w:rPr>
          <w:rFonts w:ascii="Times New Roman" w:hAnsi="Times New Roman"/>
          <w:sz w:val="24"/>
          <w:lang w:eastAsia="es-ES"/>
        </w:rPr>
        <w:t>en la Convención, la Carta de Derechos de Nueva Zelandia de 1990 y la Ley de derechos humanos de 19</w:t>
      </w:r>
      <w:r>
        <w:rPr>
          <w:rFonts w:ascii="Times New Roman" w:hAnsi="Times New Roman"/>
          <w:sz w:val="24"/>
          <w:lang w:eastAsia="es-ES"/>
        </w:rPr>
        <w:t>7</w:t>
      </w:r>
      <w:r w:rsidRPr="001B1065">
        <w:rPr>
          <w:rFonts w:ascii="Times New Roman" w:hAnsi="Times New Roman"/>
          <w:sz w:val="24"/>
          <w:lang w:eastAsia="es-ES"/>
        </w:rPr>
        <w:t>3. El Plan de acción incluy</w:t>
      </w:r>
      <w:r>
        <w:rPr>
          <w:rFonts w:ascii="Times New Roman" w:hAnsi="Times New Roman"/>
          <w:sz w:val="24"/>
          <w:lang w:eastAsia="es-ES"/>
        </w:rPr>
        <w:t>e</w:t>
      </w:r>
      <w:r w:rsidRPr="001B1065">
        <w:rPr>
          <w:rFonts w:ascii="Times New Roman" w:hAnsi="Times New Roman"/>
          <w:sz w:val="24"/>
          <w:lang w:eastAsia="es-ES"/>
        </w:rPr>
        <w:t xml:space="preserve"> entre sus prioridades la educación pública </w:t>
      </w:r>
      <w:r>
        <w:rPr>
          <w:rFonts w:ascii="Times New Roman" w:hAnsi="Times New Roman"/>
          <w:sz w:val="24"/>
          <w:lang w:eastAsia="es-ES"/>
        </w:rPr>
        <w:t xml:space="preserve">sobre </w:t>
      </w:r>
      <w:r w:rsidRPr="001B1065">
        <w:rPr>
          <w:rFonts w:ascii="Times New Roman" w:hAnsi="Times New Roman"/>
          <w:sz w:val="24"/>
          <w:lang w:eastAsia="es-ES"/>
        </w:rPr>
        <w:t xml:space="preserve">la naturaleza de las medidas especiales. </w:t>
      </w:r>
      <w:r>
        <w:rPr>
          <w:rFonts w:ascii="Times New Roman" w:hAnsi="Times New Roman"/>
          <w:sz w:val="24"/>
          <w:lang w:eastAsia="es-ES"/>
        </w:rPr>
        <w:t>E</w:t>
      </w:r>
      <w:r w:rsidRPr="001B1065">
        <w:rPr>
          <w:rFonts w:ascii="Times New Roman" w:hAnsi="Times New Roman"/>
          <w:sz w:val="24"/>
          <w:lang w:eastAsia="es-ES"/>
        </w:rPr>
        <w:t xml:space="preserve">stas no deben confundirse con las obligaciones del Gobierno en virtud del Tratado de Waitangi, los derechos indígenas o las medidas sociales y económicas generales adaptadas a grupos étnicos particulares. En meses anteriores de 2007 la Comisión </w:t>
      </w:r>
      <w:r>
        <w:rPr>
          <w:rFonts w:ascii="Times New Roman" w:hAnsi="Times New Roman"/>
          <w:sz w:val="24"/>
          <w:lang w:eastAsia="es-ES"/>
        </w:rPr>
        <w:t xml:space="preserve">formuló algunas </w:t>
      </w:r>
      <w:r w:rsidRPr="001B1065">
        <w:rPr>
          <w:rFonts w:ascii="Times New Roman" w:hAnsi="Times New Roman"/>
          <w:sz w:val="24"/>
          <w:lang w:eastAsia="es-ES"/>
        </w:rPr>
        <w:t>directrices sobre las medidas para garantizar la igualdad.</w:t>
      </w:r>
      <w:r>
        <w:rPr>
          <w:rFonts w:ascii="Times New Roman" w:hAnsi="Times New Roman"/>
          <w:sz w:val="24"/>
          <w:lang w:eastAsia="es-ES"/>
        </w:rPr>
        <w:t xml:space="preserve"> </w:t>
      </w:r>
    </w:p>
    <w:p w:rsidR="00A154CB" w:rsidRPr="001B1065" w:rsidRDefault="00A154CB">
      <w:pPr>
        <w:autoSpaceDE w:val="0"/>
        <w:autoSpaceDN w:val="0"/>
        <w:adjustRightInd w:val="0"/>
        <w:spacing w:after="240" w:line="240" w:lineRule="auto"/>
        <w:rPr>
          <w:rFonts w:ascii="Times New Roman" w:hAnsi="Times New Roman"/>
          <w:sz w:val="24"/>
          <w:lang w:eastAsia="es-ES"/>
        </w:rPr>
      </w:pPr>
      <w:r w:rsidRPr="001B1065">
        <w:rPr>
          <w:rFonts w:ascii="Times New Roman" w:hAnsi="Times New Roman"/>
          <w:sz w:val="24"/>
          <w:lang w:eastAsia="es-ES"/>
        </w:rPr>
        <w:t xml:space="preserve">5. </w:t>
      </w:r>
      <w:r w:rsidRPr="001B1065">
        <w:rPr>
          <w:rFonts w:ascii="Times New Roman" w:hAnsi="Times New Roman"/>
          <w:sz w:val="24"/>
          <w:lang w:eastAsia="es-ES"/>
        </w:rPr>
        <w:tab/>
        <w:t>La Comisión comparte las preocupaciones manifestadas por el Comité acerca del sistema de justicia penal, las tasas de encarcelamiento y la violencia doméstica. Las tasas actuales del encarcelamiento, en particular de jóvenes, y el daño que se está provocando a las familias mediante la violencia doméstica son inaceptables. El Gobierno ha manifestado su compromiso de abordar esas cuestiones y ha introducido una gran variedad de medidas, pero el orador espera que el Comité insista en la necesidad urgente de conseguir progresos significativos.</w:t>
      </w:r>
      <w:r>
        <w:rPr>
          <w:rFonts w:ascii="Times New Roman" w:hAnsi="Times New Roman"/>
          <w:sz w:val="24"/>
          <w:lang w:eastAsia="es-ES"/>
        </w:rPr>
        <w:t xml:space="preserve"> </w:t>
      </w:r>
    </w:p>
    <w:p w:rsidR="00A154CB" w:rsidRPr="001B1065" w:rsidRDefault="00A154CB">
      <w:pPr>
        <w:autoSpaceDE w:val="0"/>
        <w:autoSpaceDN w:val="0"/>
        <w:adjustRightInd w:val="0"/>
        <w:spacing w:after="240" w:line="240" w:lineRule="auto"/>
        <w:rPr>
          <w:rFonts w:ascii="Times New Roman" w:hAnsi="Times New Roman"/>
          <w:sz w:val="24"/>
          <w:lang w:eastAsia="es-ES"/>
        </w:rPr>
      </w:pPr>
      <w:r w:rsidRPr="001B1065">
        <w:rPr>
          <w:rFonts w:ascii="Times New Roman" w:hAnsi="Times New Roman"/>
          <w:sz w:val="24"/>
          <w:lang w:eastAsia="es-ES"/>
        </w:rPr>
        <w:t xml:space="preserve">6. </w:t>
      </w:r>
      <w:r w:rsidRPr="001B1065">
        <w:rPr>
          <w:rFonts w:ascii="Times New Roman" w:hAnsi="Times New Roman"/>
          <w:sz w:val="24"/>
          <w:lang w:eastAsia="es-ES"/>
        </w:rPr>
        <w:tab/>
        <w:t xml:space="preserve">Con respecto a las preocupaciones del Comité acerca de los asuntos constitucionales, la Comisión propuso en su Plan de Acción una </w:t>
      </w:r>
      <w:r>
        <w:rPr>
          <w:rFonts w:ascii="Times New Roman" w:hAnsi="Times New Roman"/>
          <w:sz w:val="24"/>
          <w:lang w:eastAsia="es-ES"/>
        </w:rPr>
        <w:t>“</w:t>
      </w:r>
      <w:r w:rsidRPr="001B1065">
        <w:rPr>
          <w:rFonts w:ascii="Times New Roman" w:hAnsi="Times New Roman"/>
          <w:sz w:val="24"/>
          <w:lang w:eastAsia="es-ES"/>
        </w:rPr>
        <w:t>conversación constitucional</w:t>
      </w:r>
      <w:r>
        <w:rPr>
          <w:rFonts w:ascii="Times New Roman" w:hAnsi="Times New Roman"/>
          <w:sz w:val="24"/>
          <w:lang w:eastAsia="es-ES"/>
        </w:rPr>
        <w:t>”</w:t>
      </w:r>
      <w:r w:rsidRPr="001B1065">
        <w:rPr>
          <w:rFonts w:ascii="Times New Roman" w:hAnsi="Times New Roman"/>
          <w:sz w:val="24"/>
          <w:lang w:eastAsia="es-ES"/>
        </w:rPr>
        <w:t xml:space="preserve"> para lograr una mayor comprensión pública de las cuestiones complejas implicadas, que requieren apoyo público. Las Comisión sigue oponiéndose a prescribir soluciones concretas</w:t>
      </w:r>
      <w:r>
        <w:rPr>
          <w:rFonts w:ascii="Times New Roman" w:hAnsi="Times New Roman"/>
          <w:sz w:val="24"/>
          <w:lang w:eastAsia="es-ES"/>
        </w:rPr>
        <w:t>,</w:t>
      </w:r>
      <w:r w:rsidRPr="001B1065">
        <w:rPr>
          <w:rFonts w:ascii="Times New Roman" w:hAnsi="Times New Roman"/>
          <w:sz w:val="24"/>
          <w:lang w:eastAsia="es-ES"/>
        </w:rPr>
        <w:t xml:space="preserve"> dada la necesidad de un debate amplio y atento por parte de los maoríes y otros </w:t>
      </w:r>
      <w:r>
        <w:rPr>
          <w:rFonts w:ascii="Times New Roman" w:hAnsi="Times New Roman"/>
          <w:sz w:val="24"/>
          <w:lang w:eastAsia="es-ES"/>
        </w:rPr>
        <w:t>neozelande</w:t>
      </w:r>
      <w:r w:rsidRPr="001B1065">
        <w:rPr>
          <w:rFonts w:ascii="Times New Roman" w:hAnsi="Times New Roman"/>
          <w:sz w:val="24"/>
          <w:lang w:eastAsia="es-ES"/>
        </w:rPr>
        <w:t xml:space="preserve">ses. El orador acogerá con agrado el apoyo que </w:t>
      </w:r>
      <w:r>
        <w:rPr>
          <w:rFonts w:ascii="Times New Roman" w:hAnsi="Times New Roman"/>
          <w:sz w:val="24"/>
          <w:lang w:eastAsia="es-ES"/>
        </w:rPr>
        <w:t xml:space="preserve">pueda prestarse </w:t>
      </w:r>
      <w:r w:rsidRPr="001B1065">
        <w:rPr>
          <w:rFonts w:ascii="Times New Roman" w:hAnsi="Times New Roman"/>
          <w:sz w:val="24"/>
          <w:lang w:eastAsia="es-ES"/>
        </w:rPr>
        <w:t>a la</w:t>
      </w:r>
      <w:r>
        <w:rPr>
          <w:rFonts w:ascii="Times New Roman" w:hAnsi="Times New Roman"/>
          <w:sz w:val="24"/>
          <w:lang w:eastAsia="es-ES"/>
        </w:rPr>
        <w:t>s opiniones</w:t>
      </w:r>
      <w:r w:rsidRPr="001B1065">
        <w:rPr>
          <w:rFonts w:ascii="Times New Roman" w:hAnsi="Times New Roman"/>
          <w:sz w:val="24"/>
          <w:lang w:eastAsia="es-ES"/>
        </w:rPr>
        <w:t xml:space="preserve"> de la Comisión.</w:t>
      </w:r>
      <w:r>
        <w:rPr>
          <w:rFonts w:ascii="Times New Roman" w:hAnsi="Times New Roman"/>
          <w:sz w:val="24"/>
          <w:lang w:eastAsia="es-ES"/>
        </w:rPr>
        <w:t xml:space="preserve"> es</w:t>
      </w:r>
      <w:r w:rsidRPr="001B1065">
        <w:rPr>
          <w:rFonts w:ascii="Times New Roman" w:hAnsi="Times New Roman"/>
          <w:sz w:val="24"/>
          <w:lang w:eastAsia="es-ES"/>
        </w:rPr>
        <w:t>ta, tras haber terminado un proyecto trienal de diálogo comunitario sobre los derechos humanos y el Tratado de Waitangi, considera que se necesita más tiempo para poder encontrar las soluciones.</w:t>
      </w:r>
      <w:r>
        <w:rPr>
          <w:rFonts w:ascii="Times New Roman" w:hAnsi="Times New Roman"/>
          <w:sz w:val="24"/>
          <w:lang w:eastAsia="es-ES"/>
        </w:rPr>
        <w:t xml:space="preserve"> </w:t>
      </w:r>
    </w:p>
    <w:p w:rsidR="00A154CB" w:rsidRPr="001B1065" w:rsidRDefault="00A154CB">
      <w:pPr>
        <w:autoSpaceDE w:val="0"/>
        <w:autoSpaceDN w:val="0"/>
        <w:adjustRightInd w:val="0"/>
        <w:spacing w:after="240" w:line="240" w:lineRule="auto"/>
        <w:rPr>
          <w:rFonts w:ascii="Times New Roman" w:hAnsi="Times New Roman"/>
          <w:sz w:val="24"/>
          <w:lang w:eastAsia="es-ES"/>
        </w:rPr>
      </w:pPr>
      <w:r w:rsidRPr="001B1065">
        <w:rPr>
          <w:rFonts w:ascii="Times New Roman" w:hAnsi="Times New Roman"/>
          <w:sz w:val="24"/>
          <w:lang w:eastAsia="es-ES"/>
        </w:rPr>
        <w:t xml:space="preserve">7. </w:t>
      </w:r>
      <w:r w:rsidRPr="001B1065">
        <w:rPr>
          <w:rFonts w:ascii="Times New Roman" w:hAnsi="Times New Roman"/>
          <w:sz w:val="24"/>
          <w:lang w:eastAsia="es-ES"/>
        </w:rPr>
        <w:tab/>
      </w:r>
      <w:r>
        <w:rPr>
          <w:rFonts w:ascii="Times New Roman" w:hAnsi="Times New Roman"/>
          <w:sz w:val="24"/>
          <w:lang w:eastAsia="es-ES"/>
        </w:rPr>
        <w:t>L</w:t>
      </w:r>
      <w:r w:rsidRPr="001B1065">
        <w:rPr>
          <w:rFonts w:ascii="Times New Roman" w:hAnsi="Times New Roman"/>
          <w:sz w:val="24"/>
          <w:lang w:eastAsia="es-ES"/>
        </w:rPr>
        <w:t xml:space="preserve">as recomendaciones anteriores del Comité </w:t>
      </w:r>
      <w:r>
        <w:rPr>
          <w:rFonts w:ascii="Times New Roman" w:hAnsi="Times New Roman"/>
          <w:sz w:val="24"/>
          <w:lang w:eastAsia="es-ES"/>
        </w:rPr>
        <w:t xml:space="preserve">acerca </w:t>
      </w:r>
      <w:r w:rsidRPr="001B1065">
        <w:rPr>
          <w:rFonts w:ascii="Times New Roman" w:hAnsi="Times New Roman"/>
          <w:sz w:val="24"/>
          <w:lang w:eastAsia="es-ES"/>
        </w:rPr>
        <w:t>de la Ley de la preplaya y los fondos marinos de 2004 continúa</w:t>
      </w:r>
      <w:r>
        <w:rPr>
          <w:rFonts w:ascii="Times New Roman" w:hAnsi="Times New Roman"/>
          <w:sz w:val="24"/>
          <w:lang w:eastAsia="es-ES"/>
        </w:rPr>
        <w:t>n</w:t>
      </w:r>
      <w:r w:rsidRPr="001B1065">
        <w:rPr>
          <w:rFonts w:ascii="Times New Roman" w:hAnsi="Times New Roman"/>
          <w:sz w:val="24"/>
          <w:lang w:eastAsia="es-ES"/>
        </w:rPr>
        <w:t xml:space="preserve"> siendo válida</w:t>
      </w:r>
      <w:r>
        <w:rPr>
          <w:rFonts w:ascii="Times New Roman" w:hAnsi="Times New Roman"/>
          <w:sz w:val="24"/>
          <w:lang w:eastAsia="es-ES"/>
        </w:rPr>
        <w:t>s</w:t>
      </w:r>
      <w:r w:rsidRPr="001B1065">
        <w:rPr>
          <w:rFonts w:ascii="Times New Roman" w:hAnsi="Times New Roman"/>
          <w:sz w:val="24"/>
          <w:lang w:eastAsia="es-ES"/>
        </w:rPr>
        <w:t xml:space="preserve">. La Ley produjo fuertes divisiones en la sociedad, y la obligación de repararlas no recae exclusivamente sobre el Gobierno </w:t>
      </w:r>
      <w:r>
        <w:rPr>
          <w:rFonts w:ascii="Times New Roman" w:hAnsi="Times New Roman"/>
          <w:sz w:val="24"/>
          <w:lang w:eastAsia="es-ES"/>
        </w:rPr>
        <w:t>elegido</w:t>
      </w:r>
      <w:r w:rsidRPr="001B1065">
        <w:rPr>
          <w:rFonts w:ascii="Times New Roman" w:hAnsi="Times New Roman"/>
          <w:sz w:val="24"/>
          <w:lang w:eastAsia="es-ES"/>
        </w:rPr>
        <w:t>. La Comisión espera que se encuentre una base común más amplia en las relaciones entre la Corona y los maoríes en esa y en otras esferas, dado que ambas partes han manifestado el deseo de garantizar el acceso público y los derechos consuetudinarios maoríes a la preplaya y lo</w:t>
      </w:r>
      <w:r>
        <w:rPr>
          <w:rFonts w:ascii="Times New Roman" w:hAnsi="Times New Roman"/>
          <w:sz w:val="24"/>
          <w:lang w:eastAsia="es-ES"/>
        </w:rPr>
        <w:t>s fondos marinos, pero reconoce</w:t>
      </w:r>
      <w:r w:rsidRPr="001B1065">
        <w:rPr>
          <w:rFonts w:ascii="Times New Roman" w:hAnsi="Times New Roman"/>
          <w:sz w:val="24"/>
          <w:lang w:eastAsia="es-ES"/>
        </w:rPr>
        <w:t xml:space="preserve"> que el proceso necesitará tiempo.</w:t>
      </w:r>
    </w:p>
    <w:p w:rsidR="00A154CB" w:rsidRDefault="00A154CB">
      <w:pPr>
        <w:autoSpaceDE w:val="0"/>
        <w:autoSpaceDN w:val="0"/>
        <w:adjustRightInd w:val="0"/>
        <w:spacing w:after="240" w:line="240" w:lineRule="auto"/>
        <w:rPr>
          <w:rFonts w:ascii="Times New Roman" w:hAnsi="Times New Roman"/>
          <w:i/>
          <w:sz w:val="24"/>
          <w:lang w:eastAsia="es-ES"/>
        </w:rPr>
      </w:pPr>
      <w:r w:rsidRPr="001B1065">
        <w:rPr>
          <w:rFonts w:ascii="Times New Roman" w:hAnsi="Times New Roman"/>
          <w:sz w:val="24"/>
          <w:lang w:eastAsia="es-ES"/>
        </w:rPr>
        <w:t xml:space="preserve">8. </w:t>
      </w:r>
      <w:r w:rsidRPr="001B1065">
        <w:rPr>
          <w:rFonts w:ascii="Times New Roman" w:hAnsi="Times New Roman"/>
          <w:sz w:val="24"/>
          <w:lang w:eastAsia="es-ES"/>
        </w:rPr>
        <w:tab/>
      </w:r>
      <w:r>
        <w:rPr>
          <w:rFonts w:ascii="Times New Roman" w:hAnsi="Times New Roman"/>
          <w:sz w:val="24"/>
          <w:lang w:eastAsia="es-ES"/>
        </w:rPr>
        <w:t>El orador e</w:t>
      </w:r>
      <w:r w:rsidRPr="001B1065">
        <w:rPr>
          <w:rFonts w:ascii="Times New Roman" w:hAnsi="Times New Roman"/>
          <w:sz w:val="24"/>
          <w:lang w:eastAsia="es-ES"/>
        </w:rPr>
        <w:t xml:space="preserve">sboza las principales orientaciones del programa </w:t>
      </w:r>
      <w:r>
        <w:rPr>
          <w:rFonts w:ascii="Times New Roman" w:hAnsi="Times New Roman"/>
          <w:sz w:val="24"/>
          <w:lang w:eastAsia="es-ES"/>
        </w:rPr>
        <w:t>de tra</w:t>
      </w:r>
      <w:r w:rsidRPr="001B1065">
        <w:rPr>
          <w:rFonts w:ascii="Times New Roman" w:hAnsi="Times New Roman"/>
          <w:sz w:val="24"/>
          <w:lang w:eastAsia="es-ES"/>
        </w:rPr>
        <w:t xml:space="preserve">bajo de la Comisión para las relaciones raciales durante los dos próximos años, tal como se establecen en su </w:t>
      </w:r>
      <w:r>
        <w:rPr>
          <w:rFonts w:ascii="Times New Roman" w:hAnsi="Times New Roman"/>
          <w:i/>
          <w:sz w:val="24"/>
          <w:lang w:eastAsia="es-ES"/>
        </w:rPr>
        <w:t>Declaración de intenciones de 2007-2008.</w:t>
      </w:r>
    </w:p>
    <w:p w:rsidR="00A154CB" w:rsidRPr="001B1065" w:rsidRDefault="00A154CB">
      <w:pPr>
        <w:autoSpaceDE w:val="0"/>
        <w:autoSpaceDN w:val="0"/>
        <w:adjustRightInd w:val="0"/>
        <w:spacing w:after="240" w:line="240" w:lineRule="auto"/>
        <w:rPr>
          <w:rFonts w:ascii="Times New Roman" w:hAnsi="Times New Roman"/>
          <w:sz w:val="24"/>
          <w:lang w:eastAsia="es-ES"/>
        </w:rPr>
      </w:pPr>
      <w:r w:rsidRPr="001B1065">
        <w:rPr>
          <w:rFonts w:ascii="Times New Roman" w:hAnsi="Times New Roman"/>
          <w:sz w:val="24"/>
          <w:lang w:eastAsia="es-ES"/>
        </w:rPr>
        <w:t xml:space="preserve">9. </w:t>
      </w:r>
      <w:r w:rsidRPr="001B1065">
        <w:rPr>
          <w:rFonts w:ascii="Times New Roman" w:hAnsi="Times New Roman"/>
          <w:sz w:val="24"/>
          <w:lang w:eastAsia="es-ES"/>
        </w:rPr>
        <w:tab/>
        <w:t xml:space="preserve">Varios acontecimientos legislativos y normativos </w:t>
      </w:r>
      <w:r>
        <w:rPr>
          <w:rFonts w:ascii="Times New Roman" w:hAnsi="Times New Roman"/>
          <w:sz w:val="24"/>
          <w:lang w:eastAsia="es-ES"/>
        </w:rPr>
        <w:t xml:space="preserve">previstos </w:t>
      </w:r>
      <w:r w:rsidRPr="001B1065">
        <w:rPr>
          <w:rFonts w:ascii="Times New Roman" w:hAnsi="Times New Roman"/>
          <w:sz w:val="24"/>
          <w:lang w:eastAsia="es-ES"/>
        </w:rPr>
        <w:t xml:space="preserve">en los próximos meses </w:t>
      </w:r>
      <w:r>
        <w:rPr>
          <w:rFonts w:ascii="Times New Roman" w:hAnsi="Times New Roman"/>
          <w:sz w:val="24"/>
          <w:lang w:eastAsia="es-ES"/>
        </w:rPr>
        <w:t xml:space="preserve">ofrecen </w:t>
      </w:r>
      <w:r w:rsidRPr="001B1065">
        <w:rPr>
          <w:rFonts w:ascii="Times New Roman" w:hAnsi="Times New Roman"/>
          <w:sz w:val="24"/>
          <w:lang w:eastAsia="es-ES"/>
        </w:rPr>
        <w:t>considerables oportunidades de reforzar el marco de los derechos humanos y las relaciones raciales en Nueva Zelandia. La Comisión ha elaborado presentaciones en las que se insiste en la necesidad de referencias específicas al respeto de los derechos humanos en una nueva Ley de servicios policiales, referencias a las obligaciones en virtud de los tratados internacionales en la Ley de inmigración, e inclusión de los derechos humanos, la diversidad y el Tratado de Waitangi como principios fundamentales en el nuevo programa de estudios escolares, junto con el reconocimiento y relieve adecuados de la lengua maorí. Par</w:t>
      </w:r>
      <w:r>
        <w:rPr>
          <w:rFonts w:ascii="Times New Roman" w:hAnsi="Times New Roman"/>
          <w:sz w:val="24"/>
          <w:lang w:eastAsia="es-ES"/>
        </w:rPr>
        <w:t>e</w:t>
      </w:r>
      <w:r w:rsidRPr="001B1065">
        <w:rPr>
          <w:rFonts w:ascii="Times New Roman" w:hAnsi="Times New Roman"/>
          <w:sz w:val="24"/>
          <w:lang w:eastAsia="es-ES"/>
        </w:rPr>
        <w:t>ce que el Gobierno está teniendo en cuenta las preocupaciones de la Comisión, en particular con respecto al programa de estudios.</w:t>
      </w:r>
    </w:p>
    <w:p w:rsidR="00A154CB" w:rsidRPr="001B1065" w:rsidRDefault="00A154CB">
      <w:pPr>
        <w:autoSpaceDE w:val="0"/>
        <w:autoSpaceDN w:val="0"/>
        <w:adjustRightInd w:val="0"/>
        <w:spacing w:after="240" w:line="240" w:lineRule="auto"/>
        <w:rPr>
          <w:rFonts w:ascii="Times New Roman" w:hAnsi="Times New Roman"/>
          <w:sz w:val="24"/>
          <w:lang w:eastAsia="es-ES"/>
        </w:rPr>
      </w:pPr>
      <w:r w:rsidRPr="001B1065">
        <w:rPr>
          <w:rFonts w:ascii="Times New Roman" w:hAnsi="Times New Roman"/>
          <w:sz w:val="24"/>
          <w:lang w:eastAsia="es-ES"/>
        </w:rPr>
        <w:t xml:space="preserve">10. </w:t>
      </w:r>
      <w:r w:rsidRPr="001B1065">
        <w:rPr>
          <w:rFonts w:ascii="Times New Roman" w:hAnsi="Times New Roman"/>
          <w:sz w:val="24"/>
          <w:lang w:eastAsia="es-ES"/>
        </w:rPr>
        <w:tab/>
        <w:t xml:space="preserve">El orador celebra el extraordinario cambio de la situación de la lengua maorí 20 años después de la entrada en vigor de la Ley del idioma maorí de 1987, que ha sido consecuencia de encomiables esfuerzos concertados entre el Gobierno y las comunidades. En su Plan de acción, la Comisión </w:t>
      </w:r>
      <w:r>
        <w:rPr>
          <w:rFonts w:ascii="Times New Roman" w:hAnsi="Times New Roman"/>
          <w:sz w:val="24"/>
          <w:lang w:eastAsia="es-ES"/>
        </w:rPr>
        <w:t xml:space="preserve">llama la atención sobre el grave descenso de </w:t>
      </w:r>
      <w:r w:rsidRPr="001B1065">
        <w:rPr>
          <w:rFonts w:ascii="Times New Roman" w:hAnsi="Times New Roman"/>
          <w:sz w:val="24"/>
          <w:lang w:eastAsia="es-ES"/>
        </w:rPr>
        <w:t xml:space="preserve">los idiomas de Niue, las Islas Cook y Tokelau y </w:t>
      </w:r>
      <w:r>
        <w:rPr>
          <w:rFonts w:ascii="Times New Roman" w:hAnsi="Times New Roman"/>
          <w:sz w:val="24"/>
          <w:lang w:eastAsia="es-ES"/>
        </w:rPr>
        <w:t xml:space="preserve">sobre </w:t>
      </w:r>
      <w:r w:rsidRPr="001B1065">
        <w:rPr>
          <w:rFonts w:ascii="Times New Roman" w:hAnsi="Times New Roman"/>
          <w:sz w:val="24"/>
          <w:lang w:eastAsia="es-ES"/>
        </w:rPr>
        <w:t xml:space="preserve">la </w:t>
      </w:r>
      <w:r>
        <w:rPr>
          <w:rFonts w:ascii="Times New Roman" w:hAnsi="Times New Roman"/>
          <w:sz w:val="24"/>
          <w:lang w:eastAsia="es-ES"/>
        </w:rPr>
        <w:t xml:space="preserve">obligación </w:t>
      </w:r>
      <w:r w:rsidRPr="001B1065">
        <w:rPr>
          <w:rFonts w:ascii="Times New Roman" w:hAnsi="Times New Roman"/>
          <w:sz w:val="24"/>
          <w:lang w:eastAsia="es-ES"/>
        </w:rPr>
        <w:t>del Gobierno de Nueva Zelandia de buscar una solución, dado que la mayoría de las personas de esos territorios viven en Nueva Zelandia</w:t>
      </w:r>
      <w:r>
        <w:rPr>
          <w:rFonts w:ascii="Times New Roman" w:hAnsi="Times New Roman"/>
          <w:sz w:val="24"/>
          <w:lang w:eastAsia="es-ES"/>
        </w:rPr>
        <w:t>,</w:t>
      </w:r>
      <w:r w:rsidRPr="001B1065">
        <w:rPr>
          <w:rFonts w:ascii="Times New Roman" w:hAnsi="Times New Roman"/>
          <w:sz w:val="24"/>
          <w:lang w:eastAsia="es-ES"/>
        </w:rPr>
        <w:t xml:space="preserve"> y promueve una política lingüística nacional </w:t>
      </w:r>
      <w:r>
        <w:rPr>
          <w:rFonts w:ascii="Times New Roman" w:hAnsi="Times New Roman"/>
          <w:sz w:val="24"/>
          <w:lang w:eastAsia="es-ES"/>
        </w:rPr>
        <w:t xml:space="preserve">que tenga </w:t>
      </w:r>
      <w:r w:rsidRPr="001B1065">
        <w:rPr>
          <w:rFonts w:ascii="Times New Roman" w:hAnsi="Times New Roman"/>
          <w:sz w:val="24"/>
          <w:lang w:eastAsia="es-ES"/>
        </w:rPr>
        <w:t>en cuenta la diversidad de idiomas.</w:t>
      </w:r>
    </w:p>
    <w:p w:rsidR="00A154CB" w:rsidRPr="001B1065" w:rsidRDefault="00A154CB">
      <w:pPr>
        <w:autoSpaceDE w:val="0"/>
        <w:autoSpaceDN w:val="0"/>
        <w:adjustRightInd w:val="0"/>
        <w:spacing w:after="240" w:line="240" w:lineRule="auto"/>
        <w:rPr>
          <w:rFonts w:ascii="Times New Roman" w:hAnsi="Times New Roman"/>
          <w:sz w:val="24"/>
          <w:lang w:eastAsia="es-ES"/>
        </w:rPr>
      </w:pPr>
      <w:r w:rsidRPr="001B1065">
        <w:rPr>
          <w:rFonts w:ascii="Times New Roman" w:hAnsi="Times New Roman"/>
          <w:sz w:val="24"/>
          <w:lang w:eastAsia="es-ES"/>
        </w:rPr>
        <w:t xml:space="preserve">11. </w:t>
      </w:r>
      <w:r w:rsidRPr="001B1065">
        <w:rPr>
          <w:rFonts w:ascii="Times New Roman" w:hAnsi="Times New Roman"/>
          <w:sz w:val="24"/>
          <w:lang w:eastAsia="es-ES"/>
        </w:rPr>
        <w:tab/>
        <w:t>Expresa la esperanza de que las observaciones finales del Comité sean aceptadas por el Gobierno y la población del país y aument</w:t>
      </w:r>
      <w:r>
        <w:rPr>
          <w:rFonts w:ascii="Times New Roman" w:hAnsi="Times New Roman"/>
          <w:sz w:val="24"/>
          <w:lang w:eastAsia="es-ES"/>
        </w:rPr>
        <w:t>en</w:t>
      </w:r>
      <w:r w:rsidRPr="001B1065">
        <w:rPr>
          <w:rFonts w:ascii="Times New Roman" w:hAnsi="Times New Roman"/>
          <w:sz w:val="24"/>
          <w:lang w:eastAsia="es-ES"/>
        </w:rPr>
        <w:t xml:space="preserve"> la confianza en el valor de </w:t>
      </w:r>
      <w:r>
        <w:rPr>
          <w:rFonts w:ascii="Times New Roman" w:hAnsi="Times New Roman"/>
          <w:sz w:val="24"/>
          <w:lang w:eastAsia="es-ES"/>
        </w:rPr>
        <w:t xml:space="preserve">una </w:t>
      </w:r>
      <w:r w:rsidRPr="001B1065">
        <w:rPr>
          <w:rFonts w:ascii="Times New Roman" w:hAnsi="Times New Roman"/>
          <w:sz w:val="24"/>
          <w:lang w:eastAsia="es-ES"/>
        </w:rPr>
        <w:t xml:space="preserve">evaluación crítica </w:t>
      </w:r>
      <w:r>
        <w:rPr>
          <w:rFonts w:ascii="Times New Roman" w:hAnsi="Times New Roman"/>
          <w:sz w:val="24"/>
          <w:lang w:eastAsia="es-ES"/>
        </w:rPr>
        <w:t xml:space="preserve">realizada </w:t>
      </w:r>
      <w:r w:rsidRPr="001B1065">
        <w:rPr>
          <w:rFonts w:ascii="Times New Roman" w:hAnsi="Times New Roman"/>
          <w:sz w:val="24"/>
          <w:lang w:eastAsia="es-ES"/>
        </w:rPr>
        <w:t>por un Comité internacional de expertos. La Comisión continuará tratando de promover la importancia de un mecanismo internacional de rendición de cuentas en el marco de la Convención.</w:t>
      </w:r>
    </w:p>
    <w:p w:rsidR="00A154CB" w:rsidRPr="001B1065" w:rsidRDefault="00A154CB">
      <w:pPr>
        <w:autoSpaceDE w:val="0"/>
        <w:autoSpaceDN w:val="0"/>
        <w:adjustRightInd w:val="0"/>
        <w:spacing w:after="240" w:line="240" w:lineRule="auto"/>
        <w:rPr>
          <w:rFonts w:ascii="Times New Roman" w:hAnsi="Times New Roman"/>
          <w:sz w:val="24"/>
          <w:lang w:eastAsia="es-ES"/>
        </w:rPr>
      </w:pPr>
      <w:r w:rsidRPr="001B1065">
        <w:rPr>
          <w:rFonts w:ascii="Times New Roman" w:hAnsi="Times New Roman"/>
          <w:sz w:val="24"/>
          <w:lang w:eastAsia="es-ES"/>
        </w:rPr>
        <w:t xml:space="preserve">12. </w:t>
      </w:r>
      <w:r w:rsidRPr="001B1065">
        <w:rPr>
          <w:rFonts w:ascii="Times New Roman" w:hAnsi="Times New Roman"/>
          <w:sz w:val="24"/>
          <w:lang w:eastAsia="es-ES"/>
        </w:rPr>
        <w:tab/>
      </w:r>
      <w:r>
        <w:rPr>
          <w:rFonts w:ascii="Times New Roman" w:hAnsi="Times New Roman"/>
          <w:sz w:val="24"/>
          <w:lang w:eastAsia="es-ES"/>
        </w:rPr>
        <w:t xml:space="preserve">El </w:t>
      </w:r>
      <w:r>
        <w:rPr>
          <w:rFonts w:ascii="Times New Roman" w:hAnsi="Times New Roman"/>
          <w:b/>
          <w:sz w:val="24"/>
          <w:lang w:eastAsia="es-ES"/>
        </w:rPr>
        <w:t>PRESIDENTE</w:t>
      </w:r>
      <w:r w:rsidRPr="001B1065">
        <w:rPr>
          <w:rFonts w:ascii="Times New Roman" w:hAnsi="Times New Roman"/>
          <w:sz w:val="24"/>
          <w:lang w:eastAsia="es-ES"/>
        </w:rPr>
        <w:t xml:space="preserve"> manifiesta la esperanza de que continúe la práctica de autorizar a las instituciones nacionales de derechos humanos a intervenir en sus sesiones, en particular debido a que ello permite escuchar la opinión de la sociedad civil.</w:t>
      </w:r>
    </w:p>
    <w:p w:rsidR="00A154CB" w:rsidRPr="001B1065" w:rsidRDefault="00A154CB">
      <w:pPr>
        <w:autoSpaceDE w:val="0"/>
        <w:autoSpaceDN w:val="0"/>
        <w:adjustRightInd w:val="0"/>
        <w:spacing w:after="240" w:line="240" w:lineRule="auto"/>
        <w:rPr>
          <w:rFonts w:ascii="Times New Roman" w:hAnsi="Times New Roman"/>
          <w:sz w:val="24"/>
          <w:lang w:eastAsia="es-ES"/>
        </w:rPr>
      </w:pPr>
      <w:r w:rsidRPr="001B1065">
        <w:rPr>
          <w:rFonts w:ascii="Times New Roman" w:hAnsi="Times New Roman"/>
          <w:sz w:val="24"/>
          <w:lang w:eastAsia="es-ES"/>
        </w:rPr>
        <w:t xml:space="preserve">13. </w:t>
      </w:r>
      <w:r w:rsidRPr="001B1065">
        <w:rPr>
          <w:rFonts w:ascii="Times New Roman" w:hAnsi="Times New Roman"/>
          <w:sz w:val="24"/>
          <w:lang w:eastAsia="es-ES"/>
        </w:rPr>
        <w:tab/>
      </w:r>
      <w:r>
        <w:rPr>
          <w:rFonts w:ascii="Times New Roman" w:hAnsi="Times New Roman"/>
          <w:sz w:val="24"/>
          <w:lang w:eastAsia="es-ES"/>
        </w:rPr>
        <w:t xml:space="preserve">El </w:t>
      </w:r>
      <w:r>
        <w:rPr>
          <w:rFonts w:ascii="Times New Roman" w:hAnsi="Times New Roman"/>
          <w:b/>
          <w:sz w:val="24"/>
          <w:lang w:eastAsia="es-ES"/>
        </w:rPr>
        <w:t>Sr. MACKAY</w:t>
      </w:r>
      <w:r w:rsidRPr="001B1065">
        <w:rPr>
          <w:rFonts w:ascii="Times New Roman" w:hAnsi="Times New Roman"/>
          <w:sz w:val="24"/>
          <w:lang w:eastAsia="es-ES"/>
        </w:rPr>
        <w:t xml:space="preserve"> (Nueva Zelandia) explica que </w:t>
      </w:r>
      <w:r>
        <w:rPr>
          <w:rFonts w:ascii="Times New Roman" w:hAnsi="Times New Roman"/>
          <w:sz w:val="24"/>
          <w:lang w:eastAsia="es-ES"/>
        </w:rPr>
        <w:t>“</w:t>
      </w:r>
      <w:r w:rsidRPr="001B1065">
        <w:rPr>
          <w:rFonts w:ascii="Times New Roman" w:hAnsi="Times New Roman"/>
          <w:sz w:val="24"/>
          <w:lang w:eastAsia="es-ES"/>
        </w:rPr>
        <w:t>la Corona</w:t>
      </w:r>
      <w:r>
        <w:rPr>
          <w:rFonts w:ascii="Times New Roman" w:hAnsi="Times New Roman"/>
          <w:sz w:val="24"/>
          <w:lang w:eastAsia="es-ES"/>
        </w:rPr>
        <w:t>”</w:t>
      </w:r>
      <w:r w:rsidRPr="001B1065">
        <w:rPr>
          <w:rFonts w:ascii="Times New Roman" w:hAnsi="Times New Roman"/>
          <w:sz w:val="24"/>
          <w:lang w:eastAsia="es-ES"/>
        </w:rPr>
        <w:t xml:space="preserve"> es un término jurídicamente complejo pero importante que hace referencia a la rama ejecutiva del Gobierno </w:t>
      </w:r>
      <w:r>
        <w:rPr>
          <w:rFonts w:ascii="Times New Roman" w:hAnsi="Times New Roman"/>
          <w:sz w:val="24"/>
          <w:lang w:eastAsia="es-ES"/>
        </w:rPr>
        <w:t>neozelandés</w:t>
      </w:r>
      <w:r w:rsidRPr="001B1065">
        <w:rPr>
          <w:rFonts w:ascii="Times New Roman" w:hAnsi="Times New Roman"/>
          <w:sz w:val="24"/>
          <w:lang w:eastAsia="es-ES"/>
        </w:rPr>
        <w:t xml:space="preserve">, integrada por el Consejo Ejecutivo, la administración pública y algunos órganos estatutarios. El Tratado de Waitangi ha sido reconocido por </w:t>
      </w:r>
      <w:smartTag w:uri="urn:schemas-microsoft-com:office:smarttags" w:element="PersonName">
        <w:smartTagPr>
          <w:attr w:name="ProductID" w:val="la Corona Brit￡nica"/>
        </w:smartTagPr>
        <w:r w:rsidRPr="001B1065">
          <w:rPr>
            <w:rFonts w:ascii="Times New Roman" w:hAnsi="Times New Roman"/>
            <w:sz w:val="24"/>
            <w:lang w:eastAsia="es-ES"/>
          </w:rPr>
          <w:t>la Corona Británica</w:t>
        </w:r>
      </w:smartTag>
      <w:r>
        <w:rPr>
          <w:rFonts w:ascii="Times New Roman" w:hAnsi="Times New Roman"/>
          <w:sz w:val="24"/>
          <w:lang w:eastAsia="es-ES"/>
        </w:rPr>
        <w:t>,</w:t>
      </w:r>
      <w:r w:rsidRPr="001B1065">
        <w:rPr>
          <w:rFonts w:ascii="Times New Roman" w:hAnsi="Times New Roman"/>
          <w:sz w:val="24"/>
          <w:lang w:eastAsia="es-ES"/>
        </w:rPr>
        <w:t xml:space="preserve"> pero ahora es aplicado por la Corona por derecho de Nueva Zelandia.</w:t>
      </w:r>
    </w:p>
    <w:p w:rsidR="00A154CB" w:rsidRPr="001B1065" w:rsidRDefault="00A154CB">
      <w:pPr>
        <w:autoSpaceDE w:val="0"/>
        <w:autoSpaceDN w:val="0"/>
        <w:adjustRightInd w:val="0"/>
        <w:spacing w:after="240" w:line="240" w:lineRule="auto"/>
        <w:rPr>
          <w:rFonts w:ascii="Times New Roman" w:hAnsi="Times New Roman"/>
          <w:sz w:val="24"/>
        </w:rPr>
      </w:pPr>
      <w:r w:rsidRPr="001B1065">
        <w:rPr>
          <w:rFonts w:ascii="Times New Roman" w:hAnsi="Times New Roman"/>
          <w:sz w:val="24"/>
          <w:lang w:eastAsia="es-ES"/>
        </w:rPr>
        <w:t xml:space="preserve">14.  </w:t>
      </w:r>
      <w:r w:rsidRPr="001B1065">
        <w:rPr>
          <w:rFonts w:ascii="Times New Roman" w:hAnsi="Times New Roman"/>
          <w:sz w:val="24"/>
          <w:lang w:eastAsia="es-ES"/>
        </w:rPr>
        <w:tab/>
      </w:r>
      <w:r w:rsidRPr="001B1065">
        <w:rPr>
          <w:rFonts w:ascii="Times New Roman" w:hAnsi="Times New Roman"/>
          <w:sz w:val="24"/>
        </w:rPr>
        <w:t>Aclara que</w:t>
      </w:r>
      <w:r>
        <w:rPr>
          <w:rFonts w:ascii="Times New Roman" w:hAnsi="Times New Roman"/>
          <w:sz w:val="24"/>
        </w:rPr>
        <w:t xml:space="preserve"> los maoríes, si bien </w:t>
      </w:r>
      <w:r w:rsidRPr="001B1065">
        <w:rPr>
          <w:rFonts w:ascii="Times New Roman" w:hAnsi="Times New Roman"/>
          <w:sz w:val="24"/>
        </w:rPr>
        <w:t xml:space="preserve">son un pueblo del Pacífico en </w:t>
      </w:r>
      <w:r>
        <w:rPr>
          <w:rFonts w:ascii="Times New Roman" w:hAnsi="Times New Roman"/>
          <w:sz w:val="24"/>
        </w:rPr>
        <w:t xml:space="preserve">el </w:t>
      </w:r>
      <w:r w:rsidRPr="001B1065">
        <w:rPr>
          <w:rFonts w:ascii="Times New Roman" w:hAnsi="Times New Roman"/>
          <w:sz w:val="24"/>
        </w:rPr>
        <w:t xml:space="preserve">sentido amplio </w:t>
      </w:r>
      <w:r>
        <w:rPr>
          <w:rFonts w:ascii="Times New Roman" w:hAnsi="Times New Roman"/>
          <w:sz w:val="24"/>
        </w:rPr>
        <w:t>del término</w:t>
      </w:r>
      <w:r w:rsidRPr="001B1065">
        <w:rPr>
          <w:rFonts w:ascii="Times New Roman" w:hAnsi="Times New Roman"/>
          <w:sz w:val="24"/>
        </w:rPr>
        <w:t xml:space="preserve">, no se incluyen en la agrupación de pueblos del Pacífico a efectos estadísticos, ya que los maoríes ocupan una posición especial en calidad de habitantes originales de Nueva Zelandia. En 2006, el censo ofreció por primera vez la oportunidad de que </w:t>
      </w:r>
      <w:r>
        <w:rPr>
          <w:rFonts w:ascii="Times New Roman" w:hAnsi="Times New Roman"/>
          <w:sz w:val="24"/>
        </w:rPr>
        <w:t>cada uno pudiera</w:t>
      </w:r>
      <w:r w:rsidRPr="001B1065">
        <w:rPr>
          <w:rFonts w:ascii="Times New Roman" w:hAnsi="Times New Roman"/>
          <w:sz w:val="24"/>
        </w:rPr>
        <w:t xml:space="preserve"> identificarse simplemente como </w:t>
      </w:r>
      <w:r>
        <w:rPr>
          <w:rFonts w:ascii="Times New Roman" w:hAnsi="Times New Roman"/>
          <w:sz w:val="24"/>
        </w:rPr>
        <w:t>“neozelandés”</w:t>
      </w:r>
      <w:r w:rsidRPr="001B1065">
        <w:rPr>
          <w:rFonts w:ascii="Times New Roman" w:hAnsi="Times New Roman"/>
          <w:sz w:val="24"/>
        </w:rPr>
        <w:t>, aunque no se presentaba una definición específica del término. Todas las respuestas del censo sobre el componente étnico están basadas en la autoidentificación, y los interesados pueden optar por identificarse como pertenecientes a más de un grupo étnico. No obstante, Nueva Zelandia comparte la preferencia general del Comité por la presentación desglosada de las estadísticas sobre la pertenencia étnica.</w:t>
      </w:r>
    </w:p>
    <w:p w:rsidR="00A154CB" w:rsidRDefault="00A154CB">
      <w:pPr>
        <w:spacing w:after="240" w:line="240" w:lineRule="auto"/>
        <w:rPr>
          <w:rFonts w:ascii="Times New Roman" w:hAnsi="Times New Roman"/>
          <w:sz w:val="24"/>
        </w:rPr>
      </w:pPr>
      <w:r w:rsidRPr="001B1065">
        <w:rPr>
          <w:rFonts w:ascii="Times New Roman" w:hAnsi="Times New Roman"/>
          <w:sz w:val="24"/>
        </w:rPr>
        <w:t xml:space="preserve">15. </w:t>
      </w:r>
      <w:r w:rsidRPr="001B1065">
        <w:rPr>
          <w:rFonts w:ascii="Times New Roman" w:hAnsi="Times New Roman"/>
          <w:sz w:val="24"/>
        </w:rPr>
        <w:tab/>
      </w:r>
      <w:r>
        <w:rPr>
          <w:rFonts w:ascii="Times New Roman" w:hAnsi="Times New Roman"/>
          <w:sz w:val="24"/>
        </w:rPr>
        <w:t xml:space="preserve">El orador, pese a no disponer de </w:t>
      </w:r>
      <w:r w:rsidRPr="001B1065">
        <w:rPr>
          <w:rFonts w:ascii="Times New Roman" w:hAnsi="Times New Roman"/>
          <w:sz w:val="24"/>
        </w:rPr>
        <w:t>cifras precisas, afirma que Nueva Zelandia tiene un alto nivel de matrimonios mixtos entre diferentes grupos, como demuestra, entre otras cosas, el hecho de que aproximadamente la mitad de la población maorí se identifica también con otras etnias. La interacción es uno de los elementos positivos de la sociedad de un país, en que todos los grupos viven juntos sin segregación.</w:t>
      </w:r>
      <w:r>
        <w:rPr>
          <w:rFonts w:ascii="Times New Roman" w:hAnsi="Times New Roman"/>
          <w:sz w:val="24"/>
        </w:rPr>
        <w:t xml:space="preserve"> </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16. </w:t>
      </w:r>
      <w:r w:rsidRPr="001B1065">
        <w:rPr>
          <w:rFonts w:ascii="Times New Roman" w:hAnsi="Times New Roman"/>
          <w:sz w:val="24"/>
        </w:rPr>
        <w:tab/>
        <w:t xml:space="preserve">Con respecto a la formulación de una declaración de acuerdo con lo previsto en el artículo 14 de la Convención, declara que esta </w:t>
      </w:r>
      <w:r>
        <w:rPr>
          <w:rFonts w:ascii="Times New Roman" w:hAnsi="Times New Roman"/>
          <w:sz w:val="24"/>
        </w:rPr>
        <w:t xml:space="preserve">materia </w:t>
      </w:r>
      <w:r w:rsidRPr="001B1065">
        <w:rPr>
          <w:rFonts w:ascii="Times New Roman" w:hAnsi="Times New Roman"/>
          <w:sz w:val="24"/>
        </w:rPr>
        <w:t xml:space="preserve">está sometida todavía </w:t>
      </w:r>
      <w:r>
        <w:rPr>
          <w:rFonts w:ascii="Times New Roman" w:hAnsi="Times New Roman"/>
          <w:sz w:val="24"/>
        </w:rPr>
        <w:t xml:space="preserve">a </w:t>
      </w:r>
      <w:r w:rsidRPr="001B1065">
        <w:rPr>
          <w:rFonts w:ascii="Times New Roman" w:hAnsi="Times New Roman"/>
          <w:sz w:val="24"/>
        </w:rPr>
        <w:t>consideración.</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17.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TAMAHORI</w:t>
      </w:r>
      <w:r w:rsidRPr="001B1065">
        <w:rPr>
          <w:rFonts w:ascii="Times New Roman" w:hAnsi="Times New Roman"/>
          <w:sz w:val="24"/>
        </w:rPr>
        <w:t xml:space="preserve"> (Nueva Zelandia) aclara la función del </w:t>
      </w:r>
      <w:r>
        <w:rPr>
          <w:rFonts w:ascii="Times New Roman" w:hAnsi="Times New Roman"/>
          <w:i/>
          <w:sz w:val="24"/>
        </w:rPr>
        <w:t>Te Puni Kōkiri</w:t>
      </w:r>
      <w:r w:rsidRPr="001B1065">
        <w:rPr>
          <w:rFonts w:ascii="Times New Roman" w:hAnsi="Times New Roman"/>
          <w:sz w:val="24"/>
        </w:rPr>
        <w:t xml:space="preserve"> </w:t>
      </w:r>
      <w:r>
        <w:rPr>
          <w:rFonts w:ascii="Times New Roman" w:hAnsi="Times New Roman"/>
          <w:sz w:val="24"/>
        </w:rPr>
        <w:t>(Ministerio</w:t>
      </w:r>
      <w:r w:rsidRPr="001B1065">
        <w:rPr>
          <w:rFonts w:ascii="Times New Roman" w:hAnsi="Times New Roman"/>
          <w:sz w:val="24"/>
        </w:rPr>
        <w:t xml:space="preserve"> de Desarrollo Maorí), e insiste en que no representa a los maoríes, ni habla en su nombre ni determina sus opciones. Por ejemplo, no puede dar una respuesta a la pregunta </w:t>
      </w:r>
      <w:r>
        <w:rPr>
          <w:rFonts w:ascii="Times New Roman" w:hAnsi="Times New Roman"/>
          <w:sz w:val="24"/>
        </w:rPr>
        <w:t>“</w:t>
      </w:r>
      <w:r w:rsidRPr="001B1065">
        <w:rPr>
          <w:rFonts w:ascii="Times New Roman" w:hAnsi="Times New Roman"/>
          <w:sz w:val="24"/>
        </w:rPr>
        <w:t>¿qué piensan los maoríes sobre la forma en que son gobernados?</w:t>
      </w:r>
      <w:r>
        <w:rPr>
          <w:rFonts w:ascii="Times New Roman" w:hAnsi="Times New Roman"/>
          <w:sz w:val="24"/>
        </w:rPr>
        <w:t>”</w:t>
      </w:r>
      <w:r w:rsidRPr="001B1065">
        <w:rPr>
          <w:rFonts w:ascii="Times New Roman" w:hAnsi="Times New Roman"/>
          <w:sz w:val="24"/>
        </w:rPr>
        <w:t xml:space="preserve">, que deberá formularse más bien a los maoríes y a sus dirigentes. En cambio, puede dar respuesta a preguntas relacionadas con algunas posiciones aceptadas, como el hecho de que los maoríes son y serán siempre el pueblo indígena de Nueva Zelandia, y que el Tratado de Waitangi es el documento fundacional de Nueva Zelandia y define la relación entre los maoríes y el Gobierno. Los maoríes tienen ciertos derechos que no son compartidos con los colonos posteriores, entre los que se incluyen derechos consuetudinarios preexistentes y los derivados del Tratado de Waitangi o el </w:t>
      </w:r>
      <w:r w:rsidRPr="009B57B9">
        <w:rPr>
          <w:rFonts w:ascii="Times New Roman" w:hAnsi="Times New Roman"/>
          <w:i/>
          <w:sz w:val="24"/>
        </w:rPr>
        <w:t>common</w:t>
      </w:r>
      <w:r>
        <w:rPr>
          <w:rFonts w:ascii="Times New Roman" w:hAnsi="Times New Roman"/>
          <w:i/>
          <w:sz w:val="24"/>
        </w:rPr>
        <w:t xml:space="preserve"> </w:t>
      </w:r>
      <w:r w:rsidRPr="009B57B9">
        <w:rPr>
          <w:rFonts w:ascii="Times New Roman" w:hAnsi="Times New Roman"/>
          <w:i/>
          <w:sz w:val="24"/>
        </w:rPr>
        <w:t>law</w:t>
      </w:r>
      <w:r w:rsidRPr="001B1065">
        <w:rPr>
          <w:rFonts w:ascii="Times New Roman" w:hAnsi="Times New Roman"/>
          <w:sz w:val="24"/>
        </w:rPr>
        <w:t>.</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18. </w:t>
      </w:r>
      <w:r w:rsidRPr="001B1065">
        <w:rPr>
          <w:rFonts w:ascii="Times New Roman" w:hAnsi="Times New Roman"/>
          <w:sz w:val="24"/>
        </w:rPr>
        <w:tab/>
        <w:t xml:space="preserve">Los </w:t>
      </w:r>
      <w:r>
        <w:rPr>
          <w:rFonts w:ascii="Times New Roman" w:hAnsi="Times New Roman"/>
          <w:sz w:val="24"/>
        </w:rPr>
        <w:t xml:space="preserve">heterogéneos </w:t>
      </w:r>
      <w:r w:rsidRPr="001B1065">
        <w:rPr>
          <w:rFonts w:ascii="Times New Roman" w:hAnsi="Times New Roman"/>
          <w:sz w:val="24"/>
        </w:rPr>
        <w:t>efectos de la historia maorí ha</w:t>
      </w:r>
      <w:r>
        <w:rPr>
          <w:rFonts w:ascii="Times New Roman" w:hAnsi="Times New Roman"/>
          <w:sz w:val="24"/>
        </w:rPr>
        <w:t>n</w:t>
      </w:r>
      <w:r w:rsidRPr="001B1065">
        <w:rPr>
          <w:rFonts w:ascii="Times New Roman" w:hAnsi="Times New Roman"/>
          <w:sz w:val="24"/>
        </w:rPr>
        <w:t xml:space="preserve"> tenido consecuencias sorprendentes y duraderas en la salud, educación, cohesión social, sistema de gobierno e infraestructura tribal, que se reflejan en muchas comunidades indígenas colonizadas y que han sido objeto de comentario por parte del Relator para el país y </w:t>
      </w:r>
      <w:r>
        <w:rPr>
          <w:rFonts w:ascii="Times New Roman" w:hAnsi="Times New Roman"/>
          <w:sz w:val="24"/>
        </w:rPr>
        <w:t>d</w:t>
      </w:r>
      <w:r w:rsidRPr="001B1065">
        <w:rPr>
          <w:rFonts w:ascii="Times New Roman" w:hAnsi="Times New Roman"/>
          <w:sz w:val="24"/>
        </w:rPr>
        <w:t xml:space="preserve">el Comité, pero la espiral descendente de disparidad social se ha desacelerado en los últimos 20 años, comenzando con la recuperación de la lengua maorí. El catalizador del cambio ha sido </w:t>
      </w:r>
      <w:r>
        <w:rPr>
          <w:rFonts w:ascii="Times New Roman" w:hAnsi="Times New Roman"/>
          <w:sz w:val="24"/>
        </w:rPr>
        <w:t xml:space="preserve">la decisión maorí de mejorar su propia situación. El diálogo con el Gobierno ha dado lugar a una </w:t>
      </w:r>
      <w:r w:rsidRPr="001B1065">
        <w:rPr>
          <w:rFonts w:ascii="Times New Roman" w:hAnsi="Times New Roman"/>
          <w:sz w:val="24"/>
        </w:rPr>
        <w:t xml:space="preserve">mayor participación </w:t>
      </w:r>
      <w:r>
        <w:rPr>
          <w:rFonts w:ascii="Times New Roman" w:hAnsi="Times New Roman"/>
          <w:sz w:val="24"/>
        </w:rPr>
        <w:t>en</w:t>
      </w:r>
      <w:r w:rsidRPr="001B1065">
        <w:rPr>
          <w:rFonts w:ascii="Times New Roman" w:hAnsi="Times New Roman"/>
          <w:sz w:val="24"/>
        </w:rPr>
        <w:t xml:space="preserve"> los programas e iniciativas que afectan a la vida y el bienestar de los maoríes</w:t>
      </w:r>
      <w:r>
        <w:rPr>
          <w:rFonts w:ascii="Times New Roman" w:hAnsi="Times New Roman"/>
          <w:sz w:val="24"/>
        </w:rPr>
        <w:t>,</w:t>
      </w:r>
      <w:r w:rsidRPr="001B1065">
        <w:rPr>
          <w:rFonts w:ascii="Times New Roman" w:hAnsi="Times New Roman"/>
          <w:sz w:val="24"/>
        </w:rPr>
        <w:t xml:space="preserve"> y los programas de apoyo se ofrecen cada vez más a través de proveedores maoríes. Es posible </w:t>
      </w:r>
      <w:r>
        <w:rPr>
          <w:rFonts w:ascii="Times New Roman" w:hAnsi="Times New Roman"/>
          <w:sz w:val="24"/>
        </w:rPr>
        <w:t xml:space="preserve">estudiar </w:t>
      </w:r>
      <w:r w:rsidRPr="001B1065">
        <w:rPr>
          <w:rFonts w:ascii="Times New Roman" w:hAnsi="Times New Roman"/>
          <w:sz w:val="24"/>
        </w:rPr>
        <w:t>en maorí desde la primera infancia hasta el nivel post terciario en instituciones pertenecientes a los maoríes y administradas por ellos, con ejemplos semejantes en la esfera de la salud, el apoyo familiar y la rehabilitación, con financiación pública en todos los casos. Un grupo de referencia maorí ha ofrecido asesoramiento a un grupo de trabajo contra la violencia en la familia, promovido por el ministerio, para garantizar que se tengan en cuenta las perspectivas maoríes y que las acciones sean culturalmente pertinentes y eficaces, y contribuyan a la revisión de los progresos. Algunas iniciativas se han centrado en concreto en los maoríes, como el proyecto Mauriora, que ha permitido ofrecer capacitación a más de 200 profesionales sobre las normas pertinentes basadas en valores maoríes fundamentales.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19. </w:t>
      </w:r>
      <w:r w:rsidRPr="001B1065">
        <w:rPr>
          <w:rFonts w:ascii="Times New Roman" w:hAnsi="Times New Roman"/>
          <w:sz w:val="24"/>
        </w:rPr>
        <w:tab/>
        <w:t xml:space="preserve">Después de la depredación sufrida en el período colonial, la economía maorí está comenzando a recuperarse y a ganar impulso, </w:t>
      </w:r>
      <w:r>
        <w:rPr>
          <w:rFonts w:ascii="Times New Roman" w:hAnsi="Times New Roman"/>
          <w:sz w:val="24"/>
        </w:rPr>
        <w:t xml:space="preserve">y se pueden señalar </w:t>
      </w:r>
      <w:r w:rsidRPr="001B1065">
        <w:rPr>
          <w:rFonts w:ascii="Times New Roman" w:hAnsi="Times New Roman"/>
          <w:sz w:val="24"/>
        </w:rPr>
        <w:t xml:space="preserve">varios ejemplos </w:t>
      </w:r>
      <w:r>
        <w:rPr>
          <w:rFonts w:ascii="Times New Roman" w:hAnsi="Times New Roman"/>
          <w:sz w:val="24"/>
        </w:rPr>
        <w:t xml:space="preserve">notables </w:t>
      </w:r>
      <w:r w:rsidRPr="001B1065">
        <w:rPr>
          <w:rFonts w:ascii="Times New Roman" w:hAnsi="Times New Roman"/>
          <w:sz w:val="24"/>
        </w:rPr>
        <w:t>de recuperación estimula</w:t>
      </w:r>
      <w:r>
        <w:rPr>
          <w:rFonts w:ascii="Times New Roman" w:hAnsi="Times New Roman"/>
          <w:sz w:val="24"/>
        </w:rPr>
        <w:t>da</w:t>
      </w:r>
      <w:r w:rsidRPr="001B1065">
        <w:rPr>
          <w:rFonts w:ascii="Times New Roman" w:hAnsi="Times New Roman"/>
          <w:sz w:val="24"/>
        </w:rPr>
        <w:t xml:space="preserve"> por tribus que explotan sus activos comerciales. El valor de las entidades comerciales maoríes ha aumentado sustancialmente.</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20. </w:t>
      </w:r>
      <w:r w:rsidRPr="001B1065">
        <w:rPr>
          <w:rFonts w:ascii="Times New Roman" w:hAnsi="Times New Roman"/>
          <w:sz w:val="24"/>
        </w:rPr>
        <w:tab/>
        <w:t xml:space="preserve">Son maoríes quienes se identifican como tales, y en la legislación de Nueva Zelandia son definidos normalmente como miembros de la raza indígena de Nueva Zelandia o sus descendientes. Las referencias a cualquier fracción o porcentaje de </w:t>
      </w:r>
      <w:r>
        <w:rPr>
          <w:rFonts w:ascii="Times New Roman" w:hAnsi="Times New Roman"/>
          <w:sz w:val="24"/>
        </w:rPr>
        <w:t>“</w:t>
      </w:r>
      <w:r w:rsidRPr="001B1065">
        <w:rPr>
          <w:rFonts w:ascii="Times New Roman" w:hAnsi="Times New Roman"/>
          <w:sz w:val="24"/>
        </w:rPr>
        <w:t>sangre maorí</w:t>
      </w:r>
      <w:r>
        <w:rPr>
          <w:rFonts w:ascii="Times New Roman" w:hAnsi="Times New Roman"/>
          <w:sz w:val="24"/>
        </w:rPr>
        <w:t>”</w:t>
      </w:r>
      <w:r w:rsidRPr="001B1065">
        <w:rPr>
          <w:rFonts w:ascii="Times New Roman" w:hAnsi="Times New Roman"/>
          <w:sz w:val="24"/>
        </w:rPr>
        <w:t xml:space="preserve"> desaparecieron en los últimos años sesenta, ya que los maoríes las consideran insultantes. De la misma manera, no toleran el uso de términos como el de </w:t>
      </w:r>
      <w:r>
        <w:rPr>
          <w:rFonts w:ascii="Times New Roman" w:hAnsi="Times New Roman"/>
          <w:sz w:val="24"/>
        </w:rPr>
        <w:t>“</w:t>
      </w:r>
      <w:r w:rsidRPr="001B1065">
        <w:rPr>
          <w:rFonts w:ascii="Times New Roman" w:hAnsi="Times New Roman"/>
          <w:sz w:val="24"/>
        </w:rPr>
        <w:t>mestizo</w:t>
      </w:r>
      <w:r>
        <w:rPr>
          <w:rFonts w:ascii="Times New Roman" w:hAnsi="Times New Roman"/>
          <w:sz w:val="24"/>
        </w:rPr>
        <w:t>”</w:t>
      </w:r>
      <w:r w:rsidRPr="001B1065">
        <w:rPr>
          <w:rFonts w:ascii="Times New Roman" w:hAnsi="Times New Roman"/>
          <w:sz w:val="24"/>
        </w:rPr>
        <w:t>. Su pertenencia a la raza maorí se debe a su ascendencia.</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21. </w:t>
      </w:r>
      <w:r w:rsidRPr="001B1065">
        <w:rPr>
          <w:rFonts w:ascii="Times New Roman" w:hAnsi="Times New Roman"/>
          <w:sz w:val="24"/>
        </w:rPr>
        <w:tab/>
      </w:r>
      <w:smartTag w:uri="urn:schemas-microsoft-com:office:smarttags" w:element="PersonName">
        <w:smartTagPr>
          <w:attr w:name="ProductID" w:val="La Sra. SMITH"/>
        </w:smartTagPr>
        <w:r>
          <w:rPr>
            <w:rFonts w:ascii="Times New Roman" w:hAnsi="Times New Roman"/>
            <w:sz w:val="24"/>
          </w:rPr>
          <w:t xml:space="preserve">La </w:t>
        </w:r>
        <w:r>
          <w:rPr>
            <w:rFonts w:ascii="Times New Roman" w:hAnsi="Times New Roman"/>
            <w:b/>
            <w:sz w:val="24"/>
          </w:rPr>
          <w:t>Sra. SMITH</w:t>
        </w:r>
      </w:smartTag>
      <w:r w:rsidRPr="001B1065">
        <w:rPr>
          <w:rFonts w:ascii="Times New Roman" w:hAnsi="Times New Roman"/>
          <w:sz w:val="24"/>
        </w:rPr>
        <w:t xml:space="preserve"> (Nueva Zelandia) dice que se ha facilitado información detallada sobre los progresos en la solución de las reivindicaciones históricas en la sección del informe periódico sobre el párrafo 1 del artículo 2 de la Convención, </w:t>
      </w:r>
      <w:r>
        <w:rPr>
          <w:rFonts w:ascii="Times New Roman" w:hAnsi="Times New Roman"/>
          <w:sz w:val="24"/>
        </w:rPr>
        <w:t xml:space="preserve">siguiendo el </w:t>
      </w:r>
      <w:r w:rsidRPr="001B1065">
        <w:rPr>
          <w:rFonts w:ascii="Times New Roman" w:hAnsi="Times New Roman"/>
          <w:sz w:val="24"/>
        </w:rPr>
        <w:t xml:space="preserve">precedente establecido en el informe periódico anterior, presentado en 2001 (CERD/C/362/Add.10). De la misma manera, las distintas medidas examinadas en el marco del párrafo 2 del artículo 2 de la Convención siguen el procedimiento del informe anterior, con adición de informaciones sobre la legislación relativa a la preplaya y los fondos marinos y </w:t>
      </w:r>
      <w:r>
        <w:rPr>
          <w:rFonts w:ascii="Times New Roman" w:hAnsi="Times New Roman"/>
          <w:sz w:val="24"/>
        </w:rPr>
        <w:t xml:space="preserve">el acuerdo </w:t>
      </w:r>
      <w:r w:rsidRPr="001B1065">
        <w:rPr>
          <w:rFonts w:ascii="Times New Roman" w:hAnsi="Times New Roman"/>
          <w:sz w:val="24"/>
        </w:rPr>
        <w:t xml:space="preserve">sobre </w:t>
      </w:r>
      <w:smartTag w:uri="urn:schemas-microsoft-com:office:smarttags" w:element="PersonName">
        <w:smartTagPr>
          <w:attr w:name="ProductID" w:val="la acuicultura. Despu￩s"/>
        </w:smartTagPr>
        <w:r w:rsidRPr="001B1065">
          <w:rPr>
            <w:rFonts w:ascii="Times New Roman" w:hAnsi="Times New Roman"/>
            <w:sz w:val="24"/>
          </w:rPr>
          <w:t>la acuicultura. Después</w:t>
        </w:r>
      </w:smartTag>
      <w:r w:rsidRPr="001B1065">
        <w:rPr>
          <w:rFonts w:ascii="Times New Roman" w:hAnsi="Times New Roman"/>
          <w:sz w:val="24"/>
        </w:rPr>
        <w:t xml:space="preserve"> de cierta reflexión, y con sujeción a un nuevo diálogo con el Comité, quizá sea preferible, en el siguiente informe periódico, incluir dicha información en el marco del artículo 6 de la Convención </w:t>
      </w:r>
      <w:r>
        <w:rPr>
          <w:rFonts w:ascii="Times New Roman" w:hAnsi="Times New Roman"/>
          <w:sz w:val="24"/>
        </w:rPr>
        <w:t xml:space="preserve">relativo a </w:t>
      </w:r>
      <w:r w:rsidRPr="001B1065">
        <w:rPr>
          <w:rFonts w:ascii="Times New Roman" w:hAnsi="Times New Roman"/>
          <w:sz w:val="24"/>
        </w:rPr>
        <w:t>los recursos eficaces a las violaciones de los derechos contrari</w:t>
      </w:r>
      <w:r>
        <w:rPr>
          <w:rFonts w:ascii="Times New Roman" w:hAnsi="Times New Roman"/>
          <w:sz w:val="24"/>
        </w:rPr>
        <w:t>a</w:t>
      </w:r>
      <w:r w:rsidRPr="001B1065">
        <w:rPr>
          <w:rFonts w:ascii="Times New Roman" w:hAnsi="Times New Roman"/>
          <w:sz w:val="24"/>
        </w:rPr>
        <w:t xml:space="preserve">s a </w:t>
      </w:r>
      <w:smartTag w:uri="urn:schemas-microsoft-com:office:smarttags" w:element="PersonName">
        <w:smartTagPr>
          <w:attr w:name="ProductID" w:val="la Convenci￳n. Las"/>
        </w:smartTagPr>
        <w:r w:rsidRPr="001B1065">
          <w:rPr>
            <w:rFonts w:ascii="Times New Roman" w:hAnsi="Times New Roman"/>
            <w:sz w:val="24"/>
          </w:rPr>
          <w:t>la Convención. Las</w:t>
        </w:r>
      </w:smartTag>
      <w:r w:rsidRPr="001B1065">
        <w:rPr>
          <w:rFonts w:ascii="Times New Roman" w:hAnsi="Times New Roman"/>
          <w:sz w:val="24"/>
        </w:rPr>
        <w:t xml:space="preserve"> soluciones de reclamaciones dimanantes de Tratado no se consideran medidas temporales.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22. </w:t>
      </w:r>
      <w:r w:rsidRPr="001B1065">
        <w:rPr>
          <w:rFonts w:ascii="Times New Roman" w:hAnsi="Times New Roman"/>
          <w:sz w:val="24"/>
        </w:rPr>
        <w:tab/>
        <w:t xml:space="preserve">En lo que respecta a la inmigración, </w:t>
      </w:r>
      <w:r>
        <w:rPr>
          <w:rFonts w:ascii="Times New Roman" w:hAnsi="Times New Roman"/>
          <w:sz w:val="24"/>
        </w:rPr>
        <w:t xml:space="preserve">la oradora </w:t>
      </w:r>
      <w:r w:rsidRPr="001B1065">
        <w:rPr>
          <w:rFonts w:ascii="Times New Roman" w:hAnsi="Times New Roman"/>
          <w:sz w:val="24"/>
        </w:rPr>
        <w:t xml:space="preserve">dice que el Gobierno continúa considerando que es preferible que los procedimientos de apelación y revisión de la Ley de inmigración constituyan el medio principal para solucionar las diferencias sobre decisiones relativas a casos concretos de inmigración, en vez de crear un proceso de solución paralelo. Sin el impedimento procesal, existe el riesgo de que los solicitantes utilicen el proceso de la Ley de derechos humanos para aplazar las decisiones sobre inmigración e impedir el funcionamiento del sistema. Todas las personas que llegan a la frontera y solicitan el estatuto de refugiado permanecen en el Centro de Acogida de Mangere mientras se tramita su solicitud y se comprueba debidamente su identidad. Se trata de un centro abierto y, si bien las personas que residen en él están sometidas a un régimen de residencia obligatoria y supervisión, pueden abandonar el local diariamente. Los solicitantes del estatuto de refugiado están privados de libertad únicamente si representan una amenaza para la seguridad de Nueva Zelandia o se considera que existe un alto riesgo de que desaparezcan. Las estadísticas de 2006-2007 revelan que, de las 50 personas que solicitaron asilo en la frontera, 12 poseían documentos de identidad y consiguieron los permisos, </w:t>
      </w:r>
      <w:r>
        <w:rPr>
          <w:rFonts w:ascii="Times New Roman" w:hAnsi="Times New Roman"/>
          <w:sz w:val="24"/>
        </w:rPr>
        <w:t>34</w:t>
      </w:r>
      <w:r w:rsidRPr="001B1065">
        <w:rPr>
          <w:rFonts w:ascii="Times New Roman" w:hAnsi="Times New Roman"/>
          <w:sz w:val="24"/>
        </w:rPr>
        <w:t xml:space="preserve"> </w:t>
      </w:r>
      <w:r>
        <w:rPr>
          <w:rFonts w:ascii="Times New Roman" w:hAnsi="Times New Roman"/>
          <w:sz w:val="24"/>
        </w:rPr>
        <w:t xml:space="preserve">fueron ingresadas </w:t>
      </w:r>
      <w:r w:rsidRPr="001B1065">
        <w:rPr>
          <w:rFonts w:ascii="Times New Roman" w:hAnsi="Times New Roman"/>
          <w:sz w:val="24"/>
        </w:rPr>
        <w:t>en el Centro de Acogida de Mangere y cuatro fueron recluid</w:t>
      </w:r>
      <w:r>
        <w:rPr>
          <w:rFonts w:ascii="Times New Roman" w:hAnsi="Times New Roman"/>
          <w:sz w:val="24"/>
        </w:rPr>
        <w:t>a</w:t>
      </w:r>
      <w:r w:rsidRPr="001B1065">
        <w:rPr>
          <w:rFonts w:ascii="Times New Roman" w:hAnsi="Times New Roman"/>
          <w:sz w:val="24"/>
        </w:rPr>
        <w:t>s en una institución penal.</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23. </w:t>
      </w:r>
      <w:r w:rsidRPr="001B1065">
        <w:rPr>
          <w:rFonts w:ascii="Times New Roman" w:hAnsi="Times New Roman"/>
          <w:sz w:val="24"/>
        </w:rPr>
        <w:tab/>
        <w:t>En cuanto a la seguridad personal de los detenidos en una institución penal, el Gobierno ha acordado que el Departamento de Trabajo emprenda, en el marco del examen de la Ley de inmigración, un estudio de viabilidad sobre la creación de una institución penitenciaria especializada. El Gobierno ha decidido levantar sus reservas a la educación de los niños indocumentados</w:t>
      </w:r>
      <w:r>
        <w:rPr>
          <w:rFonts w:ascii="Times New Roman" w:hAnsi="Times New Roman"/>
          <w:sz w:val="24"/>
        </w:rPr>
        <w:t xml:space="preserve"> sufragada con </w:t>
      </w:r>
      <w:r w:rsidRPr="001B1065">
        <w:rPr>
          <w:rFonts w:ascii="Times New Roman" w:hAnsi="Times New Roman"/>
          <w:sz w:val="24"/>
        </w:rPr>
        <w:t>fondos públicos. Los servicios de atención de salud son de acceso general, independientemente de la condición de inmigrante y de la capacidad de financiación. Los proveedores de salud tienen obligación jurídica y profesional de prestar sus servicios cualquiera que sea la situación del interesado con respecto a la ley de inmigración o su capacidad de pago.</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24. </w:t>
      </w:r>
      <w:r w:rsidRPr="001B1065">
        <w:rPr>
          <w:rFonts w:ascii="Times New Roman" w:hAnsi="Times New Roman"/>
          <w:sz w:val="24"/>
        </w:rPr>
        <w:tab/>
        <w:t xml:space="preserve">El </w:t>
      </w:r>
      <w:r>
        <w:rPr>
          <w:rFonts w:ascii="Times New Roman" w:hAnsi="Times New Roman"/>
          <w:sz w:val="24"/>
        </w:rPr>
        <w:t xml:space="preserve">cometido y </w:t>
      </w:r>
      <w:r w:rsidRPr="001B1065">
        <w:rPr>
          <w:rFonts w:ascii="Times New Roman" w:hAnsi="Times New Roman"/>
          <w:sz w:val="24"/>
        </w:rPr>
        <w:t>funciones principales de la Comisión de Derechos Humanos de Nueva Zelandia son defender y promover el respeto</w:t>
      </w:r>
      <w:r>
        <w:rPr>
          <w:rFonts w:ascii="Times New Roman" w:hAnsi="Times New Roman"/>
          <w:sz w:val="24"/>
        </w:rPr>
        <w:t>,</w:t>
      </w:r>
      <w:r w:rsidRPr="001B1065">
        <w:rPr>
          <w:rFonts w:ascii="Times New Roman" w:hAnsi="Times New Roman"/>
          <w:sz w:val="24"/>
        </w:rPr>
        <w:t xml:space="preserve"> comprensión y valoración de los derechos humanos, y contribuir al desarrollo y mantenimiento de relaciones armoniosas entre las personas y entre los distintos grupos de </w:t>
      </w:r>
      <w:smartTag w:uri="urn:schemas-microsoft-com:office:smarttags" w:element="PersonName">
        <w:smartTagPr>
          <w:attr w:name="ProductID" w:val="la sociedad. La Comisi￳n"/>
        </w:smartTagPr>
        <w:r w:rsidRPr="001B1065">
          <w:rPr>
            <w:rFonts w:ascii="Times New Roman" w:hAnsi="Times New Roman"/>
            <w:sz w:val="24"/>
          </w:rPr>
          <w:t>la sociedad. La Comisión</w:t>
        </w:r>
      </w:smartTag>
      <w:r w:rsidRPr="001B1065">
        <w:rPr>
          <w:rFonts w:ascii="Times New Roman" w:hAnsi="Times New Roman"/>
          <w:sz w:val="24"/>
        </w:rPr>
        <w:t xml:space="preserve"> es un organismo independiente de la Corona y tiene la obligación estatutaria de actuar con independencia. Está integrada por un Comisionado Principal de Derechos Humanos, un Comisionado de Relaciones Raciales, un Comisionado de Igualdad de Oportunidades y dos Comisionados a jornada parcial. Los Comisionados son nombrados </w:t>
      </w:r>
      <w:r>
        <w:rPr>
          <w:rFonts w:ascii="Times New Roman" w:hAnsi="Times New Roman"/>
          <w:sz w:val="24"/>
        </w:rPr>
        <w:t xml:space="preserve">previa </w:t>
      </w:r>
      <w:r w:rsidRPr="001B1065">
        <w:rPr>
          <w:rFonts w:ascii="Times New Roman" w:hAnsi="Times New Roman"/>
          <w:sz w:val="24"/>
        </w:rPr>
        <w:t xml:space="preserve">recomendación del Ministro de Justicia al Gobernador General, y son depuestos por el Gobernador General en caso de incapacidad que limite el desempeño de sus </w:t>
      </w:r>
      <w:r>
        <w:rPr>
          <w:rFonts w:ascii="Times New Roman" w:hAnsi="Times New Roman"/>
          <w:sz w:val="24"/>
        </w:rPr>
        <w:t>funciones</w:t>
      </w:r>
      <w:r w:rsidRPr="001B1065">
        <w:rPr>
          <w:rFonts w:ascii="Times New Roman" w:hAnsi="Times New Roman"/>
          <w:sz w:val="24"/>
        </w:rPr>
        <w:t xml:space="preserve">, </w:t>
      </w:r>
      <w:r>
        <w:rPr>
          <w:rFonts w:ascii="Times New Roman" w:hAnsi="Times New Roman"/>
          <w:sz w:val="24"/>
        </w:rPr>
        <w:t xml:space="preserve">de </w:t>
      </w:r>
      <w:r w:rsidRPr="001B1065">
        <w:rPr>
          <w:rFonts w:ascii="Times New Roman" w:hAnsi="Times New Roman"/>
          <w:sz w:val="24"/>
        </w:rPr>
        <w:t xml:space="preserve">incumplimiento de sus obligaciones o </w:t>
      </w:r>
      <w:r>
        <w:rPr>
          <w:rFonts w:ascii="Times New Roman" w:hAnsi="Times New Roman"/>
          <w:sz w:val="24"/>
        </w:rPr>
        <w:t xml:space="preserve">de </w:t>
      </w:r>
      <w:r w:rsidRPr="001B1065">
        <w:rPr>
          <w:rFonts w:ascii="Times New Roman" w:hAnsi="Times New Roman"/>
          <w:sz w:val="24"/>
        </w:rPr>
        <w:t>conducta inadecuada, que deberán demostrarse en forma satisfactoria para el Gobernador General.</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25. </w:t>
      </w:r>
      <w:r w:rsidRPr="001B1065">
        <w:rPr>
          <w:rFonts w:ascii="Times New Roman" w:hAnsi="Times New Roman"/>
          <w:sz w:val="24"/>
        </w:rPr>
        <w:tab/>
        <w:t>Si bien el Parlamento puede promulgar medidas legislativas incompatibles con la Ley de derechos humanos, toda la legislación incompatible con el derecho a no ser discriminado puede ser objeto de una declaración de incompatibilidad por el Tribunal de Examen de los Derechos Humanos o el Tribunal Superior, de acuerdo con lo establecido en la Ley de derechos humanos. El Tribunal de Apelación ha indicado también que está dispuesto a formular declaraciones de incompatibilidad con la Carta de Derechos en los casos en que pueda</w:t>
      </w:r>
      <w:r>
        <w:rPr>
          <w:rFonts w:ascii="Times New Roman" w:hAnsi="Times New Roman"/>
          <w:sz w:val="24"/>
        </w:rPr>
        <w:t xml:space="preserve"> demostrarse la existencia de </w:t>
      </w:r>
      <w:r w:rsidRPr="001B1065">
        <w:rPr>
          <w:rFonts w:ascii="Times New Roman" w:hAnsi="Times New Roman"/>
          <w:sz w:val="24"/>
        </w:rPr>
        <w:t>contradicciones entre la legislación y la Carta de Derechos. Esta declaración no invalida la legislación, pero, si se emite una declaración a tenor de lo dispuesto en la sección 92J de la Ley de derechos humanos, el Ejecutivo debe responder a la declaración y presentar su respuesta en el Parlamento. Si bien la Ley de derechos humanos y la Carta de Derechos no tienen el máximo rango jurídico, los tribunales han manifestado en varias ocasiones que dichas leyes gozan de precedencia.</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26. </w:t>
      </w:r>
      <w:r w:rsidRPr="001B1065">
        <w:rPr>
          <w:rFonts w:ascii="Times New Roman" w:hAnsi="Times New Roman"/>
          <w:sz w:val="24"/>
        </w:rPr>
        <w:tab/>
        <w:t>La Dirección de Relaciones Laborales es un organismo de investigación que resuelve los problemas vinculados con las relaciones de empleo, estableciendo los hechos y pronunciándose en cuanto al fondo de la cuestión, si un problema de relación de empleo no puede resolverse mediante acuerdo o mediación. Una persona puede optar por incoar un proceso por discriminación racial al amparo de la Ley de derechos humanos o de la Ley de relaciones laborales de 2000, pero no de ambas. Según las estadísticas relativas al período comprendido entre 2000 y 2006, inclusive, la Dirección comprobó un caso de discriminación racial cada año en 2001, 2002, 2003 y 2005, y cinco casos en 2004, mientras que no hubo ninguno en 2000 ni en</w:t>
      </w:r>
      <w:r>
        <w:rPr>
          <w:rFonts w:ascii="Times New Roman" w:hAnsi="Times New Roman"/>
          <w:sz w:val="24"/>
        </w:rPr>
        <w:t> 2</w:t>
      </w:r>
      <w:r w:rsidRPr="001B1065">
        <w:rPr>
          <w:rFonts w:ascii="Times New Roman" w:hAnsi="Times New Roman"/>
          <w:sz w:val="24"/>
        </w:rPr>
        <w:t>006, y un caso de acoso racial al año en 2002, 2003 y 2005, cuatro en 2006 y ninguno en</w:t>
      </w:r>
      <w:r>
        <w:rPr>
          <w:rFonts w:ascii="Times New Roman" w:hAnsi="Times New Roman"/>
          <w:sz w:val="24"/>
        </w:rPr>
        <w:t> </w:t>
      </w:r>
      <w:r w:rsidRPr="001B1065">
        <w:rPr>
          <w:rFonts w:ascii="Times New Roman" w:hAnsi="Times New Roman"/>
          <w:sz w:val="24"/>
        </w:rPr>
        <w:t>2000, 2001 y 2004.</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27.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VALENCIA RODRÍGUEZ</w:t>
      </w:r>
      <w:r w:rsidRPr="001B1065">
        <w:rPr>
          <w:rFonts w:ascii="Times New Roman" w:hAnsi="Times New Roman"/>
          <w:sz w:val="24"/>
        </w:rPr>
        <w:t xml:space="preserve"> solicita más información sobre las funciones del Tribunal de Waitangi, y pregunta qué relación hay entre el Tratado de Waitangi y las funciones del Ministerio de Desarrollo Maorí. Desea recibir más información sobre los programas establecidos con patrocinio del Ministerio de Asuntos de las Islas del Pacífico en el contexto de la aplicación de la Declaración y el Programa de Acción de Durban, con el fin de reducir las desigualdades con respecto a los pueblos del Pacífico, mejorar las relaciones étnicas y proteger los derechos de los migrantes. Se pregunta cómo están integrados los tribunales superiores que se ocupan de las reclamaciones territoriales maoríes, y si cuentan con jueces maoríes. Solicita más información sobre las decisiones de los tribunales relativas a las tierras maoríes.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28. </w:t>
      </w:r>
      <w:r w:rsidRPr="001B1065">
        <w:rPr>
          <w:rFonts w:ascii="Times New Roman" w:hAnsi="Times New Roman"/>
          <w:sz w:val="24"/>
        </w:rPr>
        <w:tab/>
      </w:r>
      <w:r>
        <w:rPr>
          <w:rFonts w:ascii="Times New Roman" w:hAnsi="Times New Roman"/>
          <w:sz w:val="24"/>
        </w:rPr>
        <w:t>El orador pregunta</w:t>
      </w:r>
      <w:r w:rsidRPr="001B1065">
        <w:rPr>
          <w:rFonts w:ascii="Times New Roman" w:hAnsi="Times New Roman"/>
          <w:sz w:val="24"/>
        </w:rPr>
        <w:t xml:space="preserve"> si los órganos gubernamentales responsables de la salud tienen una representación suficiente de maoríes en el sistema sanitario. El personal de los tribunales debe estar </w:t>
      </w:r>
      <w:r>
        <w:rPr>
          <w:rFonts w:ascii="Times New Roman" w:hAnsi="Times New Roman"/>
          <w:sz w:val="24"/>
        </w:rPr>
        <w:t xml:space="preserve">suficientemente </w:t>
      </w:r>
      <w:r w:rsidRPr="001B1065">
        <w:rPr>
          <w:rFonts w:ascii="Times New Roman" w:hAnsi="Times New Roman"/>
          <w:sz w:val="24"/>
        </w:rPr>
        <w:t>capacitado para comprender la cultura de los grupos étnicos, y el orador se pregunta si los tribunales tienen jueces o asesores de esos grupos. Debe tenerse en cuenta la posible sobrerrepresentación de maoríes en los centros de reclusión, sobre todo debido a que no hay ninguna prueba de que el origen étnico tenga correlación directa con las tasas de delincuencia.</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29.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LINDGREN ALVES</w:t>
      </w:r>
      <w:r w:rsidRPr="001B1065">
        <w:rPr>
          <w:rFonts w:ascii="Times New Roman" w:hAnsi="Times New Roman"/>
          <w:sz w:val="24"/>
        </w:rPr>
        <w:t xml:space="preserve"> dice que le complace que el Gobierno incluya la categoría </w:t>
      </w:r>
      <w:r>
        <w:rPr>
          <w:rFonts w:ascii="Times New Roman" w:hAnsi="Times New Roman"/>
          <w:sz w:val="24"/>
        </w:rPr>
        <w:t>“</w:t>
      </w:r>
      <w:r w:rsidRPr="001B1065">
        <w:rPr>
          <w:rFonts w:ascii="Times New Roman" w:hAnsi="Times New Roman"/>
          <w:sz w:val="24"/>
        </w:rPr>
        <w:t>neozelandés</w:t>
      </w:r>
      <w:r>
        <w:rPr>
          <w:rFonts w:ascii="Times New Roman" w:hAnsi="Times New Roman"/>
          <w:sz w:val="24"/>
        </w:rPr>
        <w:t>”</w:t>
      </w:r>
      <w:r w:rsidRPr="001B1065">
        <w:rPr>
          <w:rFonts w:ascii="Times New Roman" w:hAnsi="Times New Roman"/>
          <w:sz w:val="24"/>
        </w:rPr>
        <w:t xml:space="preserve"> en su recopilación de datos, ya que es un término neutral e implica que las personas </w:t>
      </w:r>
      <w:r>
        <w:rPr>
          <w:rFonts w:ascii="Times New Roman" w:hAnsi="Times New Roman"/>
          <w:sz w:val="24"/>
        </w:rPr>
        <w:t xml:space="preserve">mestizas </w:t>
      </w:r>
      <w:r w:rsidRPr="001B1065">
        <w:rPr>
          <w:rFonts w:ascii="Times New Roman" w:hAnsi="Times New Roman"/>
          <w:sz w:val="24"/>
        </w:rPr>
        <w:t>no están obligadas a identificarse con una categoría específica, como la de europeo o maorí.</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30.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THORNBERRY</w:t>
      </w:r>
      <w:r w:rsidRPr="001B1065">
        <w:rPr>
          <w:rFonts w:ascii="Times New Roman" w:hAnsi="Times New Roman"/>
          <w:sz w:val="24"/>
        </w:rPr>
        <w:t xml:space="preserve"> dice que el Comité no ha aprobado una </w:t>
      </w:r>
      <w:r>
        <w:rPr>
          <w:rFonts w:ascii="Times New Roman" w:hAnsi="Times New Roman"/>
          <w:sz w:val="24"/>
        </w:rPr>
        <w:t>Recomendación general</w:t>
      </w:r>
      <w:r w:rsidRPr="001B1065">
        <w:rPr>
          <w:rFonts w:ascii="Times New Roman" w:hAnsi="Times New Roman"/>
          <w:sz w:val="24"/>
        </w:rPr>
        <w:t xml:space="preserve"> sobre medidas especiales, aunque ha celebrado varios debates sobre este tema. Se necesitan todavía aclaraciones sobre la relación entre medidas especiales e igualdad, la justificación de las medidas especiales y los límites de las mismas, y sobre la relación entre medidas especiales y derechos de las minorías </w:t>
      </w:r>
      <w:r>
        <w:rPr>
          <w:rFonts w:ascii="Times New Roman" w:hAnsi="Times New Roman"/>
          <w:sz w:val="24"/>
        </w:rPr>
        <w:t xml:space="preserve">o </w:t>
      </w:r>
      <w:r w:rsidRPr="001B1065">
        <w:rPr>
          <w:rFonts w:ascii="Times New Roman" w:hAnsi="Times New Roman"/>
          <w:sz w:val="24"/>
        </w:rPr>
        <w:t xml:space="preserve">entre medidas especiales y derechos indígenas. </w:t>
      </w:r>
      <w:r>
        <w:rPr>
          <w:rFonts w:ascii="Times New Roman" w:hAnsi="Times New Roman"/>
          <w:sz w:val="24"/>
        </w:rPr>
        <w:t xml:space="preserve">El orador acoge </w:t>
      </w:r>
      <w:r w:rsidRPr="001B1065">
        <w:rPr>
          <w:rFonts w:ascii="Times New Roman" w:hAnsi="Times New Roman"/>
          <w:sz w:val="24"/>
        </w:rPr>
        <w:t xml:space="preserve">favorablemente la información facilitada sobre la relación entre </w:t>
      </w:r>
      <w:r>
        <w:rPr>
          <w:rFonts w:ascii="Times New Roman" w:hAnsi="Times New Roman"/>
          <w:sz w:val="24"/>
        </w:rPr>
        <w:t xml:space="preserve">la </w:t>
      </w:r>
      <w:r w:rsidRPr="001B1065">
        <w:rPr>
          <w:rFonts w:ascii="Times New Roman" w:hAnsi="Times New Roman"/>
          <w:sz w:val="24"/>
        </w:rPr>
        <w:t xml:space="preserve">recuperación de la lengua y de la cultura y la desaceleración del deterioro social. La lengua y la cultura están íntimamente relacionadas con </w:t>
      </w:r>
      <w:smartTag w:uri="urn:schemas-microsoft-com:office:smarttags" w:element="PersonName">
        <w:smartTagPr>
          <w:attr w:name="ProductID" w:val="la discriminaci￳n. Ratifica"/>
        </w:smartTagPr>
        <w:r w:rsidRPr="001B1065">
          <w:rPr>
            <w:rFonts w:ascii="Times New Roman" w:hAnsi="Times New Roman"/>
            <w:sz w:val="24"/>
          </w:rPr>
          <w:t>la discriminación. Ratifica</w:t>
        </w:r>
      </w:smartTag>
      <w:r w:rsidRPr="001B1065">
        <w:rPr>
          <w:rFonts w:ascii="Times New Roman" w:hAnsi="Times New Roman"/>
          <w:sz w:val="24"/>
        </w:rPr>
        <w:t xml:space="preserve"> el uso del principio de la autoidentificación, y</w:t>
      </w:r>
      <w:r>
        <w:rPr>
          <w:rFonts w:ascii="Times New Roman" w:hAnsi="Times New Roman"/>
          <w:sz w:val="24"/>
        </w:rPr>
        <w:t xml:space="preserve">, como se reconoce </w:t>
      </w:r>
      <w:r w:rsidRPr="001B1065">
        <w:rPr>
          <w:rFonts w:ascii="Times New Roman" w:hAnsi="Times New Roman"/>
          <w:sz w:val="24"/>
        </w:rPr>
        <w:t>desde hace tiempo</w:t>
      </w:r>
      <w:r>
        <w:rPr>
          <w:rFonts w:ascii="Times New Roman" w:hAnsi="Times New Roman"/>
          <w:sz w:val="24"/>
        </w:rPr>
        <w:t>,</w:t>
      </w:r>
      <w:r w:rsidRPr="001B1065">
        <w:rPr>
          <w:rFonts w:ascii="Times New Roman" w:hAnsi="Times New Roman"/>
          <w:sz w:val="24"/>
        </w:rPr>
        <w:t xml:space="preserve"> la injerencia en ese proceso puede dar lugar a problemas </w:t>
      </w:r>
      <w:r>
        <w:rPr>
          <w:rFonts w:ascii="Times New Roman" w:hAnsi="Times New Roman"/>
          <w:sz w:val="24"/>
        </w:rPr>
        <w:t xml:space="preserve">de </w:t>
      </w:r>
      <w:r w:rsidRPr="001B1065">
        <w:rPr>
          <w:rFonts w:ascii="Times New Roman" w:hAnsi="Times New Roman"/>
          <w:sz w:val="24"/>
        </w:rPr>
        <w:t xml:space="preserve">derechos humanos, con inclusión de violaciones del derecho a la intimidad y la expresión de </w:t>
      </w:r>
      <w:smartTag w:uri="urn:schemas-microsoft-com:office:smarttags" w:element="PersonName">
        <w:smartTagPr>
          <w:attr w:name="ProductID" w:val="la identidad. Manifiesta"/>
        </w:smartTagPr>
        <w:r w:rsidRPr="001B1065">
          <w:rPr>
            <w:rFonts w:ascii="Times New Roman" w:hAnsi="Times New Roman"/>
            <w:sz w:val="24"/>
          </w:rPr>
          <w:t>la identidad. Manifiesta</w:t>
        </w:r>
      </w:smartTag>
      <w:r w:rsidRPr="001B1065">
        <w:rPr>
          <w:rFonts w:ascii="Times New Roman" w:hAnsi="Times New Roman"/>
          <w:sz w:val="24"/>
        </w:rPr>
        <w:t xml:space="preserve"> su preocupación por la discrepancia entre la información facilitada por las organizaciones no gubernamentales (ONG) y la presentada por el Gobierno con respecto a la situación desde la promulgación de la Ley de la preplaya y los fondos marinos.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31. </w:t>
      </w:r>
      <w:r w:rsidRPr="001B1065">
        <w:rPr>
          <w:rFonts w:ascii="Times New Roman" w:hAnsi="Times New Roman"/>
          <w:sz w:val="24"/>
        </w:rPr>
        <w:tab/>
      </w:r>
      <w:smartTag w:uri="urn:schemas-microsoft-com:office:smarttags" w:element="PersonName">
        <w:smartTagPr>
          <w:attr w:name="ProductID" w:val="La Sra. DAH"/>
        </w:smartTagPr>
        <w:r>
          <w:rPr>
            <w:rFonts w:ascii="Times New Roman" w:hAnsi="Times New Roman"/>
            <w:sz w:val="24"/>
          </w:rPr>
          <w:t xml:space="preserve">La </w:t>
        </w:r>
        <w:r>
          <w:rPr>
            <w:rFonts w:ascii="Times New Roman" w:hAnsi="Times New Roman"/>
            <w:b/>
            <w:sz w:val="24"/>
          </w:rPr>
          <w:t>Sra. DAH</w:t>
        </w:r>
      </w:smartTag>
      <w:r>
        <w:rPr>
          <w:rFonts w:ascii="Times New Roman" w:hAnsi="Times New Roman"/>
          <w:b/>
          <w:sz w:val="24"/>
        </w:rPr>
        <w:t xml:space="preserve"> </w:t>
      </w:r>
      <w:r w:rsidRPr="001B1065">
        <w:rPr>
          <w:rFonts w:ascii="Times New Roman" w:hAnsi="Times New Roman"/>
          <w:sz w:val="24"/>
        </w:rPr>
        <w:t>dice que, si bien acoge favorablemente la información sobre los programas de recuperación lingüística, se pregunta si se han calculado sus posibles costos, ya que esas iniciativas pueden ser muy costosas.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32.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PILLAI</w:t>
      </w:r>
      <w:r w:rsidRPr="001B1065">
        <w:rPr>
          <w:rFonts w:ascii="Times New Roman" w:hAnsi="Times New Roman"/>
          <w:sz w:val="24"/>
        </w:rPr>
        <w:t xml:space="preserve"> pregunta qué </w:t>
      </w:r>
      <w:r>
        <w:rPr>
          <w:rFonts w:ascii="Times New Roman" w:hAnsi="Times New Roman"/>
          <w:sz w:val="24"/>
        </w:rPr>
        <w:t xml:space="preserve">repercusión </w:t>
      </w:r>
      <w:r w:rsidRPr="001B1065">
        <w:rPr>
          <w:rFonts w:ascii="Times New Roman" w:hAnsi="Times New Roman"/>
          <w:sz w:val="24"/>
        </w:rPr>
        <w:t>ha tenido el estudio de la Unidad de Revisión Ministerial sobre el número de programas en la categoría de medidas especiales.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33.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MACKAY</w:t>
      </w:r>
      <w:r w:rsidRPr="001B1065">
        <w:rPr>
          <w:rFonts w:ascii="Times New Roman" w:hAnsi="Times New Roman"/>
          <w:sz w:val="24"/>
        </w:rPr>
        <w:t xml:space="preserve"> (Nueva Zelandia) dice que, aunque los programas de recuperación lingüística son potencialmente costosos, el Gobierno considera que son particularmente importante</w:t>
      </w:r>
      <w:r>
        <w:rPr>
          <w:rFonts w:ascii="Times New Roman" w:hAnsi="Times New Roman"/>
          <w:sz w:val="24"/>
        </w:rPr>
        <w:t xml:space="preserve">s en </w:t>
      </w:r>
      <w:r w:rsidRPr="001B1065">
        <w:rPr>
          <w:rFonts w:ascii="Times New Roman" w:hAnsi="Times New Roman"/>
          <w:sz w:val="24"/>
        </w:rPr>
        <w:t>las medidas</w:t>
      </w:r>
      <w:r>
        <w:rPr>
          <w:rFonts w:ascii="Times New Roman" w:hAnsi="Times New Roman"/>
          <w:sz w:val="24"/>
        </w:rPr>
        <w:t xml:space="preserve"> de prevención de </w:t>
      </w:r>
      <w:smartTag w:uri="urn:schemas-microsoft-com:office:smarttags" w:element="PersonName">
        <w:smartTagPr>
          <w:attr w:name="ProductID" w:val="la discriminaci￳n. La"/>
        </w:smartTagPr>
        <w:r w:rsidRPr="001B1065">
          <w:rPr>
            <w:rFonts w:ascii="Times New Roman" w:hAnsi="Times New Roman"/>
            <w:sz w:val="24"/>
          </w:rPr>
          <w:t>la discriminación. La</w:t>
        </w:r>
      </w:smartTag>
      <w:r w:rsidRPr="001B1065">
        <w:rPr>
          <w:rFonts w:ascii="Times New Roman" w:hAnsi="Times New Roman"/>
          <w:sz w:val="24"/>
        </w:rPr>
        <w:t xml:space="preserve"> información estadística sobre los cambios en los programas realizados dentro de la categoría de medidas especiales como consecuencia de la revisión ministerial puede verse en las respuestas por escrito de la delegación, que se han distribuido entre los miembros del Comité.</w:t>
      </w:r>
      <w:r>
        <w:rPr>
          <w:rFonts w:ascii="Times New Roman" w:hAnsi="Times New Roman"/>
          <w:sz w:val="24"/>
        </w:rPr>
        <w:t xml:space="preserve"> </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34. </w:t>
      </w:r>
      <w:r w:rsidRPr="001B1065">
        <w:rPr>
          <w:rFonts w:ascii="Times New Roman" w:hAnsi="Times New Roman"/>
          <w:sz w:val="24"/>
        </w:rPr>
        <w:tab/>
      </w:r>
      <w:smartTag w:uri="urn:schemas-microsoft-com:office:smarttags" w:element="PersonName">
        <w:smartTagPr>
          <w:attr w:name="ProductID" w:val="La Sra. HARDY"/>
        </w:smartTagPr>
        <w:r>
          <w:rPr>
            <w:rFonts w:ascii="Times New Roman" w:hAnsi="Times New Roman"/>
            <w:sz w:val="24"/>
          </w:rPr>
          <w:t xml:space="preserve">La </w:t>
        </w:r>
        <w:r>
          <w:rPr>
            <w:rFonts w:ascii="Times New Roman" w:hAnsi="Times New Roman"/>
            <w:b/>
            <w:sz w:val="24"/>
          </w:rPr>
          <w:t>Sra. HARDY</w:t>
        </w:r>
      </w:smartTag>
      <w:r w:rsidRPr="001B1065">
        <w:rPr>
          <w:rFonts w:ascii="Times New Roman" w:hAnsi="Times New Roman"/>
          <w:sz w:val="24"/>
        </w:rPr>
        <w:t xml:space="preserve"> (Nueva Zelandia) recuerda que el Tratado de Waitangi reconoce la función de gobierno de la Corona, la autoridad de los jefes maoríes y los derechos de los maoríes como ciudadanos de Nueva Zelandia. Aunque se trata de un documento constitucional fundacional, no es directamente exigible en los tribunales, pero tiene fuerza jurídica cuando se incorpora a</w:t>
      </w:r>
      <w:r>
        <w:rPr>
          <w:rFonts w:ascii="Times New Roman" w:hAnsi="Times New Roman"/>
          <w:sz w:val="24"/>
        </w:rPr>
        <w:t xml:space="preserve"> un </w:t>
      </w:r>
      <w:r w:rsidRPr="001B1065">
        <w:rPr>
          <w:rFonts w:ascii="Times New Roman" w:hAnsi="Times New Roman"/>
          <w:sz w:val="24"/>
        </w:rPr>
        <w:t>estatuto. Muchos estatutos contienen referencias a los principios del Tratado, en particular la Ley de conservación de 1987, la Ley sobre la gestión de recur</w:t>
      </w:r>
      <w:r>
        <w:rPr>
          <w:rFonts w:ascii="Times New Roman" w:hAnsi="Times New Roman"/>
          <w:sz w:val="24"/>
        </w:rPr>
        <w:t>sos de 1991 y la Ley de salud pú</w:t>
      </w:r>
      <w:r w:rsidRPr="001B1065">
        <w:rPr>
          <w:rFonts w:ascii="Times New Roman" w:hAnsi="Times New Roman"/>
          <w:sz w:val="24"/>
        </w:rPr>
        <w:t>blica y discapacidad de 2000. Antes de considerar la posibilidad de incorporar el Tratado de Waitangi en el derecho constitucional, el Gobierno considera que se necesita un proceso de educación y debate. Esa opinión ha sido ratificada por el Comisionado de Relaciones Raciales, y el Relator Especial sobre la situación de los derechos humanos y las libertades fundamentales de los indígenas.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35. </w:t>
      </w:r>
      <w:r w:rsidRPr="001B1065">
        <w:rPr>
          <w:rFonts w:ascii="Times New Roman" w:hAnsi="Times New Roman"/>
          <w:sz w:val="24"/>
        </w:rPr>
        <w:tab/>
        <w:t xml:space="preserve">El Tribunal de Waitangi, </w:t>
      </w:r>
      <w:r>
        <w:rPr>
          <w:rFonts w:ascii="Times New Roman" w:hAnsi="Times New Roman"/>
          <w:sz w:val="24"/>
        </w:rPr>
        <w:t>c</w:t>
      </w:r>
      <w:r w:rsidRPr="001B1065">
        <w:rPr>
          <w:rFonts w:ascii="Times New Roman" w:hAnsi="Times New Roman"/>
          <w:sz w:val="24"/>
        </w:rPr>
        <w:t xml:space="preserve">omisión permanente de investigación establecida en virtud de la Ley del Tratado de Waitangi de 1975, </w:t>
      </w:r>
      <w:r>
        <w:rPr>
          <w:rFonts w:ascii="Times New Roman" w:hAnsi="Times New Roman"/>
          <w:sz w:val="24"/>
        </w:rPr>
        <w:t xml:space="preserve">puede </w:t>
      </w:r>
      <w:r w:rsidRPr="001B1065">
        <w:rPr>
          <w:rFonts w:ascii="Times New Roman" w:hAnsi="Times New Roman"/>
          <w:sz w:val="24"/>
        </w:rPr>
        <w:t xml:space="preserve">investigar la legislación y las políticas gubernamentales vigentes, así como las </w:t>
      </w:r>
      <w:r>
        <w:rPr>
          <w:rFonts w:ascii="Times New Roman" w:hAnsi="Times New Roman"/>
          <w:sz w:val="24"/>
        </w:rPr>
        <w:t xml:space="preserve">denuncias </w:t>
      </w:r>
      <w:r w:rsidRPr="001B1065">
        <w:rPr>
          <w:rFonts w:ascii="Times New Roman" w:hAnsi="Times New Roman"/>
          <w:sz w:val="24"/>
        </w:rPr>
        <w:t xml:space="preserve">de los maoríes </w:t>
      </w:r>
      <w:r>
        <w:rPr>
          <w:rFonts w:ascii="Times New Roman" w:hAnsi="Times New Roman"/>
          <w:sz w:val="24"/>
        </w:rPr>
        <w:t xml:space="preserve">si consideran </w:t>
      </w:r>
      <w:r w:rsidRPr="001B1065">
        <w:rPr>
          <w:rFonts w:ascii="Times New Roman" w:hAnsi="Times New Roman"/>
          <w:sz w:val="24"/>
        </w:rPr>
        <w:t>que la Corona ha incumplido los principios del Tratado. Puede aceptar una variedad sumamente amplia de pruebas y no está limitado por las normas que se aplican al sistema judicial. Requiere un quórum de tres miembros, de los cuales uno al menos debe ser un abogado y otro una persona maorí, e investiga sobre todo reclamaciones históricas referentes al despojo de tierras y de otros recursos a partir de</w:t>
      </w:r>
      <w:r>
        <w:rPr>
          <w:rFonts w:ascii="Times New Roman" w:hAnsi="Times New Roman"/>
          <w:sz w:val="24"/>
        </w:rPr>
        <w:t> </w:t>
      </w:r>
      <w:r w:rsidRPr="001B1065">
        <w:rPr>
          <w:rFonts w:ascii="Times New Roman" w:hAnsi="Times New Roman"/>
          <w:sz w:val="24"/>
        </w:rPr>
        <w:t>1840.</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36. </w:t>
      </w:r>
      <w:r w:rsidRPr="001B1065">
        <w:rPr>
          <w:rFonts w:ascii="Times New Roman" w:hAnsi="Times New Roman"/>
          <w:sz w:val="24"/>
        </w:rPr>
        <w:tab/>
        <w:t xml:space="preserve">Por norma general, las facultades del Tribunal de Waitangi adoptan la forma de recomendaciones. No obstante, sus facultades son teóricamente vinculantes en los casos de determinadas categorías de tierras. Dada la amplitud de la materia y el marco cronológico implicado, la Corona y los maoríes han optado hasta ahora por negociar la solución de todas las reclamaciones históricas. En una sola ocasión en que el Tribunal comenzó a ejercer sus facultades vinculantes, las partes optaron por una solución negociada. Todas estas soluciones han incluido una excusa y una reparación de la Corona, y han ayudado a mejorar las relaciones entre </w:t>
      </w:r>
      <w:r>
        <w:rPr>
          <w:rFonts w:ascii="Times New Roman" w:hAnsi="Times New Roman"/>
          <w:sz w:val="24"/>
        </w:rPr>
        <w:t xml:space="preserve">esta </w:t>
      </w:r>
      <w:r w:rsidRPr="001B1065">
        <w:rPr>
          <w:rFonts w:ascii="Times New Roman" w:hAnsi="Times New Roman"/>
          <w:sz w:val="24"/>
        </w:rPr>
        <w:t xml:space="preserve">y los maoríes. El Tribunal ha adoptado un planteamiento flexible y modular con respecto a las investigaciones, lo que permite a los demandantes pasar de una investigación judicial a una solución negociada. Algunos demandantes prefieren </w:t>
      </w:r>
      <w:r>
        <w:rPr>
          <w:rFonts w:ascii="Times New Roman" w:hAnsi="Times New Roman"/>
          <w:sz w:val="24"/>
        </w:rPr>
        <w:t xml:space="preserve">incluso prescindir por completo de </w:t>
      </w:r>
      <w:r w:rsidRPr="001B1065">
        <w:rPr>
          <w:rFonts w:ascii="Times New Roman" w:hAnsi="Times New Roman"/>
          <w:sz w:val="24"/>
        </w:rPr>
        <w:t>las audiencias judiciales y negociar directamente</w:t>
      </w:r>
      <w:r>
        <w:rPr>
          <w:rFonts w:ascii="Times New Roman" w:hAnsi="Times New Roman"/>
          <w:sz w:val="24"/>
        </w:rPr>
        <w:t xml:space="preserve"> con </w:t>
      </w:r>
      <w:smartTag w:uri="urn:schemas-microsoft-com:office:smarttags" w:element="PersonName">
        <w:smartTagPr>
          <w:attr w:name="ProductID" w:val="la Corona. Las"/>
        </w:smartTagPr>
        <w:r>
          <w:rPr>
            <w:rFonts w:ascii="Times New Roman" w:hAnsi="Times New Roman"/>
            <w:sz w:val="24"/>
          </w:rPr>
          <w:t>la Corona. Las</w:t>
        </w:r>
      </w:smartTag>
      <w:r>
        <w:rPr>
          <w:rFonts w:ascii="Times New Roman" w:hAnsi="Times New Roman"/>
          <w:sz w:val="24"/>
        </w:rPr>
        <w:t xml:space="preserve"> acciones del Ministerio</w:t>
      </w:r>
      <w:r w:rsidRPr="001B1065">
        <w:rPr>
          <w:rFonts w:ascii="Times New Roman" w:hAnsi="Times New Roman"/>
          <w:sz w:val="24"/>
        </w:rPr>
        <w:t xml:space="preserve"> de Desarrollo Maorí (Te Puni Kōkiri) están sujetas al mismo tipo de examen del Tribunal de Waitangi que cualquier otro organismo gubernamental.</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37. </w:t>
      </w:r>
      <w:r w:rsidRPr="001B1065">
        <w:rPr>
          <w:rFonts w:ascii="Times New Roman" w:hAnsi="Times New Roman"/>
          <w:sz w:val="24"/>
        </w:rPr>
        <w:tab/>
      </w:r>
      <w:r>
        <w:rPr>
          <w:rFonts w:ascii="Times New Roman" w:hAnsi="Times New Roman"/>
          <w:sz w:val="24"/>
        </w:rPr>
        <w:t>En los primeros años noventa, miembros de seis comunidades maoríes iniciaron ante el Tribunal de Waitangi l</w:t>
      </w:r>
      <w:r w:rsidRPr="001B1065">
        <w:rPr>
          <w:rFonts w:ascii="Times New Roman" w:hAnsi="Times New Roman"/>
          <w:sz w:val="24"/>
        </w:rPr>
        <w:t>a investigación sobre la propiedad cultural e intelectual y la fauna y flora indígenas</w:t>
      </w:r>
      <w:r>
        <w:rPr>
          <w:rFonts w:ascii="Times New Roman" w:hAnsi="Times New Roman"/>
          <w:sz w:val="24"/>
        </w:rPr>
        <w:t xml:space="preserve"> </w:t>
      </w:r>
      <w:r w:rsidRPr="001B1065">
        <w:rPr>
          <w:rFonts w:ascii="Times New Roman" w:hAnsi="Times New Roman"/>
          <w:sz w:val="24"/>
        </w:rPr>
        <w:t xml:space="preserve">(Wai 262) contra </w:t>
      </w:r>
      <w:smartTag w:uri="urn:schemas-microsoft-com:office:smarttags" w:element="PersonName">
        <w:smartTagPr>
          <w:attr w:name="ProductID" w:val="la Corona. La"/>
        </w:smartTagPr>
        <w:r w:rsidRPr="001B1065">
          <w:rPr>
            <w:rFonts w:ascii="Times New Roman" w:hAnsi="Times New Roman"/>
            <w:sz w:val="24"/>
          </w:rPr>
          <w:t>la Corona. La</w:t>
        </w:r>
      </w:smartTag>
      <w:r w:rsidRPr="001B1065">
        <w:rPr>
          <w:rFonts w:ascii="Times New Roman" w:hAnsi="Times New Roman"/>
          <w:sz w:val="24"/>
        </w:rPr>
        <w:t xml:space="preserve"> audición ha terminado recientemente y todavía no se ha dado a conocer el veredicto del Tribunal. En su resumen, el Presidente del Tribunal reconoció el compromiso sin precedentes de la Corona con el Tratado.</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38. </w:t>
      </w:r>
      <w:r w:rsidRPr="001B1065">
        <w:rPr>
          <w:rFonts w:ascii="Times New Roman" w:hAnsi="Times New Roman"/>
          <w:sz w:val="24"/>
        </w:rPr>
        <w:tab/>
        <w:t>Una enmienda introducida en 2006 en la Ley del Tratado de Waitangi  estableció el 1° de septiembre de 2008 como fecha límite para presentar reclamaciones históricas relativas a los años comprendidos entre 1840 y 1992, con el fin de solucionar dichas reclamaciones para 2020 y dar a los maoríes tiempo suficiente para presentar las reclamaciones, que pueden enmendarse posteriormente. La jurisdicción del Tribunal de Waitangi está en vigor desde 1985 y es bien conocida de los maoríes. No hay pruebas de que la fecha límite perjudique a los demandantes maoríes, ni refleja una falta de compromiso de la Corona por llegar a una solución. Asimismo, la</w:t>
      </w:r>
      <w:r>
        <w:rPr>
          <w:rFonts w:ascii="Times New Roman" w:hAnsi="Times New Roman"/>
          <w:sz w:val="24"/>
        </w:rPr>
        <w:t>s</w:t>
      </w:r>
      <w:r w:rsidRPr="001B1065">
        <w:rPr>
          <w:rFonts w:ascii="Times New Roman" w:hAnsi="Times New Roman"/>
          <w:sz w:val="24"/>
        </w:rPr>
        <w:t xml:space="preserve"> reclamaciones actuales no se ven afectadas por la fecha límite. Con el fin de alcanzar el objetivo de solucionar las reclamaciones no más tarde de 2020, se ha incrementado sustancialmente la financiación del Tribunal de Waitangi, cuyo presupuesto anual </w:t>
      </w:r>
      <w:r>
        <w:rPr>
          <w:rFonts w:ascii="Times New Roman" w:hAnsi="Times New Roman"/>
          <w:sz w:val="24"/>
        </w:rPr>
        <w:t xml:space="preserve">de </w:t>
      </w:r>
      <w:r w:rsidRPr="001B1065">
        <w:rPr>
          <w:rFonts w:ascii="Times New Roman" w:hAnsi="Times New Roman"/>
          <w:sz w:val="24"/>
        </w:rPr>
        <w:t xml:space="preserve">3,196 millones de dólares </w:t>
      </w:r>
      <w:r>
        <w:rPr>
          <w:rFonts w:ascii="Times New Roman" w:hAnsi="Times New Roman"/>
          <w:sz w:val="24"/>
        </w:rPr>
        <w:t>neozelande</w:t>
      </w:r>
      <w:r w:rsidRPr="001B1065">
        <w:rPr>
          <w:rFonts w:ascii="Times New Roman" w:hAnsi="Times New Roman"/>
          <w:sz w:val="24"/>
        </w:rPr>
        <w:t>ses</w:t>
      </w:r>
      <w:r>
        <w:rPr>
          <w:rFonts w:ascii="Times New Roman" w:hAnsi="Times New Roman"/>
          <w:sz w:val="24"/>
        </w:rPr>
        <w:t xml:space="preserve"> </w:t>
      </w:r>
      <w:r w:rsidRPr="001B1065">
        <w:rPr>
          <w:rFonts w:ascii="Times New Roman" w:hAnsi="Times New Roman"/>
          <w:sz w:val="24"/>
        </w:rPr>
        <w:t xml:space="preserve">es un 62% </w:t>
      </w:r>
      <w:r>
        <w:rPr>
          <w:rFonts w:ascii="Times New Roman" w:hAnsi="Times New Roman"/>
          <w:sz w:val="24"/>
        </w:rPr>
        <w:t xml:space="preserve">superior al de </w:t>
      </w:r>
      <w:r w:rsidRPr="001B1065">
        <w:rPr>
          <w:rFonts w:ascii="Times New Roman" w:hAnsi="Times New Roman"/>
          <w:sz w:val="24"/>
        </w:rPr>
        <w:t>2001-2002.</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39. </w:t>
      </w:r>
      <w:r w:rsidRPr="001B1065">
        <w:rPr>
          <w:rFonts w:ascii="Times New Roman" w:hAnsi="Times New Roman"/>
          <w:sz w:val="24"/>
        </w:rPr>
        <w:tab/>
        <w:t xml:space="preserve">En cuanto al Programa de Información sobre el Tratado de Waitangi, la oradora dice que se había decidido dar publicidad al material </w:t>
      </w:r>
      <w:r>
        <w:rPr>
          <w:rFonts w:ascii="Times New Roman" w:hAnsi="Times New Roman"/>
          <w:sz w:val="24"/>
        </w:rPr>
        <w:t xml:space="preserve">por el </w:t>
      </w:r>
      <w:r w:rsidRPr="001B1065">
        <w:rPr>
          <w:rFonts w:ascii="Times New Roman" w:hAnsi="Times New Roman"/>
          <w:sz w:val="24"/>
        </w:rPr>
        <w:t xml:space="preserve">deseo de la Corona de solucionar las reclamaciones históricas. El Programa debe realizar una contribución valiosa al compromiso público a ese respecto. No se ha encontrado ninguna prueba que confirme las </w:t>
      </w:r>
      <w:r>
        <w:rPr>
          <w:rFonts w:ascii="Times New Roman" w:hAnsi="Times New Roman"/>
          <w:sz w:val="24"/>
        </w:rPr>
        <w:t>alegaciones de des</w:t>
      </w:r>
      <w:r w:rsidRPr="001B1065">
        <w:rPr>
          <w:rFonts w:ascii="Times New Roman" w:hAnsi="Times New Roman"/>
          <w:sz w:val="24"/>
        </w:rPr>
        <w:t xml:space="preserve">equilibrio del material. La referencia del informe periódico a la falta de conclusiones definitivas sobre la historia no debe interpretarse como un rechazo a explicar los errores históricos. La Corona ha presentado una descripción oficial de la historia y ha </w:t>
      </w:r>
      <w:r>
        <w:rPr>
          <w:rFonts w:ascii="Times New Roman" w:hAnsi="Times New Roman"/>
          <w:sz w:val="24"/>
        </w:rPr>
        <w:t xml:space="preserve">formulado </w:t>
      </w:r>
      <w:r w:rsidRPr="001B1065">
        <w:rPr>
          <w:rFonts w:ascii="Times New Roman" w:hAnsi="Times New Roman"/>
          <w:sz w:val="24"/>
        </w:rPr>
        <w:t>excusas en todas las resoluciones sobre reclamaciones históricas.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40. </w:t>
      </w:r>
      <w:r w:rsidRPr="001B1065">
        <w:rPr>
          <w:rFonts w:ascii="Times New Roman" w:hAnsi="Times New Roman"/>
          <w:sz w:val="24"/>
        </w:rPr>
        <w:tab/>
        <w:t>En virtud de la Ley de minerales de la Corona</w:t>
      </w:r>
      <w:r>
        <w:rPr>
          <w:rFonts w:ascii="Times New Roman" w:hAnsi="Times New Roman"/>
          <w:sz w:val="24"/>
        </w:rPr>
        <w:t xml:space="preserve"> de 1991</w:t>
      </w:r>
      <w:r w:rsidRPr="001B1065">
        <w:rPr>
          <w:rFonts w:ascii="Times New Roman" w:hAnsi="Times New Roman"/>
          <w:sz w:val="24"/>
        </w:rPr>
        <w:t>,</w:t>
      </w:r>
      <w:r>
        <w:rPr>
          <w:rFonts w:ascii="Times New Roman" w:hAnsi="Times New Roman"/>
          <w:sz w:val="24"/>
        </w:rPr>
        <w:t xml:space="preserve"> es</w:t>
      </w:r>
      <w:r w:rsidRPr="001B1065">
        <w:rPr>
          <w:rFonts w:ascii="Times New Roman" w:hAnsi="Times New Roman"/>
          <w:sz w:val="24"/>
        </w:rPr>
        <w:t>ta posee y administra los minerales nacionalizados, con inclusión del petróleo, en aras del interés nacional. Se considera que ello redund</w:t>
      </w:r>
      <w:r>
        <w:rPr>
          <w:rFonts w:ascii="Times New Roman" w:hAnsi="Times New Roman"/>
          <w:sz w:val="24"/>
        </w:rPr>
        <w:t>a</w:t>
      </w:r>
      <w:r w:rsidRPr="001B1065">
        <w:rPr>
          <w:rFonts w:ascii="Times New Roman" w:hAnsi="Times New Roman"/>
          <w:sz w:val="24"/>
        </w:rPr>
        <w:t xml:space="preserve"> en beneficio tanto de los maoríes como de los no maoríes.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41. </w:t>
      </w:r>
      <w:r w:rsidRPr="001B1065">
        <w:rPr>
          <w:rFonts w:ascii="Times New Roman" w:hAnsi="Times New Roman"/>
          <w:sz w:val="24"/>
        </w:rPr>
        <w:tab/>
        <w:t xml:space="preserve">Con respecto a la aplicación de la Ley de la preplaya y los fondos marinos de 2004, la delegación es consciente de las recomendaciones del Comité de 2005 en el marco de su procedimiento de acción urgente </w:t>
      </w:r>
      <w:r>
        <w:rPr>
          <w:rFonts w:ascii="Times New Roman" w:hAnsi="Times New Roman"/>
          <w:sz w:val="24"/>
        </w:rPr>
        <w:t>(</w:t>
      </w:r>
      <w:r>
        <w:rPr>
          <w:rFonts w:ascii="TimesNewRoman" w:hAnsi="TimesNewRoman"/>
          <w:sz w:val="24"/>
          <w:szCs w:val="23"/>
        </w:rPr>
        <w:t>CERD/C/66/NZL/Dec.1</w:t>
      </w:r>
      <w:r>
        <w:rPr>
          <w:rFonts w:ascii="Times New Roman" w:hAnsi="Times New Roman"/>
          <w:sz w:val="24"/>
        </w:rPr>
        <w:t>). Se</w:t>
      </w:r>
      <w:r w:rsidRPr="001B1065">
        <w:rPr>
          <w:rFonts w:ascii="Times New Roman" w:hAnsi="Times New Roman"/>
          <w:sz w:val="24"/>
        </w:rPr>
        <w:t xml:space="preserve"> ha presentado una actualización detallada en las respuestas por escrito del Estado parte. Las negociaciones </w:t>
      </w:r>
      <w:r>
        <w:rPr>
          <w:rFonts w:ascii="Times New Roman" w:hAnsi="Times New Roman"/>
          <w:sz w:val="24"/>
        </w:rPr>
        <w:t xml:space="preserve">mantenidas </w:t>
      </w:r>
      <w:r w:rsidRPr="001B1065">
        <w:rPr>
          <w:rFonts w:ascii="Times New Roman" w:hAnsi="Times New Roman"/>
          <w:sz w:val="24"/>
        </w:rPr>
        <w:t>desde</w:t>
      </w:r>
      <w:r>
        <w:rPr>
          <w:rFonts w:ascii="Times New Roman" w:hAnsi="Times New Roman"/>
          <w:sz w:val="24"/>
        </w:rPr>
        <w:t> </w:t>
      </w:r>
      <w:r w:rsidRPr="001B1065">
        <w:rPr>
          <w:rFonts w:ascii="Times New Roman" w:hAnsi="Times New Roman"/>
          <w:sz w:val="24"/>
        </w:rPr>
        <w:t xml:space="preserve">2005 con la comunidad maorí acerca de los derechos consuetudinarios territoriales han tratado de explorar opciones de reparación </w:t>
      </w:r>
      <w:r>
        <w:rPr>
          <w:rFonts w:ascii="Times New Roman" w:hAnsi="Times New Roman"/>
          <w:sz w:val="24"/>
        </w:rPr>
        <w:t xml:space="preserve">que sean </w:t>
      </w:r>
      <w:r w:rsidRPr="001B1065">
        <w:rPr>
          <w:rFonts w:ascii="Times New Roman" w:hAnsi="Times New Roman"/>
          <w:sz w:val="24"/>
        </w:rPr>
        <w:t>aceptable</w:t>
      </w:r>
      <w:r>
        <w:rPr>
          <w:rFonts w:ascii="Times New Roman" w:hAnsi="Times New Roman"/>
          <w:sz w:val="24"/>
        </w:rPr>
        <w:t>s</w:t>
      </w:r>
      <w:r w:rsidRPr="001B1065">
        <w:rPr>
          <w:rFonts w:ascii="Times New Roman" w:hAnsi="Times New Roman"/>
          <w:sz w:val="24"/>
        </w:rPr>
        <w:t xml:space="preserve"> para ambas partes y viables dentro de los regímenes locales de administración y conservación de los recursos. Los demandantes pueden también recurrir para ello al Tribunal de </w:t>
      </w:r>
      <w:smartTag w:uri="urn:schemas-microsoft-com:office:smarttags" w:element="PersonName">
        <w:smartTagPr>
          <w:attr w:name="ProductID" w:val="la Tierra Maor￭"/>
        </w:smartTagPr>
        <w:r w:rsidRPr="001B1065">
          <w:rPr>
            <w:rFonts w:ascii="Times New Roman" w:hAnsi="Times New Roman"/>
            <w:sz w:val="24"/>
          </w:rPr>
          <w:t>la Tierra Maorí</w:t>
        </w:r>
      </w:smartTag>
      <w:r w:rsidRPr="001B1065">
        <w:rPr>
          <w:rFonts w:ascii="Times New Roman" w:hAnsi="Times New Roman"/>
          <w:sz w:val="24"/>
        </w:rPr>
        <w:t xml:space="preserve">, cuyos jueces son miembros de la comunidad maorí nombrados en función de sus conocimientos de las costumbres maoríes. El Gobierno está adoptando un planteamiento práctico para atender el deseo del Comité sobre la aplicación flexible de la legislación y el seguimiento de su aplicación, pero no es posible considerar enmiendas de la legislación mientras no se hayan comprobado plenamente esos procesos. La discrepancia entre la </w:t>
      </w:r>
      <w:r>
        <w:rPr>
          <w:rFonts w:ascii="Times New Roman" w:hAnsi="Times New Roman"/>
          <w:sz w:val="24"/>
        </w:rPr>
        <w:t xml:space="preserve">explicación </w:t>
      </w:r>
      <w:r w:rsidRPr="001B1065">
        <w:rPr>
          <w:rFonts w:ascii="Times New Roman" w:hAnsi="Times New Roman"/>
          <w:sz w:val="24"/>
        </w:rPr>
        <w:t xml:space="preserve">del Comité sobre la aplicación de la Ley de la preplaya y los fondos marinos y la facilitada por la sociedad civil demuestra el intenso debate que ha desencadenado </w:t>
      </w:r>
      <w:r>
        <w:rPr>
          <w:rFonts w:ascii="Times New Roman" w:hAnsi="Times New Roman"/>
          <w:sz w:val="24"/>
        </w:rPr>
        <w:t xml:space="preserve">esta </w:t>
      </w:r>
      <w:r w:rsidRPr="001B1065">
        <w:rPr>
          <w:rFonts w:ascii="Times New Roman" w:hAnsi="Times New Roman"/>
          <w:sz w:val="24"/>
        </w:rPr>
        <w:t>legislación. La Corona es consciente de las preocupaciones expresadas por la comunidad maorí y participa activamente en las conversaciones en conformidad con las recomendaciones del Comité y con las disposiciones sobre el diálogo y la mediación contenidas en la Ley de la preplaya y los fondos marinos, que determinan el alcance y naturaleza del territorio afectado y las posibles medidas de recuperación pertinentes antes de remitir los casos al Tribunal Superior, que puede recurrir a personal especializado si lo considera oportuno.</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42. </w:t>
      </w:r>
      <w:r w:rsidRPr="001B1065">
        <w:rPr>
          <w:rFonts w:ascii="Times New Roman" w:hAnsi="Times New Roman"/>
          <w:sz w:val="24"/>
        </w:rPr>
        <w:tab/>
      </w:r>
      <w:smartTag w:uri="urn:schemas-microsoft-com:office:smarttags" w:element="PersonName">
        <w:smartTagPr>
          <w:attr w:name="ProductID" w:val="La Sra. SMITH"/>
        </w:smartTagPr>
        <w:r>
          <w:rPr>
            <w:rFonts w:ascii="Times New Roman" w:hAnsi="Times New Roman"/>
            <w:sz w:val="24"/>
          </w:rPr>
          <w:t xml:space="preserve">La </w:t>
        </w:r>
        <w:r>
          <w:rPr>
            <w:rFonts w:ascii="Times New Roman" w:hAnsi="Times New Roman"/>
            <w:b/>
            <w:sz w:val="24"/>
          </w:rPr>
          <w:t>Sra. SMITH</w:t>
        </w:r>
      </w:smartTag>
      <w:r w:rsidRPr="001B1065">
        <w:rPr>
          <w:rFonts w:ascii="Times New Roman" w:hAnsi="Times New Roman"/>
          <w:sz w:val="24"/>
        </w:rPr>
        <w:t xml:space="preserve"> (Nueva Zelandia) dice que en 2000 se formul</w:t>
      </w:r>
      <w:r>
        <w:rPr>
          <w:rFonts w:ascii="Times New Roman" w:hAnsi="Times New Roman"/>
          <w:sz w:val="24"/>
        </w:rPr>
        <w:t xml:space="preserve">aron varias </w:t>
      </w:r>
      <w:r w:rsidRPr="001B1065">
        <w:rPr>
          <w:rFonts w:ascii="Times New Roman" w:hAnsi="Times New Roman"/>
          <w:sz w:val="24"/>
        </w:rPr>
        <w:t xml:space="preserve">medidas, conocidas </w:t>
      </w:r>
      <w:r>
        <w:rPr>
          <w:rFonts w:ascii="Times New Roman" w:hAnsi="Times New Roman"/>
          <w:sz w:val="24"/>
        </w:rPr>
        <w:t>con el nombre de “</w:t>
      </w:r>
      <w:r w:rsidRPr="001B1065">
        <w:rPr>
          <w:rFonts w:ascii="Times New Roman" w:hAnsi="Times New Roman"/>
          <w:sz w:val="24"/>
        </w:rPr>
        <w:t>intervenciones eficaces</w:t>
      </w:r>
      <w:r>
        <w:rPr>
          <w:rFonts w:ascii="Times New Roman" w:hAnsi="Times New Roman"/>
          <w:sz w:val="24"/>
        </w:rPr>
        <w:t>”</w:t>
      </w:r>
      <w:r w:rsidRPr="001B1065">
        <w:rPr>
          <w:rFonts w:ascii="Times New Roman" w:hAnsi="Times New Roman"/>
          <w:sz w:val="24"/>
        </w:rPr>
        <w:t xml:space="preserve">, a fin de reducir la tasa general de encarcelamiento, que está aumentando. Varias </w:t>
      </w:r>
      <w:r>
        <w:rPr>
          <w:rFonts w:ascii="Times New Roman" w:hAnsi="Times New Roman"/>
          <w:sz w:val="24"/>
        </w:rPr>
        <w:t xml:space="preserve">de ellas </w:t>
      </w:r>
      <w:r w:rsidRPr="001B1065">
        <w:rPr>
          <w:rFonts w:ascii="Times New Roman" w:hAnsi="Times New Roman"/>
          <w:sz w:val="24"/>
        </w:rPr>
        <w:t xml:space="preserve">formaban parte del proyecto de ley de reforma de la justicia criminal recientemente aprobado. Las intervenciones eficaces </w:t>
      </w:r>
      <w:r>
        <w:rPr>
          <w:rFonts w:ascii="Times New Roman" w:hAnsi="Times New Roman"/>
          <w:sz w:val="24"/>
        </w:rPr>
        <w:t xml:space="preserve">comprenden las siguientes medidas: </w:t>
      </w:r>
      <w:r w:rsidRPr="001B1065">
        <w:rPr>
          <w:rFonts w:ascii="Times New Roman" w:hAnsi="Times New Roman"/>
          <w:sz w:val="24"/>
        </w:rPr>
        <w:t xml:space="preserve">un planteamiento más transparente y sistemático de las sentencias, mediante </w:t>
      </w:r>
      <w:r>
        <w:rPr>
          <w:rFonts w:ascii="Times New Roman" w:hAnsi="Times New Roman"/>
          <w:sz w:val="24"/>
        </w:rPr>
        <w:t xml:space="preserve">la creación </w:t>
      </w:r>
      <w:r w:rsidRPr="001B1065">
        <w:rPr>
          <w:rFonts w:ascii="Times New Roman" w:hAnsi="Times New Roman"/>
          <w:sz w:val="24"/>
        </w:rPr>
        <w:t xml:space="preserve">de un Consejo sobre asuntos relacionados con las condenas y la </w:t>
      </w:r>
      <w:r>
        <w:rPr>
          <w:rFonts w:ascii="Times New Roman" w:hAnsi="Times New Roman"/>
          <w:sz w:val="24"/>
        </w:rPr>
        <w:t xml:space="preserve">adopción </w:t>
      </w:r>
      <w:r w:rsidRPr="001B1065">
        <w:rPr>
          <w:rFonts w:ascii="Times New Roman" w:hAnsi="Times New Roman"/>
          <w:sz w:val="24"/>
        </w:rPr>
        <w:t>de reformas en el sistema de libertad condicional; la introducción del arresto domiciliario en los delitos de menor riesgo; la creación de servicios comunitarios; el establecimiento de unidades de tratamiento de la toxicomanía y el alcoholismo en las prisiones, junto con unidades especiales para realizar programas intensivos de rehabilitación; y un aumento significativo de los servicios de educación y formación profesional para los detenidos.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43. </w:t>
      </w:r>
      <w:r w:rsidRPr="001B1065">
        <w:rPr>
          <w:rFonts w:ascii="Times New Roman" w:hAnsi="Times New Roman"/>
          <w:sz w:val="24"/>
        </w:rPr>
        <w:tab/>
        <w:t xml:space="preserve">Aunque el sistema de justicia penal se aplica a todos los </w:t>
      </w:r>
      <w:r>
        <w:rPr>
          <w:rFonts w:ascii="Times New Roman" w:hAnsi="Times New Roman"/>
          <w:sz w:val="24"/>
        </w:rPr>
        <w:t>neozelande</w:t>
      </w:r>
      <w:r w:rsidRPr="001B1065">
        <w:rPr>
          <w:rFonts w:ascii="Times New Roman" w:hAnsi="Times New Roman"/>
          <w:sz w:val="24"/>
        </w:rPr>
        <w:t>ses, los maoríes y los pueblos del Pacífico están sobrerrepresentados en todas las fases del proceso de justicia penal. El número de maoríes detenidos, procesados, condenados y encarcelados es cinco veces mayor que el de los no maoríes, al parecer por razones sociales y económicas. No se dispone de estudios ni investigaciones definitivos sobre las causas de la alta tasa de encarcelamiento de maoríes, pero se espera que las intervenciones eficaces ayuden a corregir esta situación. Quizá sean también necesarias medidas basadas en los componentes culturales, junto con servicios ofrecidos por las propias comunidades del Pacífico, con las que el Gobierno colabora estrechamente. Se han establecido también asociaciones para fomentar programas de prevención del delito y de seguridad comunitaria. En mayo de 2007, el Gobierno aprobó el Programa de acción para los maoríes, que incluye planes de reducción de la delincuencia, servicios de mediación entre las bandas juveniles, la reintegración de los presos liberados, la evaluación de programas y la investigación sobre las causas de las infracciones. En el marco del Plan, el Ministerio de Justicia investigará el ejercicio de las facultades discrecionales en el sistema de justicia penal con el fin de determinar los puntos de posible sesgo en el sistema y los posibles efectos del mismo en los maoríes y los pueblos del Pacífico.</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44. </w:t>
      </w:r>
      <w:r w:rsidRPr="001B1065">
        <w:rPr>
          <w:rFonts w:ascii="Times New Roman" w:hAnsi="Times New Roman"/>
          <w:sz w:val="24"/>
        </w:rPr>
        <w:tab/>
        <w:t xml:space="preserve">El Gobierno de Nueva Zelandia se toma muy en serio el problema de la violencia contra la mujer en todas las comunidades, como demuestra el material presentado al Comité para la Eliminación de la Discriminación contra </w:t>
      </w:r>
      <w:smartTag w:uri="urn:schemas-microsoft-com:office:smarttags" w:element="PersonName">
        <w:smartTagPr>
          <w:attr w:name="ProductID" w:val="la Mujer. Se"/>
        </w:smartTagPr>
        <w:r w:rsidRPr="001B1065">
          <w:rPr>
            <w:rFonts w:ascii="Times New Roman" w:hAnsi="Times New Roman"/>
            <w:sz w:val="24"/>
          </w:rPr>
          <w:t>la Mujer. Se</w:t>
        </w:r>
      </w:smartTag>
      <w:r w:rsidRPr="001B1065">
        <w:rPr>
          <w:rFonts w:ascii="Times New Roman" w:hAnsi="Times New Roman"/>
          <w:sz w:val="24"/>
        </w:rPr>
        <w:t xml:space="preserve"> están aplicando y supervisando, </w:t>
      </w:r>
      <w:r>
        <w:rPr>
          <w:rFonts w:ascii="Times New Roman" w:hAnsi="Times New Roman"/>
          <w:sz w:val="24"/>
        </w:rPr>
        <w:t xml:space="preserve">en </w:t>
      </w:r>
      <w:r w:rsidRPr="001B1065">
        <w:rPr>
          <w:rFonts w:ascii="Times New Roman" w:hAnsi="Times New Roman"/>
          <w:sz w:val="24"/>
        </w:rPr>
        <w:t>las máximas instancias del Gobierno, varias estrategias de prevención. Después del éxito de un programa piloto, se decidió preguntar sistemáticamente a todas las mujeres ingresadas en un hospital si habían sido objeto de violencia o de presión indebida en el hogar.</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45. </w:t>
      </w:r>
      <w:r w:rsidRPr="001B1065">
        <w:rPr>
          <w:rFonts w:ascii="Times New Roman" w:hAnsi="Times New Roman"/>
          <w:sz w:val="24"/>
        </w:rPr>
        <w:tab/>
      </w:r>
      <w:r>
        <w:rPr>
          <w:rFonts w:ascii="Times New Roman" w:hAnsi="Times New Roman"/>
          <w:sz w:val="24"/>
        </w:rPr>
        <w:t>U</w:t>
      </w:r>
      <w:r w:rsidRPr="001B1065">
        <w:rPr>
          <w:rFonts w:ascii="Times New Roman" w:hAnsi="Times New Roman"/>
          <w:sz w:val="24"/>
        </w:rPr>
        <w:t>na de las prioridades gubernamentales</w:t>
      </w:r>
      <w:r>
        <w:rPr>
          <w:rFonts w:ascii="Times New Roman" w:hAnsi="Times New Roman"/>
          <w:sz w:val="24"/>
        </w:rPr>
        <w:t xml:space="preserve"> es la </w:t>
      </w:r>
      <w:r w:rsidRPr="001B1065">
        <w:rPr>
          <w:rFonts w:ascii="Times New Roman" w:hAnsi="Times New Roman"/>
          <w:sz w:val="24"/>
        </w:rPr>
        <w:t>reducción de la delincuencia juvenil y la cantidad desproporcionada de jóvenes maoríes en el sistema de justicia de menores. En 2003, el Gobierno puso en marcha la Estrategia para hacer frente a la delincuencia juvenil, que incluye varias propuestas para mejorar los servicios ofrecidos a los jóvenes y familias maoríes. Las respuestas por escrito de Nueva Zelandia contienen información más detallada sobre las medidas adoptadas.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46. </w:t>
      </w:r>
      <w:r w:rsidRPr="001B1065">
        <w:rPr>
          <w:rFonts w:ascii="Times New Roman" w:hAnsi="Times New Roman"/>
          <w:sz w:val="24"/>
        </w:rPr>
        <w:tab/>
        <w:t>En respuesta a las recomendaciones formuladas en el Informe sobre la eliminación y prevención de la delincuencia entre los maoríes, preparado por el ex Comisionado de Policía de Nueva Zelandia, la policía ha adoptado varias iniciativas. Entre ellas se incluye</w:t>
      </w:r>
      <w:r>
        <w:rPr>
          <w:rFonts w:ascii="Times New Roman" w:hAnsi="Times New Roman"/>
          <w:sz w:val="24"/>
        </w:rPr>
        <w:t>n las siguientes:</w:t>
      </w:r>
      <w:r w:rsidRPr="001B1065">
        <w:rPr>
          <w:rFonts w:ascii="Times New Roman" w:hAnsi="Times New Roman"/>
          <w:sz w:val="24"/>
        </w:rPr>
        <w:t xml:space="preserve"> la capacitación obligatoria del personal sobre los derechos humanos; el examen de la estrategia sobre la capacidad de la policía para atender las necesidades de los maoríes; la formulación y aplicación de una estrategia de reducción de la delincuencia en </w:t>
      </w:r>
      <w:r>
        <w:rPr>
          <w:rFonts w:ascii="Times New Roman" w:hAnsi="Times New Roman"/>
          <w:sz w:val="24"/>
        </w:rPr>
        <w:t xml:space="preserve">colaboración </w:t>
      </w:r>
      <w:r w:rsidRPr="001B1065">
        <w:rPr>
          <w:rFonts w:ascii="Times New Roman" w:hAnsi="Times New Roman"/>
          <w:sz w:val="24"/>
        </w:rPr>
        <w:t>con organizaciones maoríes (</w:t>
      </w:r>
      <w:r w:rsidRPr="001B1065">
        <w:rPr>
          <w:rFonts w:ascii="Times New Roman" w:hAnsi="Times New Roman"/>
          <w:sz w:val="24"/>
          <w:u w:val="single"/>
        </w:rPr>
        <w:t>iwi</w:t>
      </w:r>
      <w:r w:rsidRPr="001B1065">
        <w:rPr>
          <w:rFonts w:ascii="Times New Roman" w:hAnsi="Times New Roman"/>
          <w:sz w:val="24"/>
        </w:rPr>
        <w:t>); actividades ulteriores de capacitación para los funcionarios encargados de los contactos con</w:t>
      </w:r>
      <w:r>
        <w:rPr>
          <w:rFonts w:ascii="Times New Roman" w:hAnsi="Times New Roman"/>
          <w:sz w:val="24"/>
        </w:rPr>
        <w:t xml:space="preserve"> las </w:t>
      </w:r>
      <w:r w:rsidRPr="001B1065">
        <w:rPr>
          <w:rFonts w:ascii="Times New Roman" w:hAnsi="Times New Roman"/>
          <w:sz w:val="24"/>
          <w:u w:val="single"/>
        </w:rPr>
        <w:t>iwi,</w:t>
      </w:r>
      <w:r w:rsidRPr="001B1065">
        <w:rPr>
          <w:rFonts w:ascii="Times New Roman" w:hAnsi="Times New Roman"/>
          <w:sz w:val="24"/>
        </w:rPr>
        <w:t xml:space="preserve"> y el establecimiento de un proyecto nacional de funcionarios de prisiones maoríes. </w:t>
      </w:r>
      <w:r>
        <w:rPr>
          <w:rFonts w:ascii="Times New Roman" w:hAnsi="Times New Roman"/>
          <w:sz w:val="24"/>
        </w:rPr>
        <w:t>Se está</w:t>
      </w:r>
      <w:r w:rsidRPr="001B1065">
        <w:rPr>
          <w:rFonts w:ascii="Times New Roman" w:hAnsi="Times New Roman"/>
          <w:sz w:val="24"/>
        </w:rPr>
        <w:t xml:space="preserve"> actualizando </w:t>
      </w:r>
      <w:r>
        <w:rPr>
          <w:rFonts w:ascii="Times New Roman" w:hAnsi="Times New Roman"/>
          <w:sz w:val="24"/>
        </w:rPr>
        <w:t>l</w:t>
      </w:r>
      <w:r w:rsidRPr="001B1065">
        <w:rPr>
          <w:rFonts w:ascii="Times New Roman" w:hAnsi="Times New Roman"/>
          <w:sz w:val="24"/>
        </w:rPr>
        <w:t>a base legislativa de las actividades policiales</w:t>
      </w:r>
      <w:r>
        <w:rPr>
          <w:rFonts w:ascii="Times New Roman" w:hAnsi="Times New Roman"/>
          <w:sz w:val="24"/>
        </w:rPr>
        <w:t xml:space="preserve">, a saber, la </w:t>
      </w:r>
      <w:r w:rsidRPr="001B1065">
        <w:rPr>
          <w:rFonts w:ascii="Times New Roman" w:hAnsi="Times New Roman"/>
          <w:sz w:val="24"/>
        </w:rPr>
        <w:t xml:space="preserve">Ley de policía de 1958 y </w:t>
      </w:r>
      <w:r>
        <w:rPr>
          <w:rFonts w:ascii="Times New Roman" w:hAnsi="Times New Roman"/>
          <w:sz w:val="24"/>
        </w:rPr>
        <w:t xml:space="preserve">el </w:t>
      </w:r>
      <w:r w:rsidRPr="001B1065">
        <w:rPr>
          <w:rFonts w:ascii="Times New Roman" w:hAnsi="Times New Roman"/>
          <w:sz w:val="24"/>
        </w:rPr>
        <w:t>Reg</w:t>
      </w:r>
      <w:r>
        <w:rPr>
          <w:rFonts w:ascii="Times New Roman" w:hAnsi="Times New Roman"/>
          <w:sz w:val="24"/>
        </w:rPr>
        <w:t>lamento de la policía de 1992</w:t>
      </w:r>
      <w:r w:rsidRPr="001B1065">
        <w:rPr>
          <w:rFonts w:ascii="Times New Roman" w:hAnsi="Times New Roman"/>
          <w:sz w:val="24"/>
        </w:rPr>
        <w:t xml:space="preserve">. </w:t>
      </w:r>
      <w:r>
        <w:rPr>
          <w:rFonts w:ascii="Times New Roman" w:hAnsi="Times New Roman"/>
          <w:sz w:val="24"/>
        </w:rPr>
        <w:t>P</w:t>
      </w:r>
      <w:r w:rsidRPr="001B1065">
        <w:rPr>
          <w:rFonts w:ascii="Times New Roman" w:hAnsi="Times New Roman"/>
          <w:sz w:val="24"/>
        </w:rPr>
        <w:t xml:space="preserve">articiparán en el proceso </w:t>
      </w:r>
      <w:r>
        <w:rPr>
          <w:rFonts w:ascii="Times New Roman" w:hAnsi="Times New Roman"/>
          <w:sz w:val="24"/>
        </w:rPr>
        <w:t>l</w:t>
      </w:r>
      <w:r w:rsidRPr="001B1065">
        <w:rPr>
          <w:rFonts w:ascii="Times New Roman" w:hAnsi="Times New Roman"/>
          <w:sz w:val="24"/>
        </w:rPr>
        <w:t>a policía, el público y todos los grupos interesados. El primer proyecto de legislación se distribuirá en diciembre de 2007. Se ha conseguido una notable mejoría en la diversidad étnica de la fuerza policial. Desde 2001, el número de maoríes ha subido del 9,1% al 11,3% en 2007, el de los pueblos del Pacífico del 2,3% al 4,4% y el de personas de origen asiático del 0,4% al 1,6%.</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47.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AMIR</w:t>
      </w:r>
      <w:r w:rsidRPr="001B1065">
        <w:rPr>
          <w:rFonts w:ascii="Times New Roman" w:hAnsi="Times New Roman"/>
          <w:sz w:val="24"/>
        </w:rPr>
        <w:t xml:space="preserve"> solicita más aclaraciones sobre el proceso de toma de decisiones acerca del Tratado de Waitangi. Desea saber cómo se consigue que las decisiones pertinentes sean aceptadas por la comunidad maorí.</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48. </w:t>
      </w:r>
      <w:r w:rsidRPr="001B1065">
        <w:rPr>
          <w:rFonts w:ascii="Times New Roman" w:hAnsi="Times New Roman"/>
          <w:sz w:val="24"/>
        </w:rPr>
        <w:tab/>
        <w:t xml:space="preserve">Observa que hay una alta tasa de reincidencia entre los detenidos que son miembros de la comunidad maorí y se pregunta qué están haciendo o tienen previsto hacer las autoridades </w:t>
      </w:r>
      <w:r>
        <w:rPr>
          <w:rFonts w:ascii="Times New Roman" w:hAnsi="Times New Roman"/>
          <w:sz w:val="24"/>
        </w:rPr>
        <w:t>neozelande</w:t>
      </w:r>
      <w:r w:rsidRPr="001B1065">
        <w:rPr>
          <w:rFonts w:ascii="Times New Roman" w:hAnsi="Times New Roman"/>
          <w:sz w:val="24"/>
        </w:rPr>
        <w:t>sas para reducirla.</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49. </w:t>
      </w:r>
      <w:r w:rsidRPr="001B1065">
        <w:rPr>
          <w:rFonts w:ascii="Times New Roman" w:hAnsi="Times New Roman"/>
          <w:sz w:val="24"/>
        </w:rPr>
        <w:tab/>
      </w:r>
      <w:smartTag w:uri="urn:schemas-microsoft-com:office:smarttags" w:element="PersonName">
        <w:smartTagPr>
          <w:attr w:name="ProductID" w:val="La Sra. HARDY"/>
        </w:smartTagPr>
        <w:r>
          <w:rPr>
            <w:rFonts w:ascii="Times New Roman" w:hAnsi="Times New Roman"/>
            <w:sz w:val="24"/>
          </w:rPr>
          <w:t xml:space="preserve">La </w:t>
        </w:r>
        <w:r>
          <w:rPr>
            <w:rFonts w:ascii="Times New Roman" w:hAnsi="Times New Roman"/>
            <w:b/>
            <w:sz w:val="24"/>
          </w:rPr>
          <w:t>Sra. HARDY</w:t>
        </w:r>
      </w:smartTag>
      <w:r w:rsidRPr="001B1065">
        <w:rPr>
          <w:rFonts w:ascii="Times New Roman" w:hAnsi="Times New Roman"/>
          <w:sz w:val="24"/>
        </w:rPr>
        <w:t xml:space="preserve"> (Nueva Zelandia) dice que la reclamación de las reivindicaciones basadas en el Tratado son negociadas por representantes de los grupos demandantes, que reciben ese mandato de sus comunidades y se comunican con ellas periódicamente. La solución provisional adopta la forma de proyecto de ley que se debate en el Parlamento, ya que en muchos casos hay que introducir cambios en los regímenes jurídicos existentes. Ambas partes del proceso desean conseguir la máxima transparencia y obtener apoyo de las comunidades indígenas.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50. </w:t>
      </w:r>
      <w:r w:rsidRPr="001B1065">
        <w:rPr>
          <w:rFonts w:ascii="Times New Roman" w:hAnsi="Times New Roman"/>
          <w:sz w:val="24"/>
        </w:rPr>
        <w:tab/>
      </w:r>
      <w:smartTag w:uri="urn:schemas-microsoft-com:office:smarttags" w:element="PersonName">
        <w:smartTagPr>
          <w:attr w:name="ProductID" w:val="La Sra. SMITH"/>
        </w:smartTagPr>
        <w:r>
          <w:rPr>
            <w:rFonts w:ascii="Times New Roman" w:hAnsi="Times New Roman"/>
            <w:sz w:val="24"/>
          </w:rPr>
          <w:t xml:space="preserve">La </w:t>
        </w:r>
        <w:r>
          <w:rPr>
            <w:rFonts w:ascii="Times New Roman" w:hAnsi="Times New Roman"/>
            <w:b/>
            <w:sz w:val="24"/>
          </w:rPr>
          <w:t>Sra. SMITH</w:t>
        </w:r>
      </w:smartTag>
      <w:r w:rsidRPr="001B1065">
        <w:rPr>
          <w:rFonts w:ascii="Times New Roman" w:hAnsi="Times New Roman"/>
          <w:sz w:val="24"/>
        </w:rPr>
        <w:t xml:space="preserve"> (Nueva Zelandia) dice que la estrategia de intervenciones eficaces, cuyo objetivo es evitar la reincidencia en el delito y, por lo tanto, en el encarcelamiento, tiene también en cuenta las causas del fenómeno. Están previstas más investigaciones sobre los factores socioeconómicos que contribuyen a la reincidencia en el delito en todos los grupos de población.</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51.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LEALEA</w:t>
      </w:r>
      <w:r w:rsidRPr="001B1065">
        <w:rPr>
          <w:rFonts w:ascii="Times New Roman" w:hAnsi="Times New Roman"/>
          <w:sz w:val="24"/>
        </w:rPr>
        <w:t xml:space="preserve"> (Nueva Zelandia) dice que el crecimiento de los grupos migrantes, como los pueblos del Pacífico y los asiáticos, no ha repercutido negativamente en la situación de la comunidad maorí. Los pueblos del Pacífico tienen vínculos étnicos y culturales con los maoríes, y se han beneficiado de la experiencia de este último grupo en las relaciones con el Gobierno en esferas como la prestación de servicios sociales y la creación de empresas.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52. </w:t>
      </w:r>
      <w:r w:rsidRPr="001B1065">
        <w:rPr>
          <w:rFonts w:ascii="Times New Roman" w:hAnsi="Times New Roman"/>
          <w:sz w:val="24"/>
        </w:rPr>
        <w:tab/>
        <w:t>La Estrategia de Prosperidad para el Pacífico, en la que se incluyen el Plan de Acción Económic</w:t>
      </w:r>
      <w:r>
        <w:rPr>
          <w:rFonts w:ascii="Times New Roman" w:hAnsi="Times New Roman"/>
          <w:sz w:val="24"/>
        </w:rPr>
        <w:t>o</w:t>
      </w:r>
      <w:r w:rsidRPr="001B1065">
        <w:rPr>
          <w:rFonts w:ascii="Times New Roman" w:hAnsi="Times New Roman"/>
          <w:sz w:val="24"/>
        </w:rPr>
        <w:t xml:space="preserve"> del Pacífico y el Plan de Desarrollo Económico de las Mujeres del Pacífico, abarca temas como la educación, </w:t>
      </w:r>
      <w:r>
        <w:rPr>
          <w:rFonts w:ascii="Times New Roman" w:hAnsi="Times New Roman"/>
          <w:sz w:val="24"/>
        </w:rPr>
        <w:t xml:space="preserve">el </w:t>
      </w:r>
      <w:r w:rsidRPr="001B1065">
        <w:rPr>
          <w:rFonts w:ascii="Times New Roman" w:hAnsi="Times New Roman"/>
          <w:sz w:val="24"/>
        </w:rPr>
        <w:t xml:space="preserve">aumento de la fuerza de trabajo, </w:t>
      </w:r>
      <w:r>
        <w:rPr>
          <w:rFonts w:ascii="Times New Roman" w:hAnsi="Times New Roman"/>
          <w:sz w:val="24"/>
        </w:rPr>
        <w:t xml:space="preserve">el </w:t>
      </w:r>
      <w:r w:rsidRPr="001B1065">
        <w:rPr>
          <w:rFonts w:ascii="Times New Roman" w:hAnsi="Times New Roman"/>
          <w:sz w:val="24"/>
        </w:rPr>
        <w:t xml:space="preserve">desarrollo de empresas, </w:t>
      </w:r>
      <w:r>
        <w:rPr>
          <w:rFonts w:ascii="Times New Roman" w:hAnsi="Times New Roman"/>
          <w:sz w:val="24"/>
        </w:rPr>
        <w:t xml:space="preserve">las </w:t>
      </w:r>
      <w:r w:rsidRPr="001B1065">
        <w:rPr>
          <w:rFonts w:ascii="Times New Roman" w:hAnsi="Times New Roman"/>
          <w:sz w:val="24"/>
        </w:rPr>
        <w:t xml:space="preserve">industrias creativas y emergentes, </w:t>
      </w:r>
      <w:r>
        <w:rPr>
          <w:rFonts w:ascii="Times New Roman" w:hAnsi="Times New Roman"/>
          <w:sz w:val="24"/>
        </w:rPr>
        <w:t xml:space="preserve">la </w:t>
      </w:r>
      <w:r w:rsidRPr="001B1065">
        <w:rPr>
          <w:rFonts w:ascii="Times New Roman" w:hAnsi="Times New Roman"/>
          <w:sz w:val="24"/>
        </w:rPr>
        <w:t xml:space="preserve">cultura de empresa y </w:t>
      </w:r>
      <w:r>
        <w:rPr>
          <w:rFonts w:ascii="Times New Roman" w:hAnsi="Times New Roman"/>
          <w:sz w:val="24"/>
        </w:rPr>
        <w:t xml:space="preserve">el </w:t>
      </w:r>
      <w:r w:rsidRPr="001B1065">
        <w:rPr>
          <w:rFonts w:ascii="Times New Roman" w:hAnsi="Times New Roman"/>
          <w:sz w:val="24"/>
        </w:rPr>
        <w:t xml:space="preserve">liderazgo. La estrategia refleja el </w:t>
      </w:r>
      <w:r>
        <w:rPr>
          <w:rFonts w:ascii="Times New Roman" w:hAnsi="Times New Roman"/>
          <w:sz w:val="24"/>
        </w:rPr>
        <w:t xml:space="preserve">paso </w:t>
      </w:r>
      <w:r w:rsidRPr="001B1065">
        <w:rPr>
          <w:rFonts w:ascii="Times New Roman" w:hAnsi="Times New Roman"/>
          <w:sz w:val="24"/>
        </w:rPr>
        <w:t xml:space="preserve">de políticas </w:t>
      </w:r>
      <w:r>
        <w:rPr>
          <w:rFonts w:ascii="Times New Roman" w:hAnsi="Times New Roman"/>
          <w:sz w:val="24"/>
        </w:rPr>
        <w:t xml:space="preserve">centradas </w:t>
      </w:r>
      <w:r w:rsidRPr="001B1065">
        <w:rPr>
          <w:rFonts w:ascii="Times New Roman" w:hAnsi="Times New Roman"/>
          <w:sz w:val="24"/>
        </w:rPr>
        <w:t xml:space="preserve">exclusivamente </w:t>
      </w:r>
      <w:r>
        <w:rPr>
          <w:rFonts w:ascii="Times New Roman" w:hAnsi="Times New Roman"/>
          <w:sz w:val="24"/>
        </w:rPr>
        <w:t xml:space="preserve">en el </w:t>
      </w:r>
      <w:r w:rsidRPr="001B1065">
        <w:rPr>
          <w:rFonts w:ascii="Times New Roman" w:hAnsi="Times New Roman"/>
          <w:sz w:val="24"/>
        </w:rPr>
        <w:t xml:space="preserve">desarrollo social a programas concebidos para promover el desarrollo social incrementando la prosperidad económica. Las mejoras en los niveles de vida y de bienestar permitirán conseguir mejores resultados en las esferas de la delincuencia y </w:t>
      </w:r>
      <w:smartTag w:uri="urn:schemas-microsoft-com:office:smarttags" w:element="PersonName">
        <w:smartTagPr>
          <w:attr w:name="ProductID" w:val="la salud. El Gobierno"/>
        </w:smartTagPr>
        <w:r w:rsidRPr="001B1065">
          <w:rPr>
            <w:rFonts w:ascii="Times New Roman" w:hAnsi="Times New Roman"/>
            <w:sz w:val="24"/>
          </w:rPr>
          <w:t>la salud. El Gobierno</w:t>
        </w:r>
      </w:smartTag>
      <w:r w:rsidRPr="001B1065">
        <w:rPr>
          <w:rFonts w:ascii="Times New Roman" w:hAnsi="Times New Roman"/>
          <w:sz w:val="24"/>
        </w:rPr>
        <w:t xml:space="preserve"> informará sobre la estrategia dentro de tres o cinco años.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53. </w:t>
      </w:r>
      <w:r w:rsidRPr="001B1065">
        <w:rPr>
          <w:rFonts w:ascii="Times New Roman" w:hAnsi="Times New Roman"/>
          <w:sz w:val="24"/>
        </w:rPr>
        <w:tab/>
        <w:t>La revisión de las políticas y programas especiales a que se hace referencia en los párrafos</w:t>
      </w:r>
      <w:r>
        <w:rPr>
          <w:rFonts w:ascii="Times New Roman" w:hAnsi="Times New Roman"/>
          <w:sz w:val="24"/>
        </w:rPr>
        <w:t> </w:t>
      </w:r>
      <w:r w:rsidRPr="001B1065">
        <w:rPr>
          <w:rFonts w:ascii="Times New Roman" w:hAnsi="Times New Roman"/>
          <w:sz w:val="24"/>
        </w:rPr>
        <w:t>54 y 55 del informe no ha tenido en cuenta únicamente si los programas en cuestión son todavía necesarios. En algunos casos, como en los programas de c</w:t>
      </w:r>
      <w:r>
        <w:rPr>
          <w:rFonts w:ascii="Times New Roman" w:hAnsi="Times New Roman"/>
          <w:sz w:val="24"/>
        </w:rPr>
        <w:t>reación de empresas administrado</w:t>
      </w:r>
      <w:r w:rsidRPr="001B1065">
        <w:rPr>
          <w:rFonts w:ascii="Times New Roman" w:hAnsi="Times New Roman"/>
          <w:sz w:val="24"/>
        </w:rPr>
        <w:t>s por el Consorcio de Empresas del Pacífico, los programas han recibido de hecho más financiamiento como consecuencia de la revisión.</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54. </w:t>
      </w:r>
      <w:r w:rsidRPr="001B1065">
        <w:rPr>
          <w:rFonts w:ascii="Times New Roman" w:hAnsi="Times New Roman"/>
          <w:sz w:val="24"/>
        </w:rPr>
        <w:tab/>
        <w:t xml:space="preserve">Los miembros han formulado preguntas sobre la enseñanza en las lenguas maternas del Pacífico (párrs. 127 y 128 del informe). </w:t>
      </w:r>
      <w:r>
        <w:rPr>
          <w:rFonts w:ascii="Times New Roman" w:hAnsi="Times New Roman"/>
          <w:sz w:val="24"/>
        </w:rPr>
        <w:t xml:space="preserve">Están ya disponibles las </w:t>
      </w:r>
      <w:r w:rsidRPr="001B1065">
        <w:rPr>
          <w:rFonts w:ascii="Times New Roman" w:hAnsi="Times New Roman"/>
          <w:sz w:val="24"/>
        </w:rPr>
        <w:t xml:space="preserve">directrices para los programas oficiales de apoyo lingüístico en Niue y Tonga </w:t>
      </w:r>
      <w:r>
        <w:rPr>
          <w:rFonts w:ascii="Times New Roman" w:hAnsi="Times New Roman"/>
          <w:sz w:val="24"/>
        </w:rPr>
        <w:t>y</w:t>
      </w:r>
      <w:r w:rsidRPr="001B1065">
        <w:rPr>
          <w:rFonts w:ascii="Times New Roman" w:hAnsi="Times New Roman"/>
          <w:sz w:val="24"/>
        </w:rPr>
        <w:t xml:space="preserve"> a comienzos de 2008 se publicarán las relativas a Tokelau. En 2006 y 2007, el Gobierno financió programas lingüísticos cuyo objetivo es promover la fluidez básica en los contactos hablados, para que los alumnos puedan emprender una educación más académica si lo desean: el compromiso debe partir de los propios alumnos. Se ofrecerán en breve recursos para los idiomas de Niue y las Islas Cook.</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55. </w:t>
      </w:r>
      <w:r w:rsidRPr="001B1065">
        <w:rPr>
          <w:rFonts w:ascii="Times New Roman" w:hAnsi="Times New Roman"/>
          <w:sz w:val="24"/>
        </w:rPr>
        <w:tab/>
        <w:t xml:space="preserve">Los miembros han preguntado cuál es la situación de los pueblos del Pacífico en el sistema de justicia penal. La estrategia de intervenciones eficaces ha permitido el nombramiento de varios </w:t>
      </w:r>
      <w:r>
        <w:rPr>
          <w:rFonts w:ascii="Times New Roman" w:hAnsi="Times New Roman"/>
          <w:sz w:val="24"/>
        </w:rPr>
        <w:t>“</w:t>
      </w:r>
      <w:r w:rsidRPr="001B1065">
        <w:rPr>
          <w:rFonts w:ascii="Times New Roman" w:hAnsi="Times New Roman"/>
          <w:sz w:val="24"/>
        </w:rPr>
        <w:t>funcionarios de prisiones del Pacífico</w:t>
      </w:r>
      <w:r>
        <w:rPr>
          <w:rFonts w:ascii="Times New Roman" w:hAnsi="Times New Roman"/>
          <w:sz w:val="24"/>
        </w:rPr>
        <w:t>”</w:t>
      </w:r>
      <w:r w:rsidRPr="001B1065">
        <w:rPr>
          <w:rFonts w:ascii="Times New Roman" w:hAnsi="Times New Roman"/>
          <w:sz w:val="24"/>
        </w:rPr>
        <w:t xml:space="preserve"> </w:t>
      </w:r>
      <w:r>
        <w:rPr>
          <w:rFonts w:ascii="Times New Roman" w:hAnsi="Times New Roman"/>
          <w:sz w:val="24"/>
        </w:rPr>
        <w:t xml:space="preserve">—de acuerdo con el </w:t>
      </w:r>
      <w:r w:rsidRPr="001B1065">
        <w:rPr>
          <w:rFonts w:ascii="Times New Roman" w:hAnsi="Times New Roman"/>
          <w:sz w:val="24"/>
        </w:rPr>
        <w:t xml:space="preserve">modelo del plan de </w:t>
      </w:r>
      <w:r>
        <w:rPr>
          <w:rFonts w:ascii="Times New Roman" w:hAnsi="Times New Roman"/>
          <w:sz w:val="24"/>
        </w:rPr>
        <w:t>“</w:t>
      </w:r>
      <w:r w:rsidRPr="001B1065">
        <w:rPr>
          <w:rFonts w:ascii="Times New Roman" w:hAnsi="Times New Roman"/>
          <w:sz w:val="24"/>
        </w:rPr>
        <w:t>funcionarios de prisiones maoríes</w:t>
      </w:r>
      <w:r>
        <w:rPr>
          <w:rFonts w:ascii="Times New Roman" w:hAnsi="Times New Roman"/>
          <w:sz w:val="24"/>
        </w:rPr>
        <w:t>”—</w:t>
      </w:r>
      <w:r w:rsidRPr="001B1065">
        <w:rPr>
          <w:rFonts w:ascii="Times New Roman" w:hAnsi="Times New Roman"/>
          <w:sz w:val="24"/>
        </w:rPr>
        <w:t>, que trabajarán con las comunidades del Pacífico para ofrecer servicios acordes con sus prácticas culturales, en particular por lo que se refiere a la prevención de la violencia familiar.</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56. </w:t>
      </w:r>
      <w:r w:rsidRPr="001B1065">
        <w:rPr>
          <w:rFonts w:ascii="Times New Roman" w:hAnsi="Times New Roman"/>
          <w:sz w:val="24"/>
        </w:rPr>
        <w:tab/>
        <w:t xml:space="preserve">El sistema de justicia penal tiene cada vez más en cuenta las preocupaciones de los pueblos del Pacífico. Aproximadamente el 4% de los funcionarios de policía se identifican como pertenecientes a uno de los pueblos del Pacífico, y dos jueces de tribunales de distrito son de Samoa. En el sistema penitenciario, el porcentaje del personal perteneciente a uno de los </w:t>
      </w:r>
      <w:r>
        <w:rPr>
          <w:rFonts w:ascii="Times New Roman" w:hAnsi="Times New Roman"/>
          <w:sz w:val="24"/>
        </w:rPr>
        <w:t xml:space="preserve">pueblos </w:t>
      </w:r>
      <w:r w:rsidRPr="001B1065">
        <w:rPr>
          <w:rFonts w:ascii="Times New Roman" w:hAnsi="Times New Roman"/>
          <w:sz w:val="24"/>
        </w:rPr>
        <w:t>del Pacífico (10%) equivale aproximadamente a la cifra de reclusos (11%)</w:t>
      </w:r>
      <w:r>
        <w:rPr>
          <w:rFonts w:ascii="Times New Roman" w:hAnsi="Times New Roman"/>
          <w:sz w:val="24"/>
        </w:rPr>
        <w:t xml:space="preserve"> de esa procedencia</w:t>
      </w:r>
      <w:r w:rsidRPr="001B1065">
        <w:rPr>
          <w:rFonts w:ascii="Times New Roman" w:hAnsi="Times New Roman"/>
          <w:sz w:val="24"/>
        </w:rPr>
        <w:t>.</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57.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SINGHAM</w:t>
      </w:r>
      <w:r w:rsidRPr="001B1065">
        <w:rPr>
          <w:rFonts w:ascii="Times New Roman" w:hAnsi="Times New Roman"/>
          <w:sz w:val="24"/>
        </w:rPr>
        <w:t xml:space="preserve"> (Nueva Zelandia) dice que la revisión de las políticas y programas especiales (párrs. 54 y 55 del informe) tenía como objetivo verificar la eficacia de los programas, más que cuestionar su valor. La revisión permitió formular directrices, por ejemplo, sobre la selección de grupos étnicos específicos en los casos en que la etnia es un indicador claro de necesidad, </w:t>
      </w:r>
      <w:r>
        <w:rPr>
          <w:rFonts w:ascii="Times New Roman" w:hAnsi="Times New Roman"/>
          <w:sz w:val="24"/>
        </w:rPr>
        <w:t xml:space="preserve">lo que </w:t>
      </w:r>
      <w:r w:rsidRPr="001B1065">
        <w:rPr>
          <w:rFonts w:ascii="Times New Roman" w:hAnsi="Times New Roman"/>
          <w:sz w:val="24"/>
        </w:rPr>
        <w:t>debe dar lugar a intervenciones mejor orientadas en el futuro. En la respuesta de su delegación a las preguntas del Relator para el país se incluye más información, en particular sobre el número de programas</w:t>
      </w:r>
      <w:r>
        <w:rPr>
          <w:rFonts w:ascii="Times New Roman" w:hAnsi="Times New Roman"/>
          <w:sz w:val="24"/>
        </w:rPr>
        <w:t>,</w:t>
      </w:r>
      <w:r w:rsidRPr="001B1065">
        <w:rPr>
          <w:rFonts w:ascii="Times New Roman" w:hAnsi="Times New Roman"/>
          <w:sz w:val="24"/>
        </w:rPr>
        <w:t xml:space="preserve"> que se ha mantenido inalterado después de </w:t>
      </w:r>
      <w:smartTag w:uri="urn:schemas-microsoft-com:office:smarttags" w:element="PersonName">
        <w:smartTagPr>
          <w:attr w:name="ProductID" w:val="la revisi￳n. No"/>
        </w:smartTagPr>
        <w:r w:rsidRPr="001B1065">
          <w:rPr>
            <w:rFonts w:ascii="Times New Roman" w:hAnsi="Times New Roman"/>
            <w:sz w:val="24"/>
          </w:rPr>
          <w:t>la revisión. No</w:t>
        </w:r>
      </w:smartTag>
      <w:r w:rsidRPr="001B1065">
        <w:rPr>
          <w:rFonts w:ascii="Times New Roman" w:hAnsi="Times New Roman"/>
          <w:sz w:val="24"/>
        </w:rPr>
        <w:t xml:space="preserve"> obstante, él no puede presentar una cifra global de los recursos destinados a medidas especiales, debido al gran número de sectores implicados. La estrategia </w:t>
      </w:r>
      <w:r>
        <w:rPr>
          <w:rFonts w:ascii="Times New Roman" w:hAnsi="Times New Roman"/>
          <w:sz w:val="24"/>
        </w:rPr>
        <w:t>“</w:t>
      </w:r>
      <w:r w:rsidRPr="001B1065">
        <w:rPr>
          <w:rFonts w:ascii="Times New Roman" w:hAnsi="Times New Roman"/>
          <w:sz w:val="24"/>
        </w:rPr>
        <w:t>Oportunidades para todos los neozelandeses</w:t>
      </w:r>
      <w:r>
        <w:rPr>
          <w:rFonts w:ascii="Times New Roman" w:hAnsi="Times New Roman"/>
          <w:sz w:val="24"/>
        </w:rPr>
        <w:t>”,</w:t>
      </w:r>
      <w:r w:rsidRPr="001B1065">
        <w:rPr>
          <w:rFonts w:ascii="Times New Roman" w:hAnsi="Times New Roman"/>
          <w:sz w:val="24"/>
        </w:rPr>
        <w:t xml:space="preserve"> de </w:t>
      </w:r>
      <w:smartTag w:uri="urn:schemas-microsoft-com:office:smarttags" w:element="metricconverter">
        <w:smartTagPr>
          <w:attr w:name="ProductID" w:val="2004, ha"/>
        </w:smartTagPr>
        <w:r w:rsidRPr="001B1065">
          <w:rPr>
            <w:rFonts w:ascii="Times New Roman" w:hAnsi="Times New Roman"/>
            <w:sz w:val="24"/>
          </w:rPr>
          <w:t>2004</w:t>
        </w:r>
        <w:r>
          <w:rPr>
            <w:rFonts w:ascii="Times New Roman" w:hAnsi="Times New Roman"/>
            <w:sz w:val="24"/>
          </w:rPr>
          <w:t>,</w:t>
        </w:r>
        <w:r w:rsidRPr="001B1065">
          <w:rPr>
            <w:rFonts w:ascii="Times New Roman" w:hAnsi="Times New Roman"/>
            <w:sz w:val="24"/>
          </w:rPr>
          <w:t xml:space="preserve"> ha</w:t>
        </w:r>
      </w:smartTag>
      <w:r w:rsidRPr="001B1065">
        <w:rPr>
          <w:rFonts w:ascii="Times New Roman" w:hAnsi="Times New Roman"/>
          <w:sz w:val="24"/>
        </w:rPr>
        <w:t xml:space="preserve"> continuado ofreciendo medidas especiales para los grupos étnicos desfavorecidos.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58. </w:t>
      </w:r>
      <w:r w:rsidRPr="001B1065">
        <w:rPr>
          <w:rFonts w:ascii="Times New Roman" w:hAnsi="Times New Roman"/>
          <w:sz w:val="24"/>
        </w:rPr>
        <w:tab/>
        <w:t xml:space="preserve">Los miembros han </w:t>
      </w:r>
      <w:r>
        <w:rPr>
          <w:rFonts w:ascii="Times New Roman" w:hAnsi="Times New Roman"/>
          <w:sz w:val="24"/>
        </w:rPr>
        <w:t xml:space="preserve">formulado preguntas </w:t>
      </w:r>
      <w:r w:rsidRPr="001B1065">
        <w:rPr>
          <w:rFonts w:ascii="Times New Roman" w:hAnsi="Times New Roman"/>
          <w:sz w:val="24"/>
        </w:rPr>
        <w:t xml:space="preserve">sobre los resultados de los programas destinados a agrupar a comunidades diferentes. El objetivo era crear vínculos tanto entre las comunidades de minorías étnicas, </w:t>
      </w:r>
      <w:r>
        <w:rPr>
          <w:rFonts w:ascii="Times New Roman" w:hAnsi="Times New Roman"/>
          <w:sz w:val="24"/>
        </w:rPr>
        <w:t xml:space="preserve">lo </w:t>
      </w:r>
      <w:r w:rsidRPr="001B1065">
        <w:rPr>
          <w:rFonts w:ascii="Times New Roman" w:hAnsi="Times New Roman"/>
          <w:sz w:val="24"/>
        </w:rPr>
        <w:t xml:space="preserve">que fomenta un sentimiento de solidaridad y su participación en los asuntos cívicos, como entre las minorías étnicas y la comunidad anfitriona, lo que ayuda a impedir que las dos comunidades se desarrollen en paralelo, pero separadamente. La Oficina de Asuntos Étnicos promueve las redes de mujeres y ciudadanos de edad avanzada y foros juveniles en que se asocian varios grupos étnicos. La intención es no crear un único grupo homogéneo sino establecer relaciones sólidas y sostenibles y celebrar su diversidad. El próximo año se pondrá en marcha un programa denominado </w:t>
      </w:r>
      <w:r>
        <w:rPr>
          <w:rFonts w:ascii="Times New Roman" w:hAnsi="Times New Roman"/>
          <w:sz w:val="24"/>
        </w:rPr>
        <w:t>“</w:t>
      </w:r>
      <w:r w:rsidRPr="001B1065">
        <w:rPr>
          <w:rFonts w:ascii="Times New Roman" w:hAnsi="Times New Roman"/>
          <w:sz w:val="24"/>
        </w:rPr>
        <w:t>Diálogos auténticos</w:t>
      </w:r>
      <w:r>
        <w:rPr>
          <w:rFonts w:ascii="Times New Roman" w:hAnsi="Times New Roman"/>
          <w:sz w:val="24"/>
        </w:rPr>
        <w:t>”</w:t>
      </w:r>
      <w:r w:rsidRPr="001B1065">
        <w:rPr>
          <w:rFonts w:ascii="Times New Roman" w:hAnsi="Times New Roman"/>
          <w:sz w:val="24"/>
        </w:rPr>
        <w:t>.</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59. </w:t>
      </w:r>
      <w:r w:rsidRPr="001B1065">
        <w:rPr>
          <w:rFonts w:ascii="Times New Roman" w:hAnsi="Times New Roman"/>
          <w:sz w:val="24"/>
        </w:rPr>
        <w:tab/>
        <w:t xml:space="preserve">La fuerza de policía de Nueva Zelandia inició en 2004 una estrategia encaminada a tener en cuenta las necesidades de los distintos grupos étnicos. Entre sus actividades cabe citar el reclutamiento de personal étnicamente diverso, la capacitación para lograr una mayor sensibilización cultural y religiosa y el establecimiento de buenas relaciones con las comunidades formadas por minorías étnicas. La policía responde muy rápidamente a los incidentes de motivación racial, como los atentados contra las mezquitas de Auckland en 2005. La policía colabora también muy estrechamente con </w:t>
      </w:r>
      <w:smartTag w:uri="urn:schemas-microsoft-com:office:smarttags" w:element="PersonName">
        <w:smartTagPr>
          <w:attr w:name="ProductID" w:val="la comunidad Sikh."/>
        </w:smartTagPr>
        <w:r w:rsidRPr="001B1065">
          <w:rPr>
            <w:rFonts w:ascii="Times New Roman" w:hAnsi="Times New Roman"/>
            <w:sz w:val="24"/>
          </w:rPr>
          <w:t>la comunidad Sikh.</w:t>
        </w:r>
      </w:smartTag>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60. </w:t>
      </w:r>
      <w:r w:rsidRPr="001B1065">
        <w:rPr>
          <w:rFonts w:ascii="Times New Roman" w:hAnsi="Times New Roman"/>
          <w:sz w:val="24"/>
        </w:rPr>
        <w:tab/>
        <w:t>La creciente diversidad de la sociedad de Nueva Zelandia plantea claramente un desafío para la población maorí indígena. Es importante que los recién llegados valoren la situación singular de la comunidad maorí. Muchas comunidades de minorías étnicas están muy interesadas en la cultura y el idioma maorí, y se han organizado varios foros para explorar la relación de los recién llegados con los maoríes y su posición con respecto al Tratado de Waitangi. La Oficina de Asuntos Étnicos ha formulado una estrategia para promover vínculos más estrechos entre los maoríes y las comunidades de minorías étnicas durante los tres próximos años.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61. </w:t>
      </w:r>
      <w:r w:rsidRPr="001B1065">
        <w:rPr>
          <w:rFonts w:ascii="Times New Roman" w:hAnsi="Times New Roman"/>
          <w:sz w:val="24"/>
        </w:rPr>
        <w:tab/>
        <w:t>Los miembros han preguntado cuáles son los problemas de empleo para las mujeres de las minorías étnicas. El Gobierno ha insistido en las medidas que ayudan a los miembros de las minorías étnicas, en particular a las mujeres, a participar más activamente en la fuerza de trabajo y al mismo tiempo rompen con los estereotipos de los empleadores. Las estrategias utilizadas son, entre otras, el uso de tutores, el establecimiento de redes entre las comunidades étnicas y los empleadores y las sesiones de información organizadas por empleadores que han tenido éxito con los trabajadores de minorías étnicas.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62. </w:t>
      </w:r>
      <w:r w:rsidRPr="001B1065">
        <w:rPr>
          <w:rFonts w:ascii="Times New Roman" w:hAnsi="Times New Roman"/>
          <w:sz w:val="24"/>
        </w:rPr>
        <w:tab/>
        <w:t xml:space="preserve">En cuanto a la importancia </w:t>
      </w:r>
      <w:r>
        <w:rPr>
          <w:rFonts w:ascii="Times New Roman" w:hAnsi="Times New Roman"/>
          <w:sz w:val="24"/>
        </w:rPr>
        <w:t xml:space="preserve">comparativa </w:t>
      </w:r>
      <w:r w:rsidRPr="001B1065">
        <w:rPr>
          <w:rFonts w:ascii="Times New Roman" w:hAnsi="Times New Roman"/>
          <w:sz w:val="24"/>
        </w:rPr>
        <w:t xml:space="preserve">de la enseñanza en inglés y en lenguas maternas (párrs. </w:t>
      </w:r>
      <w:smartTag w:uri="urn:schemas-microsoft-com:office:smarttags" w:element="metricconverter">
        <w:smartTagPr>
          <w:attr w:name="ProductID" w:val="116 a"/>
        </w:smartTagPr>
        <w:r w:rsidRPr="001B1065">
          <w:rPr>
            <w:rFonts w:ascii="Times New Roman" w:hAnsi="Times New Roman"/>
            <w:sz w:val="24"/>
          </w:rPr>
          <w:t>116 a</w:t>
        </w:r>
      </w:smartTag>
      <w:r w:rsidRPr="001B1065">
        <w:rPr>
          <w:rFonts w:ascii="Times New Roman" w:hAnsi="Times New Roman"/>
          <w:sz w:val="24"/>
        </w:rPr>
        <w:t xml:space="preserve"> 121 del informe), el Gobierno considera que el dominio del inglés es fundamental para la integración en la sociedad </w:t>
      </w:r>
      <w:r>
        <w:rPr>
          <w:rFonts w:ascii="Times New Roman" w:hAnsi="Times New Roman"/>
          <w:sz w:val="24"/>
        </w:rPr>
        <w:t>neozelande</w:t>
      </w:r>
      <w:r w:rsidRPr="001B1065">
        <w:rPr>
          <w:rFonts w:ascii="Times New Roman" w:hAnsi="Times New Roman"/>
          <w:sz w:val="24"/>
        </w:rPr>
        <w:t xml:space="preserve">sa. Desde </w:t>
      </w:r>
      <w:smartTag w:uri="urn:schemas-microsoft-com:office:smarttags" w:element="metricconverter">
        <w:smartTagPr>
          <w:attr w:name="ProductID" w:val="2004, ha"/>
        </w:smartTagPr>
        <w:r w:rsidRPr="001B1065">
          <w:rPr>
            <w:rFonts w:ascii="Times New Roman" w:hAnsi="Times New Roman"/>
            <w:sz w:val="24"/>
          </w:rPr>
          <w:t>2004, ha</w:t>
        </w:r>
      </w:smartTag>
      <w:r w:rsidRPr="001B1065">
        <w:rPr>
          <w:rFonts w:ascii="Times New Roman" w:hAnsi="Times New Roman"/>
          <w:sz w:val="24"/>
        </w:rPr>
        <w:t xml:space="preserve"> financiado un programa de enseñanza del inglés como segundo idioma. Se alienta también el aprendizaje de lenguas menos utilizadas, y la enseñanza de lenguas extranjeras es una de las ocho materias básicas del nuevo programa de estudios para las escuelas que se está elaborando en la actualidad.</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63. </w:t>
      </w:r>
      <w:r w:rsidRPr="001B1065">
        <w:rPr>
          <w:rFonts w:ascii="Times New Roman" w:hAnsi="Times New Roman"/>
          <w:sz w:val="24"/>
        </w:rPr>
        <w:tab/>
        <w:t xml:space="preserve">Se han formulado observaciones acerca de la supuesta resistencia por parte de Nueva </w:t>
      </w:r>
      <w:r>
        <w:rPr>
          <w:rFonts w:ascii="Times New Roman" w:hAnsi="Times New Roman"/>
          <w:sz w:val="24"/>
        </w:rPr>
        <w:t>Zelandia</w:t>
      </w:r>
      <w:r w:rsidRPr="001B1065">
        <w:rPr>
          <w:rFonts w:ascii="Times New Roman" w:hAnsi="Times New Roman"/>
          <w:sz w:val="24"/>
        </w:rPr>
        <w:t xml:space="preserve"> a aceptar refugiados de </w:t>
      </w:r>
      <w:r>
        <w:rPr>
          <w:rFonts w:ascii="Times New Roman" w:hAnsi="Times New Roman"/>
          <w:sz w:val="24"/>
        </w:rPr>
        <w:t>Iraq</w:t>
      </w:r>
      <w:r w:rsidRPr="001B1065">
        <w:rPr>
          <w:rFonts w:ascii="Times New Roman" w:hAnsi="Times New Roman"/>
          <w:sz w:val="24"/>
        </w:rPr>
        <w:t>. Nueva Zelandia acepta una parte desproporcionada de la carga internacional de refugiados, ya que recibe cada año</w:t>
      </w:r>
      <w:r w:rsidRPr="00617AA2">
        <w:rPr>
          <w:rFonts w:ascii="Times New Roman" w:hAnsi="Times New Roman"/>
          <w:sz w:val="24"/>
        </w:rPr>
        <w:t xml:space="preserve"> </w:t>
      </w:r>
      <w:r w:rsidRPr="001B1065">
        <w:rPr>
          <w:rFonts w:ascii="Times New Roman" w:hAnsi="Times New Roman"/>
          <w:sz w:val="24"/>
        </w:rPr>
        <w:t xml:space="preserve">unas 750 personas, el 9% de las cuales proceden de </w:t>
      </w:r>
      <w:r>
        <w:rPr>
          <w:rFonts w:ascii="Times New Roman" w:hAnsi="Times New Roman"/>
          <w:sz w:val="24"/>
        </w:rPr>
        <w:t>Iraq</w:t>
      </w:r>
      <w:r w:rsidRPr="001B1065">
        <w:rPr>
          <w:rFonts w:ascii="Times New Roman" w:hAnsi="Times New Roman"/>
          <w:sz w:val="24"/>
        </w:rPr>
        <w:t xml:space="preserve"> o de Afganistán. El Gobierno tiene en cuenta las prioridades establecidas por la Oficina del Alto Comisionado de las Naciones Unidas para los Refugiados (ACNUR), y concede también prioridad a determinadas categorías, como los miembros de la familia, las mujeres y las personas discapacitadas.</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64.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ABOUL-NASR</w:t>
      </w:r>
      <w:r w:rsidRPr="001B1065">
        <w:rPr>
          <w:rFonts w:ascii="Times New Roman" w:hAnsi="Times New Roman"/>
          <w:sz w:val="24"/>
        </w:rPr>
        <w:t xml:space="preserve"> pregunta si hay cuotas que limiten el número de personas de una determinada nacionalidad que pueden conseguir la ciudadanía </w:t>
      </w:r>
      <w:r>
        <w:rPr>
          <w:rFonts w:ascii="Times New Roman" w:hAnsi="Times New Roman"/>
          <w:sz w:val="24"/>
        </w:rPr>
        <w:t>neozelande</w:t>
      </w:r>
      <w:r w:rsidRPr="001B1065">
        <w:rPr>
          <w:rFonts w:ascii="Times New Roman" w:hAnsi="Times New Roman"/>
          <w:sz w:val="24"/>
        </w:rPr>
        <w:t>sa. ¿Qué definición se utiliza para los diversos grupos étnicos enumerados en los formularios del censo? Él mismo, por ejemplo, que es egipcio, no puede clasificarse ni como ne</w:t>
      </w:r>
      <w:r>
        <w:rPr>
          <w:rFonts w:ascii="Times New Roman" w:hAnsi="Times New Roman"/>
          <w:sz w:val="24"/>
        </w:rPr>
        <w:t xml:space="preserve">gro ni como blanco. Se pregunta </w:t>
      </w:r>
      <w:r w:rsidRPr="001B1065">
        <w:rPr>
          <w:rFonts w:ascii="Times New Roman" w:hAnsi="Times New Roman"/>
          <w:sz w:val="24"/>
        </w:rPr>
        <w:t>también por</w:t>
      </w:r>
      <w:r>
        <w:rPr>
          <w:rFonts w:ascii="Times New Roman" w:hAnsi="Times New Roman"/>
          <w:sz w:val="24"/>
        </w:rPr>
        <w:t xml:space="preserve"> qué</w:t>
      </w:r>
      <w:r w:rsidRPr="001B1065">
        <w:rPr>
          <w:rFonts w:ascii="Times New Roman" w:hAnsi="Times New Roman"/>
          <w:sz w:val="24"/>
        </w:rPr>
        <w:t xml:space="preserve"> </w:t>
      </w:r>
      <w:r>
        <w:rPr>
          <w:rFonts w:ascii="Times New Roman" w:hAnsi="Times New Roman"/>
          <w:sz w:val="24"/>
        </w:rPr>
        <w:t xml:space="preserve">en las clasificaciones de las Naciones Unidas </w:t>
      </w:r>
      <w:r w:rsidRPr="001B1065">
        <w:rPr>
          <w:rFonts w:ascii="Times New Roman" w:hAnsi="Times New Roman"/>
          <w:sz w:val="24"/>
        </w:rPr>
        <w:t xml:space="preserve">Nueva Zelandia aparece </w:t>
      </w:r>
      <w:r>
        <w:rPr>
          <w:rFonts w:ascii="Times New Roman" w:hAnsi="Times New Roman"/>
          <w:sz w:val="24"/>
        </w:rPr>
        <w:t xml:space="preserve">entre </w:t>
      </w:r>
      <w:r w:rsidRPr="001B1065">
        <w:rPr>
          <w:rFonts w:ascii="Times New Roman" w:hAnsi="Times New Roman"/>
          <w:sz w:val="24"/>
        </w:rPr>
        <w:t xml:space="preserve">los países europeos, </w:t>
      </w:r>
      <w:r>
        <w:rPr>
          <w:rFonts w:ascii="Times New Roman" w:hAnsi="Times New Roman"/>
          <w:sz w:val="24"/>
        </w:rPr>
        <w:t xml:space="preserve">cuando </w:t>
      </w:r>
      <w:r w:rsidRPr="001B1065">
        <w:rPr>
          <w:rFonts w:ascii="Times New Roman" w:hAnsi="Times New Roman"/>
          <w:sz w:val="24"/>
        </w:rPr>
        <w:t>geográficamente está en Asia.</w:t>
      </w:r>
    </w:p>
    <w:p w:rsidR="00A154CB" w:rsidRPr="001B1065" w:rsidRDefault="00A154CB">
      <w:pPr>
        <w:spacing w:after="240" w:line="240" w:lineRule="auto"/>
        <w:rPr>
          <w:rFonts w:ascii="Times New Roman" w:hAnsi="Times New Roman"/>
          <w:sz w:val="24"/>
        </w:rPr>
      </w:pPr>
      <w:r w:rsidRPr="001B1065">
        <w:rPr>
          <w:rFonts w:ascii="Times New Roman" w:hAnsi="Times New Roman"/>
          <w:sz w:val="24"/>
        </w:rPr>
        <w:t xml:space="preserve">65.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MACKAY</w:t>
      </w:r>
      <w:r w:rsidRPr="001B1065">
        <w:rPr>
          <w:rFonts w:ascii="Times New Roman" w:hAnsi="Times New Roman"/>
          <w:sz w:val="24"/>
        </w:rPr>
        <w:t xml:space="preserve"> (Nueva Zelandia) dice que</w:t>
      </w:r>
      <w:r>
        <w:rPr>
          <w:rFonts w:ascii="Times New Roman" w:hAnsi="Times New Roman"/>
          <w:sz w:val="24"/>
        </w:rPr>
        <w:t xml:space="preserve">, a su entender, </w:t>
      </w:r>
      <w:r w:rsidRPr="001B1065">
        <w:rPr>
          <w:rFonts w:ascii="Times New Roman" w:hAnsi="Times New Roman"/>
          <w:sz w:val="24"/>
        </w:rPr>
        <w:t>no existen cuotas nacionales para las solicitudes de ciudadanía. La declaración del grupo étnico por parte del interesado en el formulario del censo se deja completamente a su propia discreción. El formulario incluye una categoría global que comprende a las personas del Oriente Medio, de América Latina y de África. Nueva Zelandia es miembro del Grupo de los Estados de Europa Occidental y otros Estados, aunque se encuentra en el grupo asiático en otras organizaciones internacionales.</w:t>
      </w:r>
    </w:p>
    <w:p w:rsidR="00A154CB" w:rsidRDefault="00A154CB">
      <w:pPr>
        <w:spacing w:after="240" w:line="240" w:lineRule="auto"/>
        <w:rPr>
          <w:rFonts w:ascii="Times New Roman" w:hAnsi="Times New Roman"/>
          <w:sz w:val="24"/>
        </w:rPr>
      </w:pPr>
      <w:r w:rsidRPr="001B1065">
        <w:rPr>
          <w:rFonts w:ascii="Times New Roman" w:hAnsi="Times New Roman"/>
          <w:sz w:val="24"/>
        </w:rPr>
        <w:t xml:space="preserve">66. </w:t>
      </w:r>
      <w:r w:rsidRPr="001B1065">
        <w:rPr>
          <w:rFonts w:ascii="Times New Roman" w:hAnsi="Times New Roman"/>
          <w:sz w:val="24"/>
        </w:rPr>
        <w:tab/>
      </w:r>
      <w:r>
        <w:rPr>
          <w:rFonts w:ascii="Times New Roman" w:hAnsi="Times New Roman"/>
          <w:sz w:val="24"/>
        </w:rPr>
        <w:t xml:space="preserve">El </w:t>
      </w:r>
      <w:r>
        <w:rPr>
          <w:rFonts w:ascii="Times New Roman" w:hAnsi="Times New Roman"/>
          <w:b/>
          <w:sz w:val="24"/>
        </w:rPr>
        <w:t>Sr. SICILIANOS</w:t>
      </w:r>
      <w:r w:rsidRPr="001B1065">
        <w:rPr>
          <w:rFonts w:ascii="Times New Roman" w:hAnsi="Times New Roman"/>
          <w:sz w:val="24"/>
        </w:rPr>
        <w:t xml:space="preserve"> (Relator para el país) agradece a la delegación de Nueva Zelandia sus respuestas detalladas, que constituyen una buena base para las observaciones finales del Comité.</w:t>
      </w:r>
    </w:p>
    <w:p w:rsidR="00A154CB" w:rsidRDefault="00A154CB">
      <w:pPr>
        <w:spacing w:after="240" w:line="240" w:lineRule="auto"/>
        <w:jc w:val="center"/>
        <w:rPr>
          <w:rFonts w:ascii="Times New Roman" w:hAnsi="Times New Roman"/>
          <w:i/>
          <w:sz w:val="24"/>
        </w:rPr>
      </w:pPr>
      <w:r>
        <w:rPr>
          <w:rFonts w:ascii="Times New Roman" w:hAnsi="Times New Roman"/>
          <w:i/>
          <w:sz w:val="24"/>
        </w:rPr>
        <w:t>Se levanta la sesión a las 13.00 horas.</w:t>
      </w:r>
    </w:p>
    <w:p w:rsidR="00A154CB" w:rsidRDefault="00A154CB">
      <w:pPr>
        <w:spacing w:after="240" w:line="240" w:lineRule="auto"/>
        <w:jc w:val="center"/>
        <w:rPr>
          <w:rFonts w:ascii="Times New Roman" w:hAnsi="Times New Roman"/>
          <w:i/>
          <w:sz w:val="24"/>
        </w:rPr>
      </w:pPr>
      <w:r>
        <w:rPr>
          <w:rFonts w:ascii="Times New Roman" w:hAnsi="Times New Roman"/>
          <w:i/>
          <w:sz w:val="24"/>
        </w:rPr>
        <w:t>-----</w:t>
      </w:r>
    </w:p>
    <w:sectPr w:rsidR="00A154CB">
      <w:headerReference w:type="even" r:id="rId9"/>
      <w:headerReference w:type="default" r:id="rId10"/>
      <w:footerReference w:type="default" r:id="rId11"/>
      <w:footerReference w:type="first" r:id="rId12"/>
      <w:pgSz w:w="11907" w:h="16840" w:code="9"/>
      <w:pgMar w:top="1134" w:right="851" w:bottom="1701" w:left="1701" w:header="851" w:footer="170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B8" w:rsidRDefault="00E958B8">
      <w:pPr>
        <w:spacing w:after="0" w:line="240" w:lineRule="auto"/>
      </w:pPr>
      <w:r>
        <w:separator/>
      </w:r>
    </w:p>
  </w:endnote>
  <w:endnote w:type="continuationSeparator" w:id="0">
    <w:p w:rsidR="00E958B8" w:rsidRDefault="00E9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CB" w:rsidRPr="00874D77" w:rsidRDefault="00A154CB">
    <w:pPr>
      <w:pStyle w:val="Footer"/>
      <w:tabs>
        <w:tab w:val="left" w:pos="810"/>
      </w:tabs>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CB" w:rsidRDefault="00A154CB">
    <w:pPr>
      <w:pStyle w:val="Footer"/>
      <w:tabs>
        <w:tab w:val="left" w:pos="687"/>
        <w:tab w:val="left" w:pos="720"/>
        <w:tab w:val="left" w:pos="810"/>
      </w:tabs>
      <w:rPr>
        <w:rFonts w:ascii="Times New Roman" w:hAnsi="Times New Roman"/>
      </w:rPr>
    </w:pPr>
    <w:r>
      <w:rPr>
        <w:rFonts w:ascii="Times New Roman" w:hAnsi="Times New Roman"/>
      </w:rPr>
      <w:pict>
        <v:rect id="_x0000_i1025" style="width:0;height:1.5pt" o:hralign="center" o:hrstd="t" o:hr="t" fillcolor="#a0a0a0" stroked="f"/>
      </w:pict>
    </w:r>
  </w:p>
  <w:p w:rsidR="00A154CB" w:rsidRDefault="00A154CB">
    <w:pPr>
      <w:spacing w:after="240" w:line="240" w:lineRule="auto"/>
      <w:ind w:firstLine="562"/>
      <w:rPr>
        <w:rFonts w:ascii="Times New Roman" w:hAnsi="Times New Roman"/>
        <w:sz w:val="24"/>
        <w:szCs w:val="24"/>
        <w:lang w:val="es-ES_tradnl"/>
      </w:rPr>
    </w:pPr>
    <w:r>
      <w:rPr>
        <w:rFonts w:ascii="Times New Roman" w:hAnsi="Times New Roman"/>
        <w:sz w:val="24"/>
        <w:szCs w:val="24"/>
        <w:lang w:val="es-ES_tradnl"/>
      </w:rPr>
      <w:t>La presente acta podrá ser objeto de correcciones.</w:t>
    </w:r>
  </w:p>
  <w:p w:rsidR="00A154CB" w:rsidRDefault="00A154CB">
    <w:pPr>
      <w:spacing w:after="240" w:line="240" w:lineRule="auto"/>
      <w:ind w:firstLine="562"/>
      <w:rPr>
        <w:rFonts w:ascii="Times New Roman" w:hAnsi="Times New Roman"/>
        <w:sz w:val="24"/>
        <w:szCs w:val="24"/>
        <w:lang w:val="es-ES_tradnl"/>
      </w:rPr>
    </w:pPr>
    <w:r>
      <w:rPr>
        <w:rFonts w:ascii="Times New Roman" w:hAnsi="Times New Roman"/>
        <w:sz w:val="24"/>
        <w:szCs w:val="24"/>
        <w:lang w:val="es-ES_tradnl"/>
      </w:rPr>
      <w:t xml:space="preserve">Las correcciones deberán redactarse en uno de los idiomas de trabajo.  Deberán presentarse en forma de memorando, incorporarse en un ejemplar del acta y enviarse, </w:t>
    </w:r>
    <w:r>
      <w:rPr>
        <w:rFonts w:ascii="Times New Roman" w:hAnsi="Times New Roman"/>
        <w:b/>
        <w:sz w:val="24"/>
        <w:szCs w:val="24"/>
        <w:lang w:val="es-ES_tradnl"/>
      </w:rPr>
      <w:t>dentro del plazo de una semana a partir de la fecha del presente documento</w:t>
    </w:r>
    <w:r>
      <w:rPr>
        <w:rFonts w:ascii="Times New Roman" w:hAnsi="Times New Roman"/>
        <w:sz w:val="24"/>
        <w:szCs w:val="24"/>
        <w:lang w:val="es-ES_tradnl"/>
      </w:rPr>
      <w:t>, a la Dependencia de Edición, oficina E.4108, Palacio de las Naciones, Ginebra.</w:t>
    </w:r>
  </w:p>
  <w:p w:rsidR="00A154CB" w:rsidRDefault="00A154CB">
    <w:pPr>
      <w:spacing w:after="240" w:line="240" w:lineRule="auto"/>
      <w:ind w:firstLine="562"/>
      <w:rPr>
        <w:rFonts w:ascii="Times New Roman" w:hAnsi="Times New Roman"/>
        <w:sz w:val="24"/>
        <w:szCs w:val="24"/>
        <w:lang w:val="es-ES_tradnl"/>
      </w:rPr>
    </w:pPr>
    <w:r>
      <w:rPr>
        <w:rFonts w:ascii="Times New Roman" w:hAnsi="Times New Roman"/>
        <w:sz w:val="24"/>
        <w:szCs w:val="24"/>
        <w:lang w:val="es-ES_tradnl"/>
      </w:rPr>
      <w:t>Las correcciones que se introduzcan en las actas de las sesiones públicas del Comité se reunirán en un documento único que se publicará poco después del período de sesiones.</w:t>
    </w:r>
  </w:p>
  <w:p w:rsidR="00A154CB" w:rsidRDefault="00A154CB">
    <w:pPr>
      <w:spacing w:after="0" w:line="240" w:lineRule="auto"/>
      <w:rPr>
        <w:rFonts w:ascii="Times New Roman" w:hAnsi="Times New Roman"/>
        <w:sz w:val="24"/>
        <w:szCs w:val="24"/>
        <w:lang w:val="es-ES_tradnl"/>
      </w:rPr>
    </w:pPr>
  </w:p>
  <w:p w:rsidR="00A154CB" w:rsidRDefault="00A154CB">
    <w:pPr>
      <w:pStyle w:val="Footer"/>
      <w:tabs>
        <w:tab w:val="left" w:pos="810"/>
      </w:tabs>
      <w:rPr>
        <w:rFonts w:ascii="Times New Roman" w:hAnsi="Times New Roman"/>
        <w:sz w:val="24"/>
        <w:szCs w:val="24"/>
      </w:rPr>
    </w:pPr>
    <w:r>
      <w:rPr>
        <w:rFonts w:ascii="Times New Roman" w:hAnsi="Times New Roman"/>
        <w:sz w:val="24"/>
        <w:szCs w:val="24"/>
      </w:rPr>
      <w:t>GE.07-4333</w:t>
    </w:r>
    <w:r w:rsidR="000A7AA9">
      <w:rPr>
        <w:rFonts w:ascii="Times New Roman" w:hAnsi="Times New Roman"/>
        <w:sz w:val="24"/>
        <w:szCs w:val="24"/>
      </w:rPr>
      <w:t>3</w:t>
    </w:r>
    <w:r>
      <w:rPr>
        <w:rFonts w:ascii="Times New Roman" w:hAnsi="Times New Roman"/>
        <w:sz w:val="24"/>
        <w:szCs w:val="24"/>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B8" w:rsidRDefault="00E958B8">
      <w:pPr>
        <w:spacing w:after="0" w:line="240" w:lineRule="auto"/>
      </w:pPr>
      <w:r>
        <w:separator/>
      </w:r>
    </w:p>
  </w:footnote>
  <w:footnote w:type="continuationSeparator" w:id="0">
    <w:p w:rsidR="00E958B8" w:rsidRDefault="00E95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CB" w:rsidRPr="003E6CEE" w:rsidRDefault="00A154CB">
    <w:pPr>
      <w:pStyle w:val="Header"/>
      <w:spacing w:after="0"/>
      <w:rPr>
        <w:lang w:val="es-CO"/>
      </w:rPr>
    </w:pPr>
    <w:r w:rsidRPr="003E6CEE">
      <w:rPr>
        <w:lang w:val="es-CO"/>
      </w:rPr>
      <w:t>CERD/C/SR.1822</w:t>
    </w:r>
  </w:p>
  <w:p w:rsidR="00A154CB" w:rsidRDefault="00A154CB">
    <w:pPr>
      <w:pStyle w:val="Header"/>
      <w:spacing w:after="0"/>
      <w:rPr>
        <w:lang w:val="es-CO"/>
      </w:rPr>
    </w:pPr>
    <w:r w:rsidRPr="003E6CEE">
      <w:rPr>
        <w:lang w:val="es-CO"/>
      </w:rPr>
      <w:t xml:space="preserve">página </w:t>
    </w:r>
    <w:r w:rsidRPr="003E6CEE">
      <w:rPr>
        <w:lang w:val="es-CO"/>
      </w:rPr>
      <w:fldChar w:fldCharType="begin"/>
    </w:r>
    <w:r w:rsidRPr="003E6CEE">
      <w:rPr>
        <w:lang w:val="es-CO"/>
      </w:rPr>
      <w:instrText xml:space="preserve"> PAGE  \* MERGEFORMAT </w:instrText>
    </w:r>
    <w:r w:rsidRPr="003E6CEE">
      <w:rPr>
        <w:lang w:val="es-CO"/>
      </w:rPr>
      <w:fldChar w:fldCharType="separate"/>
    </w:r>
    <w:r w:rsidR="00FF5AA7">
      <w:rPr>
        <w:noProof/>
        <w:lang w:val="es-CO"/>
      </w:rPr>
      <w:t>12</w:t>
    </w:r>
    <w:r w:rsidRPr="003E6CEE">
      <w:rPr>
        <w:lang w:val="es-CO"/>
      </w:rPr>
      <w:fldChar w:fldCharType="end"/>
    </w:r>
  </w:p>
  <w:p w:rsidR="00A154CB" w:rsidRPr="003E6CEE" w:rsidRDefault="00A154CB">
    <w:pPr>
      <w:pStyle w:val="Header"/>
      <w:spacing w:after="0"/>
      <w:rPr>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CB" w:rsidRPr="003E6CEE" w:rsidRDefault="00A154CB">
    <w:pPr>
      <w:pStyle w:val="Header"/>
      <w:spacing w:after="0"/>
      <w:ind w:left="7370"/>
      <w:rPr>
        <w:lang w:val="es-CO"/>
      </w:rPr>
    </w:pPr>
    <w:r w:rsidRPr="003E6CEE">
      <w:rPr>
        <w:lang w:val="es-CO"/>
      </w:rPr>
      <w:t>CERD/C/SR.1822</w:t>
    </w:r>
  </w:p>
  <w:p w:rsidR="00A154CB" w:rsidRDefault="00A154CB">
    <w:pPr>
      <w:pStyle w:val="Header"/>
      <w:spacing w:after="0"/>
      <w:ind w:left="7370"/>
      <w:rPr>
        <w:lang w:val="es-CO"/>
      </w:rPr>
    </w:pPr>
    <w:r w:rsidRPr="003E6CEE">
      <w:rPr>
        <w:lang w:val="es-CO"/>
      </w:rPr>
      <w:t xml:space="preserve">página </w:t>
    </w:r>
    <w:r w:rsidRPr="003E6CEE">
      <w:rPr>
        <w:lang w:val="es-CO"/>
      </w:rPr>
      <w:fldChar w:fldCharType="begin"/>
    </w:r>
    <w:r w:rsidRPr="003E6CEE">
      <w:rPr>
        <w:lang w:val="es-CO"/>
      </w:rPr>
      <w:instrText xml:space="preserve"> PAGE  \* MERGEFORMAT </w:instrText>
    </w:r>
    <w:r w:rsidRPr="003E6CEE">
      <w:rPr>
        <w:lang w:val="es-CO"/>
      </w:rPr>
      <w:fldChar w:fldCharType="separate"/>
    </w:r>
    <w:r w:rsidR="00FF5AA7">
      <w:rPr>
        <w:noProof/>
        <w:lang w:val="es-CO"/>
      </w:rPr>
      <w:t>13</w:t>
    </w:r>
    <w:r w:rsidRPr="003E6CEE">
      <w:rPr>
        <w:lang w:val="es-CO"/>
      </w:rPr>
      <w:fldChar w:fldCharType="end"/>
    </w:r>
  </w:p>
  <w:p w:rsidR="00A154CB" w:rsidRPr="003E6CEE" w:rsidRDefault="00A154CB">
    <w:pPr>
      <w:pStyle w:val="Header"/>
      <w:spacing w:after="0"/>
      <w:ind w:left="737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664290C2"/>
    <w:lvl w:ilvl="0">
      <w:start w:val="1"/>
      <w:numFmt w:val="decimal"/>
      <w:pStyle w:val="ParaNo"/>
      <w:lvlText w:val="%1."/>
      <w:lvlJc w:val="left"/>
      <w:pPr>
        <w:tabs>
          <w:tab w:val="num" w:pos="360"/>
        </w:tabs>
        <w:ind w:left="-1" w:firstLine="1"/>
      </w:pPr>
      <w:rPr>
        <w:rFont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567"/>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AA9"/>
    <w:rsid w:val="000A7AA9"/>
    <w:rsid w:val="00A154CB"/>
    <w:rsid w:val="00E958B8"/>
    <w:rsid w:val="00FF5A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O"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No."/>
    <w:basedOn w:val="Normal"/>
    <w:pPr>
      <w:numPr>
        <w:numId w:val="1"/>
      </w:numPr>
      <w:tabs>
        <w:tab w:val="left" w:pos="737"/>
      </w:tabs>
      <w:spacing w:after="240" w:line="240" w:lineRule="auto"/>
    </w:pPr>
    <w:rPr>
      <w:rFonts w:ascii="Times New Roman" w:eastAsia="Times New Roman" w:hAnsi="Times New Roman"/>
      <w:sz w:val="24"/>
      <w:szCs w:val="20"/>
      <w:lang w:val="fr-CH"/>
    </w:rPr>
  </w:style>
  <w:style w:type="paragraph" w:styleId="Header">
    <w:name w:val="header"/>
    <w:basedOn w:val="Normal"/>
    <w:link w:val="HeaderChar"/>
    <w:pPr>
      <w:tabs>
        <w:tab w:val="center" w:pos="4320"/>
        <w:tab w:val="right" w:pos="8640"/>
      </w:tabs>
      <w:spacing w:after="240" w:line="240" w:lineRule="auto"/>
    </w:pPr>
    <w:rPr>
      <w:rFonts w:ascii="Times New Roman" w:eastAsia="Times New Roman" w:hAnsi="Times New Roman"/>
      <w:sz w:val="24"/>
      <w:szCs w:val="20"/>
      <w:lang w:val="en-GB"/>
    </w:rPr>
  </w:style>
  <w:style w:type="character" w:customStyle="1" w:styleId="HeaderChar">
    <w:name w:val="Header Char"/>
    <w:link w:val="Header"/>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val="da-DK"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noProof/>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6673</Words>
  <Characters>38040</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NACIONES UNIDAS</vt:lpstr>
    </vt:vector>
  </TitlesOfParts>
  <Company>Hewlett-Packard Company</Company>
  <LinksUpToDate>false</LinksUpToDate>
  <CharactersWithSpaces>44624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c:creator>
  <cp:keywords/>
  <cp:lastModifiedBy>CSD</cp:lastModifiedBy>
  <cp:revision>3</cp:revision>
  <cp:lastPrinted>2010-01-13T15:30:00Z</cp:lastPrinted>
  <dcterms:created xsi:type="dcterms:W3CDTF">2010-01-13T15:09:00Z</dcterms:created>
  <dcterms:modified xsi:type="dcterms:W3CDTF">2010-01-13T15:30:00Z</dcterms:modified>
</cp:coreProperties>
</file>