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9007B" w:rsidTr="005E08D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9007B" w:rsidRDefault="00C9007B" w:rsidP="005E08D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007B" w:rsidRDefault="00C9007B" w:rsidP="005E08D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C21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C9007B" w:rsidRDefault="00AD4E9F" w:rsidP="00AD4E9F">
            <w:pPr>
              <w:suppressAutoHyphens w:val="0"/>
              <w:spacing w:after="20"/>
              <w:jc w:val="right"/>
            </w:pPr>
            <w:r w:rsidRPr="00AD4E9F">
              <w:rPr>
                <w:sz w:val="40"/>
              </w:rPr>
              <w:t>CRPD</w:t>
            </w:r>
            <w:r>
              <w:t>/C/EST/RQ/1</w:t>
            </w:r>
          </w:p>
        </w:tc>
      </w:tr>
      <w:tr w:rsidR="00C9007B" w:rsidTr="005E08D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C9007B" w:rsidP="005E08D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A3FB4C1" wp14:editId="090639D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C9007B" w:rsidP="005E08DF">
            <w:pPr>
              <w:spacing w:before="120" w:line="380" w:lineRule="exact"/>
              <w:rPr>
                <w:b/>
                <w:sz w:val="34"/>
                <w:szCs w:val="40"/>
              </w:rPr>
            </w:pPr>
            <w:r>
              <w:rPr>
                <w:b/>
                <w:sz w:val="34"/>
                <w:szCs w:val="40"/>
              </w:rPr>
              <w:t>Convention</w:t>
            </w:r>
            <w:r w:rsidR="00C21D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 w:rsidR="00C21D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the</w:t>
            </w:r>
            <w:r w:rsidR="00C21D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Rights</w:t>
            </w:r>
            <w:r>
              <w:rPr>
                <w:b/>
                <w:sz w:val="34"/>
                <w:szCs w:val="40"/>
              </w:rPr>
              <w:br/>
              <w:t>of</w:t>
            </w:r>
            <w:r w:rsidR="00C21D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Persons</w:t>
            </w:r>
            <w:r w:rsidR="00C21D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with</w:t>
            </w:r>
            <w:r w:rsidR="00C21D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Disabilities</w:t>
            </w:r>
          </w:p>
          <w:p w:rsidR="00C9007B" w:rsidRDefault="00C9007B" w:rsidP="005E08DF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AD4E9F" w:rsidP="00AD4E9F">
            <w:pPr>
              <w:spacing w:before="240"/>
            </w:pPr>
            <w:r>
              <w:t>Distr.:</w:t>
            </w:r>
            <w:r w:rsidR="00C21DB7">
              <w:t xml:space="preserve"> </w:t>
            </w:r>
            <w:r>
              <w:t>General</w:t>
            </w:r>
          </w:p>
          <w:p w:rsidR="00AD4E9F" w:rsidRDefault="00AD4E9F" w:rsidP="00AD4E9F">
            <w:pPr>
              <w:suppressAutoHyphens w:val="0"/>
            </w:pPr>
            <w:r>
              <w:t>16</w:t>
            </w:r>
            <w:r w:rsidR="00C21DB7">
              <w:t xml:space="preserve"> </w:t>
            </w:r>
            <w:r>
              <w:t>December</w:t>
            </w:r>
            <w:r w:rsidR="00C21DB7">
              <w:t xml:space="preserve"> </w:t>
            </w:r>
            <w:r>
              <w:t>2019</w:t>
            </w:r>
          </w:p>
          <w:p w:rsidR="00AD4E9F" w:rsidRDefault="00AD4E9F" w:rsidP="00AD4E9F">
            <w:pPr>
              <w:suppressAutoHyphens w:val="0"/>
            </w:pPr>
          </w:p>
          <w:p w:rsidR="00AD4E9F" w:rsidRDefault="00AD4E9F" w:rsidP="00AD4E9F">
            <w:pPr>
              <w:suppressAutoHyphens w:val="0"/>
            </w:pPr>
            <w:r>
              <w:t>Original:</w:t>
            </w:r>
            <w:r w:rsidR="00C21DB7">
              <w:t xml:space="preserve"> </w:t>
            </w:r>
            <w:r>
              <w:t>English</w:t>
            </w:r>
          </w:p>
          <w:p w:rsidR="00AD4E9F" w:rsidRDefault="00AD4E9F" w:rsidP="00AD4E9F">
            <w:pPr>
              <w:suppressAutoHyphens w:val="0"/>
            </w:pPr>
            <w:r>
              <w:t>English,</w:t>
            </w:r>
            <w:r w:rsidR="00C21DB7">
              <w:t xml:space="preserve"> </w:t>
            </w:r>
            <w:r>
              <w:t>Russian</w:t>
            </w:r>
            <w:r w:rsidR="00C21DB7">
              <w:t xml:space="preserve"> </w:t>
            </w:r>
            <w:r>
              <w:t>and</w:t>
            </w:r>
            <w:r w:rsidR="00C21DB7">
              <w:t xml:space="preserve"> </w:t>
            </w:r>
            <w:r>
              <w:t>Spanish</w:t>
            </w:r>
            <w:r w:rsidR="00C21DB7">
              <w:t xml:space="preserve"> </w:t>
            </w:r>
            <w:r>
              <w:t>only</w:t>
            </w:r>
          </w:p>
        </w:tc>
      </w:tr>
    </w:tbl>
    <w:p w:rsidR="002F001C" w:rsidRPr="002F001C" w:rsidRDefault="002F001C" w:rsidP="002F001C">
      <w:pPr>
        <w:spacing w:before="120"/>
        <w:rPr>
          <w:b/>
          <w:bCs/>
          <w:sz w:val="24"/>
          <w:szCs w:val="24"/>
        </w:rPr>
      </w:pPr>
      <w:r w:rsidRPr="002F001C">
        <w:rPr>
          <w:b/>
          <w:bCs/>
          <w:sz w:val="24"/>
          <w:szCs w:val="24"/>
        </w:rPr>
        <w:t>Committee</w:t>
      </w:r>
      <w:r w:rsidR="00C21DB7">
        <w:rPr>
          <w:b/>
          <w:bCs/>
          <w:sz w:val="24"/>
          <w:szCs w:val="24"/>
        </w:rPr>
        <w:t xml:space="preserve"> </w:t>
      </w:r>
      <w:r w:rsidRPr="002F001C">
        <w:rPr>
          <w:b/>
          <w:bCs/>
          <w:sz w:val="24"/>
          <w:szCs w:val="24"/>
        </w:rPr>
        <w:t>on</w:t>
      </w:r>
      <w:r w:rsidR="00C21DB7">
        <w:rPr>
          <w:b/>
          <w:bCs/>
          <w:sz w:val="24"/>
          <w:szCs w:val="24"/>
        </w:rPr>
        <w:t xml:space="preserve"> </w:t>
      </w:r>
      <w:r w:rsidRPr="002F001C">
        <w:rPr>
          <w:b/>
          <w:bCs/>
          <w:sz w:val="24"/>
          <w:szCs w:val="24"/>
        </w:rPr>
        <w:t>the</w:t>
      </w:r>
      <w:r w:rsidR="00C21DB7">
        <w:rPr>
          <w:b/>
          <w:bCs/>
          <w:sz w:val="24"/>
          <w:szCs w:val="24"/>
        </w:rPr>
        <w:t xml:space="preserve"> </w:t>
      </w:r>
      <w:r w:rsidRPr="002F001C">
        <w:rPr>
          <w:b/>
          <w:bCs/>
          <w:sz w:val="24"/>
          <w:szCs w:val="24"/>
        </w:rPr>
        <w:t>Rights</w:t>
      </w:r>
      <w:r w:rsidR="00C21DB7">
        <w:rPr>
          <w:b/>
          <w:bCs/>
          <w:sz w:val="24"/>
          <w:szCs w:val="24"/>
        </w:rPr>
        <w:t xml:space="preserve"> </w:t>
      </w:r>
      <w:r w:rsidRPr="002F001C">
        <w:rPr>
          <w:b/>
          <w:bCs/>
          <w:sz w:val="24"/>
          <w:szCs w:val="24"/>
        </w:rPr>
        <w:t>of</w:t>
      </w:r>
      <w:r w:rsidR="00C21DB7">
        <w:rPr>
          <w:b/>
          <w:bCs/>
          <w:sz w:val="24"/>
          <w:szCs w:val="24"/>
        </w:rPr>
        <w:t xml:space="preserve"> </w:t>
      </w:r>
      <w:r w:rsidRPr="002F001C">
        <w:rPr>
          <w:b/>
          <w:bCs/>
          <w:sz w:val="24"/>
          <w:szCs w:val="24"/>
        </w:rPr>
        <w:t>Persons</w:t>
      </w:r>
      <w:r w:rsidR="00C21DB7">
        <w:rPr>
          <w:b/>
          <w:bCs/>
          <w:sz w:val="24"/>
          <w:szCs w:val="24"/>
        </w:rPr>
        <w:t xml:space="preserve"> </w:t>
      </w:r>
      <w:r w:rsidRPr="002F001C">
        <w:rPr>
          <w:b/>
          <w:bCs/>
          <w:sz w:val="24"/>
          <w:szCs w:val="24"/>
        </w:rPr>
        <w:t>with</w:t>
      </w:r>
      <w:r w:rsidR="00C21DB7">
        <w:rPr>
          <w:b/>
          <w:bCs/>
          <w:sz w:val="24"/>
          <w:szCs w:val="24"/>
        </w:rPr>
        <w:t xml:space="preserve"> </w:t>
      </w:r>
      <w:r w:rsidRPr="002F001C">
        <w:rPr>
          <w:b/>
          <w:bCs/>
          <w:sz w:val="24"/>
          <w:szCs w:val="24"/>
        </w:rPr>
        <w:t>Disabilities</w:t>
      </w:r>
    </w:p>
    <w:p w:rsidR="002F001C" w:rsidRPr="002F001C" w:rsidRDefault="002F001C" w:rsidP="002F001C">
      <w:pPr>
        <w:rPr>
          <w:b/>
          <w:bCs/>
        </w:rPr>
      </w:pPr>
      <w:r w:rsidRPr="002F001C">
        <w:rPr>
          <w:b/>
          <w:bCs/>
        </w:rPr>
        <w:t>Twenty-third</w:t>
      </w:r>
      <w:r w:rsidR="00C21DB7">
        <w:rPr>
          <w:b/>
          <w:bCs/>
        </w:rPr>
        <w:t xml:space="preserve"> </w:t>
      </w:r>
      <w:r w:rsidRPr="002F001C">
        <w:rPr>
          <w:b/>
          <w:bCs/>
        </w:rPr>
        <w:t>session</w:t>
      </w:r>
    </w:p>
    <w:p w:rsidR="002F001C" w:rsidRPr="00E31BBF" w:rsidRDefault="002F001C" w:rsidP="002F001C">
      <w:r w:rsidRPr="00E31BBF">
        <w:t>9–27</w:t>
      </w:r>
      <w:r w:rsidR="00C21DB7">
        <w:t xml:space="preserve"> </w:t>
      </w:r>
      <w:r w:rsidRPr="00E31BBF">
        <w:t>March</w:t>
      </w:r>
      <w:r w:rsidR="00C21DB7">
        <w:t xml:space="preserve"> </w:t>
      </w:r>
      <w:r w:rsidRPr="00E31BBF">
        <w:t>2020</w:t>
      </w:r>
    </w:p>
    <w:p w:rsidR="002F001C" w:rsidRPr="00E31BBF" w:rsidRDefault="002F001C" w:rsidP="002F001C">
      <w:r w:rsidRPr="00E31BBF">
        <w:t>Item</w:t>
      </w:r>
      <w:r w:rsidR="00C21DB7">
        <w:t xml:space="preserve"> </w:t>
      </w:r>
      <w:proofErr w:type="gramStart"/>
      <w:r w:rsidRPr="00E31BBF">
        <w:t>5</w:t>
      </w:r>
      <w:proofErr w:type="gramEnd"/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provisional</w:t>
      </w:r>
      <w:r w:rsidR="00C21DB7">
        <w:t xml:space="preserve"> </w:t>
      </w:r>
      <w:r w:rsidRPr="00E31BBF">
        <w:t>agenda</w:t>
      </w:r>
    </w:p>
    <w:p w:rsidR="002F001C" w:rsidRPr="002F001C" w:rsidRDefault="002F001C" w:rsidP="002F001C">
      <w:pPr>
        <w:rPr>
          <w:b/>
          <w:bCs/>
        </w:rPr>
      </w:pPr>
      <w:r w:rsidRPr="002F001C">
        <w:rPr>
          <w:b/>
          <w:bCs/>
        </w:rPr>
        <w:t>Consideration</w:t>
      </w:r>
      <w:r w:rsidR="00C21DB7">
        <w:rPr>
          <w:b/>
          <w:bCs/>
        </w:rPr>
        <w:t xml:space="preserve"> </w:t>
      </w:r>
      <w:r w:rsidRPr="002F001C">
        <w:rPr>
          <w:b/>
          <w:bCs/>
        </w:rPr>
        <w:t>of</w:t>
      </w:r>
      <w:r w:rsidR="00C21DB7">
        <w:rPr>
          <w:b/>
          <w:bCs/>
        </w:rPr>
        <w:t xml:space="preserve"> </w:t>
      </w:r>
      <w:r w:rsidRPr="002F001C">
        <w:rPr>
          <w:b/>
          <w:bCs/>
        </w:rPr>
        <w:t>reports</w:t>
      </w:r>
      <w:r w:rsidR="00C21DB7">
        <w:rPr>
          <w:b/>
          <w:bCs/>
        </w:rPr>
        <w:t xml:space="preserve"> </w:t>
      </w:r>
      <w:r w:rsidRPr="002F001C">
        <w:rPr>
          <w:b/>
          <w:bCs/>
        </w:rPr>
        <w:t>submitted</w:t>
      </w:r>
      <w:r w:rsidR="00C21DB7">
        <w:rPr>
          <w:b/>
          <w:bCs/>
        </w:rPr>
        <w:t xml:space="preserve"> </w:t>
      </w:r>
      <w:r w:rsidRPr="002F001C">
        <w:rPr>
          <w:b/>
          <w:bCs/>
        </w:rPr>
        <w:t>by</w:t>
      </w:r>
      <w:r w:rsidR="00C21DB7">
        <w:rPr>
          <w:b/>
          <w:bCs/>
        </w:rPr>
        <w:t xml:space="preserve"> </w:t>
      </w:r>
      <w:r w:rsidRPr="002F001C">
        <w:rPr>
          <w:b/>
          <w:bCs/>
        </w:rPr>
        <w:t>parties</w:t>
      </w:r>
      <w:r w:rsidR="00C21DB7">
        <w:rPr>
          <w:b/>
          <w:bCs/>
        </w:rPr>
        <w:t xml:space="preserve"> </w:t>
      </w:r>
      <w:r w:rsidRPr="002F001C">
        <w:rPr>
          <w:b/>
          <w:bCs/>
        </w:rPr>
        <w:t>to</w:t>
      </w:r>
      <w:r w:rsidR="00C21DB7">
        <w:rPr>
          <w:b/>
          <w:bCs/>
        </w:rPr>
        <w:t xml:space="preserve"> </w:t>
      </w:r>
      <w:r w:rsidRPr="002F001C">
        <w:rPr>
          <w:b/>
          <w:bCs/>
        </w:rPr>
        <w:br/>
        <w:t>the</w:t>
      </w:r>
      <w:r w:rsidR="00C21DB7">
        <w:rPr>
          <w:b/>
          <w:bCs/>
        </w:rPr>
        <w:t xml:space="preserve"> </w:t>
      </w:r>
      <w:r w:rsidRPr="002F001C">
        <w:rPr>
          <w:b/>
          <w:bCs/>
        </w:rPr>
        <w:t>Convention</w:t>
      </w:r>
      <w:r w:rsidR="00C21DB7">
        <w:rPr>
          <w:b/>
          <w:bCs/>
        </w:rPr>
        <w:t xml:space="preserve"> </w:t>
      </w:r>
      <w:r w:rsidRPr="002F001C">
        <w:rPr>
          <w:b/>
          <w:bCs/>
        </w:rPr>
        <w:t>under</w:t>
      </w:r>
      <w:r w:rsidR="00C21DB7">
        <w:rPr>
          <w:b/>
          <w:bCs/>
        </w:rPr>
        <w:t xml:space="preserve"> </w:t>
      </w:r>
      <w:r w:rsidRPr="002F001C">
        <w:rPr>
          <w:b/>
          <w:bCs/>
        </w:rPr>
        <w:t>article</w:t>
      </w:r>
      <w:r w:rsidR="00C21DB7">
        <w:rPr>
          <w:b/>
          <w:bCs/>
        </w:rPr>
        <w:t xml:space="preserve"> </w:t>
      </w:r>
      <w:r w:rsidRPr="002F001C">
        <w:rPr>
          <w:b/>
          <w:bCs/>
        </w:rPr>
        <w:t>35</w:t>
      </w:r>
    </w:p>
    <w:p w:rsidR="002F001C" w:rsidRPr="00E31BBF" w:rsidRDefault="002F001C" w:rsidP="002F001C">
      <w:pPr>
        <w:pStyle w:val="HChG"/>
      </w:pPr>
      <w:r w:rsidRPr="00E31BBF">
        <w:tab/>
      </w:r>
      <w:r w:rsidRPr="00E31BBF">
        <w:tab/>
        <w:t>Replies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relation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its</w:t>
      </w:r>
      <w:r w:rsidR="00C21DB7">
        <w:t xml:space="preserve"> </w:t>
      </w:r>
      <w:r w:rsidRPr="00E31BBF">
        <w:t>initial</w:t>
      </w:r>
      <w:r w:rsidR="00C21DB7">
        <w:t xml:space="preserve"> </w:t>
      </w:r>
      <w:r w:rsidRPr="00E31BBF">
        <w:t>report</w:t>
      </w:r>
      <w:r w:rsidR="00732F46" w:rsidRPr="00732F46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2F001C" w:rsidRPr="00E31BBF" w:rsidRDefault="002F001C" w:rsidP="00732F46">
      <w:pPr>
        <w:pStyle w:val="SingleTxtG"/>
        <w:jc w:val="right"/>
      </w:pPr>
      <w:r w:rsidRPr="00E31BBF">
        <w:t>[Date</w:t>
      </w:r>
      <w:r w:rsidR="00C21DB7">
        <w:t xml:space="preserve"> </w:t>
      </w:r>
      <w:proofErr w:type="gramStart"/>
      <w:r w:rsidRPr="00E31BBF">
        <w:t>received:</w:t>
      </w:r>
      <w:proofErr w:type="gramEnd"/>
      <w:r w:rsidR="00C21DB7">
        <w:t xml:space="preserve"> </w:t>
      </w:r>
      <w:r w:rsidRPr="00E31BBF">
        <w:t>10</w:t>
      </w:r>
      <w:r w:rsidR="00C21DB7">
        <w:t xml:space="preserve"> </w:t>
      </w:r>
      <w:r w:rsidRPr="00E31BBF">
        <w:t>December</w:t>
      </w:r>
      <w:r w:rsidR="00C21DB7">
        <w:t xml:space="preserve"> </w:t>
      </w:r>
      <w:r w:rsidRPr="00E31BBF">
        <w:t>2019]</w:t>
      </w:r>
    </w:p>
    <w:p w:rsidR="002F001C" w:rsidRPr="00E31BBF" w:rsidRDefault="002F001C" w:rsidP="002F001C">
      <w:r w:rsidRPr="00E31BBF">
        <w:br w:type="page"/>
      </w:r>
    </w:p>
    <w:p w:rsidR="002F001C" w:rsidRPr="00E31BBF" w:rsidRDefault="002F001C" w:rsidP="003B09C3">
      <w:pPr>
        <w:pStyle w:val="HChG"/>
      </w:pPr>
      <w:r w:rsidRPr="00E31BBF">
        <w:lastRenderedPageBreak/>
        <w:tab/>
        <w:t>A.</w:t>
      </w:r>
      <w:r w:rsidRPr="00E31BBF">
        <w:tab/>
        <w:t>Purpose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general</w:t>
      </w:r>
      <w:r w:rsidR="00C21DB7">
        <w:t xml:space="preserve"> </w:t>
      </w:r>
      <w:r w:rsidRPr="00E31BBF">
        <w:t>obligations</w:t>
      </w:r>
      <w:r w:rsidR="00C21DB7">
        <w:t xml:space="preserve"> </w:t>
      </w:r>
      <w:r w:rsidRPr="00E31BBF">
        <w:t>(arts.</w:t>
      </w:r>
      <w:r w:rsidR="00C21DB7">
        <w:t xml:space="preserve"> </w:t>
      </w:r>
      <w:r w:rsidRPr="00E31BBF">
        <w:t>1–4)</w:t>
      </w:r>
      <w:r w:rsidR="00C21DB7">
        <w:t xml:space="preserve"> </w:t>
      </w:r>
    </w:p>
    <w:p w:rsidR="002F001C" w:rsidRPr="00E31BBF" w:rsidRDefault="002F001C" w:rsidP="00410130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</w:t>
      </w:r>
      <w:r w:rsidR="00A354BB">
        <w:t xml:space="preserve"> </w:t>
      </w:r>
      <w:r w:rsidRPr="00E31BBF">
        <w:t>(a)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(b)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  <w:r w:rsidRPr="00E31BBF">
        <w:t>CRPD/C/EST/Q/1</w:t>
      </w:r>
    </w:p>
    <w:p w:rsidR="002F001C" w:rsidRPr="00E31BBF" w:rsidRDefault="002F001C" w:rsidP="00732F46">
      <w:pPr>
        <w:pStyle w:val="SingleTxtG"/>
      </w:pPr>
      <w:r w:rsidRPr="00E31BBF">
        <w:t>1.</w:t>
      </w:r>
      <w:r w:rsidRPr="00E31BBF">
        <w:tab/>
        <w:t>Advancing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rights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line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principles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Convention</w:t>
      </w:r>
      <w:r w:rsidR="00C21DB7">
        <w:t xml:space="preserve"> </w:t>
      </w:r>
      <w:proofErr w:type="gramStart"/>
      <w:r w:rsidRPr="00E31BBF">
        <w:t>is</w:t>
      </w:r>
      <w:r w:rsidR="00C21DB7">
        <w:t xml:space="preserve"> </w:t>
      </w:r>
      <w:r w:rsidRPr="00E31BBF">
        <w:t>mainstreamed</w:t>
      </w:r>
      <w:proofErr w:type="gramEnd"/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several</w:t>
      </w:r>
      <w:r w:rsidR="00C21DB7">
        <w:t xml:space="preserve"> </w:t>
      </w:r>
      <w:r w:rsidRPr="00E31BBF">
        <w:t>development</w:t>
      </w:r>
      <w:r w:rsidR="00C21DB7">
        <w:t xml:space="preserve"> </w:t>
      </w:r>
      <w:r w:rsidRPr="00E31BBF">
        <w:t>plans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strategies,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most</w:t>
      </w:r>
      <w:r w:rsidR="00C21DB7">
        <w:t xml:space="preserve"> </w:t>
      </w:r>
      <w:r w:rsidRPr="00E31BBF">
        <w:t>relevant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them</w:t>
      </w:r>
      <w:r w:rsidR="00C21DB7">
        <w:t xml:space="preserve"> </w:t>
      </w:r>
      <w:r w:rsidRPr="00E31BBF">
        <w:t>being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Welfare</w:t>
      </w:r>
      <w:r w:rsidR="00C21DB7">
        <w:t xml:space="preserve"> </w:t>
      </w:r>
      <w:r w:rsidRPr="00E31BBF">
        <w:t>Development</w:t>
      </w:r>
      <w:r w:rsidR="00C21DB7">
        <w:t xml:space="preserve"> </w:t>
      </w:r>
      <w:r w:rsidRPr="00E31BBF">
        <w:t>Plan</w:t>
      </w:r>
      <w:r w:rsidR="00C21DB7">
        <w:t xml:space="preserve"> </w:t>
      </w:r>
      <w:r w:rsidRPr="00E31BBF">
        <w:t>2016</w:t>
      </w:r>
      <w:r w:rsidR="003E41EF">
        <w:t>–</w:t>
      </w:r>
      <w:r w:rsidRPr="00E31BBF">
        <w:t>2023.</w:t>
      </w:r>
    </w:p>
    <w:p w:rsidR="002F001C" w:rsidRPr="00E31BBF" w:rsidRDefault="002F001C" w:rsidP="00732F46">
      <w:pPr>
        <w:pStyle w:val="SingleTxtG"/>
      </w:pPr>
      <w:r w:rsidRPr="00E31BBF">
        <w:t>2.</w:t>
      </w:r>
      <w:r w:rsidRPr="00E31BBF">
        <w:tab/>
        <w:t>Problems</w:t>
      </w:r>
      <w:r w:rsidR="00C21DB7">
        <w:t xml:space="preserve"> </w:t>
      </w:r>
      <w:r w:rsidRPr="00E31BBF">
        <w:t>faced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target</w:t>
      </w:r>
      <w:r w:rsidR="00C21DB7">
        <w:t xml:space="preserve"> </w:t>
      </w:r>
      <w:r w:rsidRPr="00E31BBF">
        <w:t>group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relevant</w:t>
      </w:r>
      <w:r w:rsidR="00C21DB7">
        <w:t xml:space="preserve"> </w:t>
      </w:r>
      <w:r w:rsidRPr="00E31BBF">
        <w:t>policy</w:t>
      </w:r>
      <w:r w:rsidR="00C21DB7">
        <w:t xml:space="preserve"> </w:t>
      </w:r>
      <w:r w:rsidRPr="00E31BBF">
        <w:t>instruments</w:t>
      </w:r>
      <w:r w:rsidR="00C21DB7">
        <w:t xml:space="preserve"> </w:t>
      </w:r>
      <w:proofErr w:type="gramStart"/>
      <w:r w:rsidRPr="00E31BBF">
        <w:t>are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less</w:t>
      </w:r>
      <w:r w:rsidR="00C21DB7">
        <w:t xml:space="preserve"> </w:t>
      </w:r>
      <w:r w:rsidRPr="00E31BBF">
        <w:t>directly</w:t>
      </w:r>
      <w:r w:rsidR="00C21DB7">
        <w:t xml:space="preserve"> </w:t>
      </w:r>
      <w:r w:rsidRPr="00E31BBF">
        <w:t>described</w:t>
      </w:r>
      <w:proofErr w:type="gramEnd"/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four</w:t>
      </w:r>
      <w:r w:rsidR="00C21DB7">
        <w:t xml:space="preserve"> </w:t>
      </w:r>
      <w:r w:rsidRPr="00E31BBF">
        <w:t>sub-objectives.</w:t>
      </w:r>
      <w:r w:rsidR="00C21DB7">
        <w:t xml:space="preserve"> </w:t>
      </w:r>
      <w:r w:rsidRPr="00E31BBF">
        <w:t>However,</w:t>
      </w:r>
      <w:r w:rsidR="00C21DB7">
        <w:t xml:space="preserve"> </w:t>
      </w:r>
      <w:r w:rsidRPr="00E31BBF">
        <w:t>sub-objective</w:t>
      </w:r>
      <w:r w:rsidR="00C21DB7">
        <w:t xml:space="preserve"> </w:t>
      </w:r>
      <w:r w:rsidRPr="00E31BBF">
        <w:t>no</w:t>
      </w:r>
      <w:r w:rsidR="00C21DB7">
        <w:t xml:space="preserve"> </w:t>
      </w:r>
      <w:r w:rsidRPr="00E31BBF">
        <w:t>3</w:t>
      </w:r>
      <w:r w:rsidR="00C21DB7">
        <w:t xml:space="preserve"> </w:t>
      </w:r>
      <w:r w:rsidRPr="00E31BBF">
        <w:t>focuses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directly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improving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quality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services,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development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include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society,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protection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fundamental</w:t>
      </w:r>
      <w:r w:rsidR="00C21DB7">
        <w:t xml:space="preserve"> </w:t>
      </w:r>
      <w:r w:rsidRPr="00E31BBF">
        <w:t>rights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freedoms.</w:t>
      </w:r>
    </w:p>
    <w:p w:rsidR="002F001C" w:rsidRPr="00E31BBF" w:rsidRDefault="002F001C" w:rsidP="00410130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</w:t>
      </w:r>
      <w:r w:rsidR="00A354BB">
        <w:t xml:space="preserve"> </w:t>
      </w:r>
      <w:r w:rsidRPr="00E31BBF">
        <w:t>(c)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3.</w:t>
      </w:r>
      <w:r w:rsidRPr="00E31BBF">
        <w:tab/>
        <w:t>In</w:t>
      </w:r>
      <w:r w:rsidR="00C21DB7">
        <w:t xml:space="preserve"> </w:t>
      </w:r>
      <w:r w:rsidRPr="00E31BBF">
        <w:t>2016,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new</w:t>
      </w:r>
      <w:r w:rsidR="00C21DB7">
        <w:t xml:space="preserve"> </w:t>
      </w:r>
      <w:r w:rsidRPr="00E31BBF">
        <w:t>system</w:t>
      </w:r>
      <w:r w:rsidR="00C21DB7">
        <w:t xml:space="preserve"> </w:t>
      </w:r>
      <w:r w:rsidRPr="00E31BBF">
        <w:t>was</w:t>
      </w:r>
      <w:r w:rsidR="00C21DB7">
        <w:t xml:space="preserve"> </w:t>
      </w:r>
      <w:r w:rsidRPr="00E31BBF">
        <w:t>set</w:t>
      </w:r>
      <w:r w:rsidR="00C21DB7">
        <w:t xml:space="preserve"> </w:t>
      </w:r>
      <w:r w:rsidRPr="00E31BBF">
        <w:t>up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supporting</w:t>
      </w:r>
      <w:r w:rsidR="00C21DB7">
        <w:t xml:space="preserve"> </w:t>
      </w:r>
      <w:r w:rsidRPr="00E31BBF">
        <w:t>working</w:t>
      </w:r>
      <w:r w:rsidR="00C21DB7">
        <w:t xml:space="preserve"> </w:t>
      </w:r>
      <w:r w:rsidRPr="00E31BBF">
        <w:t>ability,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renewed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way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assessing</w:t>
      </w:r>
      <w:r w:rsidR="00C21DB7">
        <w:t xml:space="preserve"> </w:t>
      </w:r>
      <w:r w:rsidRPr="00E31BBF">
        <w:t>working</w:t>
      </w:r>
      <w:r w:rsidR="00C21DB7">
        <w:t xml:space="preserve"> </w:t>
      </w:r>
      <w:r w:rsidRPr="00E31BBF">
        <w:t>ability,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subsidies</w:t>
      </w:r>
      <w:r w:rsidR="003E41EF">
        <w:t>’</w:t>
      </w:r>
      <w:r w:rsidR="00C21DB7">
        <w:t xml:space="preserve"> </w:t>
      </w:r>
      <w:r w:rsidRPr="00E31BBF">
        <w:t>system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range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provided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Unemployment</w:t>
      </w:r>
      <w:r w:rsidR="00C21DB7">
        <w:t xml:space="preserve"> </w:t>
      </w:r>
      <w:r w:rsidRPr="00E31BBF">
        <w:t>Insurance</w:t>
      </w:r>
      <w:r w:rsidR="00C21DB7">
        <w:t xml:space="preserve"> </w:t>
      </w:r>
      <w:r w:rsidRPr="00E31BBF">
        <w:t>Fund.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system</w:t>
      </w:r>
      <w:r w:rsidR="00C21DB7">
        <w:t xml:space="preserve"> </w:t>
      </w:r>
      <w:proofErr w:type="gramStart"/>
      <w:r w:rsidRPr="00E31BBF">
        <w:t>is</w:t>
      </w:r>
      <w:r w:rsidR="00C21DB7">
        <w:t xml:space="preserve"> </w:t>
      </w:r>
      <w:r w:rsidRPr="00E31BBF">
        <w:t>based</w:t>
      </w:r>
      <w:proofErr w:type="gramEnd"/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individual</w:t>
      </w:r>
      <w:r w:rsidR="00C21DB7">
        <w:t xml:space="preserve"> </w:t>
      </w:r>
      <w:r w:rsidRPr="00E31BBF">
        <w:t>approach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case</w:t>
      </w:r>
      <w:r w:rsidR="00C21DB7">
        <w:t xml:space="preserve"> </w:t>
      </w:r>
      <w:r w:rsidRPr="00E31BBF">
        <w:t>management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every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person.</w:t>
      </w:r>
      <w:r w:rsidR="00C21DB7">
        <w:t xml:space="preserve"> </w:t>
      </w:r>
      <w:proofErr w:type="gramStart"/>
      <w:r w:rsidRPr="00E31BBF">
        <w:t>Also</w:t>
      </w:r>
      <w:proofErr w:type="gramEnd"/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issues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considered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advising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supporting</w:t>
      </w:r>
      <w:r w:rsidR="00C21DB7">
        <w:t xml:space="preserve"> </w:t>
      </w:r>
      <w:r w:rsidRPr="00E31BBF">
        <w:t>job</w:t>
      </w:r>
      <w:r w:rsidR="00C21DB7">
        <w:t xml:space="preserve"> </w:t>
      </w:r>
      <w:r w:rsidRPr="00E31BBF">
        <w:t>search.</w:t>
      </w:r>
    </w:p>
    <w:p w:rsidR="002F001C" w:rsidRPr="00E31BBF" w:rsidRDefault="002F001C" w:rsidP="00732F46">
      <w:pPr>
        <w:pStyle w:val="SingleTxtG"/>
      </w:pPr>
      <w:r w:rsidRPr="00E31BBF">
        <w:t>4.</w:t>
      </w:r>
      <w:r w:rsidRPr="00E31BBF">
        <w:tab/>
        <w:t>The</w:t>
      </w:r>
      <w:r w:rsidR="00C21DB7">
        <w:t xml:space="preserve"> </w:t>
      </w:r>
      <w:r w:rsidRPr="00E31BBF">
        <w:t>new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ability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system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had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significantly</w:t>
      </w:r>
      <w:r w:rsidR="00C21DB7">
        <w:t xml:space="preserve"> </w:t>
      </w:r>
      <w:r w:rsidRPr="00E31BBF">
        <w:t>positive</w:t>
      </w:r>
      <w:r w:rsidR="00C21DB7">
        <w:t xml:space="preserve"> </w:t>
      </w:r>
      <w:r w:rsidRPr="00E31BBF">
        <w:t>effect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labour</w:t>
      </w:r>
      <w:r w:rsidR="00C21DB7">
        <w:t xml:space="preserve"> </w:t>
      </w:r>
      <w:r w:rsidRPr="00E31BBF">
        <w:t>market</w:t>
      </w:r>
      <w:r w:rsidR="00C21DB7">
        <w:t xml:space="preserve"> </w:t>
      </w:r>
      <w:r w:rsidRPr="00E31BBF">
        <w:t>participation.</w:t>
      </w:r>
      <w:r w:rsidR="00C21DB7">
        <w:t xml:space="preserve"> </w:t>
      </w:r>
      <w:r w:rsidRPr="00E31BBF">
        <w:t>Initially,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goal</w:t>
      </w:r>
      <w:r w:rsidR="00C21DB7">
        <w:t xml:space="preserve"> </w:t>
      </w:r>
      <w:r w:rsidRPr="00E31BBF">
        <w:t>was</w:t>
      </w:r>
      <w:r w:rsidR="00C21DB7">
        <w:t xml:space="preserve"> </w:t>
      </w:r>
      <w:r w:rsidRPr="00E31BBF">
        <w:t>set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year</w:t>
      </w:r>
      <w:r w:rsidR="00C21DB7">
        <w:t xml:space="preserve"> </w:t>
      </w:r>
      <w:r w:rsidRPr="00E31BBF">
        <w:t>2022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number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reduced</w:t>
      </w:r>
      <w:r w:rsidR="00C21DB7">
        <w:t xml:space="preserve"> </w:t>
      </w:r>
      <w:r w:rsidRPr="00E31BBF">
        <w:t>working</w:t>
      </w:r>
      <w:r w:rsidR="00C21DB7">
        <w:t xml:space="preserve"> </w:t>
      </w:r>
      <w:r w:rsidRPr="00E31BBF">
        <w:t>ability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employment</w:t>
      </w:r>
      <w:r w:rsidR="00C21DB7">
        <w:t xml:space="preserve"> </w:t>
      </w:r>
      <w:r w:rsidRPr="00E31BBF">
        <w:t>would</w:t>
      </w:r>
      <w:r w:rsidR="00C21DB7">
        <w:t xml:space="preserve"> </w:t>
      </w:r>
      <w:r w:rsidRPr="00E31BBF">
        <w:t>increase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over</w:t>
      </w:r>
      <w:r w:rsidR="00C21DB7">
        <w:t xml:space="preserve"> </w:t>
      </w:r>
      <w:r w:rsidRPr="00E31BBF">
        <w:t>50%</w:t>
      </w:r>
      <w:r w:rsidR="00C21DB7">
        <w:t xml:space="preserve"> </w:t>
      </w:r>
      <w:r w:rsidR="003E41EF">
        <w:t>–</w:t>
      </w:r>
      <w:r w:rsidR="00C21DB7">
        <w:t xml:space="preserve"> </w:t>
      </w:r>
      <w:r w:rsidRPr="00E31BBF">
        <w:t>which</w:t>
      </w:r>
      <w:r w:rsidR="00C21DB7">
        <w:t xml:space="preserve"> </w:t>
      </w:r>
      <w:proofErr w:type="gramStart"/>
      <w:r w:rsidRPr="00E31BBF">
        <w:t>was</w:t>
      </w:r>
      <w:r w:rsidR="00C21DB7">
        <w:t xml:space="preserve"> </w:t>
      </w:r>
      <w:r w:rsidRPr="00E31BBF">
        <w:t>established</w:t>
      </w:r>
      <w:proofErr w:type="gramEnd"/>
      <w:r w:rsidR="00C21DB7">
        <w:t xml:space="preserve"> </w:t>
      </w:r>
      <w:r w:rsidRPr="00E31BBF">
        <w:t>already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2017.</w:t>
      </w:r>
      <w:r w:rsidR="00C21DB7">
        <w:t xml:space="preserve"> </w:t>
      </w:r>
      <w:r w:rsidRPr="00E31BBF"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estimates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Finance,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year</w:t>
      </w:r>
      <w:r w:rsidR="00C21DB7">
        <w:t xml:space="preserve"> </w:t>
      </w:r>
      <w:r w:rsidRPr="00E31BBF">
        <w:t>2022,</w:t>
      </w:r>
      <w:r w:rsidR="00C21DB7">
        <w:t xml:space="preserve"> </w:t>
      </w:r>
      <w:r w:rsidRPr="00E31BBF">
        <w:t>there</w:t>
      </w:r>
      <w:r w:rsidR="00C21DB7">
        <w:t xml:space="preserve"> </w:t>
      </w:r>
      <w:r w:rsidRPr="00E31BBF">
        <w:t>will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19</w:t>
      </w:r>
      <w:r w:rsidR="00C21DB7">
        <w:t xml:space="preserve"> </w:t>
      </w:r>
      <w:r w:rsidRPr="00E31BBF">
        <w:t>100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employment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16</w:t>
      </w:r>
      <w:r w:rsidR="00C21DB7">
        <w:t xml:space="preserve"> </w:t>
      </w:r>
      <w:r w:rsidRPr="00E31BBF">
        <w:t>400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actively</w:t>
      </w:r>
      <w:r w:rsidR="00C21DB7">
        <w:t xml:space="preserve"> </w:t>
      </w:r>
      <w:r w:rsidRPr="00E31BBF">
        <w:t>looking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due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ability</w:t>
      </w:r>
      <w:r w:rsidR="00C21DB7">
        <w:t xml:space="preserve"> </w:t>
      </w:r>
      <w:r w:rsidRPr="00E31BBF">
        <w:t>reform,</w:t>
      </w:r>
      <w:r w:rsidR="00C21DB7">
        <w:t xml:space="preserve"> </w:t>
      </w:r>
      <w:r w:rsidRPr="00E31BBF">
        <w:t>compared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how</w:t>
      </w:r>
      <w:r w:rsidR="00C21DB7">
        <w:t xml:space="preserve"> </w:t>
      </w:r>
      <w:r w:rsidRPr="00E31BBF">
        <w:t>many</w:t>
      </w:r>
      <w:r w:rsidR="00C21DB7">
        <w:t xml:space="preserve"> </w:t>
      </w:r>
      <w:r w:rsidRPr="00E31BBF">
        <w:t>there</w:t>
      </w:r>
      <w:r w:rsidR="00C21DB7">
        <w:t xml:space="preserve"> </w:t>
      </w:r>
      <w:r w:rsidRPr="00E31BBF">
        <w:t>would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old</w:t>
      </w:r>
      <w:r w:rsidR="00C21DB7">
        <w:t xml:space="preserve"> </w:t>
      </w:r>
      <w:r w:rsidRPr="00E31BBF">
        <w:t>system.</w:t>
      </w:r>
    </w:p>
    <w:p w:rsidR="002F001C" w:rsidRPr="00E31BBF" w:rsidRDefault="002F001C" w:rsidP="00732F46">
      <w:pPr>
        <w:pStyle w:val="SingleTxtG"/>
      </w:pPr>
      <w:r w:rsidRPr="00E31BBF">
        <w:t>5.</w:t>
      </w:r>
      <w:r w:rsidRPr="00E31BBF">
        <w:tab/>
        <w:t>The</w:t>
      </w:r>
      <w:r w:rsidR="00C21DB7">
        <w:t xml:space="preserve"> </w:t>
      </w:r>
      <w:r w:rsidRPr="00E31BBF">
        <w:t>awareness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society</w:t>
      </w:r>
      <w:r w:rsidR="00C21DB7">
        <w:t xml:space="preserve"> </w:t>
      </w:r>
      <w:r w:rsidRPr="00E31BBF">
        <w:t>about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increased.</w:t>
      </w:r>
    </w:p>
    <w:p w:rsidR="002F001C" w:rsidRPr="00E31BBF" w:rsidRDefault="002F001C" w:rsidP="00410130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proofErr w:type="gramStart"/>
      <w:r w:rsidRPr="00E31BBF">
        <w:t>1</w:t>
      </w:r>
      <w:proofErr w:type="gramEnd"/>
      <w:r w:rsidR="00A354BB">
        <w:t xml:space="preserve"> </w:t>
      </w:r>
      <w:r w:rsidRPr="00E31BBF">
        <w:t>(d)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6.</w:t>
      </w:r>
      <w:r w:rsidRPr="00E31BBF">
        <w:tab/>
        <w:t>Pursuant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Government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Republic</w:t>
      </w:r>
      <w:r w:rsidR="00C21DB7">
        <w:t xml:space="preserve"> </w:t>
      </w:r>
      <w:r w:rsidRPr="00E31BBF">
        <w:t>Act,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Government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enacted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regulation</w:t>
      </w:r>
      <w:r w:rsidR="00C21DB7">
        <w:t xml:space="preserve"> </w:t>
      </w:r>
      <w:r w:rsidR="003E41EF">
        <w:t>“</w:t>
      </w:r>
      <w:r w:rsidRPr="00E31BBF">
        <w:t>Rules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Good</w:t>
      </w:r>
      <w:r w:rsidR="00C21DB7">
        <w:t xml:space="preserve"> </w:t>
      </w:r>
      <w:r w:rsidRPr="00E31BBF">
        <w:t>Legislative</w:t>
      </w:r>
      <w:r w:rsidR="00C21DB7">
        <w:t xml:space="preserve"> </w:t>
      </w:r>
      <w:r w:rsidRPr="00E31BBF">
        <w:t>Practice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Legislative</w:t>
      </w:r>
      <w:r w:rsidR="00C21DB7">
        <w:t xml:space="preserve"> </w:t>
      </w:r>
      <w:r w:rsidRPr="00E31BBF">
        <w:t>Drafting</w:t>
      </w:r>
      <w:r w:rsidR="003E41EF">
        <w:t>”</w:t>
      </w:r>
      <w:r w:rsidRPr="00E31BBF">
        <w:t>.</w:t>
      </w:r>
      <w:r w:rsidR="00C21DB7">
        <w:t xml:space="preserve"> </w:t>
      </w:r>
      <w:r w:rsidRPr="00E31BBF">
        <w:t>Pursuant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subsection</w:t>
      </w:r>
      <w:r w:rsidR="00C21DB7">
        <w:t xml:space="preserve"> </w:t>
      </w:r>
      <w:r w:rsidRPr="00E31BBF">
        <w:t>1</w:t>
      </w:r>
      <w:r w:rsidR="00A354BB">
        <w:t xml:space="preserve"> </w:t>
      </w:r>
      <w:r w:rsidRPr="00E31BBF">
        <w:t>(5)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Regulation,</w:t>
      </w:r>
      <w:r w:rsidR="00C21DB7">
        <w:t xml:space="preserve"> </w:t>
      </w:r>
      <w:r w:rsidRPr="00E31BBF"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interest</w:t>
      </w:r>
      <w:r w:rsidR="00C21DB7">
        <w:t xml:space="preserve"> </w:t>
      </w:r>
      <w:r w:rsidRPr="00E31BBF">
        <w:t>groups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involved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preparation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statements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intent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draft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legislative</w:t>
      </w:r>
      <w:r w:rsidR="00C21DB7">
        <w:t xml:space="preserve"> </w:t>
      </w:r>
      <w:r w:rsidRPr="00E31BBF">
        <w:t>act,</w:t>
      </w:r>
      <w:r w:rsidR="00C21DB7">
        <w:t xml:space="preserve"> </w:t>
      </w:r>
      <w:r w:rsidRPr="00E31BBF">
        <w:t>policy</w:t>
      </w:r>
      <w:r w:rsidR="00C21DB7">
        <w:t xml:space="preserve"> </w:t>
      </w:r>
      <w:r w:rsidRPr="00E31BBF">
        <w:t>conceptions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draft</w:t>
      </w:r>
      <w:r w:rsidR="00C21DB7">
        <w:t xml:space="preserve"> </w:t>
      </w:r>
      <w:r w:rsidRPr="00E31BBF">
        <w:t>parliamentary</w:t>
      </w:r>
      <w:r w:rsidR="00C21DB7">
        <w:t xml:space="preserve"> </w:t>
      </w:r>
      <w:r w:rsidRPr="00E31BBF">
        <w:t>Acts.</w:t>
      </w:r>
      <w:r w:rsidR="00C21DB7">
        <w:t xml:space="preserve"> </w:t>
      </w:r>
      <w:r w:rsidRPr="00E31BBF">
        <w:t>They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coordinated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compliance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Good</w:t>
      </w:r>
      <w:r w:rsidR="00C21DB7">
        <w:t xml:space="preserve"> </w:t>
      </w:r>
      <w:r w:rsidRPr="00E31BBF">
        <w:t>Practice</w:t>
      </w:r>
      <w:r w:rsidR="00C21DB7">
        <w:t xml:space="preserve"> </w:t>
      </w:r>
      <w:r w:rsidRPr="00E31BBF">
        <w:t>of</w:t>
      </w:r>
      <w:r w:rsidR="00C21DB7">
        <w:t xml:space="preserve"> </w:t>
      </w:r>
      <w:proofErr w:type="gramStart"/>
      <w:r w:rsidRPr="00E31BBF">
        <w:t>Engagement,</w:t>
      </w:r>
      <w:r w:rsidR="00C21DB7">
        <w:t xml:space="preserve"> </w:t>
      </w:r>
      <w:r w:rsidRPr="00E31BBF">
        <w:t>that</w:t>
      </w:r>
      <w:proofErr w:type="gramEnd"/>
      <w:r w:rsidR="00C21DB7">
        <w:t xml:space="preserve"> </w:t>
      </w:r>
      <w:r w:rsidRPr="00E31BBF">
        <w:t>require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Government</w:t>
      </w:r>
      <w:r w:rsidR="00C21DB7">
        <w:t xml:space="preserve"> </w:t>
      </w:r>
      <w:r w:rsidRPr="00E31BBF">
        <w:t>authorities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engage</w:t>
      </w:r>
      <w:r w:rsidR="00C21DB7">
        <w:t xml:space="preserve"> </w:t>
      </w:r>
      <w:r w:rsidRPr="00E31BBF">
        <w:t>interest</w:t>
      </w:r>
      <w:r w:rsidR="00C21DB7">
        <w:t xml:space="preserve"> </w:t>
      </w:r>
      <w:r w:rsidRPr="00E31BBF">
        <w:t>groups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decision-making</w:t>
      </w:r>
      <w:r w:rsidR="00C21DB7">
        <w:t xml:space="preserve"> </w:t>
      </w:r>
      <w:r w:rsidRPr="00E31BBF">
        <w:t>processes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ensure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best</w:t>
      </w:r>
      <w:r w:rsidR="00C21DB7">
        <w:t xml:space="preserve"> </w:t>
      </w:r>
      <w:r w:rsidRPr="00E31BBF">
        <w:t>possible</w:t>
      </w:r>
      <w:r w:rsidR="00C21DB7">
        <w:t xml:space="preserve"> </w:t>
      </w:r>
      <w:r w:rsidRPr="00E31BBF">
        <w:t>quality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legitimacy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decisions</w:t>
      </w:r>
      <w:r w:rsidR="00C21DB7">
        <w:t xml:space="preserve"> </w:t>
      </w:r>
      <w:r w:rsidRPr="00E31BBF">
        <w:t>taken.</w:t>
      </w:r>
    </w:p>
    <w:p w:rsidR="002F001C" w:rsidRPr="00E31BBF" w:rsidRDefault="002F001C" w:rsidP="00732F46">
      <w:pPr>
        <w:pStyle w:val="SingleTxtG"/>
      </w:pPr>
      <w:r w:rsidRPr="00E31BBF">
        <w:t>7.</w:t>
      </w:r>
      <w:r w:rsidRPr="00E31BBF">
        <w:tab/>
        <w:t>The</w:t>
      </w:r>
      <w:r w:rsidR="00C21DB7">
        <w:t xml:space="preserve"> </w:t>
      </w:r>
      <w:r w:rsidRPr="00E31BBF">
        <w:t>Good</w:t>
      </w:r>
      <w:r w:rsidR="00C21DB7">
        <w:t xml:space="preserve"> </w:t>
      </w:r>
      <w:r w:rsidRPr="00E31BBF">
        <w:t>Practice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Engagement</w:t>
      </w:r>
      <w:r w:rsidR="00C21DB7">
        <w:t xml:space="preserve"> </w:t>
      </w:r>
      <w:r w:rsidRPr="00E31BBF">
        <w:t>provides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guidelines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engaging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relevant</w:t>
      </w:r>
      <w:r w:rsidR="00C21DB7">
        <w:t xml:space="preserve"> </w:t>
      </w:r>
      <w:r w:rsidRPr="00E31BBF">
        <w:t>interests</w:t>
      </w:r>
      <w:r w:rsidR="00C21DB7">
        <w:t xml:space="preserve"> </w:t>
      </w:r>
      <w:r w:rsidRPr="00E31BBF">
        <w:t>groups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basis,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e-Consultation</w:t>
      </w:r>
      <w:r w:rsidR="00C21DB7">
        <w:t xml:space="preserve"> </w:t>
      </w:r>
      <w:r w:rsidRPr="00E31BBF">
        <w:t>System</w:t>
      </w:r>
      <w:r w:rsidR="00C21DB7">
        <w:t xml:space="preserve"> </w:t>
      </w:r>
      <w:r w:rsidRPr="00E31BBF">
        <w:t>enables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access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drafts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proceedings,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provides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opportunity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submit</w:t>
      </w:r>
      <w:r w:rsidR="00C21DB7">
        <w:t xml:space="preserve"> </w:t>
      </w:r>
      <w:r w:rsidRPr="00E31BBF">
        <w:t>opinions.</w:t>
      </w:r>
      <w:r w:rsidR="00C21DB7">
        <w:t xml:space="preserve"> </w:t>
      </w:r>
      <w:r w:rsidRPr="00E31BBF">
        <w:t>Feedback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drafts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being</w:t>
      </w:r>
      <w:r w:rsidR="00C21DB7">
        <w:t xml:space="preserve"> </w:t>
      </w:r>
      <w:r w:rsidRPr="00E31BBF">
        <w:t>prepared</w:t>
      </w:r>
      <w:r w:rsidR="00C21DB7">
        <w:t xml:space="preserve"> </w:t>
      </w:r>
      <w:proofErr w:type="gramStart"/>
      <w:r w:rsidRPr="00E31BBF">
        <w:t>can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given</w:t>
      </w:r>
      <w:proofErr w:type="gramEnd"/>
      <w:r w:rsidR="00C21DB7">
        <w:t xml:space="preserve"> </w:t>
      </w:r>
      <w:r w:rsidRPr="00E31BBF">
        <w:t>via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internet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consultation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coordination</w:t>
      </w:r>
      <w:r w:rsidR="00C21DB7">
        <w:t xml:space="preserve"> </w:t>
      </w:r>
      <w:r w:rsidRPr="00E31BBF">
        <w:t>stage.</w:t>
      </w:r>
    </w:p>
    <w:p w:rsidR="002F001C" w:rsidRPr="00E31BBF" w:rsidRDefault="002F001C" w:rsidP="00732F46">
      <w:pPr>
        <w:pStyle w:val="SingleTxtG"/>
      </w:pPr>
      <w:r w:rsidRPr="00E31BBF">
        <w:t>8.</w:t>
      </w:r>
      <w:r w:rsidRPr="00E31BBF">
        <w:tab/>
        <w:t>Estonia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parliament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issued</w:t>
      </w:r>
      <w:r w:rsidR="00C21DB7">
        <w:t xml:space="preserve"> </w:t>
      </w:r>
      <w:r w:rsidRPr="00E31BBF">
        <w:t>guidelines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legislative</w:t>
      </w:r>
      <w:r w:rsidR="00C21DB7">
        <w:t xml:space="preserve"> </w:t>
      </w:r>
      <w:r w:rsidRPr="00E31BBF">
        <w:t>drafting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require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active</w:t>
      </w:r>
      <w:r w:rsidR="00C21DB7">
        <w:t xml:space="preserve"> </w:t>
      </w:r>
      <w:r w:rsidRPr="00E31BBF">
        <w:t>engagement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stakeholders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consultations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proofErr w:type="gramStart"/>
      <w:r w:rsidRPr="00E31BBF">
        <w:t>general</w:t>
      </w:r>
      <w:r w:rsidR="00C21DB7">
        <w:t xml:space="preserve"> </w:t>
      </w:r>
      <w:r w:rsidRPr="00E31BBF">
        <w:t>public</w:t>
      </w:r>
      <w:proofErr w:type="gramEnd"/>
      <w:r w:rsidRPr="00E31BBF">
        <w:t>.</w:t>
      </w:r>
      <w:r w:rsidR="00C21DB7">
        <w:t xml:space="preserve"> </w:t>
      </w:r>
    </w:p>
    <w:p w:rsidR="002F001C" w:rsidRPr="00E31BBF" w:rsidRDefault="002F001C" w:rsidP="00CE16E4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</w:t>
      </w:r>
      <w:r w:rsidR="00A354BB">
        <w:t xml:space="preserve"> </w:t>
      </w:r>
      <w:r w:rsidRPr="00E31BBF">
        <w:t>(e)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9.</w:t>
      </w:r>
      <w:r w:rsidRPr="00E31BBF">
        <w:tab/>
        <w:t>In</w:t>
      </w:r>
      <w:r w:rsidR="00C21DB7">
        <w:t xml:space="preserve"> </w:t>
      </w:r>
      <w:r w:rsidRPr="00E31BBF">
        <w:t>2014,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Finance</w:t>
      </w:r>
      <w:r w:rsidR="00C21DB7">
        <w:t xml:space="preserve"> </w:t>
      </w:r>
      <w:r w:rsidRPr="00E31BBF">
        <w:t>adopted</w:t>
      </w:r>
      <w:r w:rsidR="00C21DB7">
        <w:t xml:space="preserve"> </w:t>
      </w:r>
      <w:proofErr w:type="gramStart"/>
      <w:r w:rsidRPr="00E31BBF">
        <w:t>a</w:t>
      </w:r>
      <w:r w:rsidR="00C21DB7">
        <w:t xml:space="preserve"> </w:t>
      </w:r>
      <w:r w:rsidRPr="00E31BBF">
        <w:t>guiding</w:t>
      </w:r>
      <w:r w:rsidR="00C21DB7">
        <w:t xml:space="preserve"> </w:t>
      </w:r>
      <w:r w:rsidRPr="00E31BBF">
        <w:t>principles</w:t>
      </w:r>
      <w:proofErr w:type="gramEnd"/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development.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document</w:t>
      </w:r>
      <w:r w:rsidR="00C21DB7">
        <w:t xml:space="preserve"> </w:t>
      </w:r>
      <w:r w:rsidRPr="00E31BBF">
        <w:t>sets</w:t>
      </w:r>
      <w:r w:rsidR="00C21DB7">
        <w:t xml:space="preserve"> </w:t>
      </w:r>
      <w:r w:rsidRPr="00E31BBF">
        <w:t>out</w:t>
      </w:r>
      <w:r w:rsidR="00C21DB7">
        <w:t xml:space="preserve"> </w:t>
      </w:r>
      <w:r w:rsidRPr="00E31BBF">
        <w:t>five</w:t>
      </w:r>
      <w:r w:rsidR="00C21DB7">
        <w:t xml:space="preserve"> </w:t>
      </w:r>
      <w:r w:rsidRPr="00E31BBF">
        <w:t>main</w:t>
      </w:r>
      <w:r w:rsidR="00C21DB7">
        <w:t xml:space="preserve"> </w:t>
      </w:r>
      <w:r w:rsidRPr="00E31BBF">
        <w:t>topics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considered,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them</w:t>
      </w:r>
      <w:r w:rsidR="00C21DB7">
        <w:t xml:space="preserve"> </w:t>
      </w:r>
      <w:r w:rsidRPr="00E31BBF">
        <w:t>being</w:t>
      </w:r>
      <w:r w:rsidR="00C21DB7">
        <w:t xml:space="preserve"> </w:t>
      </w:r>
      <w:r w:rsidRPr="00E31BBF">
        <w:t>equal</w:t>
      </w:r>
      <w:r w:rsidR="00C21DB7">
        <w:t xml:space="preserve"> </w:t>
      </w:r>
      <w:proofErr w:type="gramStart"/>
      <w:r w:rsidRPr="00E31BBF">
        <w:t>opportunities,</w:t>
      </w:r>
      <w:r w:rsidR="00C21DB7">
        <w:t xml:space="preserve"> </w:t>
      </w:r>
      <w:r w:rsidRPr="00E31BBF">
        <w:t>that</w:t>
      </w:r>
      <w:proofErr w:type="gramEnd"/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include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subsection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disability.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subsection</w:t>
      </w:r>
      <w:r w:rsidR="00C21DB7">
        <w:t xml:space="preserve"> </w:t>
      </w:r>
      <w:r w:rsidRPr="00E31BBF">
        <w:t>describes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general</w:t>
      </w:r>
      <w:r w:rsidR="00C21DB7">
        <w:t xml:space="preserve"> </w:t>
      </w:r>
      <w:r w:rsidRPr="00E31BBF">
        <w:t>situation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proposes</w:t>
      </w:r>
      <w:r w:rsidR="00C21DB7">
        <w:t xml:space="preserve"> </w:t>
      </w:r>
      <w:r w:rsidRPr="00E31BBF">
        <w:t>several</w:t>
      </w:r>
      <w:r w:rsidR="00C21DB7">
        <w:t xml:space="preserve"> </w:t>
      </w:r>
      <w:r w:rsidRPr="00E31BBF">
        <w:t>indicators</w:t>
      </w:r>
      <w:r w:rsidR="00C21DB7">
        <w:t xml:space="preserve"> </w:t>
      </w:r>
      <w:r w:rsidRPr="00E31BBF">
        <w:t>to</w:t>
      </w:r>
      <w:r w:rsidR="00C21DB7">
        <w:t xml:space="preserve"> </w:t>
      </w:r>
      <w:proofErr w:type="gramStart"/>
      <w:r w:rsidRPr="00E31BBF">
        <w:t>be</w:t>
      </w:r>
      <w:r w:rsidR="00C21DB7">
        <w:t xml:space="preserve"> </w:t>
      </w:r>
      <w:r w:rsidRPr="00E31BBF">
        <w:t>taken</w:t>
      </w:r>
      <w:proofErr w:type="gramEnd"/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account.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addresses</w:t>
      </w:r>
      <w:r w:rsidR="00C21DB7">
        <w:t xml:space="preserve"> </w:t>
      </w:r>
      <w:r w:rsidRPr="00E31BBF">
        <w:t>intersectionality.</w:t>
      </w:r>
      <w:r w:rsidR="00C21DB7">
        <w:t xml:space="preserve"> </w:t>
      </w:r>
    </w:p>
    <w:p w:rsidR="002F001C" w:rsidRPr="00E31BBF" w:rsidRDefault="002F001C" w:rsidP="00CE16E4">
      <w:pPr>
        <w:pStyle w:val="SingleTxtG"/>
        <w:keepNext/>
        <w:keepLines/>
      </w:pPr>
      <w:r w:rsidRPr="00E31BBF">
        <w:t>10.</w:t>
      </w:r>
      <w:r w:rsidRPr="00E31BBF">
        <w:tab/>
        <w:t>The</w:t>
      </w:r>
      <w:r w:rsidR="00C21DB7">
        <w:t xml:space="preserve"> </w:t>
      </w:r>
      <w:r w:rsidRPr="00E31BBF">
        <w:t>Programme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Action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Government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2019</w:t>
      </w:r>
      <w:r w:rsidR="003E41EF">
        <w:t>–</w:t>
      </w:r>
      <w:r w:rsidRPr="00E31BBF">
        <w:t>2023</w:t>
      </w:r>
      <w:r w:rsidR="00C21DB7">
        <w:t xml:space="preserve"> </w:t>
      </w:r>
      <w:r w:rsidRPr="00E31BBF">
        <w:t>sets</w:t>
      </w:r>
      <w:r w:rsidR="00C21DB7">
        <w:t xml:space="preserve"> </w:t>
      </w:r>
      <w:r w:rsidRPr="00E31BBF">
        <w:t>several</w:t>
      </w:r>
      <w:r w:rsidR="00C21DB7">
        <w:t xml:space="preserve"> </w:t>
      </w:r>
      <w:r w:rsidRPr="00E31BBF">
        <w:t>goals:</w:t>
      </w:r>
    </w:p>
    <w:p w:rsidR="002F001C" w:rsidRPr="00E31BBF" w:rsidRDefault="002F001C" w:rsidP="00CE16E4">
      <w:pPr>
        <w:pStyle w:val="Bullet1G"/>
      </w:pPr>
      <w:r w:rsidRPr="00E31BBF">
        <w:t>Ensure</w:t>
      </w:r>
      <w:r w:rsidR="00C21DB7">
        <w:t xml:space="preserve"> </w:t>
      </w:r>
      <w:r w:rsidRPr="00E31BBF">
        <w:t>professional</w:t>
      </w:r>
      <w:r w:rsidR="00C21DB7">
        <w:t xml:space="preserve"> </w:t>
      </w:r>
      <w:r w:rsidRPr="00E31BBF">
        <w:t>counselling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teachers,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general</w:t>
      </w:r>
      <w:r w:rsidR="00C21DB7">
        <w:t xml:space="preserve"> </w:t>
      </w:r>
      <w:r w:rsidRPr="00E31BBF">
        <w:t>pedagogical,</w:t>
      </w:r>
      <w:r w:rsidR="00C21DB7">
        <w:t xml:space="preserve"> </w:t>
      </w:r>
      <w:r w:rsidRPr="00E31BBF">
        <w:t>psychological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teaching</w:t>
      </w:r>
      <w:r w:rsidR="00C21DB7">
        <w:t xml:space="preserve"> </w:t>
      </w:r>
      <w:r w:rsidRPr="00E31BBF">
        <w:t>advice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teaching</w:t>
      </w:r>
      <w:r w:rsidR="00C21DB7">
        <w:t xml:space="preserve"> </w:t>
      </w:r>
      <w:r w:rsidRPr="00E31BBF">
        <w:t>students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educational</w:t>
      </w:r>
      <w:r w:rsidR="00C21DB7">
        <w:t xml:space="preserve"> </w:t>
      </w:r>
      <w:r w:rsidRPr="00E31BBF">
        <w:t>needs;</w:t>
      </w:r>
    </w:p>
    <w:p w:rsidR="002F001C" w:rsidRPr="00E31BBF" w:rsidRDefault="002F001C" w:rsidP="00CE16E4">
      <w:pPr>
        <w:pStyle w:val="Bullet1G"/>
      </w:pPr>
      <w:r w:rsidRPr="00E31BBF">
        <w:lastRenderedPageBreak/>
        <w:t>Improve</w:t>
      </w:r>
      <w:r w:rsidR="00C21DB7">
        <w:t xml:space="preserve"> </w:t>
      </w:r>
      <w:r w:rsidRPr="00E31BBF">
        <w:t>cooperation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health,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ensure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availability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quality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children,</w:t>
      </w:r>
      <w:r w:rsidR="00C21DB7">
        <w:t xml:space="preserve"> </w:t>
      </w:r>
      <w:r w:rsidRPr="00E31BBF">
        <w:t>regardless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place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residence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existence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educational</w:t>
      </w:r>
      <w:r w:rsidR="00C21DB7">
        <w:t xml:space="preserve"> </w:t>
      </w:r>
      <w:r w:rsidRPr="00E31BBF">
        <w:t>needs.</w:t>
      </w:r>
    </w:p>
    <w:p w:rsidR="002F001C" w:rsidRPr="00E31BBF" w:rsidRDefault="002F001C" w:rsidP="00732F46">
      <w:pPr>
        <w:pStyle w:val="SingleTxtG"/>
      </w:pPr>
      <w:r w:rsidRPr="00E31BBF">
        <w:t>11.</w:t>
      </w:r>
      <w:r w:rsidRPr="00E31BBF">
        <w:tab/>
        <w:t>Furthermore,</w:t>
      </w:r>
      <w:r w:rsidR="00C21DB7">
        <w:t xml:space="preserve"> </w:t>
      </w:r>
      <w:r w:rsidRPr="00E31BBF">
        <w:t>inclusive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central</w:t>
      </w:r>
      <w:r w:rsidR="00C21DB7">
        <w:t xml:space="preserve"> </w:t>
      </w:r>
      <w:r w:rsidRPr="00E31BBF">
        <w:t>priorities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in-service</w:t>
      </w:r>
      <w:r w:rsidR="00C21DB7">
        <w:t xml:space="preserve"> </w:t>
      </w:r>
      <w:r w:rsidRPr="00E31BBF">
        <w:t>training</w:t>
      </w:r>
      <w:r w:rsidR="00C21DB7">
        <w:t xml:space="preserve"> </w:t>
      </w:r>
      <w:r w:rsidRPr="00E31BBF">
        <w:t>programme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teachers,</w:t>
      </w:r>
      <w:r w:rsidR="00C21DB7">
        <w:t xml:space="preserve"> </w:t>
      </w:r>
      <w:r w:rsidRPr="00E31BBF">
        <w:t>teaching</w:t>
      </w:r>
      <w:r w:rsidR="00C21DB7">
        <w:t xml:space="preserve"> </w:t>
      </w:r>
      <w:r w:rsidRPr="00E31BBF">
        <w:t>teams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school</w:t>
      </w:r>
      <w:r w:rsidR="00C21DB7">
        <w:t xml:space="preserve"> </w:t>
      </w:r>
      <w:r w:rsidRPr="00E31BBF">
        <w:t>leaders.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proofErr w:type="gramStart"/>
      <w:r w:rsidRPr="00E31BBF">
        <w:t>12.</w:t>
      </w:r>
      <w:r w:rsidRPr="00E31BBF">
        <w:tab/>
        <w:t>Also</w:t>
      </w:r>
      <w:proofErr w:type="gramEnd"/>
      <w:r w:rsidRPr="00E31BBF">
        <w:t>,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elective</w:t>
      </w:r>
      <w:r w:rsidR="00C21DB7">
        <w:t xml:space="preserve"> </w:t>
      </w:r>
      <w:r w:rsidRPr="00E31BBF">
        <w:t>modules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initial</w:t>
      </w:r>
      <w:r w:rsidR="00C21DB7">
        <w:t xml:space="preserve"> </w:t>
      </w:r>
      <w:r w:rsidRPr="00E31BBF">
        <w:t>teacher</w:t>
      </w:r>
      <w:r w:rsidR="00C21DB7">
        <w:t xml:space="preserve"> </w:t>
      </w:r>
      <w:r w:rsidRPr="00E31BBF">
        <w:t>training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part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teacher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professional</w:t>
      </w:r>
      <w:r w:rsidR="00C21DB7">
        <w:t xml:space="preserve"> </w:t>
      </w:r>
      <w:r w:rsidRPr="00E31BBF">
        <w:t>standard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skill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supporting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learner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educational</w:t>
      </w:r>
      <w:r w:rsidR="00C21DB7">
        <w:t xml:space="preserve"> </w:t>
      </w:r>
      <w:r w:rsidRPr="00E31BBF">
        <w:t>needs.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13.</w:t>
      </w:r>
      <w:r w:rsidRPr="00E31BBF">
        <w:tab/>
        <w:t>The</w:t>
      </w:r>
      <w:r w:rsidR="00C21DB7">
        <w:t xml:space="preserve"> </w:t>
      </w:r>
      <w:r w:rsidRPr="00E31BBF">
        <w:t>Supreme</w:t>
      </w:r>
      <w:r w:rsidR="00C21DB7">
        <w:t xml:space="preserve"> </w:t>
      </w:r>
      <w:r w:rsidRPr="00E31BBF">
        <w:t>Court</w:t>
      </w:r>
      <w:r w:rsidR="00C21DB7">
        <w:t xml:space="preserve"> </w:t>
      </w:r>
      <w:r w:rsidRPr="00E31BBF">
        <w:t>organizes</w:t>
      </w:r>
      <w:r w:rsidR="00C21DB7">
        <w:t xml:space="preserve"> </w:t>
      </w:r>
      <w:r w:rsidRPr="00E31BBF">
        <w:t>trainings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judges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2019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capacity</w:t>
      </w:r>
      <w:r w:rsidR="00C21DB7">
        <w:t xml:space="preserve"> </w:t>
      </w:r>
      <w:r w:rsidRPr="00E31BBF">
        <w:t>reform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hearing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disorders.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2020,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Judicial</w:t>
      </w:r>
      <w:r w:rsidR="00C21DB7">
        <w:t xml:space="preserve"> </w:t>
      </w:r>
      <w:r w:rsidRPr="00E31BBF">
        <w:t>Training</w:t>
      </w:r>
      <w:r w:rsidR="00C21DB7">
        <w:t xml:space="preserve"> </w:t>
      </w:r>
      <w:r w:rsidRPr="00E31BBF">
        <w:t>Programme</w:t>
      </w:r>
      <w:r w:rsidR="00C21DB7">
        <w:t xml:space="preserve"> </w:t>
      </w:r>
      <w:r w:rsidRPr="00E31BBF">
        <w:t>will</w:t>
      </w:r>
      <w:r w:rsidR="00C21DB7">
        <w:t xml:space="preserve"> </w:t>
      </w:r>
      <w:r w:rsidRPr="00E31BBF">
        <w:t>include</w:t>
      </w:r>
      <w:r w:rsidR="00C21DB7">
        <w:t xml:space="preserve"> </w:t>
      </w:r>
      <w:r w:rsidRPr="00E31BBF">
        <w:t>trainings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forensic</w:t>
      </w:r>
      <w:r w:rsidR="00C21DB7">
        <w:t xml:space="preserve"> </w:t>
      </w:r>
      <w:r w:rsidRPr="00E31BBF">
        <w:t>psychiatry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forensic</w:t>
      </w:r>
      <w:r w:rsidR="00C21DB7">
        <w:t xml:space="preserve"> </w:t>
      </w:r>
      <w:r w:rsidRPr="00E31BBF">
        <w:t>science,</w:t>
      </w:r>
      <w:r w:rsidR="00C21DB7">
        <w:t xml:space="preserve"> </w:t>
      </w:r>
      <w:r w:rsidRPr="00E31BBF">
        <w:t>closed</w:t>
      </w:r>
      <w:r w:rsidR="00C21DB7">
        <w:t xml:space="preserve"> </w:t>
      </w:r>
      <w:r w:rsidRPr="00E31BBF">
        <w:t>childcare</w:t>
      </w:r>
      <w:r w:rsidR="00C21DB7">
        <w:t xml:space="preserve"> </w:t>
      </w:r>
      <w:r w:rsidRPr="00E31BBF">
        <w:t>services,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placing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closed</w:t>
      </w:r>
      <w:r w:rsidR="00C21DB7">
        <w:t xml:space="preserve"> </w:t>
      </w:r>
      <w:r w:rsidRPr="00E31BBF">
        <w:t>institutions.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14.</w:t>
      </w:r>
      <w:r w:rsidRPr="00E31BBF">
        <w:tab/>
        <w:t>Members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prosecution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encouraged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partake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international</w:t>
      </w:r>
      <w:r w:rsidR="00C21DB7">
        <w:t xml:space="preserve"> </w:t>
      </w:r>
      <w:r w:rsidRPr="00E31BBF">
        <w:t>seminars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training.</w:t>
      </w:r>
      <w:r w:rsidR="00C21DB7">
        <w:t xml:space="preserve"> </w:t>
      </w:r>
    </w:p>
    <w:p w:rsidR="002F001C" w:rsidRPr="00E31BBF" w:rsidRDefault="002F001C" w:rsidP="001C2C65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2</w:t>
      </w:r>
      <w:r w:rsidR="000016B1">
        <w:t xml:space="preserve"> </w:t>
      </w:r>
      <w:r w:rsidRPr="00E31BBF">
        <w:t>(a)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15.</w:t>
      </w:r>
      <w:r w:rsidRPr="00E31BBF">
        <w:tab/>
        <w:t>The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Affairs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Justice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decided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go</w:t>
      </w:r>
      <w:r w:rsidR="00C21DB7">
        <w:t xml:space="preserve"> </w:t>
      </w:r>
      <w:r w:rsidRPr="00E31BBF">
        <w:t>through</w:t>
      </w:r>
      <w:r w:rsidR="00C21DB7">
        <w:t xml:space="preserve"> </w:t>
      </w:r>
      <w:r w:rsidRPr="00E31BBF">
        <w:t>derogatory</w:t>
      </w:r>
      <w:r w:rsidR="00C21DB7">
        <w:t xml:space="preserve"> </w:t>
      </w:r>
      <w:r w:rsidRPr="00E31BBF">
        <w:t>terminology</w:t>
      </w:r>
      <w:r w:rsidR="00C21DB7">
        <w:t xml:space="preserve"> </w:t>
      </w:r>
      <w:r w:rsidRPr="00E31BBF">
        <w:t>issues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national</w:t>
      </w:r>
      <w:r w:rsidR="00C21DB7">
        <w:t xml:space="preserve"> </w:t>
      </w:r>
      <w:r w:rsidRPr="00E31BBF">
        <w:t>legislation</w:t>
      </w:r>
      <w:r w:rsidR="00C21DB7">
        <w:t xml:space="preserve"> </w:t>
      </w:r>
      <w:r w:rsidRPr="00E31BBF">
        <w:t>during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coming</w:t>
      </w:r>
      <w:r w:rsidR="00C21DB7">
        <w:t xml:space="preserve"> </w:t>
      </w:r>
      <w:r w:rsidRPr="00E31BBF">
        <w:t>years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update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terms</w:t>
      </w:r>
      <w:r w:rsidR="00C21DB7">
        <w:t xml:space="preserve"> </w:t>
      </w:r>
      <w:r w:rsidRPr="00E31BBF"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Convention.</w:t>
      </w:r>
      <w:r w:rsidR="00C21DB7">
        <w:t xml:space="preserve"> </w:t>
      </w:r>
    </w:p>
    <w:p w:rsidR="002F001C" w:rsidRPr="00E31BBF" w:rsidRDefault="002F001C" w:rsidP="001C2C65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2</w:t>
      </w:r>
      <w:r w:rsidR="000016B1">
        <w:t xml:space="preserve"> </w:t>
      </w:r>
      <w:r w:rsidRPr="00E31BBF">
        <w:t>(b)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16.</w:t>
      </w:r>
      <w:r w:rsidRPr="00E31BBF">
        <w:tab/>
        <w:t>Estonian</w:t>
      </w:r>
      <w:r w:rsidR="00C21DB7">
        <w:t xml:space="preserve"> </w:t>
      </w:r>
      <w:r w:rsidRPr="00E31BBF">
        <w:t>legislation</w:t>
      </w:r>
      <w:r w:rsidR="00C21DB7">
        <w:t xml:space="preserve"> </w:t>
      </w:r>
      <w:r w:rsidRPr="00E31BBF">
        <w:t>defines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Benefits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§</w:t>
      </w:r>
      <w:r w:rsidR="00C21DB7">
        <w:t xml:space="preserve"> </w:t>
      </w:r>
      <w:proofErr w:type="gramStart"/>
      <w:r w:rsidRPr="00E31BBF">
        <w:t>2</w:t>
      </w:r>
      <w:proofErr w:type="gramEnd"/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1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§</w:t>
      </w:r>
      <w:r w:rsidR="00C21DB7">
        <w:t xml:space="preserve"> </w:t>
      </w:r>
      <w:r w:rsidRPr="00E31BBF">
        <w:t>5.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definition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both</w:t>
      </w:r>
      <w:r w:rsidR="00C21DB7">
        <w:t xml:space="preserve"> </w:t>
      </w:r>
      <w:r w:rsidRPr="00E31BBF">
        <w:t>acts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slightly</w:t>
      </w:r>
      <w:r w:rsidR="00C21DB7">
        <w:t xml:space="preserve"> </w:t>
      </w:r>
      <w:r w:rsidRPr="00E31BBF">
        <w:t>narrower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Convention.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difference</w:t>
      </w:r>
      <w:r w:rsidR="00C21DB7">
        <w:t xml:space="preserve"> </w:t>
      </w:r>
      <w:r w:rsidRPr="00E31BBF">
        <w:t>lies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wording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Benefits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§</w:t>
      </w:r>
      <w:r w:rsidR="00C21DB7">
        <w:t xml:space="preserve"> </w:t>
      </w:r>
      <w:r w:rsidRPr="00E31BBF">
        <w:t>2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1</w:t>
      </w:r>
      <w:r w:rsidR="00C21DB7">
        <w:t xml:space="preserve"> </w:t>
      </w:r>
      <w:r w:rsidRPr="00E31BBF">
        <w:t>where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set</w:t>
      </w:r>
      <w:r w:rsidR="00C21DB7">
        <w:t xml:space="preserve"> </w:t>
      </w:r>
      <w:r w:rsidRPr="00E31BBF">
        <w:t>as</w:t>
      </w:r>
      <w:r w:rsidR="00C21DB7">
        <w:t xml:space="preserve"> </w:t>
      </w:r>
      <w:r w:rsidR="00155C52">
        <w:t>“</w:t>
      </w:r>
      <w:r w:rsidRPr="00E31BBF">
        <w:t>/.../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loss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abnormality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anatomical,</w:t>
      </w:r>
      <w:r w:rsidR="00C21DB7">
        <w:t xml:space="preserve"> </w:t>
      </w:r>
      <w:r w:rsidRPr="00E31BBF">
        <w:t>physiological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structure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function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conjunction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relational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environmental</w:t>
      </w:r>
      <w:r w:rsidR="00C21DB7">
        <w:t xml:space="preserve"> </w:t>
      </w:r>
      <w:r w:rsidRPr="00E31BBF">
        <w:t>restrictions</w:t>
      </w:r>
      <w:r w:rsidR="00C21DB7">
        <w:t xml:space="preserve"> </w:t>
      </w:r>
      <w:r w:rsidRPr="00E31BBF">
        <w:t>prevents</w:t>
      </w:r>
      <w:r w:rsidR="00C21DB7">
        <w:t xml:space="preserve"> </w:t>
      </w:r>
      <w:r w:rsidRPr="00E31BBF">
        <w:t>participation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life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bases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others.</w:t>
      </w:r>
      <w:r w:rsidR="003E41EF">
        <w:t>”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Conventions</w:t>
      </w:r>
      <w:r w:rsidR="003E41EF">
        <w:t>’</w:t>
      </w:r>
      <w:r w:rsidR="00C21DB7">
        <w:t xml:space="preserve"> </w:t>
      </w:r>
      <w:r w:rsidRPr="00E31BBF">
        <w:t>wording</w:t>
      </w:r>
      <w:r w:rsidR="00C21DB7">
        <w:t xml:space="preserve"> </w:t>
      </w:r>
      <w:r w:rsidRPr="00E31BBF">
        <w:t>uses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term</w:t>
      </w:r>
      <w:r w:rsidR="00C21DB7">
        <w:t xml:space="preserve"> </w:t>
      </w:r>
      <w:r w:rsidR="003E41EF">
        <w:t>“</w:t>
      </w:r>
      <w:r w:rsidRPr="00E31BBF">
        <w:t>may</w:t>
      </w:r>
      <w:r w:rsidR="00C21DB7">
        <w:t xml:space="preserve"> </w:t>
      </w:r>
      <w:r w:rsidRPr="00E31BBF">
        <w:t>hinder</w:t>
      </w:r>
      <w:r w:rsidR="003E41EF">
        <w:t>”</w:t>
      </w:r>
      <w:r w:rsidRPr="00E31BBF">
        <w:t>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17.</w:t>
      </w:r>
      <w:r w:rsidRPr="00E31BBF">
        <w:tab/>
        <w:t>However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practice,</w:t>
      </w:r>
      <w:r w:rsidR="00C21DB7">
        <w:t xml:space="preserve"> </w:t>
      </w:r>
      <w:r w:rsidRPr="00E31BBF">
        <w:t>various</w:t>
      </w:r>
      <w:r w:rsidR="00C21DB7">
        <w:t xml:space="preserve"> </w:t>
      </w:r>
      <w:r w:rsidRPr="00E31BBF">
        <w:t>alternatives</w:t>
      </w:r>
      <w:r w:rsidR="00C21DB7">
        <w:t xml:space="preserve"> </w:t>
      </w:r>
      <w:r w:rsidRPr="00E31BBF">
        <w:t>(although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equivalents)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term</w:t>
      </w:r>
      <w:r w:rsidR="00C21DB7">
        <w:t xml:space="preserve"> </w:t>
      </w:r>
      <w:r w:rsidR="00155C52">
        <w:t>“</w:t>
      </w:r>
      <w:r w:rsidRPr="00E31BBF">
        <w:t>disability</w:t>
      </w:r>
      <w:r w:rsidR="003E41EF">
        <w:t>”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used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contexts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describe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similar</w:t>
      </w:r>
      <w:r w:rsidR="00C21DB7">
        <w:t xml:space="preserve"> </w:t>
      </w:r>
      <w:r w:rsidRPr="00E31BBF">
        <w:t>state:</w:t>
      </w:r>
      <w:r w:rsidR="00C21DB7">
        <w:t xml:space="preserve"> </w:t>
      </w:r>
      <w:r w:rsidR="00155C52">
        <w:t>“</w:t>
      </w:r>
      <w:r w:rsidRPr="00E31BBF">
        <w:t>special</w:t>
      </w:r>
      <w:r w:rsidR="00C21DB7">
        <w:t xml:space="preserve"> </w:t>
      </w:r>
      <w:r w:rsidRPr="00E31BBF">
        <w:t>needs</w:t>
      </w:r>
      <w:r w:rsidR="003E41EF">
        <w:t>”</w:t>
      </w:r>
      <w:r w:rsidRPr="00E31BBF">
        <w:t>,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broader,</w:t>
      </w:r>
      <w:r w:rsidR="00C21DB7">
        <w:t xml:space="preserve"> </w:t>
      </w:r>
      <w:r w:rsidR="00155C52">
        <w:t>“</w:t>
      </w:r>
      <w:r w:rsidRPr="00E31BBF">
        <w:t>reduced</w:t>
      </w:r>
      <w:r w:rsidR="00C21DB7">
        <w:t xml:space="preserve"> </w:t>
      </w:r>
      <w:r w:rsidRPr="00E31BBF">
        <w:t>workability</w:t>
      </w:r>
      <w:r w:rsidR="003E41EF">
        <w:t>”</w:t>
      </w:r>
      <w:r w:rsidRPr="00E31BBF">
        <w:t>,</w:t>
      </w:r>
      <w:r w:rsidR="00C21DB7">
        <w:t xml:space="preserve"> </w:t>
      </w:r>
      <w:r w:rsidR="00155C52">
        <w:t>“</w:t>
      </w:r>
      <w:r w:rsidRPr="00E31BBF">
        <w:t>incapacity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work</w:t>
      </w:r>
      <w:r w:rsidR="003E41EF">
        <w:t>”</w:t>
      </w:r>
      <w:r w:rsidR="00C21DB7">
        <w:t xml:space="preserve"> </w:t>
      </w:r>
      <w:r w:rsidRPr="00E31BBF">
        <w:t>etc.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surveys</w:t>
      </w:r>
      <w:r w:rsidR="00C21DB7">
        <w:t xml:space="preserve"> </w:t>
      </w:r>
      <w:r w:rsidRPr="00E31BBF">
        <w:t>conducted</w:t>
      </w:r>
      <w:r w:rsidR="00C21DB7">
        <w:t xml:space="preserve"> </w:t>
      </w:r>
      <w:proofErr w:type="gramStart"/>
      <w:r w:rsidRPr="00E31BBF">
        <w:t>also</w:t>
      </w:r>
      <w:proofErr w:type="gramEnd"/>
      <w:r w:rsidR="00C21DB7">
        <w:t xml:space="preserve"> </w:t>
      </w:r>
      <w:r w:rsidRPr="00E31BBF">
        <w:t>terms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as</w:t>
      </w:r>
      <w:r w:rsidR="00C21DB7">
        <w:t xml:space="preserve"> </w:t>
      </w:r>
      <w:r w:rsidR="00155C52">
        <w:t>“</w:t>
      </w:r>
      <w:r w:rsidRPr="00E31BBF">
        <w:t>activity</w:t>
      </w:r>
      <w:r w:rsidR="00C21DB7">
        <w:t xml:space="preserve"> </w:t>
      </w:r>
      <w:r w:rsidRPr="00E31BBF">
        <w:t>restriction</w:t>
      </w:r>
      <w:r w:rsidR="003E41EF">
        <w:t>”</w:t>
      </w:r>
      <w:r w:rsidR="00C21DB7">
        <w:t xml:space="preserve"> </w:t>
      </w:r>
      <w:r w:rsidRPr="00E31BBF">
        <w:t>and</w:t>
      </w:r>
      <w:r w:rsidR="00C21DB7">
        <w:t xml:space="preserve"> </w:t>
      </w:r>
      <w:r w:rsidR="003E41EF">
        <w:t>“</w:t>
      </w:r>
      <w:r w:rsidRPr="00E31BBF">
        <w:t>long-term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loss</w:t>
      </w:r>
      <w:r w:rsidR="003E41EF">
        <w:t>”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used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describe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state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set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Convention.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18.</w:t>
      </w:r>
      <w:r w:rsidRPr="00E31BBF">
        <w:tab/>
        <w:t>In</w:t>
      </w:r>
      <w:r w:rsidR="00C21DB7">
        <w:t xml:space="preserve"> </w:t>
      </w:r>
      <w:r w:rsidRPr="00E31BBF">
        <w:t>2019,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analysis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assessment</w:t>
      </w:r>
      <w:r w:rsidR="00C21DB7">
        <w:t xml:space="preserve"> </w:t>
      </w:r>
      <w:r w:rsidRPr="00E31BBF">
        <w:t>mechanism</w:t>
      </w:r>
      <w:r w:rsidR="00C21DB7">
        <w:t xml:space="preserve"> </w:t>
      </w:r>
      <w:proofErr w:type="gramStart"/>
      <w:r w:rsidRPr="00E31BBF">
        <w:t>was</w:t>
      </w:r>
      <w:r w:rsidR="00C21DB7">
        <w:t xml:space="preserve"> </w:t>
      </w:r>
      <w:r w:rsidRPr="00E31BBF">
        <w:t>conducted</w:t>
      </w:r>
      <w:proofErr w:type="gramEnd"/>
      <w:r w:rsidRPr="00E31BBF">
        <w:t>.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results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policy</w:t>
      </w:r>
      <w:r w:rsidR="00C21DB7">
        <w:t xml:space="preserve"> </w:t>
      </w:r>
      <w:r w:rsidRPr="00E31BBF">
        <w:t>changes</w:t>
      </w:r>
      <w:r w:rsidR="00C21DB7">
        <w:t xml:space="preserve"> </w:t>
      </w:r>
      <w:r w:rsidRPr="00E31BBF">
        <w:t>relying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these</w:t>
      </w:r>
      <w:r w:rsidR="00C21DB7">
        <w:t xml:space="preserve"> </w:t>
      </w:r>
      <w:proofErr w:type="gramStart"/>
      <w:r w:rsidRPr="00E31BBF">
        <w:t>will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further</w:t>
      </w:r>
      <w:r w:rsidR="00C21DB7">
        <w:t xml:space="preserve"> </w:t>
      </w:r>
      <w:r w:rsidRPr="00E31BBF">
        <w:t>developed</w:t>
      </w:r>
      <w:proofErr w:type="gramEnd"/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framework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long-term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reform.</w:t>
      </w:r>
      <w:r w:rsidR="00C21DB7">
        <w:t xml:space="preserve"> </w:t>
      </w:r>
    </w:p>
    <w:p w:rsidR="002F001C" w:rsidRPr="00E31BBF" w:rsidRDefault="002F001C" w:rsidP="00AA3DE6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proofErr w:type="gramStart"/>
      <w:r w:rsidRPr="00E31BBF">
        <w:t>2</w:t>
      </w:r>
      <w:proofErr w:type="gramEnd"/>
      <w:r w:rsidR="00B10A4D">
        <w:t xml:space="preserve"> </w:t>
      </w:r>
      <w:r w:rsidRPr="00E31BBF">
        <w:t>(c)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19.</w:t>
      </w:r>
      <w:r w:rsidRPr="00E31BBF">
        <w:tab/>
        <w:t>In</w:t>
      </w:r>
      <w:r w:rsidR="00C21DB7">
        <w:t xml:space="preserve"> </w:t>
      </w:r>
      <w:r w:rsidRPr="00E31BBF">
        <w:t>2018,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regulation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Minister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Entrepreneurship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Technology</w:t>
      </w:r>
      <w:r w:rsidR="00C21DB7">
        <w:t xml:space="preserve"> </w:t>
      </w:r>
      <w:r w:rsidRPr="00E31BBF">
        <w:t>came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force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provides</w:t>
      </w:r>
      <w:r w:rsidR="00C21DB7">
        <w:t xml:space="preserve"> </w:t>
      </w:r>
      <w:r w:rsidRPr="00E31BBF">
        <w:t>detailed</w:t>
      </w:r>
      <w:r w:rsidR="00C21DB7">
        <w:t xml:space="preserve"> </w:t>
      </w:r>
      <w:r w:rsidRPr="00E31BBF">
        <w:t>requirements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buildings</w:t>
      </w:r>
      <w:r w:rsidR="00C21DB7">
        <w:t xml:space="preserve"> </w:t>
      </w:r>
      <w:r w:rsidRPr="00E31BBF">
        <w:t>related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regulation</w:t>
      </w:r>
      <w:r w:rsidR="00C21DB7">
        <w:t xml:space="preserve"> </w:t>
      </w:r>
      <w:r w:rsidRPr="00E31BBF">
        <w:t>applies</w:t>
      </w:r>
      <w:r w:rsidR="00C21DB7">
        <w:t xml:space="preserve"> </w:t>
      </w:r>
      <w:proofErr w:type="gramStart"/>
      <w:r w:rsidRPr="00E31BBF">
        <w:t>first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foremost</w:t>
      </w:r>
      <w:proofErr w:type="gramEnd"/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buildings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parts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buildings</w:t>
      </w:r>
      <w:r w:rsidR="00C21DB7">
        <w:t xml:space="preserve"> </w:t>
      </w:r>
      <w:r w:rsidRPr="00E31BBF">
        <w:t>where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provided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roads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urban</w:t>
      </w:r>
      <w:r w:rsidR="00C21DB7">
        <w:t xml:space="preserve"> </w:t>
      </w:r>
      <w:r w:rsidRPr="00E31BBF">
        <w:t>areas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publicly</w:t>
      </w:r>
      <w:r w:rsidR="00C21DB7">
        <w:t xml:space="preserve"> </w:t>
      </w:r>
      <w:r w:rsidRPr="00E31BBF">
        <w:t>accessible</w:t>
      </w:r>
      <w:r w:rsidR="00C21DB7">
        <w:t xml:space="preserve"> </w:t>
      </w:r>
      <w:r w:rsidRPr="00E31BBF">
        <w:t>private</w:t>
      </w:r>
      <w:r w:rsidR="00C21DB7">
        <w:t xml:space="preserve"> </w:t>
      </w:r>
      <w:r w:rsidRPr="00E31BBF">
        <w:t>roads.</w:t>
      </w:r>
    </w:p>
    <w:p w:rsidR="002F001C" w:rsidRPr="00E31BBF" w:rsidRDefault="002F001C" w:rsidP="00732F46">
      <w:pPr>
        <w:pStyle w:val="SingleTxtG"/>
      </w:pPr>
      <w:r w:rsidRPr="00E31BBF">
        <w:t>20.</w:t>
      </w:r>
      <w:r w:rsidRPr="00E31BBF">
        <w:tab/>
        <w:t>As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January</w:t>
      </w:r>
      <w:r w:rsidR="00C21DB7">
        <w:t xml:space="preserve"> </w:t>
      </w:r>
      <w:r w:rsidRPr="00E31BBF">
        <w:t>2019,</w:t>
      </w:r>
      <w:r w:rsidR="00C21DB7">
        <w:t xml:space="preserve"> </w:t>
      </w:r>
      <w:r w:rsidRPr="00E31BBF">
        <w:t>Consumer</w:t>
      </w:r>
      <w:r w:rsidR="00C21DB7">
        <w:t xml:space="preserve"> </w:t>
      </w:r>
      <w:r w:rsidRPr="00E31BBF">
        <w:t>Protection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Technical</w:t>
      </w:r>
      <w:r w:rsidR="00C21DB7">
        <w:t xml:space="preserve"> </w:t>
      </w:r>
      <w:r w:rsidRPr="00E31BBF">
        <w:t>Regulatory</w:t>
      </w:r>
      <w:r w:rsidR="00C21DB7">
        <w:t xml:space="preserve"> </w:t>
      </w:r>
      <w:r w:rsidRPr="00E31BBF">
        <w:t>Authority</w:t>
      </w:r>
      <w:r w:rsidR="00C21DB7">
        <w:t xml:space="preserve"> </w:t>
      </w:r>
      <w:r w:rsidRPr="00E31BBF">
        <w:t>performs</w:t>
      </w:r>
      <w:r w:rsidR="00C21DB7">
        <w:t xml:space="preserve"> </w:t>
      </w:r>
      <w:r w:rsidRPr="00E31BBF">
        <w:t>state</w:t>
      </w:r>
      <w:r w:rsidR="00C21DB7">
        <w:t xml:space="preserve"> </w:t>
      </w:r>
      <w:r w:rsidRPr="00E31BBF">
        <w:t>supervision</w:t>
      </w:r>
      <w:r w:rsidR="00C21DB7">
        <w:t xml:space="preserve"> </w:t>
      </w:r>
      <w:r w:rsidRPr="00E31BBF">
        <w:t>over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application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regulation.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21.</w:t>
      </w:r>
      <w:r w:rsidRPr="00E31BBF">
        <w:tab/>
        <w:t>In</w:t>
      </w:r>
      <w:r w:rsidR="00C21DB7">
        <w:t xml:space="preserve"> </w:t>
      </w:r>
      <w:r w:rsidRPr="00E31BBF">
        <w:t>2018,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another</w:t>
      </w:r>
      <w:r w:rsidR="00C21DB7">
        <w:t xml:space="preserve"> </w:t>
      </w:r>
      <w:r w:rsidRPr="00E31BBF">
        <w:t>regulation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Minister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Entrepreneurship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Technology</w:t>
      </w:r>
      <w:r w:rsidR="00C21DB7">
        <w:t xml:space="preserve"> </w:t>
      </w:r>
      <w:r w:rsidRPr="00E31BBF">
        <w:t>came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force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complemented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earlier</w:t>
      </w:r>
      <w:r w:rsidR="00C21DB7">
        <w:t xml:space="preserve"> </w:t>
      </w:r>
      <w:r w:rsidRPr="00E31BBF">
        <w:t>regulation</w:t>
      </w:r>
      <w:r w:rsidR="00C21DB7">
        <w:t xml:space="preserve"> </w:t>
      </w:r>
      <w:r w:rsidRPr="00E31BBF">
        <w:t>on</w:t>
      </w:r>
      <w:r w:rsidR="00C21DB7">
        <w:t xml:space="preserve"> </w:t>
      </w:r>
      <w:r w:rsidR="003E41EF">
        <w:t>“</w:t>
      </w:r>
      <w:r w:rsidRPr="00E31BBF">
        <w:t>Requirements</w:t>
      </w:r>
      <w:r w:rsidR="00C21DB7">
        <w:t xml:space="preserve"> </w:t>
      </w:r>
      <w:r w:rsidRPr="00E31BBF">
        <w:t>set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living</w:t>
      </w:r>
      <w:r w:rsidR="00C21DB7">
        <w:t xml:space="preserve"> </w:t>
      </w:r>
      <w:r w:rsidRPr="00E31BBF">
        <w:t>space</w:t>
      </w:r>
      <w:r w:rsidR="003E41EF">
        <w:t>”</w:t>
      </w:r>
      <w:r w:rsidR="00155C52">
        <w:t>.</w:t>
      </w:r>
      <w:r w:rsidRPr="00060D87">
        <w:rPr>
          <w:rStyle w:val="FootnoteReference"/>
        </w:rPr>
        <w:footnoteReference w:id="2"/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new</w:t>
      </w:r>
      <w:r w:rsidR="00C21DB7">
        <w:t xml:space="preserve"> </w:t>
      </w:r>
      <w:r w:rsidRPr="00E31BBF">
        <w:t>regulations</w:t>
      </w:r>
      <w:r w:rsidR="003E41EF">
        <w:t>’</w:t>
      </w:r>
      <w:r w:rsidR="00C21DB7">
        <w:t xml:space="preserve"> </w:t>
      </w:r>
      <w:r w:rsidRPr="00E31BBF">
        <w:t>goal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improve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living</w:t>
      </w:r>
      <w:r w:rsidR="00C21DB7">
        <w:t xml:space="preserve"> </w:t>
      </w:r>
      <w:r w:rsidRPr="00E31BBF">
        <w:t>space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it</w:t>
      </w:r>
      <w:r w:rsidR="00C21DB7">
        <w:t xml:space="preserve"> </w:t>
      </w:r>
      <w:r w:rsidRPr="00E31BBF">
        <w:t>requires</w:t>
      </w:r>
      <w:r w:rsidR="00C21DB7">
        <w:t xml:space="preserve"> </w:t>
      </w:r>
      <w:r w:rsidRPr="00E31BBF">
        <w:t>having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elevator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houses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least</w:t>
      </w:r>
      <w:r w:rsidR="00C21DB7">
        <w:t xml:space="preserve"> </w:t>
      </w:r>
      <w:r w:rsidRPr="00E31BBF">
        <w:t>four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floors.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requirement</w:t>
      </w:r>
      <w:r w:rsidR="00C21DB7">
        <w:t xml:space="preserve"> </w:t>
      </w:r>
      <w:r w:rsidRPr="00E31BBF">
        <w:t>applies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building</w:t>
      </w:r>
      <w:r w:rsidR="00C21DB7">
        <w:t xml:space="preserve"> </w:t>
      </w:r>
      <w:r w:rsidRPr="00E31BBF">
        <w:t>projects</w:t>
      </w:r>
      <w:r w:rsidR="00C21DB7">
        <w:t xml:space="preserve"> </w:t>
      </w:r>
      <w:r w:rsidRPr="00E31BBF">
        <w:t>implemented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1st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August</w:t>
      </w:r>
      <w:r w:rsidR="00C21DB7">
        <w:t xml:space="preserve"> </w:t>
      </w:r>
      <w:r w:rsidRPr="00E31BBF">
        <w:t>2019.</w:t>
      </w:r>
      <w:r w:rsidR="00C21DB7">
        <w:t xml:space="preserve"> </w:t>
      </w:r>
    </w:p>
    <w:p w:rsidR="002F001C" w:rsidRPr="00E31BBF" w:rsidRDefault="002F001C" w:rsidP="00AA3DE6">
      <w:pPr>
        <w:pStyle w:val="HChG"/>
      </w:pPr>
      <w:r w:rsidRPr="00E31BBF">
        <w:lastRenderedPageBreak/>
        <w:tab/>
        <w:t>B.</w:t>
      </w:r>
      <w:r w:rsidRPr="00E31BBF">
        <w:tab/>
        <w:t>Specific</w:t>
      </w:r>
      <w:r w:rsidR="00C21DB7">
        <w:t xml:space="preserve"> </w:t>
      </w:r>
      <w:r w:rsidRPr="00E31BBF">
        <w:t>rights</w:t>
      </w:r>
      <w:r w:rsidR="00C21DB7">
        <w:t xml:space="preserve"> </w:t>
      </w:r>
      <w:r w:rsidRPr="00E31BBF">
        <w:t>(arts.</w:t>
      </w:r>
      <w:r w:rsidR="00C21DB7">
        <w:t xml:space="preserve"> </w:t>
      </w:r>
      <w:r w:rsidRPr="00E31BBF">
        <w:t>5–30)</w:t>
      </w:r>
      <w:r w:rsidR="00C21DB7">
        <w:t xml:space="preserve"> </w:t>
      </w:r>
    </w:p>
    <w:p w:rsidR="002F001C" w:rsidRPr="00E31BBF" w:rsidRDefault="002F001C" w:rsidP="00AA3DE6">
      <w:pPr>
        <w:pStyle w:val="H1G"/>
      </w:pPr>
      <w:r w:rsidRPr="00E31BBF">
        <w:tab/>
      </w:r>
      <w:r w:rsidRPr="00E31BBF">
        <w:tab/>
        <w:t>Equality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non-discrimination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5)</w:t>
      </w:r>
      <w:r w:rsidR="00C21DB7">
        <w:t xml:space="preserve"> </w:t>
      </w:r>
    </w:p>
    <w:p w:rsidR="002F001C" w:rsidRPr="00E31BBF" w:rsidRDefault="002F001C" w:rsidP="00AA3DE6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3</w:t>
      </w:r>
      <w:r w:rsidR="00C21DB7">
        <w:t xml:space="preserve"> </w:t>
      </w:r>
      <w:r w:rsidRPr="00E31BBF">
        <w:t>(a)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22.</w:t>
      </w:r>
      <w:r w:rsidRPr="00E31BBF">
        <w:tab/>
        <w:t>The</w:t>
      </w:r>
      <w:r w:rsidR="00C21DB7">
        <w:t xml:space="preserve"> </w:t>
      </w:r>
      <w:r w:rsidRPr="00E31BBF">
        <w:t>Gender</w:t>
      </w:r>
      <w:r w:rsidR="00C21DB7">
        <w:t xml:space="preserve"> </w:t>
      </w:r>
      <w:r w:rsidRPr="00E31BBF">
        <w:t>Equality</w:t>
      </w:r>
      <w:r w:rsidR="00C21DB7">
        <w:t xml:space="preserve"> </w:t>
      </w:r>
      <w:r w:rsidRPr="00E31BBF">
        <w:t>Acts</w:t>
      </w:r>
      <w:r w:rsidR="003E41EF">
        <w:t>’</w:t>
      </w:r>
      <w:r w:rsidR="00C21DB7">
        <w:t xml:space="preserve"> </w:t>
      </w:r>
      <w:r w:rsidRPr="00E31BBF">
        <w:t>(Entry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force</w:t>
      </w:r>
      <w:r w:rsidR="00C21DB7">
        <w:t xml:space="preserve"> </w:t>
      </w:r>
      <w:r w:rsidRPr="00E31BBF">
        <w:t>01.05.2004)</w:t>
      </w:r>
      <w:r w:rsidR="00C21DB7">
        <w:t xml:space="preserve"> </w:t>
      </w:r>
      <w:r w:rsidRPr="00E31BBF">
        <w:t>purpose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ensure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men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women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provided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Constitution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Republic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promote</w:t>
      </w:r>
      <w:r w:rsidR="00C21DB7">
        <w:t xml:space="preserve"> </w:t>
      </w:r>
      <w:r w:rsidRPr="00E31BBF">
        <w:t>equality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men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women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fundamental</w:t>
      </w:r>
      <w:r w:rsidR="00C21DB7">
        <w:t xml:space="preserve"> </w:t>
      </w:r>
      <w:r w:rsidRPr="00E31BBF">
        <w:t>human</w:t>
      </w:r>
      <w:r w:rsidR="00C21DB7">
        <w:t xml:space="preserve"> </w:t>
      </w:r>
      <w:r w:rsidRPr="00E31BBF">
        <w:t>right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good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areas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life</w:t>
      </w:r>
      <w:r w:rsidR="00C21DB7">
        <w:t xml:space="preserve"> </w:t>
      </w:r>
      <w:r w:rsidRPr="00E31BBF">
        <w:t>(§</w:t>
      </w:r>
      <w:r w:rsidR="00C21DB7">
        <w:t xml:space="preserve"> </w:t>
      </w:r>
      <w:r w:rsidRPr="00E31BBF">
        <w:t>1).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23.</w:t>
      </w:r>
      <w:r w:rsidRPr="00E31BBF">
        <w:tab/>
        <w:t>The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applies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areas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life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exceptions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professing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practicing</w:t>
      </w:r>
      <w:r w:rsidR="00C21DB7">
        <w:t xml:space="preserve"> </w:t>
      </w:r>
      <w:r w:rsidRPr="00E31BBF">
        <w:t>faith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working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minister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religion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registered</w:t>
      </w:r>
      <w:r w:rsidR="00C21DB7">
        <w:t xml:space="preserve"> </w:t>
      </w:r>
      <w:r w:rsidRPr="00E31BBF">
        <w:t>religious</w:t>
      </w:r>
      <w:r w:rsidR="00C21DB7">
        <w:t xml:space="preserve"> </w:t>
      </w:r>
      <w:r w:rsidRPr="00E31BBF">
        <w:t>association</w:t>
      </w:r>
      <w:proofErr w:type="gramStart"/>
      <w:r w:rsidRPr="00E31BBF">
        <w:t>;</w:t>
      </w:r>
      <w:proofErr w:type="gramEnd"/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relations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family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private</w:t>
      </w:r>
      <w:r w:rsidR="00C21DB7">
        <w:t xml:space="preserve"> </w:t>
      </w:r>
      <w:r w:rsidRPr="00E31BBF">
        <w:t>life.</w:t>
      </w:r>
      <w:r w:rsidR="00C21DB7">
        <w:t xml:space="preserve"> </w:t>
      </w:r>
      <w:r w:rsidRPr="00E31BBF">
        <w:t>It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defines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prohibits</w:t>
      </w:r>
      <w:r w:rsidR="00C21DB7">
        <w:t xml:space="preserve"> </w:t>
      </w:r>
      <w:r w:rsidRPr="00E31BBF">
        <w:t>direct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indirect</w:t>
      </w:r>
      <w:r w:rsidR="00C21DB7">
        <w:t xml:space="preserve"> </w:t>
      </w:r>
      <w:r w:rsidRPr="00E31BBF">
        <w:t>discrimination</w:t>
      </w:r>
      <w:r w:rsidR="00C21DB7">
        <w:t xml:space="preserve"> </w:t>
      </w:r>
      <w:r w:rsidRPr="00E31BBF">
        <w:t>based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sex.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24.</w:t>
      </w:r>
      <w:r w:rsidRPr="00E31BBF">
        <w:tab/>
        <w:t>The</w:t>
      </w:r>
      <w:r w:rsidR="00C21DB7">
        <w:t xml:space="preserve"> </w:t>
      </w:r>
      <w:r w:rsidRPr="00E31BBF">
        <w:t>purpose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ensure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protection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against</w:t>
      </w:r>
      <w:r w:rsidR="00C21DB7">
        <w:t xml:space="preserve"> </w:t>
      </w:r>
      <w:r w:rsidRPr="00E31BBF">
        <w:t>discrimination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grounds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nationality</w:t>
      </w:r>
      <w:r w:rsidR="00C21DB7">
        <w:t xml:space="preserve"> </w:t>
      </w:r>
      <w:r w:rsidRPr="00E31BBF">
        <w:t>(ethnic</w:t>
      </w:r>
      <w:r w:rsidR="00C21DB7">
        <w:t xml:space="preserve"> </w:t>
      </w:r>
      <w:r w:rsidRPr="00E31BBF">
        <w:t>origin),</w:t>
      </w:r>
      <w:r w:rsidR="00C21DB7">
        <w:t xml:space="preserve"> </w:t>
      </w:r>
      <w:r w:rsidRPr="00E31BBF">
        <w:t>race,</w:t>
      </w:r>
      <w:r w:rsidR="00C21DB7">
        <w:t xml:space="preserve"> </w:t>
      </w:r>
      <w:r w:rsidRPr="00E31BBF">
        <w:t>colour,</w:t>
      </w:r>
      <w:r w:rsidR="00C21DB7">
        <w:t xml:space="preserve"> </w:t>
      </w:r>
      <w:r w:rsidRPr="00E31BBF">
        <w:t>religion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beliefs,</w:t>
      </w:r>
      <w:r w:rsidR="00C21DB7">
        <w:t xml:space="preserve"> </w:t>
      </w:r>
      <w:r w:rsidRPr="00E31BBF">
        <w:t>age,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sexual</w:t>
      </w:r>
      <w:r w:rsidR="00C21DB7">
        <w:t xml:space="preserve"> </w:t>
      </w:r>
      <w:r w:rsidRPr="00E31BBF">
        <w:t>orientation</w:t>
      </w:r>
      <w:r w:rsidR="00C21DB7">
        <w:t xml:space="preserve"> </w:t>
      </w:r>
      <w:r w:rsidRPr="00E31BBF">
        <w:t>(§</w:t>
      </w:r>
      <w:r w:rsidR="00C21DB7">
        <w:t xml:space="preserve"> </w:t>
      </w:r>
      <w:r w:rsidRPr="00E31BBF">
        <w:t>1).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proofErr w:type="gramStart"/>
      <w:r w:rsidRPr="00E31BBF">
        <w:t>25.</w:t>
      </w:r>
      <w:r w:rsidRPr="00E31BBF">
        <w:tab/>
        <w:t>The</w:t>
      </w:r>
      <w:r w:rsidR="00C21DB7">
        <w:t xml:space="preserve"> </w:t>
      </w:r>
      <w:r w:rsidRPr="00E31BBF">
        <w:t>scope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application</w:t>
      </w:r>
      <w:r w:rsidR="00C21DB7">
        <w:t xml:space="preserve"> </w:t>
      </w:r>
      <w:r w:rsidRPr="00E31BBF">
        <w:t>differs</w:t>
      </w:r>
      <w:r w:rsidR="00C21DB7">
        <w:t xml:space="preserve"> </w:t>
      </w:r>
      <w:r w:rsidRPr="00E31BBF">
        <w:t>depending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grounds,</w:t>
      </w:r>
      <w:r w:rsidR="00C21DB7">
        <w:t xml:space="preserve"> </w:t>
      </w:r>
      <w:r w:rsidRPr="00E31BBF">
        <w:t>providing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wider</w:t>
      </w:r>
      <w:r w:rsidR="00C21DB7">
        <w:t xml:space="preserve"> </w:t>
      </w:r>
      <w:r w:rsidRPr="00E31BBF">
        <w:t>protection</w:t>
      </w:r>
      <w:r w:rsidR="00C21DB7">
        <w:t xml:space="preserve"> </w:t>
      </w:r>
      <w:r w:rsidRPr="00E31BBF">
        <w:t>against</w:t>
      </w:r>
      <w:r w:rsidR="00C21DB7">
        <w:t xml:space="preserve"> </w:t>
      </w:r>
      <w:r w:rsidRPr="00E31BBF">
        <w:t>discrimination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grounds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nationality</w:t>
      </w:r>
      <w:r w:rsidR="00C21DB7">
        <w:t xml:space="preserve"> </w:t>
      </w:r>
      <w:r w:rsidRPr="00E31BBF">
        <w:t>(ethnic</w:t>
      </w:r>
      <w:r w:rsidR="00C21DB7">
        <w:t xml:space="preserve"> </w:t>
      </w:r>
      <w:r w:rsidRPr="00E31BBF">
        <w:t>origin),</w:t>
      </w:r>
      <w:r w:rsidR="00C21DB7">
        <w:t xml:space="preserve"> </w:t>
      </w:r>
      <w:r w:rsidRPr="00E31BBF">
        <w:t>race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colour</w:t>
      </w:r>
      <w:r w:rsidR="00C21DB7">
        <w:t xml:space="preserve"> </w:t>
      </w:r>
      <w:r w:rsidRPr="00E31BBF">
        <w:t>(covering</w:t>
      </w:r>
      <w:r w:rsidR="00C21DB7">
        <w:t xml:space="preserve"> </w:t>
      </w:r>
      <w:r w:rsidRPr="00E31BBF">
        <w:t>access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welfare,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security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healthcare,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benefits,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area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access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supply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goods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available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public,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housing).</w:t>
      </w:r>
      <w:proofErr w:type="gramEnd"/>
      <w:r w:rsidR="00C21DB7">
        <w:t xml:space="preserve"> </w:t>
      </w:r>
      <w:r w:rsidRPr="00E31BBF">
        <w:t>Discrimination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grounds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religion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beliefs,</w:t>
      </w:r>
      <w:r w:rsidR="00C21DB7">
        <w:t xml:space="preserve"> </w:t>
      </w:r>
      <w:r w:rsidRPr="00E31BBF">
        <w:t>age,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sexual</w:t>
      </w:r>
      <w:r w:rsidR="00C21DB7">
        <w:t xml:space="preserve"> </w:t>
      </w:r>
      <w:r w:rsidRPr="00E31BBF">
        <w:t>orientation</w:t>
      </w:r>
      <w:r w:rsidR="00C21DB7">
        <w:t xml:space="preserve"> </w:t>
      </w:r>
      <w:proofErr w:type="gramStart"/>
      <w:r w:rsidRPr="00E31BBF">
        <w:t>is</w:t>
      </w:r>
      <w:r w:rsidR="00C21DB7">
        <w:t xml:space="preserve"> </w:t>
      </w:r>
      <w:r w:rsidRPr="00E31BBF">
        <w:t>prohibited</w:t>
      </w:r>
      <w:proofErr w:type="gramEnd"/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relation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life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vocational</w:t>
      </w:r>
      <w:r w:rsidR="00C21DB7">
        <w:t xml:space="preserve"> </w:t>
      </w:r>
      <w:r w:rsidRPr="00E31BBF">
        <w:t>training.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26.</w:t>
      </w:r>
      <w:r w:rsidRPr="00E31BBF">
        <w:tab/>
        <w:t>A</w:t>
      </w:r>
      <w:r w:rsidR="00C21DB7">
        <w:t xml:space="preserve"> </w:t>
      </w:r>
      <w:r w:rsidRPr="00E31BBF">
        <w:t>draft</w:t>
      </w:r>
      <w:r w:rsidR="00C21DB7">
        <w:t xml:space="preserve"> </w:t>
      </w:r>
      <w:r w:rsidRPr="00E31BBF">
        <w:t>proposal</w:t>
      </w:r>
      <w:r w:rsidR="00C21DB7">
        <w:t xml:space="preserve"> </w:t>
      </w:r>
      <w:r w:rsidRPr="00E31BBF">
        <w:t>amending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currently</w:t>
      </w:r>
      <w:r w:rsidR="00C21DB7">
        <w:t xml:space="preserve"> </w:t>
      </w:r>
      <w:r w:rsidRPr="00E31BBF">
        <w:t>being</w:t>
      </w:r>
      <w:r w:rsidR="00C21DB7">
        <w:t xml:space="preserve"> </w:t>
      </w:r>
      <w:r w:rsidRPr="00E31BBF">
        <w:t>prepared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widen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scope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application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concerning</w:t>
      </w:r>
      <w:r w:rsidR="00C21DB7">
        <w:t xml:space="preserve"> </w:t>
      </w:r>
      <w:r w:rsidRPr="00E31BBF">
        <w:t>discrimination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grounds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religion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beliefs,</w:t>
      </w:r>
      <w:r w:rsidR="00C21DB7">
        <w:t xml:space="preserve"> </w:t>
      </w:r>
      <w:r w:rsidRPr="00E31BBF">
        <w:t>age,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sexual</w:t>
      </w:r>
      <w:r w:rsidR="00C21DB7">
        <w:t xml:space="preserve"> </w:t>
      </w:r>
      <w:r w:rsidRPr="00E31BBF">
        <w:t>orientation.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aim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widen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scope</w:t>
      </w:r>
      <w:r w:rsidR="00C21DB7">
        <w:t xml:space="preserve"> </w:t>
      </w:r>
      <w:r w:rsidRPr="00E31BBF">
        <w:t>outside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field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employment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cover</w:t>
      </w:r>
      <w:r w:rsidR="00C21DB7">
        <w:t xml:space="preserve"> </w:t>
      </w:r>
      <w:r w:rsidRPr="00E31BBF">
        <w:t>access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welfare,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security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healthcare,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benefits,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area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access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supply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goods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services,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available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public,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housing.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new</w:t>
      </w:r>
      <w:r w:rsidR="00C21DB7">
        <w:t xml:space="preserve"> </w:t>
      </w:r>
      <w:r w:rsidRPr="00E31BBF">
        <w:t>government</w:t>
      </w:r>
      <w:r w:rsidR="00C21DB7">
        <w:t xml:space="preserve"> </w:t>
      </w:r>
      <w:r w:rsidRPr="00E31BBF">
        <w:t>formed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spring</w:t>
      </w:r>
      <w:r w:rsidR="00C21DB7">
        <w:t xml:space="preserve"> </w:t>
      </w:r>
      <w:r w:rsidRPr="00E31BBF">
        <w:t>2019,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draft</w:t>
      </w:r>
      <w:r w:rsidR="00C21DB7">
        <w:t xml:space="preserve"> </w:t>
      </w:r>
      <w:r w:rsidRPr="00E31BBF">
        <w:t>proposal</w:t>
      </w:r>
      <w:r w:rsidR="00C21DB7">
        <w:t xml:space="preserve"> </w:t>
      </w:r>
      <w:proofErr w:type="gramStart"/>
      <w:r w:rsidRPr="00E31BBF">
        <w:t>has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discussed</w:t>
      </w:r>
      <w:proofErr w:type="gramEnd"/>
      <w:r w:rsidR="00C21DB7">
        <w:t xml:space="preserve"> </w:t>
      </w:r>
      <w:r w:rsidRPr="00E31BBF">
        <w:t>yet.</w:t>
      </w:r>
      <w:r w:rsidR="00C21DB7">
        <w:t xml:space="preserve"> </w:t>
      </w:r>
    </w:p>
    <w:p w:rsidR="002F001C" w:rsidRPr="00E31BBF" w:rsidRDefault="002F001C" w:rsidP="00356D2C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3</w:t>
      </w:r>
      <w:r w:rsidR="00C21DB7">
        <w:t xml:space="preserve"> </w:t>
      </w:r>
      <w:r w:rsidRPr="00E31BBF">
        <w:t>(b)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27.</w:t>
      </w:r>
      <w:r w:rsidRPr="00E31BBF">
        <w:tab/>
        <w:t>In</w:t>
      </w:r>
      <w:r w:rsidR="00C21DB7">
        <w:t xml:space="preserve"> </w:t>
      </w:r>
      <w:r w:rsidRPr="00E31BBF">
        <w:t>terms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prevention,</w:t>
      </w:r>
      <w:r w:rsidR="00C21DB7">
        <w:t xml:space="preserve"> </w:t>
      </w:r>
      <w:r w:rsidRPr="00E31BBF">
        <w:t>various</w:t>
      </w:r>
      <w:r w:rsidR="00C21DB7">
        <w:t xml:space="preserve"> </w:t>
      </w:r>
      <w:r w:rsidRPr="00E31BBF">
        <w:t>awareness</w:t>
      </w:r>
      <w:r w:rsidR="00C21DB7">
        <w:t xml:space="preserve"> </w:t>
      </w:r>
      <w:r w:rsidRPr="00E31BBF">
        <w:t>raising</w:t>
      </w:r>
      <w:r w:rsidR="00C21DB7">
        <w:t xml:space="preserve"> </w:t>
      </w:r>
      <w:r w:rsidRPr="00E31BBF">
        <w:t>campaigns</w:t>
      </w:r>
      <w:r w:rsidR="00C21DB7">
        <w:t xml:space="preserve"> </w:t>
      </w:r>
      <w:proofErr w:type="gramStart"/>
      <w:r w:rsidRPr="00E31BBF">
        <w:t>have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launched</w:t>
      </w:r>
      <w:proofErr w:type="gramEnd"/>
      <w:r w:rsidR="00C21DB7">
        <w:t xml:space="preserve"> </w:t>
      </w:r>
      <w:r w:rsidRPr="00E31BBF">
        <w:t>during</w:t>
      </w:r>
      <w:r w:rsidR="00C21DB7">
        <w:t xml:space="preserve"> </w:t>
      </w:r>
      <w:r w:rsidRPr="00E31BBF">
        <w:t>recent</w:t>
      </w:r>
      <w:r w:rsidR="00C21DB7">
        <w:t xml:space="preserve"> </w:t>
      </w:r>
      <w:r w:rsidRPr="00E31BBF">
        <w:t>years</w:t>
      </w:r>
      <w:r w:rsidR="00C21DB7">
        <w:t xml:space="preserve"> </w:t>
      </w:r>
      <w:r w:rsidRPr="00E31BBF">
        <w:t>(see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answers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8</w:t>
      </w:r>
      <w:r w:rsidR="00C21DB7">
        <w:t xml:space="preserve"> </w:t>
      </w:r>
      <w:r w:rsidRPr="00E31BBF">
        <w:t>point</w:t>
      </w:r>
      <w:r w:rsidR="00C21DB7">
        <w:t xml:space="preserve"> </w:t>
      </w:r>
      <w:r w:rsidRPr="00E31BBF">
        <w:t>6).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28.</w:t>
      </w:r>
      <w:r w:rsidRPr="00E31BBF">
        <w:tab/>
        <w:t>The</w:t>
      </w:r>
      <w:r w:rsidR="00C21DB7">
        <w:t xml:space="preserve"> </w:t>
      </w:r>
      <w:r w:rsidRPr="00E31BBF">
        <w:t>Gender</w:t>
      </w:r>
      <w:r w:rsidR="00C21DB7">
        <w:t xml:space="preserve"> </w:t>
      </w:r>
      <w:r w:rsidRPr="00E31BBF">
        <w:t>Equality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Commissioner</w:t>
      </w:r>
      <w:r w:rsidR="00C21DB7">
        <w:t xml:space="preserve"> </w:t>
      </w:r>
      <w:r w:rsidRPr="00E31BBF">
        <w:t>monitors</w:t>
      </w:r>
      <w:r w:rsidR="00C21DB7">
        <w:t xml:space="preserve"> </w:t>
      </w:r>
      <w:r w:rsidRPr="00E31BBF">
        <w:t>compliance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Gender</w:t>
      </w:r>
      <w:r w:rsidR="00C21DB7">
        <w:t xml:space="preserve"> </w:t>
      </w:r>
      <w:r w:rsidRPr="00E31BBF">
        <w:t>Equality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both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private</w:t>
      </w:r>
      <w:r w:rsidR="00C21DB7">
        <w:t xml:space="preserve"> </w:t>
      </w:r>
      <w:r w:rsidRPr="00E31BBF">
        <w:t>sector</w:t>
      </w:r>
      <w:r w:rsidR="00C21DB7">
        <w:t xml:space="preserve"> </w:t>
      </w:r>
      <w:r w:rsidRPr="00E31BBF">
        <w:t>(see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answers</w:t>
      </w:r>
      <w:r w:rsidR="00C21DB7">
        <w:t xml:space="preserve"> </w:t>
      </w:r>
      <w:r w:rsidRPr="00E31BBF">
        <w:t>in</w:t>
      </w:r>
      <w:r w:rsidR="00C21DB7">
        <w:t xml:space="preserve"> </w:t>
      </w:r>
      <w:r w:rsidR="001200E5">
        <w:t>art.</w:t>
      </w:r>
      <w:r w:rsidR="00C21DB7">
        <w:t xml:space="preserve"> </w:t>
      </w:r>
      <w:r w:rsidRPr="00E31BBF">
        <w:t>5</w:t>
      </w:r>
      <w:r w:rsidR="00C21DB7">
        <w:t xml:space="preserve"> </w:t>
      </w:r>
      <w:r w:rsidRPr="00E31BBF">
        <w:t>point</w:t>
      </w:r>
      <w:r w:rsidR="00C21DB7">
        <w:t xml:space="preserve"> </w:t>
      </w:r>
      <w:r w:rsidRPr="00E31BBF">
        <w:t>3d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3e,</w:t>
      </w:r>
      <w:r w:rsidR="00C21DB7">
        <w:t xml:space="preserve"> </w:t>
      </w:r>
      <w:r w:rsidR="001200E5">
        <w:t>art.</w:t>
      </w:r>
      <w:r w:rsidR="00C21DB7">
        <w:t xml:space="preserve"> </w:t>
      </w:r>
      <w:r w:rsidRPr="00E31BBF">
        <w:t>6</w:t>
      </w:r>
      <w:r w:rsidR="00C21DB7">
        <w:t xml:space="preserve"> </w:t>
      </w:r>
      <w:r w:rsidRPr="00E31BBF">
        <w:t>point</w:t>
      </w:r>
      <w:r w:rsidR="00C21DB7">
        <w:t xml:space="preserve"> </w:t>
      </w:r>
      <w:r w:rsidRPr="00E31BBF">
        <w:t>4</w:t>
      </w:r>
      <w:r w:rsidR="00C21DB7">
        <w:t xml:space="preserve"> </w:t>
      </w:r>
      <w:r w:rsidRPr="00E31BBF">
        <w:t>b</w:t>
      </w:r>
      <w:r w:rsidR="00C21DB7">
        <w:t xml:space="preserve"> </w:t>
      </w:r>
      <w:r w:rsidRPr="00E31BBF">
        <w:t>etc.).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29.</w:t>
      </w:r>
      <w:r w:rsidRPr="00E31BBF">
        <w:tab/>
        <w:t>The</w:t>
      </w:r>
      <w:r w:rsidR="00C21DB7">
        <w:t xml:space="preserve"> </w:t>
      </w:r>
      <w:r w:rsidRPr="00E31BBF">
        <w:t>Chancellor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Justice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1st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January</w:t>
      </w:r>
      <w:r w:rsidR="00C21DB7">
        <w:t xml:space="preserve"> </w:t>
      </w:r>
      <w:r w:rsidRPr="00E31BBF">
        <w:t>2019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tasks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framework</w:t>
      </w:r>
      <w:r w:rsidR="00C21DB7">
        <w:t xml:space="preserve"> </w:t>
      </w:r>
      <w:r w:rsidRPr="00E31BBF">
        <w:t>indicated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33</w:t>
      </w:r>
      <w:r w:rsidR="00C21DB7">
        <w:t xml:space="preserve"> </w:t>
      </w:r>
      <w:r w:rsidRPr="00E31BBF">
        <w:t>point</w:t>
      </w:r>
      <w:r w:rsidR="00C21DB7">
        <w:t xml:space="preserve"> </w:t>
      </w:r>
      <w:r w:rsidRPr="00E31BBF">
        <w:t>2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CRPD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promote,</w:t>
      </w:r>
      <w:r w:rsidR="00C21DB7">
        <w:t xml:space="preserve"> </w:t>
      </w:r>
      <w:r w:rsidRPr="00E31BBF">
        <w:t>protect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monitor</w:t>
      </w:r>
      <w:r w:rsidR="00C21DB7">
        <w:t xml:space="preserve"> </w:t>
      </w:r>
      <w:r w:rsidRPr="00E31BBF">
        <w:t>implementation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Convention</w:t>
      </w:r>
      <w:r w:rsidR="00C21DB7">
        <w:t xml:space="preserve"> </w:t>
      </w:r>
      <w:r w:rsidRPr="00E31BBF">
        <w:t>(see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answers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art</w:t>
      </w:r>
      <w:r w:rsidR="00823919">
        <w:t>.</w:t>
      </w:r>
      <w:r w:rsidR="00C21DB7">
        <w:t xml:space="preserve"> </w:t>
      </w:r>
      <w:r w:rsidRPr="00E31BBF">
        <w:t>29,</w:t>
      </w:r>
      <w:r w:rsidR="00C21DB7">
        <w:t xml:space="preserve"> </w:t>
      </w:r>
      <w:r w:rsidRPr="00E31BBF">
        <w:t>p</w:t>
      </w:r>
      <w:r w:rsidR="00823919">
        <w:t>.</w:t>
      </w:r>
      <w:r w:rsidR="00C21DB7">
        <w:t xml:space="preserve"> </w:t>
      </w:r>
      <w:r w:rsidRPr="00E31BBF">
        <w:t>22,</w:t>
      </w:r>
      <w:r w:rsidR="00C21DB7">
        <w:t xml:space="preserve"> </w:t>
      </w:r>
      <w:r w:rsidRPr="00E31BBF">
        <w:t>art</w:t>
      </w:r>
      <w:r w:rsidR="00823919">
        <w:t>.</w:t>
      </w:r>
      <w:r w:rsidR="00C21DB7">
        <w:t xml:space="preserve"> </w:t>
      </w:r>
      <w:r w:rsidRPr="00E31BBF">
        <w:t>33</w:t>
      </w:r>
      <w:r w:rsidR="00C21DB7">
        <w:t xml:space="preserve"> </w:t>
      </w:r>
      <w:r w:rsidRPr="00E31BBF">
        <w:t>p</w:t>
      </w:r>
      <w:r w:rsidR="00823919">
        <w:t>.</w:t>
      </w:r>
      <w:r w:rsidR="00C21DB7">
        <w:t xml:space="preserve"> </w:t>
      </w:r>
      <w:r w:rsidRPr="00E31BBF">
        <w:t>24</w:t>
      </w:r>
      <w:r w:rsidR="00C21DB7">
        <w:t xml:space="preserve"> </w:t>
      </w:r>
      <w:r w:rsidRPr="00E31BBF">
        <w:t>b,</w:t>
      </w:r>
      <w:r w:rsidR="00C21DB7">
        <w:t xml:space="preserve"> </w:t>
      </w:r>
      <w:r w:rsidRPr="00E31BBF">
        <w:t>art</w:t>
      </w:r>
      <w:r w:rsidR="00823919">
        <w:t>.</w:t>
      </w:r>
      <w:r w:rsidR="00C21DB7">
        <w:t xml:space="preserve"> </w:t>
      </w:r>
      <w:r w:rsidRPr="00E31BBF">
        <w:t>5</w:t>
      </w:r>
      <w:r w:rsidR="00C21DB7">
        <w:t xml:space="preserve"> </w:t>
      </w:r>
      <w:r w:rsidRPr="00E31BBF">
        <w:t>p</w:t>
      </w:r>
      <w:r w:rsidR="00823919">
        <w:t>.</w:t>
      </w:r>
      <w:r w:rsidR="00C21DB7">
        <w:t xml:space="preserve"> </w:t>
      </w:r>
      <w:r w:rsidRPr="00E31BBF">
        <w:t>3</w:t>
      </w:r>
      <w:r w:rsidR="00C21DB7">
        <w:t xml:space="preserve"> </w:t>
      </w:r>
      <w:r w:rsidRPr="00E31BBF">
        <w:t>e).</w:t>
      </w:r>
    </w:p>
    <w:p w:rsidR="002F001C" w:rsidRPr="00E31BBF" w:rsidRDefault="002F001C" w:rsidP="00155B5C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3</w:t>
      </w:r>
      <w:r w:rsidR="00C21DB7">
        <w:t xml:space="preserve"> </w:t>
      </w:r>
      <w:r w:rsidRPr="00E31BBF">
        <w:t>(c)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(d)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30.</w:t>
      </w:r>
      <w:r w:rsidRPr="00E31BBF">
        <w:tab/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Occupational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Safety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§</w:t>
      </w:r>
      <w:r w:rsidR="00C21DB7">
        <w:t xml:space="preserve"> </w:t>
      </w:r>
      <w:r w:rsidRPr="00E31BBF">
        <w:t>101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work,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equipment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workplace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employee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adapted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physical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abilities.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means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building,</w:t>
      </w:r>
      <w:r w:rsidR="00C21DB7">
        <w:t xml:space="preserve"> </w:t>
      </w:r>
      <w:r w:rsidRPr="00E31BBF">
        <w:t>workroom,</w:t>
      </w:r>
      <w:r w:rsidR="00C21DB7">
        <w:t xml:space="preserve"> </w:t>
      </w:r>
      <w:r w:rsidRPr="00E31BBF">
        <w:t>workplace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equipment</w:t>
      </w:r>
      <w:r w:rsidR="00C21DB7">
        <w:t xml:space="preserve"> </w:t>
      </w:r>
      <w:proofErr w:type="gramStart"/>
      <w:r w:rsidRPr="00E31BBF">
        <w:t>have</w:t>
      </w:r>
      <w:proofErr w:type="gramEnd"/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accessible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usable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employee.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requirement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applies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rest</w:t>
      </w:r>
      <w:r w:rsidR="00C21DB7">
        <w:t xml:space="preserve"> </w:t>
      </w:r>
      <w:r w:rsidRPr="00E31BBF">
        <w:t>conditions,</w:t>
      </w:r>
      <w:r w:rsidR="00C21DB7">
        <w:t xml:space="preserve"> </w:t>
      </w:r>
      <w:r w:rsidRPr="00E31BBF">
        <w:t>commonly</w:t>
      </w:r>
      <w:r w:rsidR="00C21DB7">
        <w:t xml:space="preserve"> </w:t>
      </w:r>
      <w:r w:rsidRPr="00E31BBF">
        <w:t>used</w:t>
      </w:r>
      <w:r w:rsidR="00C21DB7">
        <w:t xml:space="preserve"> </w:t>
      </w:r>
      <w:r w:rsidRPr="00E31BBF">
        <w:t>routes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non-workrooms</w:t>
      </w:r>
      <w:r w:rsidR="00C21DB7">
        <w:t xml:space="preserve"> </w:t>
      </w:r>
      <w:r w:rsidRPr="00E31BBF">
        <w:t>used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employees.</w:t>
      </w:r>
    </w:p>
    <w:p w:rsidR="002F001C" w:rsidRPr="00E31BBF" w:rsidRDefault="002F001C" w:rsidP="00732F46">
      <w:pPr>
        <w:pStyle w:val="SingleTxtG"/>
      </w:pPr>
      <w:r w:rsidRPr="00E31BBF">
        <w:t>31.</w:t>
      </w:r>
      <w:r w:rsidRPr="00E31BBF">
        <w:tab/>
        <w:t>Employers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take</w:t>
      </w:r>
      <w:r w:rsidR="00C21DB7">
        <w:t xml:space="preserve"> </w:t>
      </w:r>
      <w:r w:rsidRPr="00E31BBF">
        <w:t>appropriate</w:t>
      </w:r>
      <w:r w:rsidR="00C21DB7">
        <w:t xml:space="preserve"> </w:t>
      </w:r>
      <w:r w:rsidRPr="00E31BBF">
        <w:t>measures</w:t>
      </w:r>
      <w:r w:rsidR="00C21DB7">
        <w:t xml:space="preserve"> </w:t>
      </w:r>
      <w:r w:rsidRPr="00E31BBF">
        <w:t>where</w:t>
      </w:r>
      <w:r w:rsidR="00C21DB7">
        <w:t xml:space="preserve"> </w:t>
      </w:r>
      <w:r w:rsidRPr="00E31BBF">
        <w:t>needed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particular</w:t>
      </w:r>
      <w:r w:rsidR="00C21DB7">
        <w:t xml:space="preserve"> </w:t>
      </w:r>
      <w:r w:rsidRPr="00E31BBF">
        <w:t>case,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enable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access</w:t>
      </w:r>
      <w:r w:rsidR="00C21DB7">
        <w:t xml:space="preserve"> </w:t>
      </w:r>
      <w:r w:rsidRPr="00E31BBF">
        <w:t>to,</w:t>
      </w:r>
      <w:r w:rsidR="00C21DB7">
        <w:t xml:space="preserve"> </w:t>
      </w:r>
      <w:r w:rsidRPr="00E31BBF">
        <w:t>participate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advance</w:t>
      </w:r>
      <w:r w:rsidR="00C21DB7">
        <w:t xml:space="preserve"> </w:t>
      </w:r>
      <w:proofErr w:type="gramStart"/>
      <w:r w:rsidRPr="00E31BBF">
        <w:t>in</w:t>
      </w:r>
      <w:r w:rsidR="00C21DB7">
        <w:t xml:space="preserve"> </w:t>
      </w:r>
      <w:r w:rsidRPr="00E31BBF">
        <w:t>employment,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undergo</w:t>
      </w:r>
      <w:r w:rsidR="00C21DB7">
        <w:t xml:space="preserve"> </w:t>
      </w:r>
      <w:r w:rsidRPr="00E31BBF">
        <w:t>training,</w:t>
      </w:r>
      <w:r w:rsidR="00C21DB7">
        <w:t xml:space="preserve"> </w:t>
      </w:r>
      <w:r w:rsidRPr="00E31BBF">
        <w:t>unless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measures</w:t>
      </w:r>
      <w:r w:rsidR="00C21DB7">
        <w:t xml:space="preserve"> </w:t>
      </w:r>
      <w:r w:rsidRPr="00E31BBF">
        <w:t>would</w:t>
      </w:r>
      <w:r w:rsidR="00C21DB7">
        <w:t xml:space="preserve"> </w:t>
      </w:r>
      <w:r w:rsidRPr="00E31BBF">
        <w:t>impose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disproportionate</w:t>
      </w:r>
      <w:r w:rsidR="00C21DB7">
        <w:t xml:space="preserve"> </w:t>
      </w:r>
      <w:r w:rsidRPr="00E31BBF">
        <w:t>burden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employer</w:t>
      </w:r>
      <w:proofErr w:type="gramEnd"/>
      <w:r w:rsidRPr="00E31BBF">
        <w:t>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32.</w:t>
      </w:r>
      <w:r w:rsidRPr="00E31BBF">
        <w:tab/>
        <w:t>An</w:t>
      </w:r>
      <w:r w:rsidR="00C21DB7">
        <w:t xml:space="preserve"> </w:t>
      </w:r>
      <w:r w:rsidRPr="00E31BBF">
        <w:t>employee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right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refuse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carry</w:t>
      </w:r>
      <w:r w:rsidR="00C21DB7">
        <w:t xml:space="preserve"> </w:t>
      </w:r>
      <w:r w:rsidRPr="00E31BBF">
        <w:t>out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stop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performance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endangers</w:t>
      </w:r>
      <w:r w:rsidR="00C21DB7">
        <w:t xml:space="preserve"> </w:t>
      </w:r>
      <w:r w:rsidRPr="00E31BBF">
        <w:t>his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does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allow</w:t>
      </w:r>
      <w:r w:rsidR="00C21DB7">
        <w:t xml:space="preserve"> </w:t>
      </w:r>
      <w:r w:rsidRPr="00E31BBF">
        <w:lastRenderedPageBreak/>
        <w:t>to</w:t>
      </w:r>
      <w:r w:rsidR="00C21DB7">
        <w:t xml:space="preserve"> </w:t>
      </w:r>
      <w:r w:rsidRPr="00E31BBF">
        <w:t>comply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environmental</w:t>
      </w:r>
      <w:r w:rsidR="00C21DB7">
        <w:t xml:space="preserve"> </w:t>
      </w:r>
      <w:r w:rsidRPr="00E31BBF">
        <w:t>safety</w:t>
      </w:r>
      <w:r w:rsidR="00C21DB7">
        <w:t xml:space="preserve"> </w:t>
      </w:r>
      <w:r w:rsidRPr="00E31BBF">
        <w:t>requirements</w:t>
      </w:r>
      <w:r w:rsidR="00C21DB7">
        <w:t xml:space="preserve"> </w:t>
      </w:r>
      <w:r w:rsidRPr="00E31BBF">
        <w:t>(Estonian</w:t>
      </w:r>
      <w:r w:rsidR="00C21DB7">
        <w:t xml:space="preserve"> </w:t>
      </w:r>
      <w:r w:rsidRPr="00E31BBF">
        <w:t>Occupational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Safety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§</w:t>
      </w:r>
      <w:r w:rsidR="00C21DB7">
        <w:t xml:space="preserve"> </w:t>
      </w:r>
      <w:r w:rsidRPr="00E31BBF">
        <w:t>14</w:t>
      </w:r>
      <w:r w:rsidR="00C21DB7">
        <w:t xml:space="preserve"> </w:t>
      </w:r>
      <w:r w:rsidRPr="00E31BBF">
        <w:t>subsection</w:t>
      </w:r>
      <w:r w:rsidR="00C21DB7">
        <w:t xml:space="preserve"> </w:t>
      </w:r>
      <w:r w:rsidRPr="00E31BBF">
        <w:t>5</w:t>
      </w:r>
      <w:r w:rsidR="00C21DB7">
        <w:t xml:space="preserve"> </w:t>
      </w:r>
      <w:r w:rsidRPr="00E31BBF">
        <w:t>clause</w:t>
      </w:r>
      <w:r w:rsidR="00C21DB7">
        <w:t xml:space="preserve"> </w:t>
      </w:r>
      <w:r w:rsidRPr="00E31BBF">
        <w:t>4).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33.</w:t>
      </w:r>
      <w:r w:rsidRPr="00E31BBF">
        <w:tab/>
        <w:t>Noncompliance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Occupational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Safety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§</w:t>
      </w:r>
      <w:r w:rsidR="00C21DB7">
        <w:t xml:space="preserve"> </w:t>
      </w:r>
      <w:r w:rsidRPr="00E31BBF">
        <w:t>101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directly</w:t>
      </w:r>
      <w:r w:rsidR="00C21DB7">
        <w:t xml:space="preserve"> </w:t>
      </w:r>
      <w:r w:rsidRPr="00E31BBF">
        <w:t>punishable.</w:t>
      </w:r>
      <w:r w:rsidR="00C21DB7">
        <w:t xml:space="preserve"> </w:t>
      </w:r>
      <w:r w:rsidRPr="00E31BBF">
        <w:t>However,</w:t>
      </w:r>
      <w:r w:rsidR="00C21DB7">
        <w:t xml:space="preserve"> </w:t>
      </w:r>
      <w:r w:rsidRPr="00E31BBF">
        <w:t>it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punishable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fine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up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300</w:t>
      </w:r>
      <w:r w:rsidR="00C21DB7">
        <w:t xml:space="preserve"> </w:t>
      </w:r>
      <w:r w:rsidRPr="00E31BBF">
        <w:t>fine</w:t>
      </w:r>
      <w:r w:rsidR="00C21DB7">
        <w:t xml:space="preserve"> </w:t>
      </w:r>
      <w:r w:rsidRPr="00E31BBF">
        <w:t>units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employer</w:t>
      </w:r>
      <w:r w:rsidR="00C21DB7">
        <w:t xml:space="preserve"> </w:t>
      </w:r>
      <w:r w:rsidRPr="00E31BBF">
        <w:t>does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take</w:t>
      </w:r>
      <w:r w:rsidR="00C21DB7">
        <w:t xml:space="preserve"> </w:t>
      </w:r>
      <w:r w:rsidRPr="00E31BBF">
        <w:t>appropriate</w:t>
      </w:r>
      <w:r w:rsidR="00C21DB7">
        <w:t xml:space="preserve"> </w:t>
      </w:r>
      <w:r w:rsidRPr="00E31BBF">
        <w:t>measures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guarantee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safety</w:t>
      </w:r>
      <w:r w:rsidR="00C21DB7">
        <w:t xml:space="preserve"> </w:t>
      </w:r>
      <w:r w:rsidRPr="00E31BBF">
        <w:t>requirements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place,</w:t>
      </w:r>
      <w:r w:rsidR="00C21DB7">
        <w:t xml:space="preserve"> </w:t>
      </w:r>
      <w:r w:rsidRPr="00E31BBF">
        <w:t>therefore</w:t>
      </w:r>
      <w:r w:rsidR="00C21DB7">
        <w:t xml:space="preserve"> </w:t>
      </w:r>
      <w:r w:rsidRPr="00E31BBF">
        <w:t>endangering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employees</w:t>
      </w:r>
      <w:r w:rsidR="003E41EF">
        <w:t>’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safety,</w:t>
      </w:r>
      <w:r w:rsidR="00C21DB7">
        <w:t xml:space="preserve"> </w:t>
      </w:r>
      <w:r w:rsidRPr="00E31BBF"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Occupational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Safety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§</w:t>
      </w:r>
      <w:r w:rsidR="00C21DB7">
        <w:t xml:space="preserve"> </w:t>
      </w:r>
      <w:r w:rsidRPr="00E31BBF">
        <w:t>27.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34.</w:t>
      </w:r>
      <w:r w:rsidRPr="00E31BBF">
        <w:tab/>
        <w:t>The</w:t>
      </w:r>
      <w:r w:rsidR="00C21DB7">
        <w:t xml:space="preserve"> </w:t>
      </w:r>
      <w:r w:rsidRPr="00E31BBF">
        <w:t>Gender</w:t>
      </w:r>
      <w:r w:rsidR="00C21DB7">
        <w:t xml:space="preserve"> </w:t>
      </w:r>
      <w:r w:rsidRPr="00E31BBF">
        <w:t>Equality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Commissioner</w:t>
      </w:r>
      <w:r w:rsidR="00C21DB7">
        <w:t xml:space="preserve"> </w:t>
      </w:r>
      <w:r w:rsidRPr="00E31BBF">
        <w:t>monitors</w:t>
      </w:r>
      <w:r w:rsidR="00C21DB7">
        <w:t xml:space="preserve"> </w:t>
      </w:r>
      <w:r w:rsidRPr="00E31BBF">
        <w:t>compliance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provides</w:t>
      </w:r>
      <w:r w:rsidR="00C21DB7">
        <w:t xml:space="preserve"> </w:t>
      </w:r>
      <w:r w:rsidRPr="00E31BBF">
        <w:t>opinions</w:t>
      </w:r>
      <w:r w:rsidR="00C21DB7">
        <w:t xml:space="preserve"> </w:t>
      </w:r>
      <w:r w:rsidRPr="00E31BBF">
        <w:t>concerning</w:t>
      </w:r>
      <w:r w:rsidR="00C21DB7">
        <w:t xml:space="preserve"> </w:t>
      </w:r>
      <w:r w:rsidRPr="00E31BBF">
        <w:t>alleged</w:t>
      </w:r>
      <w:r w:rsidR="00C21DB7">
        <w:t xml:space="preserve"> </w:t>
      </w:r>
      <w:r w:rsidRPr="00E31BBF">
        <w:t>cases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discrimination</w:t>
      </w:r>
      <w:r w:rsidR="00C21DB7">
        <w:t xml:space="preserve"> </w:t>
      </w:r>
      <w:proofErr w:type="gramStart"/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basis</w:t>
      </w:r>
      <w:r w:rsidR="00C21DB7">
        <w:t xml:space="preserve"> </w:t>
      </w:r>
      <w:r w:rsidRPr="00E31BBF">
        <w:t>of</w:t>
      </w:r>
      <w:proofErr w:type="gramEnd"/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applications</w:t>
      </w:r>
      <w:r w:rsidR="00C21DB7">
        <w:t xml:space="preserve"> </w:t>
      </w:r>
      <w:r w:rsidRPr="00E31BBF">
        <w:t>filed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persons,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can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used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claimant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court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instances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law.</w:t>
      </w:r>
    </w:p>
    <w:p w:rsidR="002F001C" w:rsidRPr="00E31BBF" w:rsidRDefault="002F001C" w:rsidP="00154DC7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3</w:t>
      </w:r>
      <w:r w:rsidR="00B10A4D">
        <w:t xml:space="preserve"> </w:t>
      </w:r>
      <w:r w:rsidRPr="00E31BBF">
        <w:t>(e)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35.</w:t>
      </w:r>
      <w:r w:rsidRPr="00E31BBF">
        <w:tab/>
        <w:t>The</w:t>
      </w:r>
      <w:r w:rsidR="00C21DB7">
        <w:t xml:space="preserve"> </w:t>
      </w:r>
      <w:r w:rsidRPr="00E31BBF">
        <w:t>Gender</w:t>
      </w:r>
      <w:r w:rsidR="00C21DB7">
        <w:t xml:space="preserve"> </w:t>
      </w:r>
      <w:r w:rsidRPr="00E31BBF">
        <w:t>Equality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Commissioner</w:t>
      </w:r>
      <w:r w:rsidR="00C21DB7">
        <w:t xml:space="preserve"> </w:t>
      </w:r>
      <w:r w:rsidRPr="00E31BBF">
        <w:t>monitors</w:t>
      </w:r>
      <w:r w:rsidR="00C21DB7">
        <w:t xml:space="preserve"> </w:t>
      </w:r>
      <w:r w:rsidRPr="00E31BBF">
        <w:t>compliance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Gender</w:t>
      </w:r>
      <w:r w:rsidR="00C21DB7">
        <w:t xml:space="preserve"> </w:t>
      </w:r>
      <w:r w:rsidRPr="00E31BBF">
        <w:t>Equality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both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private</w:t>
      </w:r>
      <w:r w:rsidR="00C21DB7">
        <w:t xml:space="preserve"> </w:t>
      </w:r>
      <w:r w:rsidRPr="00E31BBF">
        <w:t>sector.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36.</w:t>
      </w:r>
      <w:r w:rsidRPr="00E31BBF">
        <w:tab/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Commissioners</w:t>
      </w:r>
      <w:r w:rsidR="003E41EF">
        <w:t>’</w:t>
      </w:r>
      <w:r w:rsidR="00C21DB7">
        <w:t xml:space="preserve"> </w:t>
      </w:r>
      <w:r w:rsidRPr="00E31BBF">
        <w:t>office</w:t>
      </w:r>
      <w:r w:rsidR="00C21DB7">
        <w:t xml:space="preserve"> </w:t>
      </w:r>
      <w:r w:rsidRPr="00E31BBF">
        <w:t>statistics,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total</w:t>
      </w:r>
      <w:r w:rsidR="00C21DB7">
        <w:t xml:space="preserve"> </w:t>
      </w:r>
      <w:r w:rsidRPr="00E31BBF">
        <w:t>number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claims</w:t>
      </w:r>
      <w:r w:rsidR="00C21DB7">
        <w:t xml:space="preserve"> </w:t>
      </w:r>
      <w:r w:rsidRPr="00E31BBF">
        <w:t>issued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Commissioner</w:t>
      </w:r>
      <w:r w:rsidR="00C21DB7">
        <w:t xml:space="preserve"> </w:t>
      </w:r>
      <w:r w:rsidRPr="00E31BBF">
        <w:t>during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period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2015</w:t>
      </w:r>
      <w:r w:rsidR="005363C6">
        <w:t>–</w:t>
      </w:r>
      <w:r w:rsidRPr="00E31BBF">
        <w:t>2019</w:t>
      </w:r>
      <w:r w:rsidR="00C21DB7">
        <w:t xml:space="preserve"> </w:t>
      </w:r>
      <w:r w:rsidRPr="00E31BBF">
        <w:t>was</w:t>
      </w:r>
      <w:r w:rsidR="00C21DB7">
        <w:t xml:space="preserve"> </w:t>
      </w:r>
      <w:r w:rsidRPr="00E31BBF">
        <w:t>1450.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proportion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claims</w:t>
      </w:r>
      <w:r w:rsidR="00C21DB7">
        <w:t xml:space="preserve"> </w:t>
      </w:r>
      <w:r w:rsidRPr="00E31BBF">
        <w:t>based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was</w:t>
      </w:r>
      <w:r w:rsidR="00C21DB7">
        <w:t xml:space="preserve"> </w:t>
      </w:r>
      <w:r w:rsidRPr="00E31BBF">
        <w:t>17%.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37.</w:t>
      </w:r>
      <w:r w:rsidRPr="00E31BBF">
        <w:tab/>
        <w:t>Claimants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filed</w:t>
      </w:r>
      <w:r w:rsidR="00C21DB7">
        <w:t xml:space="preserve"> </w:t>
      </w:r>
      <w:r w:rsidRPr="00E31BBF">
        <w:t>claims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discrimination</w:t>
      </w:r>
      <w:r w:rsidR="00C21DB7">
        <w:t xml:space="preserve"> </w:t>
      </w:r>
      <w:r w:rsidRPr="00E31BBF">
        <w:t>based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were</w:t>
      </w:r>
      <w:r w:rsidR="00C21DB7">
        <w:t xml:space="preserve"> </w:t>
      </w:r>
      <w:r w:rsidRPr="00E31BBF">
        <w:t>60%</w:t>
      </w:r>
      <w:r w:rsidR="00C21DB7">
        <w:t xml:space="preserve"> </w:t>
      </w:r>
      <w:r w:rsidRPr="00E31BBF">
        <w:t>female,</w:t>
      </w:r>
      <w:r w:rsidR="00C21DB7">
        <w:t xml:space="preserve"> </w:t>
      </w:r>
      <w:r w:rsidRPr="00E31BBF">
        <w:t>20%</w:t>
      </w:r>
      <w:r w:rsidR="00C21DB7">
        <w:t xml:space="preserve"> </w:t>
      </w:r>
      <w:r w:rsidRPr="00E31BBF">
        <w:t>male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20%</w:t>
      </w:r>
      <w:r w:rsidR="00C21DB7">
        <w:t xml:space="preserve"> </w:t>
      </w:r>
      <w:r w:rsidRPr="00E31BBF">
        <w:t>were</w:t>
      </w:r>
      <w:r w:rsidR="00C21DB7">
        <w:t xml:space="preserve"> </w:t>
      </w:r>
      <w:r w:rsidRPr="00E31BBF">
        <w:t>filed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companies,</w:t>
      </w:r>
      <w:r w:rsidR="00C21DB7">
        <w:t xml:space="preserve"> </w:t>
      </w:r>
      <w:proofErr w:type="gramStart"/>
      <w:r w:rsidRPr="00E31BBF">
        <w:t>3rd</w:t>
      </w:r>
      <w:proofErr w:type="gramEnd"/>
      <w:r w:rsidR="00C21DB7">
        <w:t xml:space="preserve"> </w:t>
      </w:r>
      <w:r w:rsidRPr="00E31BBF">
        <w:t>sector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unknown.</w:t>
      </w:r>
      <w:r w:rsidR="00C21DB7">
        <w:t xml:space="preserve"> </w:t>
      </w:r>
      <w:r w:rsidRPr="00E31BBF">
        <w:t>Data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age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claimants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collected.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38.</w:t>
      </w:r>
      <w:r w:rsidRPr="00E31BBF">
        <w:tab/>
        <w:t>The</w:t>
      </w:r>
      <w:r w:rsidR="00C21DB7">
        <w:t xml:space="preserve"> </w:t>
      </w:r>
      <w:r w:rsidRPr="00E31BBF">
        <w:t>sector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complaints</w:t>
      </w:r>
      <w:r w:rsidR="00C21DB7">
        <w:t xml:space="preserve"> </w:t>
      </w:r>
      <w:r w:rsidRPr="00E31BBF">
        <w:t>were</w:t>
      </w:r>
      <w:r w:rsidR="00C21DB7">
        <w:t xml:space="preserve"> </w:t>
      </w:r>
      <w:r w:rsidRPr="00E31BBF">
        <w:t>filed</w:t>
      </w:r>
      <w:r w:rsidR="00C21DB7">
        <w:t xml:space="preserve"> </w:t>
      </w:r>
      <w:r w:rsidRPr="00E31BBF">
        <w:t>were</w:t>
      </w:r>
      <w:r w:rsidR="00C21DB7">
        <w:t xml:space="preserve"> </w:t>
      </w:r>
      <w:r w:rsidRPr="00E31BBF">
        <w:t>58%</w:t>
      </w:r>
      <w:r w:rsidR="00C21DB7">
        <w:t xml:space="preserve"> </w:t>
      </w:r>
      <w:r w:rsidRPr="00E31BBF">
        <w:t>unknown,</w:t>
      </w:r>
      <w:r w:rsidR="00C21DB7">
        <w:t xml:space="preserve"> </w:t>
      </w:r>
      <w:r w:rsidRPr="00E31BBF">
        <w:t>26%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sector,</w:t>
      </w:r>
      <w:r w:rsidR="00C21DB7">
        <w:t xml:space="preserve"> </w:t>
      </w:r>
      <w:r w:rsidRPr="00E31BBF">
        <w:t>13%</w:t>
      </w:r>
      <w:r w:rsidR="00C21DB7">
        <w:t xml:space="preserve"> </w:t>
      </w:r>
      <w:r w:rsidRPr="00E31BBF">
        <w:t>private</w:t>
      </w:r>
      <w:r w:rsidR="00C21DB7">
        <w:t xml:space="preserve"> </w:t>
      </w:r>
      <w:r w:rsidRPr="00E31BBF">
        <w:t>sector,</w:t>
      </w:r>
      <w:r w:rsidR="00C21DB7">
        <w:t xml:space="preserve"> </w:t>
      </w:r>
      <w:r w:rsidRPr="00E31BBF">
        <w:t>3%</w:t>
      </w:r>
      <w:r w:rsidR="00C21DB7">
        <w:t xml:space="preserve"> </w:t>
      </w:r>
      <w:r w:rsidRPr="00E31BBF">
        <w:t>3rd</w:t>
      </w:r>
      <w:r w:rsidR="00C21DB7">
        <w:t xml:space="preserve"> </w:t>
      </w:r>
      <w:r w:rsidRPr="00E31BBF">
        <w:t>sector.</w:t>
      </w:r>
      <w:r w:rsidR="00C21DB7">
        <w:t xml:space="preserve"> </w:t>
      </w:r>
      <w:r w:rsidRPr="00E31BBF">
        <w:t>Barriers</w:t>
      </w:r>
      <w:r w:rsidR="00C21DB7">
        <w:t xml:space="preserve"> </w:t>
      </w:r>
      <w:r w:rsidRPr="00E31BBF">
        <w:t>identified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2017</w:t>
      </w:r>
      <w:r w:rsidR="005363C6">
        <w:t>–</w:t>
      </w:r>
      <w:r w:rsidRPr="00E31BBF">
        <w:t>2019</w:t>
      </w:r>
      <w:r w:rsidR="00C21DB7">
        <w:t xml:space="preserve"> </w:t>
      </w:r>
      <w:r w:rsidRPr="00E31BBF">
        <w:t>considered</w:t>
      </w:r>
      <w:r w:rsidR="00C21DB7">
        <w:t xml:space="preserve"> </w:t>
      </w:r>
      <w:r w:rsidRPr="00E31BBF">
        <w:t>26%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employment,</w:t>
      </w:r>
      <w:r w:rsidR="00C21DB7">
        <w:t xml:space="preserve"> </w:t>
      </w:r>
      <w:r w:rsidRPr="00E31BBF">
        <w:t>13%</w:t>
      </w:r>
      <w:r w:rsidR="00C21DB7">
        <w:t xml:space="preserve"> </w:t>
      </w:r>
      <w:r w:rsidRPr="00E31BBF">
        <w:t>education,</w:t>
      </w:r>
      <w:r w:rsidR="00C21DB7">
        <w:t xml:space="preserve"> </w:t>
      </w:r>
      <w:r w:rsidRPr="00E31BBF">
        <w:t>10%</w:t>
      </w:r>
      <w:r w:rsidR="00C21DB7">
        <w:t xml:space="preserve"> </w:t>
      </w:r>
      <w:r w:rsidRPr="00E31BBF">
        <w:t>access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products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services,</w:t>
      </w:r>
      <w:r w:rsidR="00C21DB7">
        <w:t xml:space="preserve"> </w:t>
      </w:r>
      <w:r w:rsidRPr="00E31BBF">
        <w:t>5%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aid,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healthcare,</w:t>
      </w:r>
      <w:r w:rsidR="00C21DB7">
        <w:t xml:space="preserve"> </w:t>
      </w:r>
      <w:r w:rsidRPr="00E31BBF">
        <w:t>46%</w:t>
      </w:r>
      <w:r w:rsidR="00C21DB7">
        <w:t xml:space="preserve"> </w:t>
      </w:r>
      <w:r w:rsidRPr="00E31BBF">
        <w:t>unknown,</w:t>
      </w:r>
      <w:r w:rsidR="00C21DB7">
        <w:t xml:space="preserve"> </w:t>
      </w:r>
      <w:r w:rsidRPr="00E31BBF">
        <w:t>outside</w:t>
      </w:r>
      <w:r w:rsidR="00C21DB7">
        <w:t xml:space="preserve"> </w:t>
      </w:r>
      <w:r w:rsidRPr="00E31BBF">
        <w:t>Commissioners</w:t>
      </w:r>
      <w:r w:rsidR="003E41EF">
        <w:t>’</w:t>
      </w:r>
      <w:r w:rsidR="00C21DB7">
        <w:t xml:space="preserve"> </w:t>
      </w:r>
      <w:r w:rsidRPr="00E31BBF">
        <w:t>competence.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2016:</w:t>
      </w:r>
      <w:r w:rsidR="00C21DB7">
        <w:t xml:space="preserve"> </w:t>
      </w:r>
      <w:r w:rsidRPr="00E31BBF">
        <w:t>27%</w:t>
      </w:r>
      <w:r w:rsidR="00C21DB7">
        <w:t xml:space="preserve"> </w:t>
      </w:r>
      <w:r w:rsidRPr="00E31BBF">
        <w:t>access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products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services,</w:t>
      </w:r>
      <w:r w:rsidR="00C21DB7">
        <w:t xml:space="preserve"> </w:t>
      </w:r>
      <w:r w:rsidRPr="00E31BBF">
        <w:t>24%</w:t>
      </w:r>
      <w:r w:rsidR="00C21DB7">
        <w:t xml:space="preserve"> </w:t>
      </w:r>
      <w:r w:rsidRPr="00E31BBF">
        <w:t>employment,</w:t>
      </w:r>
      <w:r w:rsidR="00C21DB7">
        <w:t xml:space="preserve"> </w:t>
      </w:r>
      <w:r w:rsidRPr="00E31BBF">
        <w:t>18%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aid,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healthcare,</w:t>
      </w:r>
      <w:r w:rsidR="00C21DB7">
        <w:t xml:space="preserve"> </w:t>
      </w:r>
      <w:r w:rsidRPr="00E31BBF">
        <w:t>16%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,</w:t>
      </w:r>
      <w:r w:rsidR="00C21DB7">
        <w:t xml:space="preserve"> </w:t>
      </w:r>
      <w:r w:rsidRPr="00E31BBF">
        <w:t>16%</w:t>
      </w:r>
      <w:r w:rsidR="00C21DB7">
        <w:t xml:space="preserve"> </w:t>
      </w:r>
      <w:r w:rsidRPr="00E31BBF">
        <w:t>unknown,</w:t>
      </w:r>
      <w:r w:rsidR="00C21DB7">
        <w:t xml:space="preserve"> </w:t>
      </w:r>
      <w:r w:rsidRPr="00E31BBF">
        <w:t>outside</w:t>
      </w:r>
      <w:r w:rsidR="00C21DB7">
        <w:t xml:space="preserve"> </w:t>
      </w:r>
      <w:r w:rsidRPr="00E31BBF">
        <w:t>Commissioners</w:t>
      </w:r>
      <w:r w:rsidR="003E41EF">
        <w:t>’</w:t>
      </w:r>
      <w:r w:rsidR="00C21DB7">
        <w:t xml:space="preserve"> </w:t>
      </w:r>
      <w:r w:rsidRPr="00E31BBF">
        <w:t>competence</w:t>
      </w:r>
      <w:r w:rsidR="00CE0A94">
        <w:t>.</w:t>
      </w:r>
    </w:p>
    <w:p w:rsidR="002F001C" w:rsidRPr="00E31BBF" w:rsidRDefault="002F001C" w:rsidP="00732F46">
      <w:pPr>
        <w:pStyle w:val="SingleTxtG"/>
      </w:pPr>
      <w:r w:rsidRPr="00E31BBF">
        <w:t>39.</w:t>
      </w:r>
      <w:r w:rsidRPr="00E31BBF">
        <w:tab/>
        <w:t>The</w:t>
      </w:r>
      <w:r w:rsidR="00C21DB7">
        <w:t xml:space="preserve"> </w:t>
      </w:r>
      <w:r w:rsidRPr="00E31BBF">
        <w:t>Commissioner</w:t>
      </w:r>
      <w:r w:rsidR="00C21DB7">
        <w:t xml:space="preserve"> </w:t>
      </w:r>
      <w:r w:rsidRPr="00E31BBF">
        <w:t>cannot</w:t>
      </w:r>
      <w:r w:rsidR="00C21DB7">
        <w:t xml:space="preserve"> </w:t>
      </w:r>
      <w:r w:rsidRPr="00E31BBF">
        <w:t>impose</w:t>
      </w:r>
      <w:r w:rsidR="00C21DB7">
        <w:t xml:space="preserve"> </w:t>
      </w:r>
      <w:r w:rsidRPr="00E31BBF">
        <w:t>sanctions,</w:t>
      </w:r>
      <w:r w:rsidR="00C21DB7">
        <w:t xml:space="preserve"> </w:t>
      </w:r>
      <w:r w:rsidRPr="00E31BBF">
        <w:t>but</w:t>
      </w:r>
      <w:r w:rsidR="00C21DB7">
        <w:t xml:space="preserve"> </w:t>
      </w:r>
      <w:r w:rsidRPr="00E31BBF">
        <w:t>provides</w:t>
      </w:r>
      <w:r w:rsidR="00C21DB7">
        <w:t xml:space="preserve"> </w:t>
      </w:r>
      <w:r w:rsidRPr="00E31BBF">
        <w:t>opinions.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40.</w:t>
      </w:r>
      <w:r w:rsidRPr="00E31BBF">
        <w:tab/>
        <w:t>The</w:t>
      </w:r>
      <w:r w:rsidR="00C21DB7">
        <w:t xml:space="preserve"> </w:t>
      </w:r>
      <w:r w:rsidRPr="00E31BBF">
        <w:t>Chancellor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Justice</w:t>
      </w:r>
      <w:r w:rsidR="00C21DB7">
        <w:t xml:space="preserve"> </w:t>
      </w:r>
      <w:r w:rsidRPr="00E31BBF">
        <w:t>Office</w:t>
      </w:r>
      <w:r w:rsidR="00C21DB7">
        <w:t xml:space="preserve"> </w:t>
      </w:r>
      <w:r w:rsidRPr="00E31BBF">
        <w:t>statistics</w:t>
      </w:r>
      <w:r w:rsidR="00C21DB7">
        <w:t xml:space="preserve"> </w:t>
      </w:r>
      <w:r w:rsidRPr="00E31BBF">
        <w:t>show,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number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claims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increasing</w:t>
      </w:r>
      <w:r w:rsidR="00C21DB7">
        <w:t xml:space="preserve"> </w:t>
      </w:r>
      <w:r w:rsidRPr="00E31BBF">
        <w:t>(being</w:t>
      </w:r>
      <w:r w:rsidR="00C21DB7">
        <w:t xml:space="preserve"> </w:t>
      </w:r>
      <w:r w:rsidRPr="00E31BBF">
        <w:t>1484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2016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1652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2018).</w:t>
      </w:r>
      <w:r w:rsidR="00C21DB7">
        <w:t xml:space="preserve"> </w:t>
      </w:r>
      <w:r w:rsidRPr="00E31BBF">
        <w:t>However,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does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always</w:t>
      </w:r>
      <w:r w:rsidR="00C21DB7">
        <w:t xml:space="preserve"> </w:t>
      </w:r>
      <w:r w:rsidRPr="00E31BBF">
        <w:t>declare</w:t>
      </w:r>
      <w:r w:rsidR="00C21DB7">
        <w:t xml:space="preserve"> </w:t>
      </w:r>
      <w:r w:rsidRPr="00E31BBF">
        <w:t>his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disability,</w:t>
      </w:r>
      <w:r w:rsidR="00C21DB7">
        <w:t xml:space="preserve"> </w:t>
      </w:r>
      <w:r w:rsidRPr="00E31BBF">
        <w:t>it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possible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give</w:t>
      </w:r>
      <w:r w:rsidR="00C21DB7">
        <w:t xml:space="preserve"> </w:t>
      </w:r>
      <w:r w:rsidRPr="00E31BBF">
        <w:t>exact</w:t>
      </w:r>
      <w:r w:rsidR="00C21DB7">
        <w:t xml:space="preserve"> </w:t>
      </w:r>
      <w:r w:rsidRPr="00E31BBF">
        <w:t>numbers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claimants.</w:t>
      </w:r>
      <w:r w:rsidR="00C21DB7">
        <w:t xml:space="preserve"> </w:t>
      </w:r>
      <w:r w:rsidRPr="00E31BBF">
        <w:t>Still,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claims</w:t>
      </w:r>
      <w:r w:rsidR="00C21DB7">
        <w:t xml:space="preserve"> </w:t>
      </w:r>
      <w:r w:rsidRPr="00E31BBF">
        <w:t>concerning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rights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had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steady</w:t>
      </w:r>
      <w:r w:rsidR="00C21DB7">
        <w:t xml:space="preserve"> </w:t>
      </w:r>
      <w:r w:rsidRPr="00E31BBF">
        <w:t>yearly</w:t>
      </w:r>
      <w:r w:rsidR="00C21DB7">
        <w:t xml:space="preserve"> </w:t>
      </w:r>
      <w:r w:rsidRPr="00E31BBF">
        <w:t>increase,</w:t>
      </w:r>
      <w:r w:rsidR="00C21DB7">
        <w:t xml:space="preserve"> </w:t>
      </w:r>
      <w:r w:rsidRPr="00E31BBF">
        <w:t>being</w:t>
      </w:r>
      <w:r w:rsidR="00C21DB7">
        <w:t xml:space="preserve"> </w:t>
      </w:r>
      <w:r w:rsidRPr="00E31BBF">
        <w:t>37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2016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88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2019</w:t>
      </w:r>
      <w:r w:rsidR="00C21DB7">
        <w:t xml:space="preserve"> </w:t>
      </w:r>
      <w:r w:rsidRPr="00E31BBF">
        <w:t>(as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September</w:t>
      </w:r>
      <w:r w:rsidR="00C21DB7">
        <w:t xml:space="preserve"> </w:t>
      </w:r>
      <w:r w:rsidRPr="00E31BBF">
        <w:t>2019).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41.</w:t>
      </w:r>
      <w:r w:rsidRPr="00E31BBF">
        <w:tab/>
        <w:t>There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no</w:t>
      </w:r>
      <w:r w:rsidR="00C21DB7">
        <w:t xml:space="preserve"> </w:t>
      </w:r>
      <w:r w:rsidRPr="00E31BBF">
        <w:t>high</w:t>
      </w:r>
      <w:r w:rsidR="00C21DB7">
        <w:t xml:space="preserve"> </w:t>
      </w:r>
      <w:r w:rsidRPr="00E31BBF">
        <w:t>court</w:t>
      </w:r>
      <w:r w:rsidR="00C21DB7">
        <w:t xml:space="preserve"> </w:t>
      </w:r>
      <w:r w:rsidRPr="00E31BBF">
        <w:t>decisions</w:t>
      </w:r>
      <w:r w:rsidR="00C21DB7">
        <w:t xml:space="preserve"> </w:t>
      </w:r>
      <w:r w:rsidRPr="00E31BBF">
        <w:t>found</w:t>
      </w:r>
      <w:r w:rsidR="00C21DB7">
        <w:t xml:space="preserve"> </w:t>
      </w:r>
      <w:r w:rsidRPr="00E31BBF">
        <w:t>making</w:t>
      </w:r>
      <w:r w:rsidR="00C21DB7">
        <w:t xml:space="preserve"> </w:t>
      </w:r>
      <w:r w:rsidRPr="00E31BBF">
        <w:t>reference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CRPD.</w:t>
      </w:r>
      <w:r w:rsidR="00C21DB7">
        <w:t xml:space="preserve"> </w:t>
      </w:r>
    </w:p>
    <w:p w:rsidR="002F001C" w:rsidRPr="00E31BBF" w:rsidRDefault="002F001C" w:rsidP="00154DC7">
      <w:pPr>
        <w:pStyle w:val="HChG"/>
      </w:pPr>
      <w:r w:rsidRPr="00E31BBF">
        <w:tab/>
      </w:r>
      <w:r w:rsidRPr="00E31BBF">
        <w:tab/>
        <w:t>Women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6)</w:t>
      </w:r>
      <w:r w:rsidR="00C21DB7">
        <w:t xml:space="preserve"> </w:t>
      </w:r>
    </w:p>
    <w:p w:rsidR="002F001C" w:rsidRPr="00E31BBF" w:rsidRDefault="002F001C" w:rsidP="00154DC7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4</w:t>
      </w:r>
      <w:r w:rsidR="00B10A4D">
        <w:t xml:space="preserve"> </w:t>
      </w:r>
      <w:r w:rsidRPr="00E31BBF">
        <w:t>(a)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42.</w:t>
      </w:r>
      <w:r w:rsidRPr="00E31BBF">
        <w:tab/>
        <w:t>Women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centre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compound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objective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help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women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fallen</w:t>
      </w:r>
      <w:r w:rsidR="00C21DB7">
        <w:t xml:space="preserve"> </w:t>
      </w:r>
      <w:r w:rsidRPr="00E31BBF">
        <w:t>victim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violence</w:t>
      </w:r>
      <w:r w:rsidR="00C21DB7">
        <w:t xml:space="preserve"> </w:t>
      </w:r>
      <w:r w:rsidRPr="00E31BBF">
        <w:t>against</w:t>
      </w:r>
      <w:r w:rsidR="00C21DB7">
        <w:t xml:space="preserve"> </w:t>
      </w:r>
      <w:r w:rsidRPr="00E31BBF">
        <w:t>women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restore</w:t>
      </w:r>
      <w:r w:rsidR="00C21DB7">
        <w:t xml:space="preserve"> </w:t>
      </w:r>
      <w:r w:rsidRPr="00E31BBF">
        <w:t>ability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cope</w:t>
      </w:r>
      <w:r w:rsidR="00C21DB7">
        <w:t xml:space="preserve"> </w:t>
      </w:r>
      <w:r w:rsidRPr="00E31BBF">
        <w:t>independently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providing</w:t>
      </w:r>
      <w:r w:rsidR="00C21DB7">
        <w:t xml:space="preserve"> </w:t>
      </w:r>
      <w:r w:rsidRPr="00E31BBF">
        <w:t>safe</w:t>
      </w:r>
      <w:r w:rsidR="00C21DB7">
        <w:t xml:space="preserve"> </w:t>
      </w:r>
      <w:r w:rsidRPr="00E31BBF">
        <w:t>environment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counselling</w:t>
      </w:r>
      <w:r w:rsidR="00C21DB7">
        <w:t xml:space="preserve"> </w:t>
      </w:r>
      <w:r w:rsidRPr="00E31BBF">
        <w:t>and,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necessary,</w:t>
      </w:r>
      <w:r w:rsidR="00C21DB7">
        <w:t xml:space="preserve"> </w:t>
      </w:r>
      <w:r w:rsidRPr="00E31BBF">
        <w:t>temporary</w:t>
      </w:r>
      <w:r w:rsidR="00C21DB7">
        <w:t xml:space="preserve"> </w:t>
      </w:r>
      <w:r w:rsidRPr="00E31BBF">
        <w:t>accommodation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woman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accompanying</w:t>
      </w:r>
      <w:r w:rsidR="00C21DB7">
        <w:t xml:space="preserve"> </w:t>
      </w:r>
      <w:r w:rsidRPr="00E31BBF">
        <w:t>her.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must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accessible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victims,</w:t>
      </w:r>
      <w:r w:rsidR="00C21DB7">
        <w:t xml:space="preserve"> </w:t>
      </w:r>
      <w:r w:rsidRPr="00E31BBF">
        <w:t>regardless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age,</w:t>
      </w:r>
      <w:r w:rsidR="00C21DB7">
        <w:t xml:space="preserve"> </w:t>
      </w:r>
      <w:r w:rsidRPr="00E31BBF">
        <w:t>religion,</w:t>
      </w:r>
      <w:r w:rsidR="00C21DB7">
        <w:t xml:space="preserve"> </w:t>
      </w:r>
      <w:r w:rsidRPr="00E31BBF">
        <w:t>nationality,</w:t>
      </w:r>
      <w:r w:rsidR="00C21DB7">
        <w:t xml:space="preserve"> </w:t>
      </w:r>
      <w:r w:rsidRPr="00E31BBF">
        <w:t>ethnicity,</w:t>
      </w:r>
      <w:r w:rsidR="00C21DB7">
        <w:t xml:space="preserve"> </w:t>
      </w:r>
      <w:r w:rsidRPr="00E31BBF">
        <w:t>sexual</w:t>
      </w:r>
      <w:r w:rsidR="00C21DB7">
        <w:t xml:space="preserve"> </w:t>
      </w:r>
      <w:r w:rsidRPr="00E31BBF">
        <w:t>orientation,</w:t>
      </w:r>
      <w:r w:rsidR="00C21DB7">
        <w:t xml:space="preserve"> </w:t>
      </w:r>
      <w:r w:rsidRPr="00E31BBF">
        <w:t>state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status.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43.</w:t>
      </w:r>
      <w:r w:rsidRPr="00E31BBF">
        <w:tab/>
        <w:t>In</w:t>
      </w:r>
      <w:r w:rsidR="00C21DB7">
        <w:t xml:space="preserve"> </w:t>
      </w:r>
      <w:r w:rsidRPr="00E31BBF">
        <w:t>practice,</w:t>
      </w:r>
      <w:r w:rsidR="00C21DB7">
        <w:t xml:space="preserve"> </w:t>
      </w:r>
      <w:r w:rsidRPr="00E31BBF">
        <w:t>women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being</w:t>
      </w:r>
      <w:r w:rsidR="00C21DB7">
        <w:t xml:space="preserve"> </w:t>
      </w:r>
      <w:r w:rsidRPr="00E31BBF">
        <w:t>counselled</w:t>
      </w:r>
      <w:r w:rsidR="00C21DB7">
        <w:t xml:space="preserve"> </w:t>
      </w:r>
      <w:r w:rsidRPr="00E31BBF">
        <w:t>either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homes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places,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cooperation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social</w:t>
      </w:r>
      <w:r w:rsidR="00C21DB7">
        <w:t xml:space="preserve"> </w:t>
      </w:r>
      <w:proofErr w:type="gramStart"/>
      <w:r w:rsidRPr="00E31BBF">
        <w:t>services</w:t>
      </w:r>
      <w:proofErr w:type="gramEnd"/>
      <w:r w:rsidR="00C21DB7">
        <w:t xml:space="preserve"> </w:t>
      </w:r>
      <w:r w:rsidRPr="00E31BBF">
        <w:t>departments</w:t>
      </w:r>
      <w:r w:rsidR="003E41EF">
        <w:t>’</w:t>
      </w:r>
      <w:r w:rsidR="00C21DB7">
        <w:t xml:space="preserve"> </w:t>
      </w:r>
      <w:r w:rsidRPr="00E31BBF">
        <w:t>accessible</w:t>
      </w:r>
      <w:r w:rsidR="00C21DB7">
        <w:t xml:space="preserve"> </w:t>
      </w:r>
      <w:r w:rsidRPr="00E31BBF">
        <w:t>counselling</w:t>
      </w:r>
      <w:r w:rsidR="00C21DB7">
        <w:t xml:space="preserve"> </w:t>
      </w:r>
      <w:r w:rsidRPr="00E31BBF">
        <w:t>rooms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found.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women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centre</w:t>
      </w:r>
      <w:r w:rsidR="00C21DB7">
        <w:t xml:space="preserve"> </w:t>
      </w:r>
      <w:r w:rsidRPr="00E31BBF">
        <w:t>counselling</w:t>
      </w:r>
      <w:r w:rsidR="00C21DB7">
        <w:t xml:space="preserve"> </w:t>
      </w:r>
      <w:r w:rsidRPr="00E31BBF">
        <w:t>offices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accessible.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victims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receive</w:t>
      </w:r>
      <w:r w:rsidR="00C21DB7">
        <w:t xml:space="preserve"> </w:t>
      </w:r>
      <w:r w:rsidRPr="00E31BBF">
        <w:t>help,</w:t>
      </w:r>
      <w:r w:rsidR="00C21DB7">
        <w:t xml:space="preserve"> </w:t>
      </w:r>
      <w:r w:rsidRPr="00E31BBF">
        <w:t>only</w:t>
      </w:r>
      <w:r w:rsidR="00C21DB7">
        <w:t xml:space="preserve"> </w:t>
      </w:r>
      <w:r w:rsidRPr="00E31BBF">
        <w:t>10</w:t>
      </w:r>
      <w:r w:rsidR="00C21DB7">
        <w:t xml:space="preserve"> </w:t>
      </w:r>
      <w:r w:rsidRPr="00E31BBF">
        <w:t>%</w:t>
      </w:r>
      <w:r w:rsidR="00C21DB7">
        <w:t xml:space="preserve"> </w:t>
      </w:r>
      <w:r w:rsidRPr="00E31BBF">
        <w:t>need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use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shelter</w:t>
      </w:r>
      <w:r w:rsidR="00C21DB7">
        <w:t xml:space="preserve"> </w:t>
      </w:r>
      <w:r w:rsidRPr="00E31BBF">
        <w:t>service.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there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out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15</w:t>
      </w:r>
      <w:r w:rsidR="00C21DB7">
        <w:t xml:space="preserve"> </w:t>
      </w:r>
      <w:r w:rsidRPr="00E31BBF">
        <w:t>shelters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built</w:t>
      </w:r>
      <w:r w:rsidR="00C21DB7">
        <w:t xml:space="preserve"> </w:t>
      </w:r>
      <w:r w:rsidRPr="00E31BBF">
        <w:t>especially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women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disabilities,</w:t>
      </w:r>
      <w:r w:rsidR="00C21DB7">
        <w:t xml:space="preserve"> </w:t>
      </w:r>
      <w:r w:rsidRPr="00E31BBF">
        <w:t>others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partly</w:t>
      </w:r>
      <w:r w:rsidR="00C21DB7">
        <w:t xml:space="preserve"> </w:t>
      </w:r>
      <w:r w:rsidRPr="00E31BBF">
        <w:t>accessible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some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all.</w:t>
      </w:r>
      <w:r w:rsidR="00C21DB7">
        <w:t xml:space="preserve"> </w:t>
      </w:r>
      <w:r w:rsidRPr="00E31BBF">
        <w:t>Still,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women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reached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had</w:t>
      </w:r>
      <w:r w:rsidR="00C21DB7">
        <w:t xml:space="preserve"> </w:t>
      </w:r>
      <w:r w:rsidRPr="00E31BBF">
        <w:t>any</w:t>
      </w:r>
      <w:r w:rsidR="00C21DB7">
        <w:t xml:space="preserve"> </w:t>
      </w:r>
      <w:r w:rsidRPr="00E31BBF">
        <w:t>kind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disability</w:t>
      </w:r>
      <w:r w:rsidR="00C21DB7">
        <w:t xml:space="preserve"> </w:t>
      </w:r>
      <w:proofErr w:type="gramStart"/>
      <w:r w:rsidRPr="00E31BBF">
        <w:t>have</w:t>
      </w:r>
      <w:r w:rsidR="00C21DB7">
        <w:t xml:space="preserve"> </w:t>
      </w:r>
      <w:r w:rsidRPr="00E31BBF">
        <w:t>been</w:t>
      </w:r>
      <w:proofErr w:type="gramEnd"/>
      <w:r w:rsidR="00C21DB7">
        <w:t xml:space="preserve"> </w:t>
      </w:r>
      <w:r w:rsidRPr="00E31BBF">
        <w:t>provided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help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collaboration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government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departments.</w:t>
      </w:r>
      <w:r w:rsidR="00C21DB7">
        <w:t xml:space="preserve"> </w:t>
      </w:r>
      <w:r w:rsidRPr="00E31BBF">
        <w:t>Sign</w:t>
      </w:r>
      <w:r w:rsidR="00C21DB7">
        <w:t xml:space="preserve"> </w:t>
      </w:r>
      <w:r w:rsidRPr="00E31BBF">
        <w:t>language</w:t>
      </w:r>
      <w:r w:rsidR="00C21DB7">
        <w:t xml:space="preserve"> </w:t>
      </w:r>
      <w:r w:rsidRPr="00E31BBF">
        <w:t>interpreters</w:t>
      </w:r>
      <w:r w:rsidR="00C21DB7">
        <w:t xml:space="preserve"> </w:t>
      </w:r>
      <w:proofErr w:type="gramStart"/>
      <w:r w:rsidRPr="00E31BBF">
        <w:t>have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used</w:t>
      </w:r>
      <w:proofErr w:type="gramEnd"/>
      <w:r w:rsidRPr="00E31BBF">
        <w:t>.</w:t>
      </w:r>
    </w:p>
    <w:p w:rsidR="002F001C" w:rsidRPr="00E31BBF" w:rsidRDefault="002F001C" w:rsidP="00C21DB7">
      <w:pPr>
        <w:pStyle w:val="H23G"/>
      </w:pPr>
      <w:r w:rsidRPr="00E31BBF">
        <w:lastRenderedPageBreak/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4</w:t>
      </w:r>
      <w:r w:rsidR="00B10A4D">
        <w:t xml:space="preserve"> </w:t>
      </w:r>
      <w:r w:rsidRPr="00E31BBF">
        <w:t>(b)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44.</w:t>
      </w:r>
      <w:r w:rsidRPr="00E31BBF">
        <w:tab/>
        <w:t>To</w:t>
      </w:r>
      <w:r w:rsidR="00C21DB7">
        <w:t xml:space="preserve"> </w:t>
      </w:r>
      <w:r w:rsidRPr="00E31BBF">
        <w:t>raise</w:t>
      </w:r>
      <w:r w:rsidR="00C21DB7">
        <w:t xml:space="preserve"> </w:t>
      </w:r>
      <w:r w:rsidRPr="00E31BBF">
        <w:t>awareness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women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centres,</w:t>
      </w:r>
      <w:r w:rsidR="00C21DB7">
        <w:t xml:space="preserve"> </w:t>
      </w:r>
      <w:proofErr w:type="spellStart"/>
      <w:r w:rsidRPr="00E31BBF">
        <w:t>Pärnu</w:t>
      </w:r>
      <w:proofErr w:type="spellEnd"/>
      <w:r w:rsidR="00C21DB7">
        <w:t xml:space="preserve"> </w:t>
      </w:r>
      <w:r w:rsidRPr="00E31BBF">
        <w:t>Women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Centre</w:t>
      </w:r>
      <w:r w:rsidR="00C21DB7">
        <w:t xml:space="preserve"> </w:t>
      </w:r>
      <w:r w:rsidRPr="00E31BBF">
        <w:t>launched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mini-campaign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sign</w:t>
      </w:r>
      <w:r w:rsidR="00C21DB7">
        <w:t xml:space="preserve"> </w:t>
      </w:r>
      <w:r w:rsidRPr="00E31BBF">
        <w:t>language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2019</w:t>
      </w:r>
      <w:r w:rsidR="00C21DB7">
        <w:t xml:space="preserve"> </w:t>
      </w:r>
      <w:r w:rsidRPr="00E31BBF">
        <w:t>called</w:t>
      </w:r>
      <w:r w:rsidR="00C21DB7">
        <w:t xml:space="preserve"> </w:t>
      </w:r>
      <w:r w:rsidR="003E41EF">
        <w:t>“</w:t>
      </w:r>
      <w:r w:rsidRPr="00E31BBF">
        <w:t>There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exit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violence</w:t>
      </w:r>
      <w:r w:rsidR="003E41EF">
        <w:t>”</w:t>
      </w:r>
      <w:r w:rsidRPr="00060D87">
        <w:rPr>
          <w:rStyle w:val="FootnoteReference"/>
        </w:rPr>
        <w:footnoteReference w:id="3"/>
      </w:r>
      <w:r w:rsidR="00801A7D" w:rsidRPr="00801A7D">
        <w:t xml:space="preserve"> </w:t>
      </w:r>
      <w:r w:rsidRPr="00E31BBF">
        <w:t>targeting</w:t>
      </w:r>
      <w:r w:rsidR="00C21DB7">
        <w:t xml:space="preserve"> </w:t>
      </w:r>
      <w:r w:rsidRPr="00E31BBF">
        <w:t>women</w:t>
      </w:r>
      <w:r w:rsidR="00C21DB7">
        <w:t xml:space="preserve"> </w:t>
      </w:r>
      <w:r w:rsidRPr="00E31BBF">
        <w:t>experiencing</w:t>
      </w:r>
      <w:r w:rsidR="00C21DB7">
        <w:t xml:space="preserve"> </w:t>
      </w:r>
      <w:r w:rsidRPr="00E31BBF">
        <w:t>violence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intimate</w:t>
      </w:r>
      <w:r w:rsidR="00C21DB7">
        <w:t xml:space="preserve"> </w:t>
      </w:r>
      <w:r w:rsidRPr="00E31BBF">
        <w:t>relationships.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campaign</w:t>
      </w:r>
      <w:r w:rsidR="00C21DB7">
        <w:t xml:space="preserve"> </w:t>
      </w:r>
      <w:r w:rsidRPr="00E31BBF">
        <w:t>got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very</w:t>
      </w:r>
      <w:r w:rsidR="00C21DB7">
        <w:t xml:space="preserve"> </w:t>
      </w:r>
      <w:r w:rsidRPr="00E31BBF">
        <w:t>positive</w:t>
      </w:r>
      <w:r w:rsidR="00C21DB7">
        <w:t xml:space="preserve"> </w:t>
      </w:r>
      <w:r w:rsidRPr="00E31BBF">
        <w:t>feedback.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45.</w:t>
      </w:r>
      <w:r w:rsidRPr="00E31BBF">
        <w:tab/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Norway</w:t>
      </w:r>
      <w:r w:rsidR="00C21DB7">
        <w:t xml:space="preserve"> </w:t>
      </w:r>
      <w:r w:rsidRPr="00E31BBF">
        <w:t>grants,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quality</w:t>
      </w:r>
      <w:r w:rsidR="00C21DB7">
        <w:t xml:space="preserve"> </w:t>
      </w:r>
      <w:r w:rsidRPr="00E31BBF">
        <w:t>guide</w:t>
      </w:r>
      <w:r w:rsidR="00C21DB7">
        <w:t xml:space="preserve"> </w:t>
      </w:r>
      <w:proofErr w:type="gramStart"/>
      <w:r w:rsidRPr="00E31BBF">
        <w:t>will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developed</w:t>
      </w:r>
      <w:proofErr w:type="gramEnd"/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2020</w:t>
      </w:r>
      <w:r w:rsidR="005363C6">
        <w:t>–</w:t>
      </w:r>
      <w:r w:rsidRPr="00E31BBF">
        <w:t>2022.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raise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quality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centres</w:t>
      </w:r>
      <w:r w:rsidR="003E41EF">
        <w:t>’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terms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rights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women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development</w:t>
      </w:r>
      <w:r w:rsidR="00C21DB7">
        <w:t xml:space="preserve"> </w:t>
      </w:r>
      <w:proofErr w:type="gramStart"/>
      <w:r w:rsidRPr="00E31BBF">
        <w:t>will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done</w:t>
      </w:r>
      <w:proofErr w:type="gramEnd"/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cooperation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Association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Women.</w:t>
      </w:r>
    </w:p>
    <w:p w:rsidR="002F001C" w:rsidRPr="00E31BBF" w:rsidRDefault="002F001C" w:rsidP="00732F46">
      <w:pPr>
        <w:pStyle w:val="SingleTxtG"/>
      </w:pPr>
      <w:r w:rsidRPr="00E31BBF">
        <w:t>46.</w:t>
      </w:r>
      <w:r w:rsidRPr="00E31BBF">
        <w:tab/>
        <w:t>In</w:t>
      </w:r>
      <w:r w:rsidR="00C21DB7">
        <w:t xml:space="preserve"> </w:t>
      </w:r>
      <w:r w:rsidRPr="00E31BBF">
        <w:t>2013</w:t>
      </w:r>
      <w:r w:rsidR="005363C6">
        <w:t>–</w:t>
      </w:r>
      <w:r w:rsidRPr="00E31BBF">
        <w:t>2016,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Gender</w:t>
      </w:r>
      <w:r w:rsidR="00C21DB7">
        <w:t xml:space="preserve"> </w:t>
      </w:r>
      <w:r w:rsidRPr="00E31BBF">
        <w:t>Equality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Commissioner`s</w:t>
      </w:r>
      <w:r w:rsidR="00C21DB7">
        <w:t xml:space="preserve"> </w:t>
      </w:r>
      <w:r w:rsidRPr="00E31BBF">
        <w:t>Office</w:t>
      </w:r>
      <w:r w:rsidR="00C21DB7">
        <w:t xml:space="preserve"> </w:t>
      </w:r>
      <w:r w:rsidRPr="00E31BBF">
        <w:t>implemented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project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Norway</w:t>
      </w:r>
      <w:r w:rsidR="00C21DB7">
        <w:t xml:space="preserve"> </w:t>
      </w:r>
      <w:r w:rsidRPr="00E31BBF">
        <w:t>Grants.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framework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project,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materials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principle</w:t>
      </w:r>
      <w:r w:rsidR="00C21DB7">
        <w:t xml:space="preserve"> </w:t>
      </w:r>
      <w:proofErr w:type="gramStart"/>
      <w:r w:rsidRPr="00E31BBF">
        <w:t>were</w:t>
      </w:r>
      <w:r w:rsidR="00C21DB7">
        <w:t xml:space="preserve"> </w:t>
      </w:r>
      <w:r w:rsidRPr="00E31BBF">
        <w:t>compiled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published,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focus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minority</w:t>
      </w:r>
      <w:r w:rsidR="00C21DB7">
        <w:t xml:space="preserve"> </w:t>
      </w:r>
      <w:r w:rsidRPr="00E31BBF">
        <w:t>communities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vulnerable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groups</w:t>
      </w:r>
      <w:r w:rsidR="00C21DB7">
        <w:t xml:space="preserve"> </w:t>
      </w:r>
      <w:r w:rsidRPr="00E31BBF">
        <w:t>concerning</w:t>
      </w:r>
      <w:r w:rsidR="00C21DB7">
        <w:t xml:space="preserve"> </w:t>
      </w:r>
      <w:r w:rsidRPr="00E31BBF">
        <w:t>ethnic</w:t>
      </w:r>
      <w:r w:rsidR="00C21DB7">
        <w:t xml:space="preserve"> </w:t>
      </w:r>
      <w:r w:rsidRPr="00E31BBF">
        <w:t>origin,</w:t>
      </w:r>
      <w:r w:rsidR="00C21DB7">
        <w:t xml:space="preserve"> </w:t>
      </w:r>
      <w:r w:rsidRPr="00E31BBF">
        <w:t>disability,</w:t>
      </w:r>
      <w:r w:rsidR="00C21DB7">
        <w:t xml:space="preserve"> </w:t>
      </w:r>
      <w:r w:rsidRPr="00E31BBF">
        <w:t>age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sexual</w:t>
      </w:r>
      <w:r w:rsidR="00C21DB7">
        <w:t xml:space="preserve"> </w:t>
      </w:r>
      <w:r w:rsidRPr="00E31BBF">
        <w:t>orientation</w:t>
      </w:r>
      <w:proofErr w:type="gramEnd"/>
      <w:r w:rsidRPr="00E31BBF">
        <w:t>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47.</w:t>
      </w:r>
      <w:r w:rsidRPr="00E31BBF">
        <w:tab/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framework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same</w:t>
      </w:r>
      <w:r w:rsidR="00C21DB7">
        <w:t xml:space="preserve"> </w:t>
      </w:r>
      <w:r w:rsidRPr="00E31BBF">
        <w:t>project,</w:t>
      </w:r>
      <w:r w:rsidR="00C21DB7">
        <w:t xml:space="preserve"> </w:t>
      </w:r>
      <w:r w:rsidRPr="00E31BBF">
        <w:t>equality</w:t>
      </w:r>
      <w:r w:rsidR="00C21DB7">
        <w:t xml:space="preserve"> </w:t>
      </w:r>
      <w:r w:rsidRPr="00E31BBF">
        <w:t>measurement</w:t>
      </w:r>
      <w:r w:rsidR="00C21DB7">
        <w:t xml:space="preserve"> </w:t>
      </w:r>
      <w:r w:rsidRPr="00E31BBF">
        <w:t>model</w:t>
      </w:r>
      <w:r w:rsidR="00C21DB7">
        <w:t xml:space="preserve"> </w:t>
      </w:r>
      <w:r w:rsidRPr="00E31BBF">
        <w:t>was</w:t>
      </w:r>
      <w:r w:rsidR="00C21DB7">
        <w:t xml:space="preserve"> </w:t>
      </w:r>
      <w:r w:rsidRPr="00E31BBF">
        <w:t>developed.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study</w:t>
      </w:r>
      <w:r w:rsidR="00C21DB7">
        <w:t xml:space="preserve"> </w:t>
      </w:r>
      <w:r w:rsidRPr="00E31BBF">
        <w:t>report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equality</w:t>
      </w:r>
      <w:r w:rsidR="00C21DB7">
        <w:t xml:space="preserve"> </w:t>
      </w:r>
      <w:r w:rsidRPr="00E31BBF">
        <w:t>measurement</w:t>
      </w:r>
      <w:r w:rsidR="00C21DB7">
        <w:t xml:space="preserve"> </w:t>
      </w:r>
      <w:r w:rsidRPr="00E31BBF">
        <w:t>framework</w:t>
      </w:r>
      <w:r w:rsidR="00C21DB7">
        <w:t xml:space="preserve"> </w:t>
      </w:r>
      <w:proofErr w:type="gramStart"/>
      <w:r w:rsidRPr="00E31BBF">
        <w:t>was</w:t>
      </w:r>
      <w:r w:rsidR="00C21DB7">
        <w:t xml:space="preserve"> </w:t>
      </w:r>
      <w:r w:rsidRPr="00E31BBF">
        <w:t>published</w:t>
      </w:r>
      <w:proofErr w:type="gramEnd"/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2016,</w:t>
      </w:r>
      <w:r w:rsidR="00C21DB7">
        <w:t xml:space="preserve"> </w:t>
      </w:r>
      <w:r w:rsidRPr="00E31BBF">
        <w:t>where</w:t>
      </w:r>
      <w:r w:rsidR="00C21DB7">
        <w:t xml:space="preserve"> </w:t>
      </w:r>
      <w:r w:rsidRPr="00E31BBF">
        <w:t>indicators</w:t>
      </w:r>
      <w:r w:rsidR="00C21DB7">
        <w:t xml:space="preserve"> </w:t>
      </w:r>
      <w:r w:rsidRPr="00E31BBF">
        <w:t>were</w:t>
      </w:r>
      <w:r w:rsidR="00C21DB7">
        <w:t xml:space="preserve"> </w:t>
      </w:r>
      <w:r w:rsidRPr="00E31BBF">
        <w:t>proposed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monitor</w:t>
      </w:r>
      <w:r w:rsidR="00C21DB7">
        <w:t xml:space="preserve"> </w:t>
      </w:r>
      <w:r w:rsidRPr="00E31BBF">
        <w:t>inequality</w:t>
      </w:r>
      <w:r w:rsidR="00C21DB7">
        <w:t xml:space="preserve"> </w:t>
      </w:r>
      <w:r w:rsidRPr="00E31BBF">
        <w:t>based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gender,</w:t>
      </w:r>
      <w:r w:rsidR="00C21DB7">
        <w:t xml:space="preserve"> </w:t>
      </w:r>
      <w:r w:rsidRPr="00E31BBF">
        <w:t>disability,</w:t>
      </w:r>
      <w:r w:rsidR="00C21DB7">
        <w:t xml:space="preserve"> </w:t>
      </w:r>
      <w:r w:rsidRPr="00E31BBF">
        <w:t>ethnic</w:t>
      </w:r>
      <w:r w:rsidR="00C21DB7">
        <w:t xml:space="preserve"> </w:t>
      </w:r>
      <w:r w:rsidRPr="00E31BBF">
        <w:t>origin,</w:t>
      </w:r>
      <w:r w:rsidR="00C21DB7">
        <w:t xml:space="preserve"> </w:t>
      </w:r>
      <w:r w:rsidRPr="00E31BBF">
        <w:t>age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sexual</w:t>
      </w:r>
      <w:r w:rsidR="00C21DB7">
        <w:t xml:space="preserve"> </w:t>
      </w:r>
      <w:r w:rsidRPr="00E31BBF">
        <w:t>orientation.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addition,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analysis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situation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belonging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population</w:t>
      </w:r>
      <w:r w:rsidR="00C21DB7">
        <w:t xml:space="preserve"> </w:t>
      </w:r>
      <w:r w:rsidRPr="00E31BBF">
        <w:t>groups</w:t>
      </w:r>
      <w:r w:rsidR="00C21DB7">
        <w:t xml:space="preserve"> </w:t>
      </w:r>
      <w:proofErr w:type="gramStart"/>
      <w:r w:rsidRPr="00E31BBF">
        <w:t>was</w:t>
      </w:r>
      <w:r w:rsidR="00C21DB7">
        <w:t xml:space="preserve"> </w:t>
      </w:r>
      <w:r w:rsidRPr="00E31BBF">
        <w:t>provided</w:t>
      </w:r>
      <w:proofErr w:type="gramEnd"/>
      <w:r w:rsidRPr="00E31BBF">
        <w:t>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48.</w:t>
      </w:r>
      <w:r w:rsidRPr="00E31BBF">
        <w:tab/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Norway</w:t>
      </w:r>
      <w:r w:rsidR="00C21DB7">
        <w:t xml:space="preserve"> </w:t>
      </w:r>
      <w:r w:rsidRPr="00E31BBF">
        <w:t>Grants,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2013</w:t>
      </w:r>
      <w:r w:rsidR="005363C6">
        <w:t>–</w:t>
      </w:r>
      <w:r w:rsidRPr="00E31BBF">
        <w:t>2016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Commissioner`s</w:t>
      </w:r>
      <w:r w:rsidR="00C21DB7">
        <w:t xml:space="preserve"> </w:t>
      </w:r>
      <w:r w:rsidRPr="00E31BBF">
        <w:t>Office</w:t>
      </w:r>
      <w:r w:rsidR="00C21DB7">
        <w:t xml:space="preserve"> </w:t>
      </w:r>
      <w:r w:rsidRPr="00E31BBF">
        <w:t>implemented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project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aim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promote</w:t>
      </w:r>
      <w:r w:rsidR="00C21DB7">
        <w:t xml:space="preserve"> </w:t>
      </w:r>
      <w:r w:rsidRPr="00E31BBF">
        <w:t>gender</w:t>
      </w:r>
      <w:r w:rsidR="00C21DB7">
        <w:t xml:space="preserve"> </w:t>
      </w:r>
      <w:r w:rsidRPr="00E31BBF">
        <w:t>equality</w:t>
      </w:r>
      <w:r w:rsidR="00C21DB7">
        <w:t xml:space="preserve"> </w:t>
      </w:r>
      <w:r w:rsidRPr="00E31BBF">
        <w:t>through</w:t>
      </w:r>
      <w:r w:rsidR="00C21DB7">
        <w:t xml:space="preserve"> </w:t>
      </w:r>
      <w:r w:rsidRPr="00E31BBF">
        <w:t>empowerment,</w:t>
      </w:r>
      <w:r w:rsidR="00C21DB7">
        <w:t xml:space="preserve"> </w:t>
      </w:r>
      <w:r w:rsidRPr="00E31BBF">
        <w:t>awareness</w:t>
      </w:r>
      <w:r w:rsidR="00C21DB7">
        <w:t xml:space="preserve"> </w:t>
      </w:r>
      <w:r w:rsidRPr="00E31BBF">
        <w:t>raising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gender</w:t>
      </w:r>
      <w:r w:rsidR="00C21DB7">
        <w:t xml:space="preserve"> </w:t>
      </w:r>
      <w:r w:rsidRPr="00E31BBF">
        <w:t>mainstreaming.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set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activities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project</w:t>
      </w:r>
      <w:r w:rsidR="00C21DB7">
        <w:t xml:space="preserve"> </w:t>
      </w:r>
      <w:r w:rsidRPr="00E31BBF">
        <w:t>aimed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increasing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effectiveness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legal</w:t>
      </w:r>
      <w:r w:rsidR="00C21DB7">
        <w:t xml:space="preserve"> </w:t>
      </w:r>
      <w:r w:rsidRPr="00E31BBF">
        <w:t>protection</w:t>
      </w:r>
      <w:r w:rsidR="00C21DB7">
        <w:t xml:space="preserve"> </w:t>
      </w:r>
      <w:r w:rsidRPr="00E31BBF">
        <w:t>against</w:t>
      </w:r>
      <w:r w:rsidR="00C21DB7">
        <w:t xml:space="preserve"> </w:t>
      </w:r>
      <w:r w:rsidRPr="00E31BBF">
        <w:t>gender</w:t>
      </w:r>
      <w:r w:rsidR="00C21DB7">
        <w:t xml:space="preserve"> </w:t>
      </w:r>
      <w:r w:rsidRPr="00E31BBF">
        <w:t>based</w:t>
      </w:r>
      <w:r w:rsidR="00C21DB7">
        <w:t xml:space="preserve"> </w:t>
      </w:r>
      <w:r w:rsidRPr="00E31BBF">
        <w:t>discrimination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raising</w:t>
      </w:r>
      <w:r w:rsidR="00C21DB7">
        <w:t xml:space="preserve"> </w:t>
      </w:r>
      <w:r w:rsidRPr="00E31BBF">
        <w:t>rights</w:t>
      </w:r>
      <w:r w:rsidR="00C21DB7">
        <w:t xml:space="preserve"> </w:t>
      </w:r>
      <w:r w:rsidRPr="00E31BBF">
        <w:t>awareness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helping</w:t>
      </w:r>
      <w:r w:rsidR="00C21DB7">
        <w:t xml:space="preserve"> </w:t>
      </w:r>
      <w:r w:rsidRPr="00E31BBF">
        <w:t>victims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discrimination</w:t>
      </w:r>
      <w:r w:rsidR="00C21DB7">
        <w:t xml:space="preserve"> </w:t>
      </w:r>
      <w:r w:rsidRPr="00E31BBF">
        <w:t>directly</w:t>
      </w:r>
      <w:r w:rsidR="00C21DB7">
        <w:t xml:space="preserve"> </w:t>
      </w:r>
      <w:r w:rsidRPr="00E31BBF">
        <w:t>through</w:t>
      </w:r>
      <w:r w:rsidR="00C21DB7">
        <w:t xml:space="preserve"> </w:t>
      </w:r>
      <w:r w:rsidRPr="00E31BBF">
        <w:t>strategic</w:t>
      </w:r>
      <w:r w:rsidR="00C21DB7">
        <w:t xml:space="preserve"> </w:t>
      </w:r>
      <w:r w:rsidRPr="00E31BBF">
        <w:t>litigation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increasing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capacity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officials</w:t>
      </w:r>
      <w:r w:rsidR="00C21DB7">
        <w:t xml:space="preserve"> </w:t>
      </w:r>
      <w:r w:rsidRPr="00E31BBF">
        <w:t>assisting</w:t>
      </w:r>
      <w:r w:rsidR="00C21DB7">
        <w:t xml:space="preserve"> </w:t>
      </w:r>
      <w:r w:rsidRPr="00E31BBF">
        <w:t>discrimination</w:t>
      </w:r>
      <w:r w:rsidR="00C21DB7">
        <w:t xml:space="preserve"> </w:t>
      </w:r>
      <w:r w:rsidRPr="00E31BBF">
        <w:t>victims.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project</w:t>
      </w:r>
      <w:r w:rsidR="00C21DB7">
        <w:t xml:space="preserve"> </w:t>
      </w:r>
      <w:r w:rsidRPr="00E31BBF">
        <w:t>had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focus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minority</w:t>
      </w:r>
      <w:r w:rsidR="00C21DB7">
        <w:t xml:space="preserve"> </w:t>
      </w:r>
      <w:r w:rsidRPr="00E31BBF">
        <w:t>communities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vulnerable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groups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likely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victims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gender</w:t>
      </w:r>
      <w:r w:rsidR="00C21DB7">
        <w:t xml:space="preserve"> </w:t>
      </w:r>
      <w:r w:rsidRPr="00E31BBF">
        <w:t>discrimination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multiple</w:t>
      </w:r>
      <w:r w:rsidR="00C21DB7">
        <w:t xml:space="preserve"> </w:t>
      </w:r>
      <w:r w:rsidRPr="00E31BBF">
        <w:t>discrimination.</w:t>
      </w:r>
      <w:r w:rsidR="00C21DB7">
        <w:t xml:space="preserve"> </w:t>
      </w:r>
    </w:p>
    <w:p w:rsidR="002F001C" w:rsidRPr="00E31BBF" w:rsidRDefault="002F001C" w:rsidP="00F0077F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proofErr w:type="gramStart"/>
      <w:r w:rsidRPr="00E31BBF">
        <w:t>4</w:t>
      </w:r>
      <w:proofErr w:type="gramEnd"/>
      <w:r w:rsidR="00B10A4D">
        <w:t xml:space="preserve"> </w:t>
      </w:r>
      <w:r w:rsidRPr="00E31BBF">
        <w:t>(c)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49.</w:t>
      </w:r>
      <w:r w:rsidRPr="00E31BBF">
        <w:tab/>
        <w:t>In</w:t>
      </w:r>
      <w:r w:rsidR="00C21DB7">
        <w:t xml:space="preserve"> </w:t>
      </w:r>
      <w:r w:rsidRPr="00E31BBF">
        <w:t>spring</w:t>
      </w:r>
      <w:r w:rsidR="00C21DB7">
        <w:t xml:space="preserve"> </w:t>
      </w:r>
      <w:r w:rsidRPr="00E31BBF">
        <w:t>2019,</w:t>
      </w:r>
      <w:r w:rsidR="00C21DB7">
        <w:t xml:space="preserve"> </w:t>
      </w:r>
      <w:r w:rsidRPr="00E31BBF">
        <w:t>Praxis</w:t>
      </w:r>
      <w:r w:rsidR="00C21DB7">
        <w:t xml:space="preserve"> </w:t>
      </w:r>
      <w:r w:rsidRPr="00E31BBF">
        <w:t>Centre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Policy</w:t>
      </w:r>
      <w:r w:rsidR="00C21DB7">
        <w:t xml:space="preserve"> </w:t>
      </w:r>
      <w:r w:rsidRPr="00E31BBF">
        <w:t>Studies</w:t>
      </w:r>
      <w:r w:rsidR="00C21DB7">
        <w:t xml:space="preserve"> </w:t>
      </w:r>
      <w:r w:rsidRPr="00E31BBF">
        <w:t>launched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new</w:t>
      </w:r>
      <w:r w:rsidR="00C21DB7">
        <w:t xml:space="preserve"> </w:t>
      </w:r>
      <w:r w:rsidRPr="00E31BBF">
        <w:t>22-month</w:t>
      </w:r>
      <w:r w:rsidR="00C21DB7">
        <w:t xml:space="preserve"> </w:t>
      </w:r>
      <w:r w:rsidRPr="00E31BBF">
        <w:t>project</w:t>
      </w:r>
      <w:r w:rsidR="00C21DB7">
        <w:t xml:space="preserve"> </w:t>
      </w:r>
      <w:r w:rsidR="003E41EF">
        <w:t>“</w:t>
      </w:r>
      <w:r w:rsidRPr="00E31BBF">
        <w:t>Nudging</w:t>
      </w:r>
      <w:r w:rsidR="00C21DB7">
        <w:t xml:space="preserve"> </w:t>
      </w:r>
      <w:r w:rsidRPr="00E31BBF">
        <w:t>Women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Power</w:t>
      </w:r>
      <w:r w:rsidR="003E41EF">
        <w:t>”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aims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improve</w:t>
      </w:r>
      <w:r w:rsidR="00C21DB7">
        <w:t xml:space="preserve"> </w:t>
      </w:r>
      <w:r w:rsidRPr="00E31BBF">
        <w:t>women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access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high-level</w:t>
      </w:r>
      <w:r w:rsidR="00C21DB7">
        <w:t xml:space="preserve"> </w:t>
      </w:r>
      <w:r w:rsidRPr="00E31BBF">
        <w:t>political</w:t>
      </w:r>
      <w:r w:rsidR="00C21DB7">
        <w:t xml:space="preserve"> </w:t>
      </w:r>
      <w:r w:rsidRPr="00E31BBF">
        <w:t>decision-making.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European</w:t>
      </w:r>
      <w:r w:rsidR="00C21DB7">
        <w:t xml:space="preserve"> </w:t>
      </w:r>
      <w:r w:rsidRPr="00E31BBF">
        <w:t>Commission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several</w:t>
      </w:r>
      <w:r w:rsidR="00C21DB7">
        <w:t xml:space="preserve"> </w:t>
      </w:r>
      <w:r w:rsidRPr="00E31BBF">
        <w:t>smaller</w:t>
      </w:r>
      <w:r w:rsidR="00C21DB7">
        <w:t xml:space="preserve"> </w:t>
      </w:r>
      <w:r w:rsidRPr="00E31BBF">
        <w:t>co-financers,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Affairs,</w:t>
      </w:r>
      <w:r w:rsidR="00C21DB7">
        <w:t xml:space="preserve"> </w:t>
      </w:r>
      <w:r w:rsidRPr="00E31BBF">
        <w:t>fund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project.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50.</w:t>
      </w:r>
      <w:r w:rsidRPr="00E31BBF">
        <w:tab/>
        <w:t>The</w:t>
      </w:r>
      <w:r w:rsidR="00C21DB7">
        <w:t xml:space="preserve"> </w:t>
      </w:r>
      <w:r w:rsidRPr="00E31BBF">
        <w:t>project</w:t>
      </w:r>
      <w:r w:rsidR="00C21DB7">
        <w:t xml:space="preserve"> </w:t>
      </w:r>
      <w:r w:rsidRPr="00E31BBF">
        <w:t>does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target</w:t>
      </w:r>
      <w:r w:rsidR="00C21DB7">
        <w:t xml:space="preserve"> </w:t>
      </w:r>
      <w:r w:rsidRPr="00E31BBF">
        <w:t>women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specifically,</w:t>
      </w:r>
      <w:r w:rsidR="00C21DB7">
        <w:t xml:space="preserve"> </w:t>
      </w:r>
      <w:r w:rsidRPr="00E31BBF">
        <w:t>but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general</w:t>
      </w:r>
      <w:r w:rsidR="00C21DB7">
        <w:t xml:space="preserve"> </w:t>
      </w:r>
      <w:r w:rsidRPr="00E31BBF">
        <w:t>goal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increasing</w:t>
      </w:r>
      <w:r w:rsidR="00C21DB7">
        <w:t xml:space="preserve"> </w:t>
      </w:r>
      <w:r w:rsidRPr="00E31BBF">
        <w:t>knowledge,</w:t>
      </w:r>
      <w:r w:rsidR="00C21DB7">
        <w:t xml:space="preserve"> </w:t>
      </w:r>
      <w:r w:rsidRPr="00E31BBF">
        <w:t>awareness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understanding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importance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gender</w:t>
      </w:r>
      <w:r w:rsidR="00C21DB7">
        <w:t xml:space="preserve"> </w:t>
      </w:r>
      <w:r w:rsidRPr="00E31BBF">
        <w:t>equality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policy</w:t>
      </w:r>
      <w:r w:rsidR="00C21DB7">
        <w:t xml:space="preserve"> </w:t>
      </w:r>
      <w:r w:rsidRPr="00E31BBF">
        <w:t>making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media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well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political</w:t>
      </w:r>
      <w:r w:rsidR="00C21DB7">
        <w:t xml:space="preserve"> </w:t>
      </w:r>
      <w:r w:rsidRPr="00E31BBF">
        <w:t>organizations</w:t>
      </w:r>
      <w:r w:rsidR="003E41EF">
        <w:t>’</w:t>
      </w:r>
      <w:r w:rsidR="00C21DB7">
        <w:t xml:space="preserve"> </w:t>
      </w:r>
      <w:r w:rsidRPr="00E31BBF">
        <w:t>role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empowering</w:t>
      </w:r>
      <w:r w:rsidR="00C21DB7">
        <w:t xml:space="preserve"> </w:t>
      </w:r>
      <w:r w:rsidRPr="00E31BBF">
        <w:t>women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achieving</w:t>
      </w:r>
      <w:r w:rsidR="00C21DB7">
        <w:t xml:space="preserve"> </w:t>
      </w:r>
      <w:r w:rsidRPr="00E31BBF">
        <w:t>higher</w:t>
      </w:r>
      <w:r w:rsidR="00C21DB7">
        <w:t xml:space="preserve"> </w:t>
      </w:r>
      <w:r w:rsidRPr="00E31BBF">
        <w:t>positions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well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visibility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credibility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domains.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51.</w:t>
      </w:r>
      <w:r w:rsidRPr="00E31BBF">
        <w:tab/>
        <w:t>Usable</w:t>
      </w:r>
      <w:r w:rsidR="00C21DB7">
        <w:t xml:space="preserve"> </w:t>
      </w:r>
      <w:r w:rsidRPr="00E31BBF">
        <w:t>solutions,</w:t>
      </w:r>
      <w:r w:rsidR="00C21DB7">
        <w:t xml:space="preserve"> </w:t>
      </w:r>
      <w:r w:rsidRPr="00E31BBF">
        <w:t>suggestions,</w:t>
      </w:r>
      <w:r w:rsidR="00C21DB7">
        <w:t xml:space="preserve"> </w:t>
      </w:r>
      <w:r w:rsidRPr="00E31BBF">
        <w:t>best</w:t>
      </w:r>
      <w:r w:rsidR="00C21DB7">
        <w:t xml:space="preserve"> </w:t>
      </w:r>
      <w:r w:rsidRPr="00E31BBF">
        <w:t>practices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toolkits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improve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situation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developed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disseminated.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strategies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awareness</w:t>
      </w:r>
      <w:r w:rsidR="00C21DB7">
        <w:t xml:space="preserve"> </w:t>
      </w:r>
      <w:r w:rsidRPr="00E31BBF">
        <w:t>raising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nudging</w:t>
      </w:r>
      <w:r w:rsidR="00C21DB7">
        <w:t xml:space="preserve"> </w:t>
      </w:r>
      <w:proofErr w:type="gramStart"/>
      <w:r w:rsidRPr="00E31BBF">
        <w:t>are</w:t>
      </w:r>
      <w:r w:rsidR="00C21DB7">
        <w:t xml:space="preserve"> </w:t>
      </w:r>
      <w:r w:rsidRPr="00E31BBF">
        <w:t>based</w:t>
      </w:r>
      <w:proofErr w:type="gramEnd"/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initial</w:t>
      </w:r>
      <w:r w:rsidR="00C21DB7">
        <w:t xml:space="preserve"> </w:t>
      </w:r>
      <w:r w:rsidRPr="00E31BBF">
        <w:t>qualitative</w:t>
      </w:r>
      <w:r w:rsidR="00C21DB7">
        <w:t xml:space="preserve"> </w:t>
      </w:r>
      <w:r w:rsidRPr="00E31BBF">
        <w:t>research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women</w:t>
      </w:r>
      <w:r w:rsidR="00C21DB7">
        <w:t xml:space="preserve"> </w:t>
      </w:r>
      <w:r w:rsidRPr="00E31BBF">
        <w:t>politicians,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those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previously</w:t>
      </w:r>
      <w:r w:rsidR="00C21DB7">
        <w:t xml:space="preserve"> </w:t>
      </w:r>
      <w:r w:rsidRPr="00E31BBF">
        <w:t>been,</w:t>
      </w:r>
      <w:r w:rsidR="00C21DB7">
        <w:t xml:space="preserve"> </w:t>
      </w:r>
      <w:r w:rsidRPr="00E31BBF">
        <w:t>currently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aspiring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become</w:t>
      </w:r>
      <w:r w:rsidR="00C21DB7">
        <w:t xml:space="preserve"> </w:t>
      </w:r>
      <w:r w:rsidRPr="00E31BBF">
        <w:t>members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parliament,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journalists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cover</w:t>
      </w:r>
      <w:r w:rsidR="00C21DB7">
        <w:t xml:space="preserve"> </w:t>
      </w:r>
      <w:r w:rsidRPr="00E31BBF">
        <w:t>politics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media.</w:t>
      </w:r>
      <w:r w:rsidR="00C21DB7">
        <w:t xml:space="preserve"> </w:t>
      </w:r>
      <w:r w:rsidRPr="00E31BBF">
        <w:t>Due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approach,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proposed</w:t>
      </w:r>
      <w:r w:rsidR="00C21DB7">
        <w:t xml:space="preserve"> </w:t>
      </w:r>
      <w:r w:rsidRPr="00E31BBF">
        <w:t>solutions</w:t>
      </w:r>
      <w:r w:rsidR="00C21DB7">
        <w:t xml:space="preserve"> </w:t>
      </w:r>
      <w:proofErr w:type="gramStart"/>
      <w:r w:rsidRPr="00E31BBF">
        <w:t>are</w:t>
      </w:r>
      <w:r w:rsidR="00C21DB7">
        <w:t xml:space="preserve"> </w:t>
      </w:r>
      <w:r w:rsidRPr="00E31BBF">
        <w:t>based</w:t>
      </w:r>
      <w:proofErr w:type="gramEnd"/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personal</w:t>
      </w:r>
      <w:r w:rsidR="00C21DB7">
        <w:t xml:space="preserve"> </w:t>
      </w:r>
      <w:r w:rsidRPr="00E31BBF">
        <w:t>experiences</w:t>
      </w:r>
      <w:r w:rsidR="00C21DB7">
        <w:t xml:space="preserve"> </w:t>
      </w:r>
      <w:r w:rsidRPr="00E31BBF">
        <w:t>(and</w:t>
      </w:r>
      <w:r w:rsidR="00C21DB7">
        <w:t xml:space="preserve"> </w:t>
      </w:r>
      <w:r w:rsidRPr="00E31BBF">
        <w:t>those</w:t>
      </w:r>
      <w:r w:rsidR="00C21DB7">
        <w:t xml:space="preserve"> </w:t>
      </w:r>
      <w:r w:rsidRPr="00E31BBF">
        <w:t>relating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colleagues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political</w:t>
      </w:r>
      <w:r w:rsidR="00C21DB7">
        <w:t xml:space="preserve"> </w:t>
      </w:r>
      <w:r w:rsidRPr="00E31BBF">
        <w:t>parties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factions)</w:t>
      </w:r>
      <w:r w:rsidR="00C21DB7">
        <w:t xml:space="preserve"> </w:t>
      </w:r>
      <w:r w:rsidRPr="00E31BBF">
        <w:t>and,</w:t>
      </w:r>
      <w:r w:rsidR="00C21DB7">
        <w:t xml:space="preserve"> </w:t>
      </w:r>
      <w:r w:rsidRPr="00E31BBF">
        <w:t>thus,</w:t>
      </w:r>
      <w:r w:rsidR="00C21DB7">
        <w:t xml:space="preserve"> </w:t>
      </w:r>
      <w:r w:rsidRPr="00E31BBF">
        <w:t>open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accounts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women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disabilities.</w:t>
      </w:r>
      <w:r w:rsidR="00C21DB7">
        <w:t xml:space="preserve"> </w:t>
      </w:r>
      <w:r w:rsidRPr="00E31BBF">
        <w:t>Where</w:t>
      </w:r>
      <w:r w:rsidR="00C21DB7">
        <w:t xml:space="preserve"> </w:t>
      </w:r>
      <w:r w:rsidRPr="00E31BBF">
        <w:t>possible,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accounts,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experiences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women,</w:t>
      </w:r>
      <w:r w:rsidR="00C21DB7">
        <w:t xml:space="preserve"> </w:t>
      </w:r>
      <w:r w:rsidRPr="00E31BBF">
        <w:t>e.g.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ethnical,</w:t>
      </w:r>
      <w:r w:rsidR="00C21DB7">
        <w:t xml:space="preserve"> </w:t>
      </w:r>
      <w:r w:rsidRPr="00E31BBF">
        <w:t>socio-economic</w:t>
      </w:r>
      <w:r w:rsidR="00C21DB7">
        <w:t xml:space="preserve"> </w:t>
      </w:r>
      <w:r w:rsidRPr="00E31BBF">
        <w:t>background,</w:t>
      </w:r>
      <w:r w:rsidR="00C21DB7">
        <w:t xml:space="preserve"> </w:t>
      </w:r>
      <w:r w:rsidRPr="00E31BBF">
        <w:t>abilities</w:t>
      </w:r>
      <w:r w:rsidR="00C21DB7">
        <w:t xml:space="preserve"> </w:t>
      </w:r>
      <w:r w:rsidRPr="00E31BBF">
        <w:t>etc.,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explored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taken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account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developing</w:t>
      </w:r>
      <w:r w:rsidR="00C21DB7">
        <w:t xml:space="preserve"> </w:t>
      </w:r>
      <w:r w:rsidRPr="00E31BBF">
        <w:t>strategies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nudges.</w:t>
      </w:r>
      <w:r w:rsidR="00C21DB7">
        <w:t xml:space="preserve"> </w:t>
      </w:r>
    </w:p>
    <w:p w:rsidR="002F001C" w:rsidRPr="00E31BBF" w:rsidRDefault="002F001C" w:rsidP="00F0077F">
      <w:pPr>
        <w:pStyle w:val="H1G"/>
      </w:pPr>
      <w:r w:rsidRPr="00E31BBF">
        <w:tab/>
      </w:r>
      <w:r w:rsidRPr="00E31BBF">
        <w:tab/>
        <w:t>Children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7)</w:t>
      </w:r>
    </w:p>
    <w:p w:rsidR="002F001C" w:rsidRPr="00E31BBF" w:rsidRDefault="002F001C" w:rsidP="00F0077F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5</w:t>
      </w:r>
      <w:r w:rsidR="00B10A4D">
        <w:t xml:space="preserve"> </w:t>
      </w:r>
      <w:r w:rsidRPr="00E31BBF">
        <w:t>(a)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52.</w:t>
      </w:r>
      <w:r w:rsidRPr="00E31BBF">
        <w:tab/>
        <w:t>The</w:t>
      </w:r>
      <w:r w:rsidR="00C21DB7">
        <w:t xml:space="preserve"> </w:t>
      </w:r>
      <w:r w:rsidRPr="00E31BBF">
        <w:t>number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proportions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institutions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decreased</w:t>
      </w:r>
      <w:r w:rsidR="00C21DB7">
        <w:t xml:space="preserve"> </w:t>
      </w:r>
      <w:r w:rsidRPr="00E31BBF">
        <w:t>yearly,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seen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table</w:t>
      </w:r>
      <w:r w:rsidR="00C21DB7">
        <w:t xml:space="preserve"> </w:t>
      </w:r>
      <w:r w:rsidRPr="00E31BBF">
        <w:t>below.</w:t>
      </w:r>
    </w:p>
    <w:p w:rsidR="002F001C" w:rsidRPr="00E31BBF" w:rsidRDefault="002F001C" w:rsidP="00096C6E">
      <w:pPr>
        <w:pStyle w:val="Heading1"/>
      </w:pPr>
      <w:r w:rsidRPr="00E31BBF">
        <w:lastRenderedPageBreak/>
        <w:t>Table</w:t>
      </w:r>
      <w:r w:rsidR="00C21DB7">
        <w:t xml:space="preserve"> </w:t>
      </w:r>
      <w:r w:rsidRPr="00E31BBF">
        <w:t>1</w:t>
      </w:r>
    </w:p>
    <w:p w:rsidR="002F001C" w:rsidRPr="00096C6E" w:rsidRDefault="002F001C" w:rsidP="00732F46">
      <w:pPr>
        <w:pStyle w:val="SingleTxtG"/>
        <w:rPr>
          <w:b/>
          <w:bCs/>
        </w:rPr>
      </w:pPr>
      <w:r w:rsidRPr="00096C6E">
        <w:rPr>
          <w:b/>
          <w:bCs/>
        </w:rPr>
        <w:t>Number</w:t>
      </w:r>
      <w:r w:rsidR="00C21DB7" w:rsidRPr="00096C6E">
        <w:rPr>
          <w:b/>
          <w:bCs/>
        </w:rPr>
        <w:t xml:space="preserve"> </w:t>
      </w:r>
      <w:r w:rsidRPr="00096C6E">
        <w:rPr>
          <w:b/>
          <w:bCs/>
        </w:rPr>
        <w:t>and</w:t>
      </w:r>
      <w:r w:rsidR="00C21DB7" w:rsidRPr="00096C6E">
        <w:rPr>
          <w:b/>
          <w:bCs/>
        </w:rPr>
        <w:t xml:space="preserve"> </w:t>
      </w:r>
      <w:r w:rsidRPr="00096C6E">
        <w:rPr>
          <w:b/>
          <w:bCs/>
        </w:rPr>
        <w:t>proportions</w:t>
      </w:r>
      <w:r w:rsidR="00C21DB7" w:rsidRPr="00096C6E">
        <w:rPr>
          <w:b/>
          <w:bCs/>
        </w:rPr>
        <w:t xml:space="preserve"> </w:t>
      </w:r>
      <w:r w:rsidRPr="00096C6E">
        <w:rPr>
          <w:b/>
          <w:bCs/>
        </w:rPr>
        <w:t>of</w:t>
      </w:r>
      <w:r w:rsidR="00C21DB7" w:rsidRPr="00096C6E">
        <w:rPr>
          <w:b/>
          <w:bCs/>
        </w:rPr>
        <w:t xml:space="preserve"> </w:t>
      </w:r>
      <w:r w:rsidRPr="00096C6E">
        <w:rPr>
          <w:b/>
          <w:bCs/>
        </w:rPr>
        <w:t>children</w:t>
      </w:r>
      <w:r w:rsidR="00C21DB7" w:rsidRPr="00096C6E">
        <w:rPr>
          <w:b/>
          <w:bCs/>
        </w:rPr>
        <w:t xml:space="preserve"> </w:t>
      </w:r>
      <w:r w:rsidRPr="00096C6E">
        <w:rPr>
          <w:b/>
          <w:bCs/>
        </w:rPr>
        <w:t>with</w:t>
      </w:r>
      <w:r w:rsidR="00C21DB7" w:rsidRPr="00096C6E">
        <w:rPr>
          <w:b/>
          <w:bCs/>
        </w:rPr>
        <w:t xml:space="preserve"> </w:t>
      </w:r>
      <w:r w:rsidRPr="00096C6E">
        <w:rPr>
          <w:b/>
          <w:bCs/>
        </w:rPr>
        <w:t>disabilities</w:t>
      </w:r>
      <w:r w:rsidR="00C21DB7" w:rsidRPr="00096C6E">
        <w:rPr>
          <w:b/>
          <w:bCs/>
        </w:rPr>
        <w:t xml:space="preserve"> </w:t>
      </w:r>
      <w:r w:rsidRPr="00096C6E">
        <w:rPr>
          <w:b/>
          <w:bCs/>
        </w:rPr>
        <w:t>in</w:t>
      </w:r>
      <w:r w:rsidR="00C21DB7" w:rsidRPr="00096C6E">
        <w:rPr>
          <w:b/>
          <w:bCs/>
        </w:rPr>
        <w:t xml:space="preserve"> </w:t>
      </w:r>
      <w:r w:rsidRPr="00096C6E">
        <w:rPr>
          <w:b/>
          <w:bCs/>
        </w:rPr>
        <w:t>institutions</w:t>
      </w:r>
      <w:r w:rsidR="00C21DB7" w:rsidRPr="00096C6E">
        <w:rPr>
          <w:b/>
          <w:bCs/>
        </w:rPr>
        <w:t xml:space="preserve"> </w:t>
      </w:r>
      <w:r w:rsidRPr="00096C6E">
        <w:rPr>
          <w:b/>
          <w:bCs/>
        </w:rPr>
        <w:t>(at</w:t>
      </w:r>
      <w:r w:rsidR="00C21DB7" w:rsidRPr="00096C6E">
        <w:rPr>
          <w:b/>
          <w:bCs/>
        </w:rPr>
        <w:t xml:space="preserve"> </w:t>
      </w:r>
      <w:r w:rsidRPr="00096C6E">
        <w:rPr>
          <w:b/>
          <w:bCs/>
        </w:rPr>
        <w:t>the</w:t>
      </w:r>
      <w:r w:rsidR="00C21DB7" w:rsidRPr="00096C6E">
        <w:rPr>
          <w:b/>
          <w:bCs/>
        </w:rPr>
        <w:t xml:space="preserve"> </w:t>
      </w:r>
      <w:r w:rsidRPr="00096C6E">
        <w:rPr>
          <w:b/>
          <w:bCs/>
        </w:rPr>
        <w:t>end</w:t>
      </w:r>
      <w:r w:rsidR="00C21DB7" w:rsidRPr="00096C6E">
        <w:rPr>
          <w:b/>
          <w:bCs/>
        </w:rPr>
        <w:t xml:space="preserve"> </w:t>
      </w:r>
      <w:r w:rsidRPr="00096C6E">
        <w:rPr>
          <w:b/>
          <w:bCs/>
        </w:rPr>
        <w:t>of</w:t>
      </w:r>
      <w:r w:rsidR="00C21DB7" w:rsidRPr="00096C6E">
        <w:rPr>
          <w:b/>
          <w:bCs/>
        </w:rPr>
        <w:t xml:space="preserve"> </w:t>
      </w:r>
      <w:r w:rsidRPr="00096C6E">
        <w:rPr>
          <w:b/>
          <w:bCs/>
        </w:rPr>
        <w:t>year)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419"/>
        <w:gridCol w:w="1419"/>
        <w:gridCol w:w="1419"/>
        <w:gridCol w:w="1419"/>
      </w:tblGrid>
      <w:tr w:rsidR="002F001C" w:rsidRPr="00096C6E" w:rsidTr="00096C6E">
        <w:trPr>
          <w:tblHeader/>
        </w:trPr>
        <w:tc>
          <w:tcPr>
            <w:tcW w:w="2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096C6E">
              <w:rPr>
                <w:i/>
                <w:sz w:val="16"/>
              </w:rPr>
              <w:t>2015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096C6E">
              <w:rPr>
                <w:i/>
                <w:sz w:val="16"/>
              </w:rPr>
              <w:t>2016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096C6E">
              <w:rPr>
                <w:i/>
                <w:sz w:val="16"/>
              </w:rPr>
              <w:t>2017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096C6E">
              <w:rPr>
                <w:i/>
                <w:sz w:val="16"/>
              </w:rPr>
              <w:t>2018</w:t>
            </w:r>
          </w:p>
        </w:tc>
      </w:tr>
      <w:tr w:rsidR="002F001C" w:rsidRPr="00096C6E" w:rsidTr="00096C6E">
        <w:tc>
          <w:tcPr>
            <w:tcW w:w="2212" w:type="dxa"/>
            <w:tcBorders>
              <w:top w:val="single" w:sz="12" w:space="0" w:color="auto"/>
            </w:tcBorders>
            <w:shd w:val="clear" w:color="auto" w:fill="auto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96C6E">
              <w:rPr>
                <w:sz w:val="18"/>
              </w:rPr>
              <w:t>Number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of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children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with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disabilities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96C6E">
              <w:rPr>
                <w:sz w:val="18"/>
              </w:rPr>
              <w:t>12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067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96C6E">
              <w:rPr>
                <w:sz w:val="18"/>
              </w:rPr>
              <w:t>12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896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96C6E">
              <w:rPr>
                <w:sz w:val="18"/>
              </w:rPr>
              <w:t>13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928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96C6E">
              <w:rPr>
                <w:sz w:val="18"/>
              </w:rPr>
              <w:t>12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949</w:t>
            </w:r>
          </w:p>
        </w:tc>
      </w:tr>
      <w:tr w:rsidR="002F001C" w:rsidRPr="00096C6E" w:rsidTr="00096C6E">
        <w:tc>
          <w:tcPr>
            <w:tcW w:w="2212" w:type="dxa"/>
            <w:shd w:val="clear" w:color="auto" w:fill="auto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96C6E">
              <w:rPr>
                <w:sz w:val="18"/>
              </w:rPr>
              <w:t>Number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of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children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with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disabilities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in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alternative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care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institutions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96C6E">
              <w:rPr>
                <w:sz w:val="18"/>
              </w:rPr>
              <w:t>467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96C6E">
              <w:rPr>
                <w:sz w:val="18"/>
              </w:rPr>
              <w:t>475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96C6E">
              <w:rPr>
                <w:sz w:val="18"/>
              </w:rPr>
              <w:t>446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96C6E">
              <w:rPr>
                <w:sz w:val="18"/>
              </w:rPr>
              <w:t>383</w:t>
            </w:r>
          </w:p>
        </w:tc>
      </w:tr>
      <w:tr w:rsidR="002F001C" w:rsidRPr="00096C6E" w:rsidTr="00096C6E">
        <w:tc>
          <w:tcPr>
            <w:tcW w:w="2212" w:type="dxa"/>
            <w:shd w:val="clear" w:color="auto" w:fill="auto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096C6E">
              <w:rPr>
                <w:sz w:val="18"/>
              </w:rPr>
              <w:t>Proportion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of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children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with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disabilities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in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institutions,</w:t>
            </w:r>
            <w:r w:rsidR="00C21DB7" w:rsidRPr="00096C6E">
              <w:rPr>
                <w:sz w:val="18"/>
              </w:rPr>
              <w:t xml:space="preserve"> </w:t>
            </w:r>
            <w:r w:rsidRPr="00096C6E">
              <w:rPr>
                <w:sz w:val="18"/>
              </w:rPr>
              <w:t>%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96C6E">
              <w:rPr>
                <w:sz w:val="18"/>
              </w:rPr>
              <w:t>3</w:t>
            </w:r>
            <w:r w:rsidR="00B304D6">
              <w:rPr>
                <w:sz w:val="18"/>
              </w:rPr>
              <w:t>.</w:t>
            </w:r>
            <w:r w:rsidRPr="00096C6E">
              <w:rPr>
                <w:sz w:val="18"/>
              </w:rPr>
              <w:t>9%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96C6E">
              <w:rPr>
                <w:sz w:val="18"/>
              </w:rPr>
              <w:t>3</w:t>
            </w:r>
            <w:r w:rsidR="00B304D6">
              <w:rPr>
                <w:sz w:val="18"/>
              </w:rPr>
              <w:t>.</w:t>
            </w:r>
            <w:r w:rsidRPr="00096C6E">
              <w:rPr>
                <w:sz w:val="18"/>
              </w:rPr>
              <w:t>7%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96C6E">
              <w:rPr>
                <w:sz w:val="18"/>
              </w:rPr>
              <w:t>3</w:t>
            </w:r>
            <w:r w:rsidR="00B304D6">
              <w:rPr>
                <w:sz w:val="18"/>
              </w:rPr>
              <w:t>.</w:t>
            </w:r>
            <w:r w:rsidRPr="00096C6E">
              <w:rPr>
                <w:sz w:val="18"/>
              </w:rPr>
              <w:t>2%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2F001C" w:rsidRPr="00096C6E" w:rsidRDefault="002F001C" w:rsidP="00096C6E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096C6E">
              <w:rPr>
                <w:sz w:val="18"/>
              </w:rPr>
              <w:t>3</w:t>
            </w:r>
            <w:r w:rsidR="00B304D6">
              <w:rPr>
                <w:sz w:val="18"/>
              </w:rPr>
              <w:t>.</w:t>
            </w:r>
            <w:r w:rsidRPr="00096C6E">
              <w:rPr>
                <w:sz w:val="18"/>
              </w:rPr>
              <w:t>0%</w:t>
            </w:r>
          </w:p>
        </w:tc>
      </w:tr>
    </w:tbl>
    <w:p w:rsidR="002F001C" w:rsidRPr="00096C6E" w:rsidRDefault="002F001C" w:rsidP="00096C6E">
      <w:pPr>
        <w:spacing w:before="120" w:after="240" w:line="240" w:lineRule="atLeast"/>
        <w:ind w:left="1134" w:right="1134" w:firstLine="170"/>
        <w:rPr>
          <w:sz w:val="18"/>
        </w:rPr>
      </w:pPr>
      <w:r w:rsidRPr="00096C6E">
        <w:rPr>
          <w:i/>
          <w:iCs/>
          <w:sz w:val="18"/>
        </w:rPr>
        <w:t>Source:</w:t>
      </w:r>
      <w:r w:rsidR="00096C6E">
        <w:rPr>
          <w:sz w:val="18"/>
        </w:rPr>
        <w:t xml:space="preserve"> </w:t>
      </w:r>
      <w:r w:rsidR="00C21DB7" w:rsidRPr="00096C6E">
        <w:rPr>
          <w:sz w:val="18"/>
        </w:rPr>
        <w:t xml:space="preserve"> </w:t>
      </w:r>
      <w:r w:rsidRPr="00096C6E">
        <w:rPr>
          <w:sz w:val="18"/>
        </w:rPr>
        <w:t>Social</w:t>
      </w:r>
      <w:r w:rsidR="00C21DB7" w:rsidRPr="00096C6E">
        <w:rPr>
          <w:sz w:val="18"/>
        </w:rPr>
        <w:t xml:space="preserve"> </w:t>
      </w:r>
      <w:r w:rsidRPr="00096C6E">
        <w:rPr>
          <w:sz w:val="18"/>
        </w:rPr>
        <w:t>Insurance</w:t>
      </w:r>
      <w:r w:rsidR="00C21DB7" w:rsidRPr="00096C6E">
        <w:rPr>
          <w:sz w:val="18"/>
        </w:rPr>
        <w:t xml:space="preserve"> </w:t>
      </w:r>
      <w:r w:rsidRPr="00096C6E">
        <w:rPr>
          <w:sz w:val="18"/>
        </w:rPr>
        <w:t>Board</w:t>
      </w:r>
      <w:r w:rsidR="00B304D6">
        <w:rPr>
          <w:sz w:val="18"/>
        </w:rPr>
        <w:t>.</w:t>
      </w:r>
    </w:p>
    <w:p w:rsidR="002F001C" w:rsidRPr="00E31BBF" w:rsidRDefault="002F001C" w:rsidP="00732F46">
      <w:pPr>
        <w:pStyle w:val="SingleTxtG"/>
      </w:pPr>
      <w:r w:rsidRPr="00E31BBF">
        <w:t>53.</w:t>
      </w:r>
      <w:r w:rsidRPr="00E31BBF">
        <w:tab/>
        <w:t>The</w:t>
      </w:r>
      <w:r w:rsidR="00C21DB7">
        <w:t xml:space="preserve"> </w:t>
      </w:r>
      <w:r w:rsidRPr="00E31BBF">
        <w:t>changes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Welfare</w:t>
      </w:r>
      <w:r w:rsidR="00C21DB7">
        <w:t xml:space="preserve"> </w:t>
      </w:r>
      <w:r w:rsidRPr="00E31BBF">
        <w:t>Act,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reorganized</w:t>
      </w:r>
      <w:r w:rsidR="00C21DB7">
        <w:t xml:space="preserve"> </w:t>
      </w:r>
      <w:r w:rsidRPr="00E31BBF">
        <w:t>alternative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services,</w:t>
      </w:r>
      <w:r w:rsidR="00C21DB7">
        <w:t xml:space="preserve"> </w:t>
      </w:r>
      <w:r w:rsidRPr="00E31BBF">
        <w:t>managing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funding,</w:t>
      </w:r>
      <w:r w:rsidR="00C21DB7">
        <w:t xml:space="preserve"> </w:t>
      </w:r>
      <w:r w:rsidRPr="00E31BBF">
        <w:t>came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force</w:t>
      </w:r>
      <w:r w:rsidR="00C21DB7">
        <w:t xml:space="preserve"> </w:t>
      </w:r>
      <w:r w:rsidRPr="00E31BBF">
        <w:t>1.01.2018.</w:t>
      </w:r>
      <w:r w:rsidR="00C21DB7">
        <w:t xml:space="preserve"> </w:t>
      </w:r>
      <w:r w:rsidRPr="00E31BBF">
        <w:t>Important</w:t>
      </w:r>
      <w:r w:rsidR="00C21DB7">
        <w:t xml:space="preserve"> </w:t>
      </w:r>
      <w:r w:rsidRPr="00E31BBF">
        <w:t>aims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changes</w:t>
      </w:r>
      <w:r w:rsidR="00C21DB7">
        <w:t xml:space="preserve"> </w:t>
      </w:r>
      <w:r w:rsidRPr="00E31BBF">
        <w:t>were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increase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rate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family-based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ensure</w:t>
      </w:r>
      <w:r w:rsidR="00C21DB7">
        <w:t xml:space="preserve"> </w:t>
      </w:r>
      <w:r w:rsidRPr="00E31BBF">
        <w:t>equality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living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forms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alternative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services.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changes</w:t>
      </w:r>
      <w:r w:rsidR="00C21DB7">
        <w:t xml:space="preserve"> </w:t>
      </w:r>
      <w:r w:rsidRPr="00E31BBF">
        <w:t>established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obligation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governments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prefer</w:t>
      </w:r>
      <w:r w:rsidR="00C21DB7">
        <w:t xml:space="preserve"> </w:t>
      </w:r>
      <w:r w:rsidRPr="00E31BBF">
        <w:t>family-based</w:t>
      </w:r>
      <w:r w:rsidR="00C21DB7">
        <w:t xml:space="preserve"> </w:t>
      </w:r>
      <w:r w:rsidRPr="00E31BBF">
        <w:t>foster</w:t>
      </w:r>
      <w:r w:rsidR="00C21DB7">
        <w:t xml:space="preserve"> </w:t>
      </w:r>
      <w:r w:rsidRPr="00E31BBF">
        <w:t>family</w:t>
      </w:r>
      <w:r w:rsidR="00C21DB7">
        <w:t xml:space="preserve"> </w:t>
      </w:r>
      <w:r w:rsidRPr="00E31BBF">
        <w:t>form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alternative</w:t>
      </w:r>
      <w:r w:rsidR="00C21DB7">
        <w:t xml:space="preserve"> </w:t>
      </w:r>
      <w:r w:rsidRPr="00E31BBF">
        <w:t>care</w:t>
      </w:r>
      <w:r w:rsidR="00C21DB7">
        <w:t xml:space="preserve"> </w:t>
      </w:r>
      <w:proofErr w:type="gramStart"/>
      <w:r w:rsidRPr="00E31BBF">
        <w:t>is</w:t>
      </w:r>
      <w:r w:rsidR="00C21DB7">
        <w:t xml:space="preserve"> </w:t>
      </w:r>
      <w:r w:rsidRPr="00E31BBF">
        <w:t>needed</w:t>
      </w:r>
      <w:proofErr w:type="gramEnd"/>
      <w:r w:rsidRPr="00E31BBF">
        <w:t>.</w:t>
      </w:r>
      <w:r w:rsidR="00C21DB7">
        <w:t xml:space="preserve"> </w:t>
      </w:r>
      <w:r w:rsidRPr="00E31BBF">
        <w:t>Created</w:t>
      </w:r>
      <w:r w:rsidR="00C21DB7">
        <w:t xml:space="preserve"> </w:t>
      </w:r>
      <w:r w:rsidRPr="00E31BBF">
        <w:t>coefficient</w:t>
      </w:r>
      <w:r w:rsidR="00C21DB7">
        <w:t xml:space="preserve"> </w:t>
      </w:r>
      <w:r w:rsidRPr="00E31BBF">
        <w:t>based</w:t>
      </w:r>
      <w:r w:rsidR="00C21DB7">
        <w:t xml:space="preserve"> </w:t>
      </w:r>
      <w:r w:rsidRPr="00E31BBF">
        <w:t>financing</w:t>
      </w:r>
      <w:r w:rsidR="00C21DB7">
        <w:t xml:space="preserve"> </w:t>
      </w:r>
      <w:r w:rsidRPr="00E31BBF">
        <w:t>system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directs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governments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prefer</w:t>
      </w:r>
      <w:r w:rsidR="00C21DB7">
        <w:t xml:space="preserve"> </w:t>
      </w:r>
      <w:r w:rsidRPr="00E31BBF">
        <w:t>family-based</w:t>
      </w:r>
      <w:r w:rsidR="00C21DB7">
        <w:t xml:space="preserve"> </w:t>
      </w:r>
      <w:r w:rsidRPr="00E31BBF">
        <w:t>alternative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forms.</w:t>
      </w:r>
      <w:r w:rsidR="00C21DB7">
        <w:t xml:space="preserve"> </w:t>
      </w:r>
      <w:bookmarkStart w:id="0" w:name="para45b5lg3"/>
      <w:bookmarkEnd w:id="0"/>
    </w:p>
    <w:p w:rsidR="002F001C" w:rsidRPr="00E31BBF" w:rsidRDefault="002F001C" w:rsidP="00732F46">
      <w:pPr>
        <w:pStyle w:val="SingleTxtG"/>
      </w:pPr>
      <w:r w:rsidRPr="00E31BBF">
        <w:t>54.</w:t>
      </w:r>
      <w:r w:rsidRPr="00E31BBF">
        <w:tab/>
        <w:t>Additional</w:t>
      </w:r>
      <w:r w:rsidR="00C21DB7">
        <w:t xml:space="preserve"> </w:t>
      </w:r>
      <w:r w:rsidRPr="00E31BBF">
        <w:t>important</w:t>
      </w:r>
      <w:r w:rsidR="00C21DB7">
        <w:t xml:space="preserve"> </w:t>
      </w:r>
      <w:r w:rsidRPr="00E31BBF">
        <w:t>activities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develop</w:t>
      </w:r>
      <w:r w:rsidR="00C21DB7">
        <w:t xml:space="preserve"> </w:t>
      </w:r>
      <w:r w:rsidRPr="00E31BBF">
        <w:t>high-quality</w:t>
      </w:r>
      <w:r w:rsidR="00C21DB7">
        <w:t xml:space="preserve"> </w:t>
      </w:r>
      <w:r w:rsidRPr="00E31BBF">
        <w:t>deinstitutionalization</w:t>
      </w:r>
      <w:r w:rsidR="00C21DB7">
        <w:t xml:space="preserve"> </w:t>
      </w:r>
      <w:proofErr w:type="gramStart"/>
      <w:r w:rsidRPr="00E31BBF">
        <w:t>have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implemented</w:t>
      </w:r>
      <w:proofErr w:type="gramEnd"/>
      <w:r w:rsidRPr="00E31BBF">
        <w:t>.</w:t>
      </w:r>
      <w:r w:rsidR="00C21DB7">
        <w:t xml:space="preserve"> </w:t>
      </w:r>
      <w:r w:rsidRPr="00E31BBF">
        <w:t>These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training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counselling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alternative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providers,</w:t>
      </w:r>
      <w:r w:rsidR="00C21DB7">
        <w:t xml:space="preserve"> </w:t>
      </w:r>
      <w:r w:rsidRPr="00E31BBF">
        <w:t>increasing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awareness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society</w:t>
      </w:r>
      <w:r w:rsidR="00C21DB7">
        <w:t xml:space="preserve"> </w:t>
      </w:r>
      <w:r w:rsidRPr="00E31BBF">
        <w:t>about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family-based</w:t>
      </w:r>
      <w:r w:rsidR="00C21DB7">
        <w:t xml:space="preserve"> </w:t>
      </w:r>
      <w:r w:rsidRPr="00E31BBF">
        <w:t>alternative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recruiting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foster</w:t>
      </w:r>
      <w:r w:rsidR="00C21DB7">
        <w:t xml:space="preserve"> </w:t>
      </w:r>
      <w:r w:rsidRPr="00E31BBF">
        <w:t>families.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activities</w:t>
      </w:r>
      <w:r w:rsidR="00C21DB7">
        <w:t xml:space="preserve"> </w:t>
      </w:r>
      <w:proofErr w:type="gramStart"/>
      <w:r w:rsidRPr="00E31BBF">
        <w:t>were</w:t>
      </w:r>
      <w:r w:rsidR="00C21DB7">
        <w:t xml:space="preserve"> </w:t>
      </w:r>
      <w:r w:rsidRPr="00E31BBF">
        <w:t>financed</w:t>
      </w:r>
      <w:proofErr w:type="gramEnd"/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European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Fund.</w:t>
      </w:r>
      <w:r w:rsidR="00C21DB7">
        <w:t xml:space="preserve"> </w:t>
      </w:r>
      <w:r w:rsidRPr="00E31BBF">
        <w:t>Since</w:t>
      </w:r>
      <w:r w:rsidR="00C21DB7">
        <w:t xml:space="preserve"> </w:t>
      </w:r>
      <w:r w:rsidRPr="00E31BBF">
        <w:t>2018,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allowances</w:t>
      </w:r>
      <w:r w:rsidR="00C21DB7">
        <w:t xml:space="preserve"> </w:t>
      </w:r>
      <w:proofErr w:type="gramStart"/>
      <w:r w:rsidRPr="00E31BBF">
        <w:t>are</w:t>
      </w:r>
      <w:r w:rsidR="00C21DB7">
        <w:t xml:space="preserve"> </w:t>
      </w:r>
      <w:r w:rsidRPr="00E31BBF">
        <w:t>paid</w:t>
      </w:r>
      <w:proofErr w:type="gramEnd"/>
      <w:r w:rsidR="00C21DB7">
        <w:t xml:space="preserve"> </w:t>
      </w:r>
      <w:r w:rsidRPr="00E31BBF">
        <w:t>equally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living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family-based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family-like</w:t>
      </w:r>
      <w:r w:rsidR="00C21DB7">
        <w:t xml:space="preserve"> </w:t>
      </w:r>
      <w:r w:rsidRPr="00E31BBF">
        <w:t>alternative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forms.</w:t>
      </w:r>
      <w:r w:rsidR="00C21DB7">
        <w:t xml:space="preserve"> </w:t>
      </w:r>
    </w:p>
    <w:p w:rsidR="002F001C" w:rsidRPr="00E31BBF" w:rsidRDefault="002F001C" w:rsidP="00096C6E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5</w:t>
      </w:r>
      <w:r w:rsidR="00B10A4D">
        <w:t xml:space="preserve"> </w:t>
      </w:r>
      <w:r w:rsidRPr="00E31BBF">
        <w:t>(b)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55.</w:t>
      </w:r>
      <w:r w:rsidRPr="00E31BBF">
        <w:tab/>
        <w:t>There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several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offered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authorities:</w:t>
      </w:r>
    </w:p>
    <w:p w:rsidR="002F001C" w:rsidRPr="00E31BBF" w:rsidRDefault="002F001C" w:rsidP="00096C6E">
      <w:pPr>
        <w:pStyle w:val="Bullet1G"/>
      </w:pPr>
      <w:r w:rsidRPr="00E31BBF">
        <w:t>Support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objective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co-operation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raising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child,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development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child,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performance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procedures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case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child,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necessary;</w:t>
      </w:r>
    </w:p>
    <w:p w:rsidR="002F001C" w:rsidRPr="00E31BBF" w:rsidRDefault="002F001C" w:rsidP="00096C6E">
      <w:pPr>
        <w:pStyle w:val="Bullet1G"/>
      </w:pPr>
      <w:r w:rsidRPr="00E31BBF">
        <w:t>Childcare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objective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ability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raising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cope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reduce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burden</w:t>
      </w:r>
      <w:r w:rsidR="00C21DB7">
        <w:t xml:space="preserve"> </w:t>
      </w:r>
      <w:r w:rsidRPr="00E31BBF">
        <w:t>arising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child;</w:t>
      </w:r>
    </w:p>
    <w:p w:rsidR="002F001C" w:rsidRPr="00E31BBF" w:rsidRDefault="002F001C" w:rsidP="00096C6E">
      <w:pPr>
        <w:pStyle w:val="Bullet1G"/>
      </w:pPr>
      <w:r w:rsidRPr="00E31BBF">
        <w:t>Social</w:t>
      </w:r>
      <w:r w:rsidR="00C21DB7">
        <w:t xml:space="preserve"> </w:t>
      </w:r>
      <w:r w:rsidRPr="00E31BBF">
        <w:t>transport.</w:t>
      </w:r>
    </w:p>
    <w:p w:rsidR="002F001C" w:rsidRPr="00E31BBF" w:rsidRDefault="002F001C" w:rsidP="00732F46">
      <w:pPr>
        <w:pStyle w:val="SingleTxtG"/>
      </w:pPr>
      <w:r w:rsidRPr="00E31BBF">
        <w:t>56.</w:t>
      </w:r>
      <w:r w:rsidRPr="00E31BBF">
        <w:tab/>
        <w:t>Since</w:t>
      </w:r>
      <w:r w:rsidR="00C21DB7">
        <w:t xml:space="preserve"> </w:t>
      </w:r>
      <w:r w:rsidRPr="00E31BBF">
        <w:t>2017,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state</w:t>
      </w:r>
      <w:r w:rsidR="00C21DB7">
        <w:t xml:space="preserve"> </w:t>
      </w:r>
      <w:r w:rsidRPr="00E31BBF">
        <w:t>provides</w:t>
      </w:r>
      <w:r w:rsidR="00C21DB7">
        <w:t xml:space="preserve"> </w:t>
      </w:r>
      <w:r w:rsidRPr="00E31BBF">
        <w:t>once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year</w:t>
      </w:r>
      <w:r w:rsidR="00C21DB7">
        <w:t xml:space="preserve"> </w:t>
      </w:r>
      <w:r w:rsidRPr="00E31BBF">
        <w:t>financial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authorities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provide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profound</w:t>
      </w:r>
      <w:r w:rsidR="00C21DB7">
        <w:t xml:space="preserve"> </w:t>
      </w:r>
      <w:r w:rsidRPr="00E31BBF">
        <w:t>disabilities.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authority</w:t>
      </w:r>
      <w:r w:rsidR="00C21DB7">
        <w:t xml:space="preserve"> </w:t>
      </w:r>
      <w:r w:rsidRPr="00E31BBF">
        <w:t>may</w:t>
      </w:r>
      <w:r w:rsidR="00C21DB7">
        <w:t xml:space="preserve"> </w:t>
      </w:r>
      <w:r w:rsidRPr="00E31BBF">
        <w:t>use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provision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childcare</w:t>
      </w:r>
      <w:r w:rsidR="00C21DB7">
        <w:t xml:space="preserve"> </w:t>
      </w:r>
      <w:r w:rsidRPr="00E31BBF">
        <w:t>service,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service,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transport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profound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order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help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reduce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burden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family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profound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additional</w:t>
      </w:r>
      <w:r w:rsidR="00C21DB7">
        <w:t xml:space="preserve"> </w:t>
      </w:r>
      <w:r w:rsidRPr="00E31BBF">
        <w:t>need</w:t>
      </w:r>
      <w:r w:rsidR="00C21DB7">
        <w:t xml:space="preserve"> </w:t>
      </w:r>
      <w:r w:rsidRPr="00E31BBF">
        <w:t>arising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disability.</w:t>
      </w:r>
      <w:r w:rsidR="00C21DB7">
        <w:t xml:space="preserve"> </w:t>
      </w:r>
    </w:p>
    <w:p w:rsidR="002F001C" w:rsidRPr="00E31BBF" w:rsidRDefault="002F001C" w:rsidP="00A15784">
      <w:pPr>
        <w:pStyle w:val="Heading1"/>
        <w:spacing w:before="240"/>
      </w:pPr>
      <w:r w:rsidRPr="00E31BBF">
        <w:t>Table</w:t>
      </w:r>
      <w:r w:rsidR="00C21DB7">
        <w:t xml:space="preserve"> </w:t>
      </w:r>
      <w:r w:rsidRPr="00E31BBF">
        <w:t>2</w:t>
      </w:r>
    </w:p>
    <w:p w:rsidR="002F001C" w:rsidRPr="00C44E89" w:rsidRDefault="002F001C" w:rsidP="00732F46">
      <w:pPr>
        <w:pStyle w:val="SingleTxtG"/>
        <w:rPr>
          <w:b/>
          <w:bCs/>
        </w:rPr>
      </w:pPr>
      <w:r w:rsidRPr="00C44E89">
        <w:rPr>
          <w:b/>
          <w:bCs/>
        </w:rPr>
        <w:t>Number</w:t>
      </w:r>
      <w:r w:rsidR="00C21DB7" w:rsidRPr="00C44E89">
        <w:rPr>
          <w:b/>
          <w:bCs/>
        </w:rPr>
        <w:t xml:space="preserve"> </w:t>
      </w:r>
      <w:r w:rsidRPr="00C44E89">
        <w:rPr>
          <w:b/>
          <w:bCs/>
        </w:rPr>
        <w:t>of</w:t>
      </w:r>
      <w:r w:rsidR="00C21DB7" w:rsidRPr="00C44E89">
        <w:rPr>
          <w:b/>
          <w:bCs/>
        </w:rPr>
        <w:t xml:space="preserve"> </w:t>
      </w:r>
      <w:r w:rsidRPr="00C44E89">
        <w:rPr>
          <w:b/>
          <w:bCs/>
        </w:rPr>
        <w:t>children</w:t>
      </w:r>
      <w:r w:rsidR="00C21DB7" w:rsidRPr="00C44E89">
        <w:rPr>
          <w:b/>
          <w:bCs/>
        </w:rPr>
        <w:t xml:space="preserve"> </w:t>
      </w:r>
      <w:r w:rsidRPr="00C44E89">
        <w:rPr>
          <w:b/>
          <w:bCs/>
        </w:rPr>
        <w:t>who</w:t>
      </w:r>
      <w:r w:rsidR="00C21DB7" w:rsidRPr="00C44E89">
        <w:rPr>
          <w:b/>
          <w:bCs/>
        </w:rPr>
        <w:t xml:space="preserve"> </w:t>
      </w:r>
      <w:r w:rsidRPr="00C44E89">
        <w:rPr>
          <w:b/>
          <w:bCs/>
        </w:rPr>
        <w:t>received</w:t>
      </w:r>
      <w:r w:rsidR="00C21DB7" w:rsidRPr="00C44E89">
        <w:rPr>
          <w:b/>
          <w:bCs/>
        </w:rPr>
        <w:t xml:space="preserve"> </w:t>
      </w:r>
      <w:r w:rsidRPr="00C44E89">
        <w:rPr>
          <w:b/>
          <w:bCs/>
        </w:rPr>
        <w:t>services</w:t>
      </w:r>
      <w:r w:rsidR="00C21DB7" w:rsidRPr="00C44E89">
        <w:rPr>
          <w:b/>
          <w:bCs/>
        </w:rPr>
        <w:t xml:space="preserve"> </w:t>
      </w:r>
      <w:r w:rsidRPr="00C44E89">
        <w:rPr>
          <w:b/>
          <w:bCs/>
        </w:rPr>
        <w:t>during</w:t>
      </w:r>
      <w:r w:rsidR="00C21DB7" w:rsidRPr="00C44E89">
        <w:rPr>
          <w:b/>
          <w:bCs/>
        </w:rPr>
        <w:t xml:space="preserve"> </w:t>
      </w:r>
      <w:r w:rsidRPr="00C44E89">
        <w:rPr>
          <w:b/>
          <w:bCs/>
        </w:rPr>
        <w:t>2018</w:t>
      </w:r>
      <w:r w:rsidR="00C21DB7" w:rsidRPr="00C44E89">
        <w:rPr>
          <w:b/>
          <w:bCs/>
        </w:rPr>
        <w:t xml:space="preserve"> </w:t>
      </w:r>
      <w:r w:rsidRPr="00C44E89">
        <w:rPr>
          <w:b/>
          <w:bCs/>
        </w:rPr>
        <w:t>and</w:t>
      </w:r>
      <w:r w:rsidR="00C21DB7" w:rsidRPr="00C44E89">
        <w:rPr>
          <w:b/>
          <w:bCs/>
        </w:rPr>
        <w:t xml:space="preserve"> </w:t>
      </w:r>
      <w:r w:rsidRPr="00C44E89">
        <w:rPr>
          <w:b/>
          <w:bCs/>
        </w:rPr>
        <w:t>expenses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984"/>
        <w:gridCol w:w="1843"/>
        <w:gridCol w:w="1488"/>
      </w:tblGrid>
      <w:tr w:rsidR="002F001C" w:rsidRPr="00C44E89" w:rsidTr="00B15275">
        <w:trPr>
          <w:tblHeader/>
        </w:trPr>
        <w:tc>
          <w:tcPr>
            <w:tcW w:w="2055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263EBB">
            <w:pPr>
              <w:pStyle w:val="SingleTxtG"/>
              <w:spacing w:before="80" w:after="80" w:line="200" w:lineRule="exact"/>
              <w:ind w:left="0" w:right="113"/>
              <w:jc w:val="center"/>
              <w:rPr>
                <w:i/>
                <w:sz w:val="16"/>
              </w:rPr>
            </w:pPr>
            <w:r w:rsidRPr="00C44E89">
              <w:rPr>
                <w:i/>
                <w:sz w:val="16"/>
              </w:rPr>
              <w:t>Number</w:t>
            </w:r>
            <w:r w:rsidR="00C21DB7" w:rsidRPr="00C44E89">
              <w:rPr>
                <w:i/>
                <w:sz w:val="16"/>
              </w:rPr>
              <w:t xml:space="preserve"> </w:t>
            </w:r>
            <w:r w:rsidRPr="00C44E89">
              <w:rPr>
                <w:i/>
                <w:sz w:val="16"/>
              </w:rPr>
              <w:t>of</w:t>
            </w:r>
            <w:r w:rsidR="00C21DB7" w:rsidRPr="00C44E89">
              <w:rPr>
                <w:i/>
                <w:sz w:val="16"/>
              </w:rPr>
              <w:t xml:space="preserve"> </w:t>
            </w:r>
            <w:r w:rsidRPr="00C44E89">
              <w:rPr>
                <w:i/>
                <w:sz w:val="16"/>
              </w:rPr>
              <w:t>children</w:t>
            </w:r>
            <w:r w:rsidR="00C21DB7" w:rsidRPr="00C44E89">
              <w:rPr>
                <w:i/>
                <w:sz w:val="16"/>
              </w:rPr>
              <w:t xml:space="preserve"> </w:t>
            </w:r>
            <w:r w:rsidRPr="00C44E89">
              <w:rPr>
                <w:i/>
                <w:sz w:val="16"/>
              </w:rPr>
              <w:t>who</w:t>
            </w:r>
            <w:r w:rsidR="00C21DB7" w:rsidRPr="00C44E89">
              <w:rPr>
                <w:i/>
                <w:sz w:val="16"/>
              </w:rPr>
              <w:t xml:space="preserve"> </w:t>
            </w:r>
            <w:r w:rsidRPr="00C44E89">
              <w:rPr>
                <w:i/>
                <w:sz w:val="16"/>
              </w:rPr>
              <w:t>received</w:t>
            </w:r>
            <w:r w:rsidR="00C21DB7" w:rsidRPr="00C44E89">
              <w:rPr>
                <w:i/>
                <w:sz w:val="16"/>
              </w:rPr>
              <w:t xml:space="preserve"> </w:t>
            </w:r>
            <w:r w:rsidRPr="00C44E89">
              <w:rPr>
                <w:i/>
                <w:sz w:val="16"/>
              </w:rPr>
              <w:t>services</w:t>
            </w:r>
            <w:r w:rsidR="00C21DB7" w:rsidRPr="00C44E89">
              <w:rPr>
                <w:i/>
                <w:sz w:val="16"/>
              </w:rPr>
              <w:t xml:space="preserve"> </w:t>
            </w:r>
            <w:r w:rsidRPr="00C44E89">
              <w:rPr>
                <w:i/>
                <w:sz w:val="16"/>
              </w:rPr>
              <w:t>during</w:t>
            </w:r>
            <w:r w:rsidR="00C21DB7" w:rsidRPr="00C44E89">
              <w:rPr>
                <w:i/>
                <w:sz w:val="16"/>
              </w:rPr>
              <w:t xml:space="preserve"> </w:t>
            </w:r>
            <w:r w:rsidRPr="00C44E89">
              <w:rPr>
                <w:i/>
                <w:sz w:val="16"/>
              </w:rPr>
              <w:t>2018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060D87" w:rsidP="00C44E89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C44E89">
              <w:rPr>
                <w:i/>
                <w:sz w:val="16"/>
              </w:rPr>
              <w:t>Expenses</w:t>
            </w:r>
            <w:r w:rsidR="00C21DB7" w:rsidRPr="00C44E89">
              <w:rPr>
                <w:i/>
                <w:sz w:val="16"/>
              </w:rPr>
              <w:t xml:space="preserve"> </w:t>
            </w:r>
            <w:r w:rsidR="002F001C" w:rsidRPr="00C44E89">
              <w:rPr>
                <w:i/>
                <w:sz w:val="16"/>
              </w:rPr>
              <w:t>in</w:t>
            </w:r>
            <w:r w:rsidR="00C21DB7" w:rsidRPr="00C44E89">
              <w:rPr>
                <w:i/>
                <w:sz w:val="16"/>
              </w:rPr>
              <w:t xml:space="preserve"> </w:t>
            </w:r>
            <w:r w:rsidR="002F001C" w:rsidRPr="00C44E89">
              <w:rPr>
                <w:i/>
                <w:sz w:val="16"/>
              </w:rPr>
              <w:t>euros</w:t>
            </w:r>
          </w:p>
        </w:tc>
      </w:tr>
      <w:tr w:rsidR="00B15275" w:rsidRPr="00C44E89" w:rsidTr="00B15275">
        <w:trPr>
          <w:tblHeader/>
        </w:trPr>
        <w:tc>
          <w:tcPr>
            <w:tcW w:w="205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9423F1" w:rsidRDefault="002F001C" w:rsidP="009423F1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9423F1">
              <w:rPr>
                <w:i/>
                <w:sz w:val="16"/>
              </w:rPr>
              <w:t>Children</w:t>
            </w:r>
            <w:r w:rsidR="00C21DB7" w:rsidRPr="009423F1">
              <w:rPr>
                <w:i/>
                <w:sz w:val="16"/>
              </w:rPr>
              <w:t xml:space="preserve"> </w:t>
            </w:r>
            <w:r w:rsidRPr="009423F1">
              <w:rPr>
                <w:i/>
                <w:sz w:val="16"/>
              </w:rPr>
              <w:t>with</w:t>
            </w:r>
            <w:r w:rsidR="00C21DB7" w:rsidRPr="009423F1">
              <w:rPr>
                <w:i/>
                <w:sz w:val="16"/>
              </w:rPr>
              <w:t xml:space="preserve"> </w:t>
            </w:r>
            <w:r w:rsidRPr="009423F1">
              <w:rPr>
                <w:i/>
                <w:sz w:val="16"/>
              </w:rPr>
              <w:t>severe</w:t>
            </w:r>
            <w:r w:rsidR="00C21DB7" w:rsidRPr="009423F1">
              <w:rPr>
                <w:i/>
                <w:sz w:val="16"/>
              </w:rPr>
              <w:t xml:space="preserve"> </w:t>
            </w:r>
            <w:r w:rsidRPr="009423F1">
              <w:rPr>
                <w:i/>
                <w:sz w:val="16"/>
              </w:rPr>
              <w:t>disability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9423F1" w:rsidRDefault="002F001C" w:rsidP="009423F1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9423F1">
              <w:rPr>
                <w:i/>
                <w:sz w:val="16"/>
              </w:rPr>
              <w:t>Children</w:t>
            </w:r>
            <w:r w:rsidR="00C21DB7" w:rsidRPr="009423F1">
              <w:rPr>
                <w:i/>
                <w:sz w:val="16"/>
              </w:rPr>
              <w:t xml:space="preserve"> </w:t>
            </w:r>
            <w:r w:rsidRPr="009423F1">
              <w:rPr>
                <w:i/>
                <w:sz w:val="16"/>
              </w:rPr>
              <w:t>with</w:t>
            </w:r>
            <w:r w:rsidR="00C21DB7" w:rsidRPr="009423F1">
              <w:rPr>
                <w:i/>
                <w:sz w:val="16"/>
              </w:rPr>
              <w:t xml:space="preserve"> </w:t>
            </w:r>
            <w:r w:rsidRPr="009423F1">
              <w:rPr>
                <w:i/>
                <w:sz w:val="16"/>
              </w:rPr>
              <w:t>profound</w:t>
            </w:r>
            <w:r w:rsidR="00C21DB7" w:rsidRPr="009423F1">
              <w:rPr>
                <w:i/>
                <w:sz w:val="16"/>
              </w:rPr>
              <w:t xml:space="preserve"> </w:t>
            </w:r>
            <w:r w:rsidRPr="009423F1">
              <w:rPr>
                <w:i/>
                <w:sz w:val="16"/>
              </w:rPr>
              <w:t>disability</w:t>
            </w:r>
          </w:p>
        </w:tc>
        <w:tc>
          <w:tcPr>
            <w:tcW w:w="148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2F001C" w:rsidRPr="00C44E89" w:rsidTr="00B15275">
        <w:tc>
          <w:tcPr>
            <w:tcW w:w="2055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44E89">
              <w:rPr>
                <w:sz w:val="18"/>
              </w:rPr>
              <w:t>Period</w:t>
            </w:r>
            <w:r w:rsidR="00C21DB7" w:rsidRPr="00C44E89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2018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2</w:t>
            </w:r>
            <w:r w:rsidR="00B55311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455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474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3</w:t>
            </w:r>
            <w:r w:rsidR="00B35435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702</w:t>
            </w:r>
            <w:r w:rsidR="00B35435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593</w:t>
            </w:r>
            <w:r w:rsidR="00B35435">
              <w:rPr>
                <w:sz w:val="18"/>
              </w:rPr>
              <w:t>.</w:t>
            </w:r>
            <w:r w:rsidRPr="00C44E89">
              <w:rPr>
                <w:sz w:val="18"/>
              </w:rPr>
              <w:t>51</w:t>
            </w:r>
          </w:p>
        </w:tc>
      </w:tr>
      <w:tr w:rsidR="002F001C" w:rsidRPr="00C44E89" w:rsidTr="00B15275">
        <w:tc>
          <w:tcPr>
            <w:tcW w:w="2055" w:type="dxa"/>
            <w:tcBorders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44E89">
              <w:rPr>
                <w:sz w:val="18"/>
              </w:rPr>
              <w:t>Child</w:t>
            </w:r>
            <w:r w:rsidR="00C21DB7" w:rsidRPr="00C44E89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care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654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116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684</w:t>
            </w:r>
            <w:r w:rsidR="00B35435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575</w:t>
            </w:r>
            <w:r w:rsidR="00B15275">
              <w:rPr>
                <w:sz w:val="18"/>
              </w:rPr>
              <w:t>.</w:t>
            </w:r>
            <w:r w:rsidRPr="00C44E89">
              <w:rPr>
                <w:sz w:val="18"/>
              </w:rPr>
              <w:t>57</w:t>
            </w:r>
          </w:p>
        </w:tc>
      </w:tr>
      <w:tr w:rsidR="002F001C" w:rsidRPr="00C44E89" w:rsidTr="00B15275"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44E89">
              <w:rPr>
                <w:sz w:val="18"/>
              </w:rPr>
              <w:t>Support</w:t>
            </w:r>
            <w:r w:rsidR="00C21DB7" w:rsidRPr="00C44E89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person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893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148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1</w:t>
            </w:r>
            <w:r w:rsidR="00B35435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620</w:t>
            </w:r>
            <w:r w:rsidR="00B35435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504</w:t>
            </w:r>
            <w:r w:rsidR="00B15275">
              <w:rPr>
                <w:sz w:val="18"/>
              </w:rPr>
              <w:t>.</w:t>
            </w:r>
            <w:r w:rsidRPr="00C44E89">
              <w:rPr>
                <w:sz w:val="18"/>
              </w:rPr>
              <w:t>76</w:t>
            </w:r>
          </w:p>
        </w:tc>
      </w:tr>
      <w:tr w:rsidR="002F001C" w:rsidRPr="00C44E89" w:rsidTr="00B15275">
        <w:tc>
          <w:tcPr>
            <w:tcW w:w="2055" w:type="dxa"/>
            <w:tcBorders>
              <w:top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44E89">
              <w:rPr>
                <w:sz w:val="18"/>
              </w:rPr>
              <w:lastRenderedPageBreak/>
              <w:t>Social</w:t>
            </w:r>
            <w:r w:rsidR="00C21DB7" w:rsidRPr="00C44E89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rehabilitation</w:t>
            </w:r>
            <w:r w:rsidR="00C21DB7" w:rsidRPr="00C44E89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services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176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27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102</w:t>
            </w:r>
            <w:r w:rsidR="00B35435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944</w:t>
            </w:r>
            <w:r w:rsidR="00B15275">
              <w:rPr>
                <w:sz w:val="18"/>
              </w:rPr>
              <w:t>.</w:t>
            </w:r>
            <w:r w:rsidRPr="00C44E89">
              <w:rPr>
                <w:sz w:val="18"/>
              </w:rPr>
              <w:t>95</w:t>
            </w:r>
          </w:p>
        </w:tc>
      </w:tr>
      <w:tr w:rsidR="002F001C" w:rsidRPr="00C44E89" w:rsidTr="00B15275">
        <w:tc>
          <w:tcPr>
            <w:tcW w:w="2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proofErr w:type="spellStart"/>
            <w:r w:rsidRPr="00C44E89">
              <w:rPr>
                <w:sz w:val="18"/>
              </w:rPr>
              <w:t>Counseling</w:t>
            </w:r>
            <w:proofErr w:type="spellEnd"/>
            <w:r w:rsidR="00C21DB7" w:rsidRPr="00C44E89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services</w:t>
            </w: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8</w:t>
            </w:r>
          </w:p>
        </w:tc>
        <w:tc>
          <w:tcPr>
            <w:tcW w:w="14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36</w:t>
            </w:r>
            <w:r w:rsidR="00B35435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594</w:t>
            </w:r>
            <w:r w:rsidR="00B15275">
              <w:rPr>
                <w:sz w:val="18"/>
              </w:rPr>
              <w:t>.</w:t>
            </w:r>
            <w:r w:rsidRPr="00C44E89">
              <w:rPr>
                <w:sz w:val="18"/>
              </w:rPr>
              <w:t>57</w:t>
            </w:r>
          </w:p>
        </w:tc>
      </w:tr>
      <w:tr w:rsidR="002F001C" w:rsidRPr="00C44E89" w:rsidTr="00B55311">
        <w:tc>
          <w:tcPr>
            <w:tcW w:w="2055" w:type="dxa"/>
            <w:tcBorders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44E89">
              <w:rPr>
                <w:sz w:val="18"/>
              </w:rPr>
              <w:t>Social</w:t>
            </w:r>
            <w:r w:rsidR="00C21DB7" w:rsidRPr="00C44E89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transport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426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175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654</w:t>
            </w:r>
            <w:r w:rsidR="00B15275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650</w:t>
            </w:r>
            <w:r w:rsidR="00B15275">
              <w:rPr>
                <w:sz w:val="18"/>
              </w:rPr>
              <w:t>.</w:t>
            </w:r>
            <w:r w:rsidRPr="00C44E89">
              <w:rPr>
                <w:sz w:val="18"/>
              </w:rPr>
              <w:t>92</w:t>
            </w:r>
          </w:p>
        </w:tc>
      </w:tr>
      <w:tr w:rsidR="002F001C" w:rsidRPr="00C44E89" w:rsidTr="00B55311">
        <w:tc>
          <w:tcPr>
            <w:tcW w:w="205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44E89">
              <w:rPr>
                <w:sz w:val="18"/>
              </w:rPr>
              <w:t>Else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465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110</w:t>
            </w:r>
          </w:p>
        </w:tc>
        <w:tc>
          <w:tcPr>
            <w:tcW w:w="148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1C" w:rsidRPr="00C44E89" w:rsidRDefault="002F001C" w:rsidP="00C44E89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44E89">
              <w:rPr>
                <w:sz w:val="18"/>
              </w:rPr>
              <w:t>603</w:t>
            </w:r>
            <w:r w:rsidR="00B15275">
              <w:rPr>
                <w:sz w:val="18"/>
              </w:rPr>
              <w:t xml:space="preserve"> </w:t>
            </w:r>
            <w:r w:rsidRPr="00C44E89">
              <w:rPr>
                <w:sz w:val="18"/>
              </w:rPr>
              <w:t>322</w:t>
            </w:r>
            <w:r w:rsidR="00B15275">
              <w:rPr>
                <w:sz w:val="18"/>
              </w:rPr>
              <w:t>.</w:t>
            </w:r>
            <w:r w:rsidRPr="00C44E89">
              <w:rPr>
                <w:sz w:val="18"/>
              </w:rPr>
              <w:t>74</w:t>
            </w:r>
          </w:p>
        </w:tc>
      </w:tr>
    </w:tbl>
    <w:p w:rsidR="002F001C" w:rsidRPr="00B15275" w:rsidRDefault="002F001C" w:rsidP="00B15275">
      <w:pPr>
        <w:spacing w:before="120" w:after="240" w:line="240" w:lineRule="atLeast"/>
        <w:ind w:left="1134" w:right="1134" w:firstLine="170"/>
        <w:rPr>
          <w:sz w:val="18"/>
        </w:rPr>
      </w:pPr>
      <w:r w:rsidRPr="00B15275">
        <w:rPr>
          <w:i/>
          <w:iCs/>
          <w:sz w:val="18"/>
        </w:rPr>
        <w:t>Source:</w:t>
      </w:r>
      <w:r w:rsidR="00C21DB7" w:rsidRPr="00B15275">
        <w:rPr>
          <w:sz w:val="18"/>
        </w:rPr>
        <w:t xml:space="preserve"> </w:t>
      </w:r>
      <w:r w:rsidR="00B15275">
        <w:rPr>
          <w:sz w:val="18"/>
        </w:rPr>
        <w:t xml:space="preserve"> </w:t>
      </w:r>
      <w:r w:rsidRPr="00B15275">
        <w:rPr>
          <w:sz w:val="18"/>
        </w:rPr>
        <w:t>Ministry</w:t>
      </w:r>
      <w:r w:rsidR="00C21DB7" w:rsidRPr="00B15275">
        <w:rPr>
          <w:sz w:val="18"/>
        </w:rPr>
        <w:t xml:space="preserve"> </w:t>
      </w:r>
      <w:r w:rsidRPr="00B15275">
        <w:rPr>
          <w:sz w:val="18"/>
        </w:rPr>
        <w:t>of</w:t>
      </w:r>
      <w:r w:rsidR="00C21DB7" w:rsidRPr="00B15275">
        <w:rPr>
          <w:sz w:val="18"/>
        </w:rPr>
        <w:t xml:space="preserve"> </w:t>
      </w:r>
      <w:r w:rsidRPr="00B15275">
        <w:rPr>
          <w:sz w:val="18"/>
        </w:rPr>
        <w:t>Social</w:t>
      </w:r>
      <w:r w:rsidR="00C21DB7" w:rsidRPr="00B15275">
        <w:rPr>
          <w:sz w:val="18"/>
        </w:rPr>
        <w:t xml:space="preserve"> </w:t>
      </w:r>
      <w:r w:rsidRPr="00B15275">
        <w:rPr>
          <w:sz w:val="18"/>
        </w:rPr>
        <w:t>Affairs,</w:t>
      </w:r>
      <w:r w:rsidR="00C21DB7" w:rsidRPr="00B15275">
        <w:rPr>
          <w:sz w:val="18"/>
        </w:rPr>
        <w:t xml:space="preserve"> </w:t>
      </w:r>
      <w:r w:rsidRPr="00B15275">
        <w:rPr>
          <w:sz w:val="18"/>
        </w:rPr>
        <w:t>social</w:t>
      </w:r>
      <w:r w:rsidR="00C21DB7" w:rsidRPr="00B15275">
        <w:rPr>
          <w:sz w:val="18"/>
        </w:rPr>
        <w:t xml:space="preserve"> </w:t>
      </w:r>
      <w:r w:rsidRPr="00B15275">
        <w:rPr>
          <w:sz w:val="18"/>
        </w:rPr>
        <w:t>welfare</w:t>
      </w:r>
      <w:r w:rsidR="00C21DB7" w:rsidRPr="00B15275">
        <w:rPr>
          <w:sz w:val="18"/>
        </w:rPr>
        <w:t xml:space="preserve"> </w:t>
      </w:r>
      <w:r w:rsidRPr="00B15275">
        <w:rPr>
          <w:sz w:val="18"/>
        </w:rPr>
        <w:t>statistics</w:t>
      </w:r>
      <w:r w:rsidR="00B55311">
        <w:rPr>
          <w:sz w:val="18"/>
        </w:rPr>
        <w:t>.</w:t>
      </w:r>
      <w:r w:rsidR="00C21DB7" w:rsidRPr="00B15275">
        <w:rPr>
          <w:sz w:val="18"/>
        </w:rPr>
        <w:t xml:space="preserve"> </w:t>
      </w:r>
    </w:p>
    <w:p w:rsidR="002F001C" w:rsidRPr="00E31BBF" w:rsidRDefault="002F001C" w:rsidP="00732F46">
      <w:pPr>
        <w:pStyle w:val="SingleTxtG"/>
      </w:pPr>
      <w:r w:rsidRPr="00E31BBF">
        <w:t>57.</w:t>
      </w:r>
      <w:r w:rsidRPr="00E31BBF">
        <w:tab/>
        <w:t>Assistance</w:t>
      </w:r>
      <w:r w:rsidR="00C21DB7">
        <w:t xml:space="preserve"> </w:t>
      </w:r>
      <w:r w:rsidRPr="00E31BBF">
        <w:t>Organized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State:</w:t>
      </w:r>
      <w:r w:rsidR="00C21DB7">
        <w:t xml:space="preserve"> </w:t>
      </w:r>
    </w:p>
    <w:p w:rsidR="002F001C" w:rsidRPr="00E31BBF" w:rsidRDefault="002F001C" w:rsidP="00B15275">
      <w:pPr>
        <w:pStyle w:val="Bullet1G"/>
      </w:pPr>
      <w:r w:rsidRPr="00E31BBF">
        <w:t>Technical</w:t>
      </w:r>
      <w:r w:rsidR="00C21DB7">
        <w:t xml:space="preserve"> </w:t>
      </w:r>
      <w:r w:rsidRPr="00E31BBF">
        <w:t>aids</w:t>
      </w:r>
      <w:r w:rsidR="00C21DB7">
        <w:t xml:space="preserve"> </w:t>
      </w:r>
      <w:r w:rsidRPr="00E31BBF">
        <w:t>(Social</w:t>
      </w:r>
      <w:r w:rsidR="00C21DB7">
        <w:t xml:space="preserve"> </w:t>
      </w:r>
      <w:r w:rsidRPr="00E31BBF">
        <w:t>Insurance</w:t>
      </w:r>
      <w:r w:rsidR="00C21DB7">
        <w:t xml:space="preserve"> </w:t>
      </w:r>
      <w:r w:rsidRPr="00E31BBF">
        <w:t>Board</w:t>
      </w:r>
      <w:r w:rsidR="00C21DB7">
        <w:t xml:space="preserve"> </w:t>
      </w:r>
      <w:r w:rsidRPr="00E31BBF">
        <w:t>covers</w:t>
      </w:r>
      <w:r w:rsidR="00C21DB7">
        <w:t xml:space="preserve"> </w:t>
      </w:r>
      <w:r w:rsidRPr="00E31BBF">
        <w:t>90%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costs);</w:t>
      </w:r>
    </w:p>
    <w:p w:rsidR="002F001C" w:rsidRPr="00E31BBF" w:rsidRDefault="002F001C" w:rsidP="00B15275">
      <w:pPr>
        <w:pStyle w:val="Bullet1G"/>
      </w:pPr>
      <w:r w:rsidRPr="00E31BBF">
        <w:t>Social</w:t>
      </w:r>
      <w:r w:rsidR="00C21DB7">
        <w:t xml:space="preserve"> </w:t>
      </w:r>
      <w:r w:rsidRPr="00E31BBF">
        <w:t>rehabilitation</w:t>
      </w:r>
      <w:r w:rsidR="00C21DB7">
        <w:t xml:space="preserve"> </w:t>
      </w:r>
      <w:r w:rsidRPr="00E31BBF">
        <w:t>services.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specialists:</w:t>
      </w:r>
      <w:r w:rsidR="00C21DB7">
        <w:t xml:space="preserve"> </w:t>
      </w:r>
      <w:r w:rsidRPr="00E31BBF">
        <w:t>occupational</w:t>
      </w:r>
      <w:r w:rsidR="00C21DB7">
        <w:t xml:space="preserve"> </w:t>
      </w:r>
      <w:r w:rsidRPr="00E31BBF">
        <w:t>therapist,</w:t>
      </w:r>
      <w:r w:rsidR="00C21DB7">
        <w:t xml:space="preserve"> </w:t>
      </w:r>
      <w:r w:rsidRPr="00E31BBF">
        <w:t>creative</w:t>
      </w:r>
      <w:r w:rsidR="00C21DB7">
        <w:t xml:space="preserve"> </w:t>
      </w:r>
      <w:r w:rsidRPr="00E31BBF">
        <w:t>therapist,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worker,</w:t>
      </w:r>
      <w:r w:rsidR="00C21DB7">
        <w:t xml:space="preserve"> </w:t>
      </w:r>
      <w:r w:rsidRPr="00E31BBF">
        <w:t>psychologist,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teacher,</w:t>
      </w:r>
      <w:r w:rsidR="00C21DB7">
        <w:t xml:space="preserve"> </w:t>
      </w:r>
      <w:r w:rsidRPr="00E31BBF">
        <w:t>speech</w:t>
      </w:r>
      <w:r w:rsidR="00C21DB7">
        <w:t xml:space="preserve"> </w:t>
      </w:r>
      <w:r w:rsidRPr="00E31BBF">
        <w:t>therapist,</w:t>
      </w:r>
      <w:r w:rsidR="00C21DB7">
        <w:t xml:space="preserve"> </w:t>
      </w:r>
      <w:r w:rsidRPr="00E31BBF">
        <w:t>physiotherapist,</w:t>
      </w:r>
      <w:r w:rsidR="00C21DB7">
        <w:t xml:space="preserve"> </w:t>
      </w:r>
      <w:r w:rsidRPr="00E31BBF">
        <w:t>experience</w:t>
      </w:r>
      <w:r w:rsidR="00C21DB7">
        <w:t xml:space="preserve"> </w:t>
      </w:r>
      <w:r w:rsidRPr="00E31BBF">
        <w:t>counsellor,</w:t>
      </w:r>
      <w:r w:rsidR="00C21DB7">
        <w:t xml:space="preserve"> </w:t>
      </w:r>
      <w:r w:rsidRPr="00E31BBF">
        <w:t>doctor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nurse</w:t>
      </w:r>
      <w:r w:rsidR="00C21DB7">
        <w:t xml:space="preserve"> </w:t>
      </w:r>
      <w:proofErr w:type="gramStart"/>
      <w:r w:rsidRPr="00E31BBF">
        <w:t>are</w:t>
      </w:r>
      <w:r w:rsidR="00C21DB7">
        <w:t xml:space="preserve"> </w:t>
      </w:r>
      <w:r w:rsidRPr="00E31BBF">
        <w:t>provided</w:t>
      </w:r>
      <w:proofErr w:type="gramEnd"/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complex</w:t>
      </w:r>
      <w:r w:rsidR="00C21DB7">
        <w:t xml:space="preserve"> </w:t>
      </w:r>
      <w:r w:rsidRPr="00E31BBF">
        <w:t>needs.</w:t>
      </w:r>
      <w:r w:rsidR="00C21DB7">
        <w:t xml:space="preserve"> </w:t>
      </w:r>
      <w:r w:rsidRPr="00E31BBF">
        <w:t>Maximum</w:t>
      </w:r>
      <w:r w:rsidR="00C21DB7">
        <w:t xml:space="preserve"> </w:t>
      </w:r>
      <w:r w:rsidRPr="00E31BBF">
        <w:t>amount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Insurance</w:t>
      </w:r>
      <w:r w:rsidR="00C21DB7">
        <w:t xml:space="preserve"> </w:t>
      </w:r>
      <w:r w:rsidRPr="00E31BBF">
        <w:t>Board</w:t>
      </w:r>
      <w:r w:rsidR="00C21DB7">
        <w:t xml:space="preserve"> </w:t>
      </w:r>
      <w:r w:rsidRPr="00E31BBF">
        <w:t>covers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2580</w:t>
      </w:r>
      <w:r w:rsidR="00C21DB7">
        <w:t xml:space="preserve"> </w:t>
      </w:r>
      <w:r w:rsidRPr="00E31BBF">
        <w:t>euros</w:t>
      </w:r>
      <w:r w:rsidR="00C21DB7">
        <w:t xml:space="preserve"> </w:t>
      </w:r>
      <w:r w:rsidRPr="00E31BBF">
        <w:t>(this</w:t>
      </w:r>
      <w:r w:rsidR="00C21DB7">
        <w:t xml:space="preserve"> </w:t>
      </w:r>
      <w:r w:rsidRPr="00E31BBF">
        <w:t>amount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increased</w:t>
      </w:r>
      <w:r w:rsidR="00C21DB7">
        <w:t xml:space="preserve"> </w:t>
      </w:r>
      <w:r w:rsidRPr="00E31BBF">
        <w:t>almost</w:t>
      </w:r>
      <w:r w:rsidR="00C21DB7">
        <w:t xml:space="preserve"> </w:t>
      </w:r>
      <w:r w:rsidRPr="00E31BBF">
        <w:t>every</w:t>
      </w:r>
      <w:r w:rsidR="00C21DB7">
        <w:t xml:space="preserve"> </w:t>
      </w:r>
      <w:r w:rsidRPr="00E31BBF">
        <w:t>year);</w:t>
      </w:r>
      <w:r w:rsidR="00C21DB7">
        <w:t xml:space="preserve"> </w:t>
      </w:r>
    </w:p>
    <w:p w:rsidR="002F001C" w:rsidRPr="00E31BBF" w:rsidRDefault="002F001C" w:rsidP="00B15275">
      <w:pPr>
        <w:pStyle w:val="Bullet1G"/>
      </w:pPr>
      <w:r w:rsidRPr="00E31BBF">
        <w:t>Disabled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allowance</w:t>
      </w:r>
      <w:r w:rsidR="00C21DB7">
        <w:t xml:space="preserve"> </w:t>
      </w:r>
      <w:proofErr w:type="gramStart"/>
      <w:r w:rsidRPr="00E31BBF">
        <w:t>is</w:t>
      </w:r>
      <w:r w:rsidR="00C21DB7">
        <w:t xml:space="preserve"> </w:t>
      </w:r>
      <w:r w:rsidRPr="00E31BBF">
        <w:t>paid</w:t>
      </w:r>
      <w:proofErr w:type="gramEnd"/>
      <w:r w:rsidR="00C21DB7">
        <w:t xml:space="preserve"> </w:t>
      </w:r>
      <w:r w:rsidRPr="00E31BBF">
        <w:t>monthly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moderate,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profound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compensation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additional</w:t>
      </w:r>
      <w:r w:rsidR="00C21DB7">
        <w:t xml:space="preserve"> </w:t>
      </w:r>
      <w:r w:rsidRPr="00E31BBF">
        <w:t>expenses</w:t>
      </w:r>
      <w:r w:rsidR="00C21DB7">
        <w:t xml:space="preserve"> </w:t>
      </w:r>
      <w:r w:rsidRPr="00E31BBF">
        <w:t>caused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activities</w:t>
      </w:r>
      <w:r w:rsidR="00C21DB7">
        <w:t xml:space="preserve"> </w:t>
      </w:r>
      <w:r w:rsidRPr="00E31BBF">
        <w:t>prescribed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rehabilitation</w:t>
      </w:r>
      <w:r w:rsidR="00C21DB7">
        <w:t xml:space="preserve"> </w:t>
      </w:r>
      <w:r w:rsidRPr="00E31BBF">
        <w:t>plan.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amounts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allowance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stayed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same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years,</w:t>
      </w:r>
      <w:r w:rsidR="00C21DB7">
        <w:t xml:space="preserve"> </w:t>
      </w:r>
      <w:r w:rsidRPr="00E31BBF">
        <w:t>but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begging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year</w:t>
      </w:r>
      <w:r w:rsidR="00C21DB7">
        <w:t xml:space="preserve"> </w:t>
      </w:r>
      <w:r w:rsidRPr="00E31BBF">
        <w:t>parliament</w:t>
      </w:r>
      <w:r w:rsidR="00C21DB7">
        <w:t xml:space="preserve"> </w:t>
      </w:r>
      <w:r w:rsidRPr="00E31BBF">
        <w:t>decided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raise</w:t>
      </w:r>
      <w:r w:rsidR="00C21DB7">
        <w:t xml:space="preserve"> </w:t>
      </w:r>
      <w:r w:rsidRPr="00E31BBF">
        <w:t>it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next</w:t>
      </w:r>
      <w:r w:rsidR="00C21DB7">
        <w:t xml:space="preserve"> </w:t>
      </w:r>
      <w:r w:rsidRPr="00E31BBF">
        <w:t>year.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58.</w:t>
      </w:r>
      <w:r w:rsidRPr="00E31BBF">
        <w:tab/>
        <w:t>The</w:t>
      </w:r>
      <w:r w:rsidR="00C21DB7">
        <w:t xml:space="preserve"> </w:t>
      </w:r>
      <w:r w:rsidRPr="00E31BBF">
        <w:t>financial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sums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2019</w:t>
      </w:r>
      <w:r w:rsidR="00C21DB7">
        <w:t xml:space="preserve"> </w:t>
      </w:r>
      <w:r w:rsidRPr="00E31BBF">
        <w:t>were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moderate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–</w:t>
      </w:r>
      <w:r w:rsidR="00C21DB7">
        <w:t xml:space="preserve"> </w:t>
      </w:r>
      <w:r w:rsidRPr="00E31BBF">
        <w:t>69</w:t>
      </w:r>
      <w:proofErr w:type="gramStart"/>
      <w:r w:rsidRPr="00E31BBF">
        <w:t>,04</w:t>
      </w:r>
      <w:proofErr w:type="gramEnd"/>
      <w:r w:rsidR="00C21DB7">
        <w:t xml:space="preserve"> </w:t>
      </w:r>
      <w:r w:rsidRPr="00E31BBF">
        <w:t>€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profound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–</w:t>
      </w:r>
      <w:r w:rsidR="00C21DB7">
        <w:t xml:space="preserve"> </w:t>
      </w:r>
      <w:r w:rsidRPr="00E31BBF">
        <w:t>80,55</w:t>
      </w:r>
      <w:r w:rsidR="00C21DB7">
        <w:t xml:space="preserve"> </w:t>
      </w:r>
      <w:r w:rsidRPr="00E31BBF">
        <w:t>€.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2020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further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sums</w:t>
      </w:r>
      <w:r w:rsidR="00C21DB7">
        <w:t xml:space="preserve"> </w:t>
      </w:r>
      <w:r w:rsidRPr="00E31BBF">
        <w:t>will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raised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follows: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moderate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="005363C6">
        <w:t>–</w:t>
      </w:r>
      <w:r w:rsidR="00C21DB7">
        <w:t xml:space="preserve"> </w:t>
      </w:r>
      <w:r w:rsidRPr="00E31BBF">
        <w:t>138</w:t>
      </w:r>
      <w:proofErr w:type="gramStart"/>
      <w:r w:rsidRPr="00E31BBF">
        <w:t>,08</w:t>
      </w:r>
      <w:proofErr w:type="gramEnd"/>
      <w:r w:rsidR="00C21DB7">
        <w:t xml:space="preserve"> </w:t>
      </w:r>
      <w:r w:rsidRPr="00E31BBF">
        <w:t>€,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="005363C6">
        <w:t>–</w:t>
      </w:r>
      <w:r w:rsidR="00C21DB7">
        <w:t xml:space="preserve"> </w:t>
      </w:r>
      <w:r w:rsidRPr="00E31BBF">
        <w:t>161,1</w:t>
      </w:r>
      <w:r w:rsidR="00C21DB7">
        <w:t xml:space="preserve"> </w:t>
      </w:r>
      <w:r w:rsidRPr="00E31BBF">
        <w:t>€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profound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="005363C6">
        <w:t>–</w:t>
      </w:r>
      <w:r w:rsidR="00C21DB7">
        <w:t xml:space="preserve"> </w:t>
      </w:r>
      <w:r w:rsidRPr="00E31BBF">
        <w:t>241,65</w:t>
      </w:r>
      <w:r w:rsidR="00C21DB7">
        <w:t xml:space="preserve"> </w:t>
      </w:r>
      <w:r w:rsidRPr="00E31BBF">
        <w:t>€.</w:t>
      </w:r>
      <w:r w:rsidR="00C21DB7">
        <w:t xml:space="preserve"> </w:t>
      </w:r>
    </w:p>
    <w:p w:rsidR="002F001C" w:rsidRPr="00E31BBF" w:rsidRDefault="002F001C" w:rsidP="00B15275">
      <w:pPr>
        <w:pStyle w:val="H1G"/>
      </w:pPr>
      <w:r w:rsidRPr="00E31BBF">
        <w:tab/>
      </w:r>
      <w:r w:rsidRPr="00E31BBF">
        <w:tab/>
        <w:t>Awareness-raising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8)</w:t>
      </w:r>
    </w:p>
    <w:p w:rsidR="002F001C" w:rsidRPr="00E31BBF" w:rsidRDefault="002F001C" w:rsidP="00B15275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6</w:t>
      </w:r>
      <w:r w:rsidR="00B10A4D">
        <w:t xml:space="preserve"> </w:t>
      </w:r>
      <w:r w:rsidRPr="00E31BBF">
        <w:t>(a)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59.</w:t>
      </w:r>
      <w:r w:rsidRPr="00E31BBF">
        <w:tab/>
        <w:t>There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regular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awareness</w:t>
      </w:r>
      <w:r w:rsidR="00C21DB7">
        <w:t xml:space="preserve"> </w:t>
      </w:r>
      <w:r w:rsidRPr="00E31BBF">
        <w:t>raising</w:t>
      </w:r>
      <w:r w:rsidR="00C21DB7">
        <w:t xml:space="preserve"> </w:t>
      </w:r>
      <w:r w:rsidRPr="00E31BBF">
        <w:t>campaigns</w:t>
      </w:r>
      <w:r w:rsidR="00C21DB7">
        <w:t xml:space="preserve"> </w:t>
      </w:r>
      <w:r w:rsidRPr="00E31BBF">
        <w:t>concerning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during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recent</w:t>
      </w:r>
      <w:r w:rsidR="00C21DB7">
        <w:t xml:space="preserve"> </w:t>
      </w:r>
      <w:r w:rsidRPr="00E31BBF">
        <w:t>years.</w:t>
      </w:r>
    </w:p>
    <w:p w:rsidR="002F001C" w:rsidRPr="00060D87" w:rsidRDefault="002F001C" w:rsidP="00732F46">
      <w:pPr>
        <w:pStyle w:val="SingleTxtG"/>
        <w:rPr>
          <w:rStyle w:val="FootnoteReference"/>
        </w:rPr>
      </w:pPr>
      <w:r w:rsidRPr="00E31BBF">
        <w:t>60.</w:t>
      </w:r>
      <w:r w:rsidRPr="00E31BBF">
        <w:tab/>
        <w:t>In</w:t>
      </w:r>
      <w:r w:rsidR="00C21DB7">
        <w:t xml:space="preserve"> </w:t>
      </w:r>
      <w:r w:rsidRPr="00E31BBF">
        <w:t>2017,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campaign</w:t>
      </w:r>
      <w:r w:rsidR="00C21DB7">
        <w:t xml:space="preserve"> </w:t>
      </w:r>
      <w:r w:rsidRPr="00E31BBF">
        <w:t>called</w:t>
      </w:r>
      <w:r w:rsidR="00C21DB7">
        <w:t xml:space="preserve"> </w:t>
      </w:r>
      <w:r w:rsidR="003E41EF">
        <w:t>“</w:t>
      </w:r>
      <w:r w:rsidRPr="00E31BBF">
        <w:t>Don</w:t>
      </w:r>
      <w:r w:rsidR="003E41EF">
        <w:t>’</w:t>
      </w:r>
      <w:r w:rsidRPr="00E31BBF">
        <w:t>t</w:t>
      </w:r>
      <w:r w:rsidR="00C21DB7">
        <w:t xml:space="preserve"> </w:t>
      </w:r>
      <w:r w:rsidRPr="00E31BBF">
        <w:t>worry</w:t>
      </w:r>
      <w:r w:rsidR="003E41EF">
        <w:t>”</w:t>
      </w:r>
      <w:r w:rsidR="00C21DB7">
        <w:t xml:space="preserve"> </w:t>
      </w:r>
      <w:proofErr w:type="gramStart"/>
      <w:r w:rsidRPr="00E31BBF">
        <w:t>was</w:t>
      </w:r>
      <w:r w:rsidR="00C21DB7">
        <w:t xml:space="preserve"> </w:t>
      </w:r>
      <w:r w:rsidRPr="00E31BBF">
        <w:t>launched</w:t>
      </w:r>
      <w:proofErr w:type="gramEnd"/>
      <w:r w:rsidRPr="00E31BBF">
        <w:t>,</w:t>
      </w:r>
      <w:r w:rsidR="00C21DB7">
        <w:t xml:space="preserve"> </w:t>
      </w:r>
      <w:r w:rsidRPr="00E31BBF">
        <w:t>introducing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legitimate</w:t>
      </w:r>
      <w:r w:rsidR="00C21DB7">
        <w:t xml:space="preserve"> </w:t>
      </w:r>
      <w:r w:rsidRPr="00E31BBF">
        <w:t>part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our</w:t>
      </w:r>
      <w:r w:rsidR="00C21DB7">
        <w:t xml:space="preserve"> </w:t>
      </w:r>
      <w:r w:rsidRPr="00E31BBF">
        <w:t>society,</w:t>
      </w:r>
      <w:r w:rsidR="00C21DB7">
        <w:t xml:space="preserve"> </w:t>
      </w:r>
      <w:r w:rsidRPr="00E31BBF">
        <w:t>living</w:t>
      </w:r>
      <w:r w:rsidR="00C21DB7">
        <w:t xml:space="preserve"> </w:t>
      </w:r>
      <w:r w:rsidRPr="00E31BBF">
        <w:t>everyday</w:t>
      </w:r>
      <w:r w:rsidR="00C21DB7">
        <w:t xml:space="preserve"> </w:t>
      </w:r>
      <w:r w:rsidRPr="00E31BBF">
        <w:t>life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working</w:t>
      </w:r>
      <w:r w:rsidR="00C21DB7">
        <w:t xml:space="preserve"> </w:t>
      </w:r>
      <w:r w:rsidRPr="00E31BBF">
        <w:t>successfully.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2018</w:t>
      </w:r>
      <w:r w:rsidR="00C21DB7">
        <w:t xml:space="preserve"> </w:t>
      </w:r>
      <w:r w:rsidR="003E41EF">
        <w:t>“</w:t>
      </w:r>
      <w:r w:rsidRPr="00E31BBF">
        <w:t>Never</w:t>
      </w:r>
      <w:r w:rsidR="00C21DB7">
        <w:t xml:space="preserve"> </w:t>
      </w:r>
      <w:r w:rsidRPr="00E31BBF">
        <w:t>mind</w:t>
      </w:r>
      <w:r w:rsidR="003E41EF">
        <w:t>”</w:t>
      </w:r>
      <w:r w:rsidRPr="00E31BBF">
        <w:t>,</w:t>
      </w:r>
      <w:r w:rsidR="00C21DB7">
        <w:t xml:space="preserve"> </w:t>
      </w:r>
      <w:r w:rsidRPr="00E31BBF">
        <w:t>introducing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problems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giving</w:t>
      </w:r>
      <w:r w:rsidR="00C21DB7">
        <w:t xml:space="preserve"> </w:t>
      </w:r>
      <w:r w:rsidRPr="00E31BBF">
        <w:t>advice</w:t>
      </w:r>
      <w:r w:rsidR="00C21DB7">
        <w:t xml:space="preserve"> </w:t>
      </w:r>
      <w:r w:rsidRPr="00E31BBF">
        <w:t>about</w:t>
      </w:r>
      <w:r w:rsidR="00C21DB7">
        <w:t xml:space="preserve"> </w:t>
      </w:r>
      <w:r w:rsidRPr="00E31BBF">
        <w:t>communicating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them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2019</w:t>
      </w:r>
      <w:r w:rsidR="00C21DB7">
        <w:t xml:space="preserve"> </w:t>
      </w:r>
      <w:r w:rsidR="003E41EF">
        <w:t>“</w:t>
      </w:r>
      <w:r w:rsidRPr="00E31BBF">
        <w:t>Open</w:t>
      </w:r>
      <w:r w:rsidR="00C21DB7">
        <w:t xml:space="preserve"> </w:t>
      </w:r>
      <w:r w:rsidRPr="00E31BBF">
        <w:t>your</w:t>
      </w:r>
      <w:r w:rsidR="00C21DB7">
        <w:t xml:space="preserve"> </w:t>
      </w:r>
      <w:r w:rsidRPr="00E31BBF">
        <w:t>senses</w:t>
      </w:r>
      <w:r w:rsidR="003E41EF">
        <w:t>”</w:t>
      </w:r>
      <w:r w:rsidRPr="00E31BBF">
        <w:t>,</w:t>
      </w:r>
      <w:r w:rsidR="00C21DB7">
        <w:t xml:space="preserve"> </w:t>
      </w:r>
      <w:r w:rsidRPr="00E31BBF">
        <w:t>introducing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visual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hearing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successfully</w:t>
      </w:r>
      <w:r w:rsidR="00C21DB7">
        <w:t xml:space="preserve"> </w:t>
      </w:r>
      <w:r w:rsidRPr="00E31BBF">
        <w:t>managing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work,</w:t>
      </w:r>
      <w:r w:rsidR="00C21DB7">
        <w:t xml:space="preserve"> </w:t>
      </w:r>
      <w:r w:rsidRPr="00E31BBF">
        <w:t>studies</w:t>
      </w:r>
      <w:r w:rsidR="00C21DB7">
        <w:t xml:space="preserve"> </w:t>
      </w:r>
      <w:r w:rsidRPr="00E31BBF">
        <w:t>etc.</w:t>
      </w:r>
      <w:r w:rsidRPr="00060D87">
        <w:rPr>
          <w:rStyle w:val="FootnoteReference"/>
        </w:rPr>
        <w:footnoteReference w:id="4"/>
      </w:r>
    </w:p>
    <w:p w:rsidR="002F001C" w:rsidRPr="00E31BBF" w:rsidRDefault="002F001C" w:rsidP="00732F46">
      <w:pPr>
        <w:pStyle w:val="SingleTxtG"/>
      </w:pPr>
      <w:r w:rsidRPr="00E31BBF">
        <w:t>61.</w:t>
      </w:r>
      <w:r w:rsidRPr="00E31BBF">
        <w:tab/>
        <w:t>The</w:t>
      </w:r>
      <w:r w:rsidR="00C21DB7">
        <w:t xml:space="preserve"> </w:t>
      </w:r>
      <w:r w:rsidRPr="00E31BBF">
        <w:t>aim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campaigns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recognise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society,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address</w:t>
      </w:r>
      <w:r w:rsidR="00C21DB7">
        <w:t xml:space="preserve"> </w:t>
      </w:r>
      <w:r w:rsidRPr="00E31BBF">
        <w:t>stigmatization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raise</w:t>
      </w:r>
      <w:r w:rsidR="00C21DB7">
        <w:t xml:space="preserve"> </w:t>
      </w:r>
      <w:r w:rsidRPr="00E31BBF">
        <w:t>awareness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contribution.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campaigns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successful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warmly</w:t>
      </w:r>
      <w:r w:rsidR="00C21DB7">
        <w:t xml:space="preserve"> </w:t>
      </w:r>
      <w:r w:rsidRPr="00E31BBF">
        <w:t>welcomed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general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media.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62.</w:t>
      </w:r>
      <w:r w:rsidRPr="00E31BBF">
        <w:tab/>
        <w:t>Additionally,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day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celebrated.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2019,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focus</w:t>
      </w:r>
      <w:r w:rsidR="00C21DB7">
        <w:t xml:space="preserve"> </w:t>
      </w:r>
      <w:r w:rsidRPr="00E31BBF">
        <w:t>was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disabilities: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universal</w:t>
      </w:r>
      <w:r w:rsidR="00C21DB7">
        <w:t xml:space="preserve"> </w:t>
      </w:r>
      <w:r w:rsidRPr="00E31BBF">
        <w:t>design</w:t>
      </w:r>
      <w:r w:rsidR="00C21DB7">
        <w:t xml:space="preserve"> </w:t>
      </w:r>
      <w:r w:rsidRPr="00E31BBF">
        <w:t>exhibition</w:t>
      </w:r>
      <w:r w:rsidR="00C21DB7">
        <w:t xml:space="preserve"> </w:t>
      </w:r>
      <w:proofErr w:type="gramStart"/>
      <w:r w:rsidRPr="00E31BBF">
        <w:t>was</w:t>
      </w:r>
      <w:r w:rsidR="00C21DB7">
        <w:t xml:space="preserve"> </w:t>
      </w:r>
      <w:r w:rsidRPr="00E31BBF">
        <w:t>launched</w:t>
      </w:r>
      <w:proofErr w:type="gramEnd"/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happening</w:t>
      </w:r>
      <w:r w:rsidR="00C21DB7">
        <w:t xml:space="preserve"> </w:t>
      </w:r>
      <w:r w:rsidRPr="00E31BBF">
        <w:t>took</w:t>
      </w:r>
      <w:r w:rsidR="00C21DB7">
        <w:t xml:space="preserve"> </w:t>
      </w:r>
      <w:r w:rsidRPr="00E31BBF">
        <w:t>place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central</w:t>
      </w:r>
      <w:r w:rsidR="00C21DB7">
        <w:t xml:space="preserve"> </w:t>
      </w:r>
      <w:r w:rsidRPr="00E31BBF">
        <w:t>shopping</w:t>
      </w:r>
      <w:r w:rsidR="00C21DB7">
        <w:t xml:space="preserve"> </w:t>
      </w:r>
      <w:r w:rsidRPr="00E31BBF">
        <w:t>mall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Tallinn,</w:t>
      </w:r>
      <w:r w:rsidR="00C21DB7">
        <w:t xml:space="preserve"> </w:t>
      </w:r>
      <w:r w:rsidRPr="00E31BBF">
        <w:t>where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could</w:t>
      </w:r>
      <w:r w:rsidR="00C21DB7">
        <w:t xml:space="preserve"> </w:t>
      </w:r>
      <w:r w:rsidRPr="00E31BBF">
        <w:t>step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shoes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person.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activities</w:t>
      </w:r>
      <w:r w:rsidR="00C21DB7">
        <w:t xml:space="preserve"> </w:t>
      </w:r>
      <w:r w:rsidRPr="00E31BBF">
        <w:t>included</w:t>
      </w:r>
      <w:r w:rsidR="00C21DB7">
        <w:t xml:space="preserve"> </w:t>
      </w:r>
      <w:r w:rsidRPr="00E31BBF">
        <w:t>moving</w:t>
      </w:r>
      <w:r w:rsidR="00C21DB7">
        <w:t xml:space="preserve"> </w:t>
      </w:r>
      <w:r w:rsidRPr="00E31BBF">
        <w:t>around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guide-dog,</w:t>
      </w:r>
      <w:r w:rsidR="00C21DB7">
        <w:t xml:space="preserve"> </w:t>
      </w:r>
      <w:r w:rsidRPr="00E31BBF">
        <w:t>overcoming</w:t>
      </w:r>
      <w:r w:rsidR="00C21DB7">
        <w:t xml:space="preserve"> </w:t>
      </w:r>
      <w:r w:rsidRPr="00E31BBF">
        <w:t>physical</w:t>
      </w:r>
      <w:r w:rsidR="00C21DB7">
        <w:t xml:space="preserve"> </w:t>
      </w:r>
      <w:r w:rsidRPr="00E31BBF">
        <w:t>obstacles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wheel</w:t>
      </w:r>
      <w:r w:rsidR="00C21DB7">
        <w:t xml:space="preserve"> </w:t>
      </w:r>
      <w:r w:rsidRPr="00E31BBF">
        <w:t>chair,</w:t>
      </w:r>
      <w:r w:rsidR="00C21DB7">
        <w:t xml:space="preserve"> </w:t>
      </w:r>
      <w:r w:rsidRPr="00E31BBF">
        <w:t>trying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eat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boxing-glove</w:t>
      </w:r>
      <w:r w:rsidR="00C21DB7">
        <w:t xml:space="preserve"> </w:t>
      </w:r>
      <w:r w:rsidRPr="00E31BBF">
        <w:t>(motor</w:t>
      </w:r>
      <w:r w:rsidR="00C21DB7">
        <w:t xml:space="preserve"> </w:t>
      </w:r>
      <w:r w:rsidRPr="00E31BBF">
        <w:t>disorder)</w:t>
      </w:r>
      <w:r w:rsidR="00C21DB7">
        <w:t xml:space="preserve"> </w:t>
      </w:r>
      <w:r w:rsidRPr="00E31BBF">
        <w:t>etc.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addition,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awareness-raising</w:t>
      </w:r>
      <w:r w:rsidR="00C21DB7">
        <w:t xml:space="preserve"> </w:t>
      </w:r>
      <w:r w:rsidRPr="00E31BBF">
        <w:t>event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high</w:t>
      </w:r>
      <w:r w:rsidR="00C21DB7">
        <w:t xml:space="preserve"> </w:t>
      </w:r>
      <w:r w:rsidRPr="00E31BBF">
        <w:t>policy</w:t>
      </w:r>
      <w:r w:rsidR="00C21DB7">
        <w:t xml:space="preserve"> </w:t>
      </w:r>
      <w:r w:rsidRPr="00E31BBF">
        <w:t>officers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various</w:t>
      </w:r>
      <w:r w:rsidR="00C21DB7">
        <w:t xml:space="preserve"> </w:t>
      </w:r>
      <w:r w:rsidRPr="00E31BBF">
        <w:t>fields</w:t>
      </w:r>
      <w:r w:rsidR="00C21DB7">
        <w:t xml:space="preserve"> </w:t>
      </w:r>
      <w:r w:rsidRPr="00E31BBF">
        <w:t>was</w:t>
      </w:r>
      <w:r w:rsidR="00C21DB7">
        <w:t xml:space="preserve"> </w:t>
      </w:r>
      <w:r w:rsidRPr="00E31BBF">
        <w:t>organised,</w:t>
      </w:r>
      <w:r w:rsidR="00C21DB7">
        <w:t xml:space="preserve"> </w:t>
      </w:r>
      <w:r w:rsidRPr="00E31BBF">
        <w:t>focusing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difficulties</w:t>
      </w:r>
      <w:r w:rsidR="00C21DB7">
        <w:t xml:space="preserve"> </w:t>
      </w:r>
      <w:r w:rsidRPr="00E31BBF">
        <w:t>visually</w:t>
      </w:r>
      <w:r w:rsidR="00C21DB7">
        <w:t xml:space="preserve"> </w:t>
      </w:r>
      <w:r w:rsidRPr="00E31BBF">
        <w:t>impaired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face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everyday</w:t>
      </w:r>
      <w:r w:rsidR="00C21DB7">
        <w:t xml:space="preserve"> </w:t>
      </w:r>
      <w:r w:rsidRPr="00E31BBF">
        <w:t>life.</w:t>
      </w:r>
      <w:r w:rsidR="00C21DB7">
        <w:t xml:space="preserve"> </w:t>
      </w:r>
    </w:p>
    <w:p w:rsidR="002F001C" w:rsidRPr="00E31BBF" w:rsidRDefault="002F001C" w:rsidP="00321456">
      <w:pPr>
        <w:pStyle w:val="H23G"/>
      </w:pPr>
      <w:r w:rsidRPr="00E31BBF">
        <w:lastRenderedPageBreak/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6</w:t>
      </w:r>
      <w:r w:rsidR="00B10A4D">
        <w:t xml:space="preserve"> </w:t>
      </w:r>
      <w:r w:rsidRPr="00E31BBF">
        <w:t>(b)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(c)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63.</w:t>
      </w:r>
      <w:r w:rsidRPr="00E31BBF">
        <w:tab/>
        <w:t>Special</w:t>
      </w:r>
      <w:r w:rsidR="00C21DB7">
        <w:t xml:space="preserve"> </w:t>
      </w:r>
      <w:r w:rsidRPr="00E31BBF">
        <w:t>efforts</w:t>
      </w:r>
      <w:r w:rsidR="00C21DB7">
        <w:t xml:space="preserve"> </w:t>
      </w:r>
      <w:proofErr w:type="gramStart"/>
      <w:r w:rsidRPr="00E31BBF">
        <w:t>have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made</w:t>
      </w:r>
      <w:proofErr w:type="gramEnd"/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ensure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when</w:t>
      </w:r>
      <w:r w:rsidR="00C21DB7">
        <w:t xml:space="preserve"> </w:t>
      </w:r>
      <w:r w:rsidRPr="00E31BBF">
        <w:t>launching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carrying</w:t>
      </w:r>
      <w:r w:rsidR="00C21DB7">
        <w:t xml:space="preserve"> </w:t>
      </w:r>
      <w:r w:rsidRPr="00E31BBF">
        <w:t>out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awareness</w:t>
      </w:r>
      <w:r w:rsidR="00C21DB7">
        <w:t xml:space="preserve"> </w:t>
      </w:r>
      <w:r w:rsidRPr="00E31BBF">
        <w:t>raising</w:t>
      </w:r>
      <w:r w:rsidR="00C21DB7">
        <w:t xml:space="preserve"> </w:t>
      </w:r>
      <w:r w:rsidRPr="00E31BBF">
        <w:t>activities,</w:t>
      </w:r>
      <w:r w:rsidR="00C21DB7">
        <w:t xml:space="preserve"> </w:t>
      </w:r>
      <w:r w:rsidRPr="00E31BBF">
        <w:t>therefore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above-mentioned</w:t>
      </w:r>
      <w:r w:rsidR="00C21DB7">
        <w:t xml:space="preserve"> </w:t>
      </w:r>
      <w:r w:rsidRPr="00E31BBF">
        <w:t>campaigns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made</w:t>
      </w:r>
      <w:r w:rsidR="00C21DB7">
        <w:t xml:space="preserve"> </w:t>
      </w:r>
      <w:r w:rsidRPr="00E31BBF">
        <w:t>accessible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visual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hearing</w:t>
      </w:r>
      <w:r w:rsidR="00C21DB7">
        <w:t xml:space="preserve"> </w:t>
      </w:r>
      <w:r w:rsidRPr="00E31BBF">
        <w:t>disabilities.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64.</w:t>
      </w:r>
      <w:r w:rsidRPr="00E31BBF">
        <w:tab/>
        <w:t>The</w:t>
      </w:r>
      <w:r w:rsidR="00C21DB7">
        <w:t xml:space="preserve"> </w:t>
      </w:r>
      <w:r w:rsidRPr="00E31BBF">
        <w:t>preparation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here</w:t>
      </w:r>
      <w:r w:rsidR="00C21DB7">
        <w:t xml:space="preserve"> </w:t>
      </w:r>
      <w:r w:rsidRPr="00E31BBF">
        <w:t>mentioned</w:t>
      </w:r>
      <w:r w:rsidR="00C21DB7">
        <w:t xml:space="preserve"> </w:t>
      </w:r>
      <w:r w:rsidRPr="00E31BBF">
        <w:t>campaigns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close</w:t>
      </w:r>
      <w:r w:rsidR="00C21DB7">
        <w:t xml:space="preserve"> </w:t>
      </w:r>
      <w:r w:rsidRPr="00E31BBF">
        <w:t>cooperation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representative</w:t>
      </w:r>
      <w:r w:rsidR="00C21DB7">
        <w:t xml:space="preserve"> </w:t>
      </w:r>
      <w:r w:rsidRPr="00E31BBF">
        <w:t>organisations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order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involved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preparation</w:t>
      </w:r>
      <w:r w:rsidR="00C21DB7">
        <w:t xml:space="preserve"> </w:t>
      </w:r>
      <w:r w:rsidRPr="00E31BBF">
        <w:t>phase.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campaigns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successfully</w:t>
      </w:r>
      <w:r w:rsidR="00C21DB7">
        <w:t xml:space="preserve"> </w:t>
      </w:r>
      <w:r w:rsidRPr="00E31BBF">
        <w:t>involved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spokespersons.</w:t>
      </w:r>
      <w:r w:rsidR="00C21DB7">
        <w:t xml:space="preserve"> </w:t>
      </w:r>
      <w:r w:rsidRPr="00E31BBF">
        <w:t>Having</w:t>
      </w:r>
      <w:r w:rsidR="00C21DB7">
        <w:t xml:space="preserve"> </w:t>
      </w:r>
      <w:r w:rsidRPr="00E31BBF">
        <w:t>real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spokespersons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helped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relate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messages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campaigns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increased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success.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65.</w:t>
      </w:r>
      <w:r w:rsidRPr="00E31BBF">
        <w:tab/>
        <w:t>Consultation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cooperation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relevant</w:t>
      </w:r>
      <w:r w:rsidR="00C21DB7">
        <w:t xml:space="preserve"> </w:t>
      </w:r>
      <w:r w:rsidRPr="00E31BBF">
        <w:t>representative</w:t>
      </w:r>
      <w:r w:rsidR="00C21DB7">
        <w:t xml:space="preserve"> </w:t>
      </w:r>
      <w:r w:rsidRPr="00E31BBF">
        <w:t>organisations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taken</w:t>
      </w:r>
      <w:r w:rsidR="00C21DB7">
        <w:t xml:space="preserve"> </w:t>
      </w:r>
      <w:r w:rsidRPr="00E31BBF">
        <w:t>place</w:t>
      </w:r>
      <w:r w:rsidR="00C21DB7">
        <w:t xml:space="preserve"> </w:t>
      </w:r>
      <w:r w:rsidRPr="00E31BBF">
        <w:t>when</w:t>
      </w:r>
      <w:r w:rsidR="00C21DB7">
        <w:t xml:space="preserve"> </w:t>
      </w:r>
      <w:r w:rsidRPr="00E31BBF">
        <w:t>preparing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carrying</w:t>
      </w:r>
      <w:r w:rsidR="00C21DB7">
        <w:t xml:space="preserve"> </w:t>
      </w:r>
      <w:r w:rsidRPr="00E31BBF">
        <w:t>out</w:t>
      </w:r>
      <w:r w:rsidR="00C21DB7">
        <w:t xml:space="preserve"> </w:t>
      </w:r>
      <w:r w:rsidRPr="00E31BBF">
        <w:t>thematic</w:t>
      </w:r>
      <w:r w:rsidR="00C21DB7">
        <w:t xml:space="preserve"> </w:t>
      </w:r>
      <w:r w:rsidRPr="00E31BBF">
        <w:t>analysis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studies.</w:t>
      </w:r>
      <w:r w:rsidR="00C21DB7">
        <w:t xml:space="preserve"> </w:t>
      </w:r>
    </w:p>
    <w:p w:rsidR="002F001C" w:rsidRPr="00E31BBF" w:rsidRDefault="002F001C" w:rsidP="006E2189">
      <w:pPr>
        <w:pStyle w:val="H1G"/>
      </w:pPr>
      <w:r w:rsidRPr="00E31BBF">
        <w:tab/>
      </w:r>
      <w:r w:rsidRPr="00E31BBF">
        <w:tab/>
        <w:t>Accessibility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9)</w:t>
      </w:r>
    </w:p>
    <w:p w:rsidR="002F001C" w:rsidRPr="00E31BBF" w:rsidRDefault="002F001C" w:rsidP="006E2189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7</w:t>
      </w:r>
      <w:r w:rsidR="00B10A4D">
        <w:t xml:space="preserve"> </w:t>
      </w:r>
      <w:r w:rsidRPr="00E31BBF">
        <w:t>(a)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66.</w:t>
      </w:r>
      <w:r w:rsidRPr="00E31BBF">
        <w:tab/>
        <w:t>Accessibility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universal</w:t>
      </w:r>
      <w:r w:rsidR="00C21DB7">
        <w:t xml:space="preserve"> </w:t>
      </w:r>
      <w:r w:rsidRPr="00E31BBF">
        <w:t>design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become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priority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Estonia.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2018,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regulation</w:t>
      </w:r>
      <w:r w:rsidRPr="00060D87">
        <w:rPr>
          <w:rStyle w:val="FootnoteReference"/>
        </w:rPr>
        <w:footnoteReference w:id="5"/>
      </w:r>
      <w:r w:rsidR="00C21DB7" w:rsidRPr="00060D87">
        <w:rPr>
          <w:rStyle w:val="FootnoteReference"/>
        </w:rPr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Minister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Entrepreneurship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Technology</w:t>
      </w:r>
      <w:r w:rsidR="00C21DB7">
        <w:t xml:space="preserve"> </w:t>
      </w:r>
      <w:r w:rsidRPr="00E31BBF">
        <w:t>came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force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provides</w:t>
      </w:r>
      <w:r w:rsidR="00C21DB7">
        <w:t xml:space="preserve"> </w:t>
      </w:r>
      <w:r w:rsidRPr="00E31BBF">
        <w:t>detailed</w:t>
      </w:r>
      <w:r w:rsidR="00C21DB7">
        <w:t xml:space="preserve"> </w:t>
      </w:r>
      <w:r w:rsidRPr="00E31BBF">
        <w:t>requirements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buildings</w:t>
      </w:r>
      <w:r w:rsidR="00C21DB7">
        <w:t xml:space="preserve"> </w:t>
      </w:r>
      <w:r w:rsidRPr="00E31BBF">
        <w:t>related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regulation</w:t>
      </w:r>
      <w:r w:rsidR="00C21DB7">
        <w:t xml:space="preserve"> </w:t>
      </w:r>
      <w:r w:rsidRPr="00E31BBF">
        <w:t>applies</w:t>
      </w:r>
      <w:r w:rsidR="00C21DB7">
        <w:t xml:space="preserve"> </w:t>
      </w:r>
      <w:r w:rsidRPr="00E31BBF">
        <w:t>primarily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buildings</w:t>
      </w:r>
      <w:r w:rsidR="00C21DB7">
        <w:t xml:space="preserve"> </w:t>
      </w:r>
      <w:r w:rsidRPr="00E31BBF">
        <w:t>where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services</w:t>
      </w:r>
      <w:r w:rsidR="00C21DB7">
        <w:t xml:space="preserve"> </w:t>
      </w:r>
      <w:proofErr w:type="gramStart"/>
      <w:r w:rsidRPr="00E31BBF">
        <w:t>are</w:t>
      </w:r>
      <w:r w:rsidR="00C21DB7">
        <w:t xml:space="preserve"> </w:t>
      </w:r>
      <w:r w:rsidRPr="00E31BBF">
        <w:t>provided</w:t>
      </w:r>
      <w:proofErr w:type="gramEnd"/>
      <w:r w:rsidRPr="00E31BBF">
        <w:t>,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roads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urban</w:t>
      </w:r>
      <w:r w:rsidR="00C21DB7">
        <w:t xml:space="preserve"> </w:t>
      </w:r>
      <w:r w:rsidRPr="00E31BBF">
        <w:t>areas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publicly</w:t>
      </w:r>
      <w:r w:rsidR="00C21DB7">
        <w:t xml:space="preserve"> </w:t>
      </w:r>
      <w:r w:rsidRPr="00E31BBF">
        <w:t>accessible</w:t>
      </w:r>
      <w:r w:rsidR="00C21DB7">
        <w:t xml:space="preserve"> </w:t>
      </w:r>
      <w:r w:rsidRPr="00E31BBF">
        <w:t>private</w:t>
      </w:r>
      <w:r w:rsidR="00C21DB7">
        <w:t xml:space="preserve"> </w:t>
      </w:r>
      <w:r w:rsidRPr="00E31BBF">
        <w:t>roads.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67.</w:t>
      </w:r>
      <w:r w:rsidRPr="00E31BBF">
        <w:tab/>
        <w:t>To</w:t>
      </w:r>
      <w:r w:rsidR="00C21DB7">
        <w:t xml:space="preserve"> </w:t>
      </w:r>
      <w:r w:rsidRPr="00E31BBF">
        <w:t>promote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intellectual</w:t>
      </w:r>
      <w:r w:rsidR="00C21DB7">
        <w:t xml:space="preserve"> </w:t>
      </w:r>
      <w:r w:rsidRPr="00E31BBF">
        <w:t>disability,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project</w:t>
      </w:r>
      <w:r w:rsidR="00C21DB7">
        <w:t xml:space="preserve"> </w:t>
      </w:r>
      <w:r w:rsidRPr="00E31BBF">
        <w:t>supported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Norway</w:t>
      </w:r>
      <w:r w:rsidR="00C21DB7">
        <w:t xml:space="preserve"> </w:t>
      </w:r>
      <w:r w:rsidRPr="00E31BBF">
        <w:t>Grants</w:t>
      </w:r>
      <w:r w:rsidR="00C21DB7">
        <w:t xml:space="preserve"> </w:t>
      </w:r>
      <w:r w:rsidRPr="00E31BBF">
        <w:t>2014</w:t>
      </w:r>
      <w:r w:rsidR="005363C6">
        <w:t>–</w:t>
      </w:r>
      <w:r w:rsidRPr="00E31BBF">
        <w:t>2021</w:t>
      </w:r>
      <w:r w:rsidR="00C21DB7">
        <w:t xml:space="preserve"> </w:t>
      </w:r>
      <w:r w:rsidRPr="00E31BBF">
        <w:t>through</w:t>
      </w:r>
      <w:r w:rsidR="00C21DB7">
        <w:t xml:space="preserve"> </w:t>
      </w:r>
      <w:r w:rsidRPr="00E31BBF">
        <w:t>Active</w:t>
      </w:r>
      <w:r w:rsidR="00C21DB7">
        <w:t xml:space="preserve"> </w:t>
      </w:r>
      <w:r w:rsidRPr="00E31BBF">
        <w:t>Citizens</w:t>
      </w:r>
      <w:r w:rsidR="00C21DB7">
        <w:t xml:space="preserve"> </w:t>
      </w:r>
      <w:r w:rsidRPr="00E31BBF">
        <w:t>Fund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Estonia</w:t>
      </w:r>
      <w:r w:rsidR="00C21DB7">
        <w:t xml:space="preserve"> </w:t>
      </w:r>
      <w:proofErr w:type="gramStart"/>
      <w:r w:rsidRPr="00E31BBF">
        <w:t>was</w:t>
      </w:r>
      <w:r w:rsidR="00C21DB7">
        <w:t xml:space="preserve"> </w:t>
      </w:r>
      <w:r w:rsidRPr="00E31BBF">
        <w:t>launched</w:t>
      </w:r>
      <w:proofErr w:type="gramEnd"/>
      <w:r w:rsidRPr="00E31BBF">
        <w:t>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project</w:t>
      </w:r>
      <w:r w:rsidR="00C21DB7">
        <w:t xml:space="preserve"> </w:t>
      </w:r>
      <w:r w:rsidRPr="00E31BBF">
        <w:t>will</w:t>
      </w:r>
      <w:r w:rsidR="00C21DB7">
        <w:t xml:space="preserve"> </w:t>
      </w:r>
      <w:r w:rsidRPr="00E31BBF">
        <w:t>enhance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use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simple</w:t>
      </w:r>
      <w:r w:rsidR="00C21DB7">
        <w:t xml:space="preserve"> </w:t>
      </w:r>
      <w:r w:rsidRPr="00E31BBF">
        <w:t>language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example</w:t>
      </w:r>
      <w:r w:rsidR="00C21DB7">
        <w:t xml:space="preserve"> </w:t>
      </w:r>
      <w:r w:rsidRPr="00E31BBF">
        <w:t>libraries,</w:t>
      </w:r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governments,</w:t>
      </w:r>
      <w:r w:rsidR="00C21DB7">
        <w:t xml:space="preserve"> </w:t>
      </w:r>
      <w:r w:rsidRPr="00E31BBF">
        <w:t>sports</w:t>
      </w:r>
      <w:r w:rsidR="00C21DB7">
        <w:t xml:space="preserve"> </w:t>
      </w:r>
      <w:r w:rsidRPr="00E31BBF">
        <w:t>facilities</w:t>
      </w:r>
      <w:r w:rsidR="00C21DB7">
        <w:t xml:space="preserve"> </w:t>
      </w:r>
      <w:r w:rsidRPr="00E31BBF">
        <w:t>etc.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68.</w:t>
      </w:r>
      <w:r w:rsidRPr="00E31BBF">
        <w:tab/>
        <w:t>The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Affairs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ongoing</w:t>
      </w:r>
      <w:r w:rsidR="00C21DB7">
        <w:t xml:space="preserve"> </w:t>
      </w:r>
      <w:r w:rsidRPr="00E31BBF">
        <w:t>analysis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transport</w:t>
      </w:r>
      <w:r w:rsidR="00C21DB7">
        <w:t xml:space="preserve"> </w:t>
      </w:r>
      <w:r w:rsidRPr="00E31BBF">
        <w:t>stops</w:t>
      </w:r>
      <w:r w:rsidR="003E41EF">
        <w:t>’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over</w:t>
      </w:r>
      <w:r w:rsidR="00C21DB7">
        <w:t xml:space="preserve"> </w:t>
      </w:r>
      <w:r w:rsidRPr="00E31BBF">
        <w:t>Estonia.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results</w:t>
      </w:r>
      <w:r w:rsidR="00C21DB7">
        <w:t xml:space="preserve"> </w:t>
      </w:r>
      <w:r w:rsidRPr="00E31BBF">
        <w:t>will</w:t>
      </w:r>
      <w:r w:rsidR="00C21DB7">
        <w:t xml:space="preserve"> </w:t>
      </w:r>
      <w:r w:rsidRPr="00E31BBF">
        <w:t>give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overview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selection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most</w:t>
      </w:r>
      <w:r w:rsidR="00C21DB7">
        <w:t xml:space="preserve"> </w:t>
      </w:r>
      <w:r w:rsidRPr="00E31BBF">
        <w:t>important</w:t>
      </w:r>
      <w:r w:rsidR="00C21DB7">
        <w:t xml:space="preserve"> </w:t>
      </w:r>
      <w:r w:rsidRPr="00E31BBF">
        <w:t>junctions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related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transport</w:t>
      </w:r>
      <w:r w:rsidR="00C21DB7">
        <w:t xml:space="preserve"> </w:t>
      </w:r>
      <w:r w:rsidRPr="00E31BBF">
        <w:t>stops</w:t>
      </w:r>
      <w:r w:rsidR="00C21DB7">
        <w:t xml:space="preserve"> </w:t>
      </w:r>
      <w:r w:rsidRPr="00E31BBF">
        <w:t>together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cost</w:t>
      </w:r>
      <w:r w:rsidR="00C21DB7">
        <w:t xml:space="preserve"> </w:t>
      </w:r>
      <w:r w:rsidRPr="00E31BBF">
        <w:t>calculations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needed</w:t>
      </w:r>
      <w:r w:rsidR="00C21DB7">
        <w:t xml:space="preserve"> </w:t>
      </w:r>
      <w:r w:rsidRPr="00E31BBF">
        <w:t>adjustments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early</w:t>
      </w:r>
      <w:r w:rsidR="00C21DB7">
        <w:t xml:space="preserve"> </w:t>
      </w:r>
      <w:r w:rsidRPr="00E31BBF">
        <w:t>2020.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69.</w:t>
      </w:r>
      <w:r w:rsidRPr="00E31BBF">
        <w:tab/>
        <w:t>From</w:t>
      </w:r>
      <w:r w:rsidR="00C21DB7">
        <w:t xml:space="preserve"> </w:t>
      </w:r>
      <w:r w:rsidRPr="00E31BBF">
        <w:t>2018</w:t>
      </w:r>
      <w:r w:rsidR="005363C6">
        <w:t>–</w:t>
      </w:r>
      <w:r w:rsidRPr="00E31BBF">
        <w:t>2022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Affairs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conducting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pilot</w:t>
      </w:r>
      <w:r w:rsidR="00C21DB7">
        <w:t xml:space="preserve"> </w:t>
      </w:r>
      <w:r w:rsidRPr="00E31BBF">
        <w:t>project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transportation.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aim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project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test</w:t>
      </w:r>
      <w:r w:rsidR="00C21DB7">
        <w:t xml:space="preserve"> </w:t>
      </w:r>
      <w:r w:rsidRPr="00E31BBF">
        <w:t>new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delivery</w:t>
      </w:r>
      <w:r w:rsidR="00C21DB7">
        <w:t xml:space="preserve"> </w:t>
      </w:r>
      <w:r w:rsidRPr="00E31BBF">
        <w:t>models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transportation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find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transport</w:t>
      </w:r>
      <w:r w:rsidR="00C21DB7">
        <w:t xml:space="preserve"> </w:t>
      </w:r>
      <w:r w:rsidRPr="00E31BBF">
        <w:t>customer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what</w:t>
      </w:r>
      <w:r w:rsidR="00C21DB7">
        <w:t xml:space="preserve"> </w:t>
      </w:r>
      <w:r w:rsidRPr="00E31BBF">
        <w:t>kind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financing</w:t>
      </w:r>
      <w:r w:rsidR="00C21DB7">
        <w:t xml:space="preserve"> </w:t>
      </w:r>
      <w:r w:rsidRPr="00E31BBF">
        <w:t>model</w:t>
      </w:r>
      <w:r w:rsidR="00C21DB7">
        <w:t xml:space="preserve"> </w:t>
      </w:r>
      <w:proofErr w:type="gramStart"/>
      <w:r w:rsidRPr="00E31BBF">
        <w:t>should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used</w:t>
      </w:r>
      <w:proofErr w:type="gramEnd"/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efficient</w:t>
      </w:r>
      <w:r w:rsidR="00C21DB7">
        <w:t xml:space="preserve"> </w:t>
      </w:r>
      <w:r w:rsidRPr="00E31BBF">
        <w:t>policy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matter.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pilot</w:t>
      </w:r>
      <w:r w:rsidR="00C21DB7">
        <w:t xml:space="preserve"> </w:t>
      </w:r>
      <w:r w:rsidRPr="00E31BBF">
        <w:t>project</w:t>
      </w:r>
      <w:r w:rsidR="00C21DB7">
        <w:t xml:space="preserve"> </w:t>
      </w:r>
      <w:proofErr w:type="gramStart"/>
      <w:r w:rsidRPr="00E31BBF">
        <w:t>is</w:t>
      </w:r>
      <w:r w:rsidR="00C21DB7">
        <w:t xml:space="preserve"> </w:t>
      </w:r>
      <w:r w:rsidRPr="00E31BBF">
        <w:t>carried</w:t>
      </w:r>
      <w:r w:rsidR="00C21DB7">
        <w:t xml:space="preserve"> </w:t>
      </w:r>
      <w:r w:rsidRPr="00E31BBF">
        <w:t>out</w:t>
      </w:r>
      <w:proofErr w:type="gramEnd"/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five</w:t>
      </w:r>
      <w:r w:rsidR="00C21DB7">
        <w:t xml:space="preserve"> </w:t>
      </w:r>
      <w:r w:rsidRPr="00E31BBF">
        <w:t>counties,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four</w:t>
      </w:r>
      <w:r w:rsidR="00C21DB7">
        <w:t xml:space="preserve"> </w:t>
      </w:r>
      <w:r w:rsidRPr="00E31BBF">
        <w:t>county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transport</w:t>
      </w:r>
      <w:r w:rsidR="00C21DB7">
        <w:t xml:space="preserve"> </w:t>
      </w:r>
      <w:r w:rsidRPr="00E31BBF">
        <w:t>operators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close</w:t>
      </w:r>
      <w:r w:rsidR="00C21DB7">
        <w:t xml:space="preserve"> </w:t>
      </w:r>
      <w:r w:rsidRPr="00E31BBF">
        <w:t>cooperation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governments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design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provide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transportation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region.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pilot</w:t>
      </w:r>
      <w:r w:rsidR="00C21DB7">
        <w:t xml:space="preserve"> </w:t>
      </w:r>
      <w:r w:rsidRPr="00E31BBF">
        <w:t>project</w:t>
      </w:r>
      <w:r w:rsidR="00C21DB7">
        <w:t xml:space="preserve"> </w:t>
      </w:r>
      <w:proofErr w:type="gramStart"/>
      <w:r w:rsidRPr="00E31BBF">
        <w:t>is</w:t>
      </w:r>
      <w:r w:rsidR="00C21DB7">
        <w:t xml:space="preserve"> </w:t>
      </w:r>
      <w:r w:rsidRPr="00E31BBF">
        <w:t>financed</w:t>
      </w:r>
      <w:proofErr w:type="gramEnd"/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European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Fund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partners</w:t>
      </w:r>
      <w:r w:rsidR="003E41EF">
        <w:t>’</w:t>
      </w:r>
      <w:r w:rsidR="00C21DB7">
        <w:t xml:space="preserve"> </w:t>
      </w:r>
      <w:r w:rsidRPr="00E31BBF">
        <w:t>own</w:t>
      </w:r>
      <w:r w:rsidR="00C21DB7">
        <w:t xml:space="preserve"> </w:t>
      </w:r>
      <w:r w:rsidRPr="00E31BBF">
        <w:t>financing.</w:t>
      </w:r>
    </w:p>
    <w:p w:rsidR="002F001C" w:rsidRPr="00E31BBF" w:rsidRDefault="002F001C" w:rsidP="00363315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7</w:t>
      </w:r>
      <w:r w:rsidR="00B10A4D">
        <w:t xml:space="preserve"> </w:t>
      </w:r>
      <w:r w:rsidRPr="00E31BBF">
        <w:t>(b)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70.</w:t>
      </w:r>
      <w:r w:rsidRPr="00E31BBF">
        <w:tab/>
        <w:t>The</w:t>
      </w:r>
      <w:r w:rsidR="00C21DB7">
        <w:t xml:space="preserve"> </w:t>
      </w:r>
      <w:r w:rsidRPr="00E31BBF">
        <w:t>requirements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sector</w:t>
      </w:r>
      <w:r w:rsidR="00C21DB7">
        <w:t xml:space="preserve"> </w:t>
      </w:r>
      <w:r w:rsidRPr="00E31BBF">
        <w:t>websites</w:t>
      </w:r>
      <w:r w:rsidR="00C21DB7">
        <w:t xml:space="preserve"> </w:t>
      </w:r>
      <w:proofErr w:type="gramStart"/>
      <w:r w:rsidRPr="00E31BBF">
        <w:t>are</w:t>
      </w:r>
      <w:r w:rsidR="00C21DB7">
        <w:t xml:space="preserve"> </w:t>
      </w:r>
      <w:r w:rsidRPr="00E31BBF">
        <w:t>constituted</w:t>
      </w:r>
      <w:proofErr w:type="gramEnd"/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32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(the</w:t>
      </w:r>
      <w:r w:rsidR="00C21DB7">
        <w:t xml:space="preserve"> </w:t>
      </w:r>
      <w:r w:rsidRPr="00E31BBF">
        <w:t>sections</w:t>
      </w:r>
      <w:r w:rsidR="003E41EF">
        <w:t>’</w:t>
      </w:r>
      <w:r w:rsidR="00C21DB7">
        <w:t xml:space="preserve"> </w:t>
      </w:r>
      <w:r w:rsidRPr="00E31BBF">
        <w:t>entry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force</w:t>
      </w:r>
      <w:r w:rsidR="00C21DB7">
        <w:t xml:space="preserve"> </w:t>
      </w:r>
      <w:r w:rsidRPr="00E31BBF">
        <w:t>01.12.2018).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71.</w:t>
      </w:r>
      <w:r w:rsidRPr="00E31BBF">
        <w:tab/>
        <w:t>Requirements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buildings</w:t>
      </w:r>
      <w:r w:rsidR="00C21DB7">
        <w:t xml:space="preserve"> </w:t>
      </w:r>
      <w:r w:rsidRPr="00E31BBF">
        <w:t>due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provide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buildings,</w:t>
      </w:r>
      <w:r w:rsidR="00C21DB7">
        <w:t xml:space="preserve"> </w:t>
      </w:r>
      <w:r w:rsidRPr="00E31BBF">
        <w:t>where</w:t>
      </w:r>
      <w:r w:rsidR="00C21DB7">
        <w:t xml:space="preserve"> </w:t>
      </w:r>
      <w:r w:rsidRPr="00E31BBF">
        <w:t>any</w:t>
      </w:r>
      <w:r w:rsidR="00C21DB7">
        <w:t xml:space="preserve"> </w:t>
      </w:r>
      <w:r w:rsidRPr="00E31BBF">
        <w:t>kind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provided,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people</w:t>
      </w:r>
      <w:r w:rsidR="00C21DB7">
        <w:t xml:space="preserve"> </w:t>
      </w:r>
      <w:proofErr w:type="gramStart"/>
      <w:r w:rsidRPr="00E31BBF">
        <w:t>are</w:t>
      </w:r>
      <w:proofErr w:type="gramEnd"/>
      <w:r w:rsidR="00C21DB7">
        <w:t xml:space="preserve"> </w:t>
      </w:r>
      <w:r w:rsidRPr="00E31BBF">
        <w:t>taken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account.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includes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buildings</w:t>
      </w:r>
      <w:r w:rsidR="00C21DB7">
        <w:t xml:space="preserve"> </w:t>
      </w:r>
      <w:r w:rsidRPr="00E31BBF">
        <w:t>used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offering,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example</w:t>
      </w:r>
      <w:r w:rsidR="00C21DB7">
        <w:t xml:space="preserve"> </w:t>
      </w:r>
      <w:r w:rsidRPr="00E31BBF">
        <w:t>accommodation</w:t>
      </w:r>
      <w:r w:rsidR="00C21DB7">
        <w:t xml:space="preserve"> </w:t>
      </w:r>
      <w:r w:rsidRPr="00E31BBF">
        <w:t>services.</w:t>
      </w:r>
    </w:p>
    <w:p w:rsidR="002F001C" w:rsidRPr="00E31BBF" w:rsidRDefault="002F001C" w:rsidP="00732F46">
      <w:pPr>
        <w:pStyle w:val="SingleTxtG"/>
      </w:pPr>
      <w:r w:rsidRPr="00E31BBF">
        <w:t>72.</w:t>
      </w:r>
      <w:r w:rsidRPr="00E31BBF">
        <w:tab/>
        <w:t>Additionally,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awareness-raising</w:t>
      </w:r>
      <w:r w:rsidR="00C21DB7">
        <w:t xml:space="preserve"> </w:t>
      </w:r>
      <w:r w:rsidRPr="00E31BBF">
        <w:t>activities</w:t>
      </w:r>
      <w:r w:rsidR="00C21DB7">
        <w:t xml:space="preserve"> </w:t>
      </w:r>
      <w:r w:rsidRPr="00E31BBF">
        <w:t>regarding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tourism</w:t>
      </w:r>
      <w:r w:rsidR="00C21DB7">
        <w:t xml:space="preserve"> </w:t>
      </w:r>
      <w:proofErr w:type="gramStart"/>
      <w:r w:rsidRPr="00E31BBF">
        <w:t>have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conducted</w:t>
      </w:r>
      <w:proofErr w:type="gramEnd"/>
      <w:r w:rsidRPr="00E31BBF">
        <w:t>.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includes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seminars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educational</w:t>
      </w:r>
      <w:r w:rsidR="00C21DB7">
        <w:t xml:space="preserve"> </w:t>
      </w:r>
      <w:r w:rsidRPr="00E31BBF">
        <w:t>material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assist</w:t>
      </w:r>
      <w:r w:rsidR="00C21DB7">
        <w:t xml:space="preserve"> </w:t>
      </w:r>
      <w:r w:rsidRPr="00E31BBF">
        <w:t>tourism</w:t>
      </w:r>
      <w:r w:rsidR="00C21DB7">
        <w:t xml:space="preserve"> </w:t>
      </w:r>
      <w:r w:rsidRPr="00E31BBF">
        <w:t>companies</w:t>
      </w:r>
      <w:r w:rsidR="00C21DB7">
        <w:t xml:space="preserve"> </w:t>
      </w:r>
      <w:r w:rsidRPr="00E31BBF">
        <w:t>regarding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accessibility,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audits</w:t>
      </w:r>
      <w:r w:rsidR="00C21DB7">
        <w:t xml:space="preserve"> </w:t>
      </w:r>
      <w:r w:rsidRPr="00E31BBF">
        <w:t>covered</w:t>
      </w:r>
      <w:r w:rsidR="00C21DB7">
        <w:t xml:space="preserve"> </w:t>
      </w:r>
      <w:r w:rsidRPr="00E31BBF">
        <w:t>both</w:t>
      </w:r>
      <w:r w:rsidR="00C21DB7">
        <w:t xml:space="preserve"> </w:t>
      </w:r>
      <w:r w:rsidRPr="00E31BBF">
        <w:t>physical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digital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towns.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73.</w:t>
      </w:r>
      <w:r w:rsidRPr="00E31BBF">
        <w:tab/>
        <w:t>Additionally,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European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Act</w:t>
      </w:r>
      <w:r w:rsidR="00C21DB7">
        <w:t xml:space="preserve"> </w:t>
      </w:r>
      <w:proofErr w:type="gramStart"/>
      <w:r w:rsidRPr="00E31BBF">
        <w:t>was</w:t>
      </w:r>
      <w:r w:rsidR="00C21DB7">
        <w:t xml:space="preserve"> </w:t>
      </w:r>
      <w:r w:rsidRPr="00E31BBF">
        <w:t>adopted</w:t>
      </w:r>
      <w:proofErr w:type="gramEnd"/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17th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April</w:t>
      </w:r>
      <w:r w:rsidR="00C21DB7">
        <w:t xml:space="preserve"> </w:t>
      </w:r>
      <w:r w:rsidRPr="00E31BBF">
        <w:t>2019.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sets</w:t>
      </w:r>
      <w:r w:rsidR="00C21DB7">
        <w:t xml:space="preserve"> </w:t>
      </w:r>
      <w:r w:rsidRPr="00E31BBF">
        <w:t>requirements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products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Union.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will</w:t>
      </w:r>
      <w:r w:rsidR="00C21DB7">
        <w:t xml:space="preserve"> </w:t>
      </w:r>
      <w:r w:rsidRPr="00E31BBF">
        <w:t>come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force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28th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June</w:t>
      </w:r>
      <w:r w:rsidR="00C21DB7">
        <w:t xml:space="preserve"> </w:t>
      </w:r>
      <w:r w:rsidRPr="00E31BBF">
        <w:t>2025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will</w:t>
      </w:r>
      <w:r w:rsidR="00C21DB7">
        <w:t xml:space="preserve"> </w:t>
      </w:r>
      <w:r w:rsidRPr="00E31BBF">
        <w:t>certainly</w:t>
      </w:r>
      <w:r w:rsidR="00C21DB7">
        <w:t xml:space="preserve"> </w:t>
      </w:r>
      <w:r w:rsidRPr="00E31BBF">
        <w:t>speed</w:t>
      </w:r>
      <w:r w:rsidR="00C21DB7">
        <w:t xml:space="preserve"> </w:t>
      </w:r>
      <w:r w:rsidRPr="00E31BBF">
        <w:t>up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development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disabilities.</w:t>
      </w:r>
      <w:r w:rsidR="00C21DB7">
        <w:t xml:space="preserve"> </w:t>
      </w:r>
    </w:p>
    <w:p w:rsidR="002F001C" w:rsidRPr="00E31BBF" w:rsidRDefault="002F001C" w:rsidP="006A0A29">
      <w:pPr>
        <w:pStyle w:val="H23G"/>
      </w:pPr>
      <w:r w:rsidRPr="00E31BBF">
        <w:lastRenderedPageBreak/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proofErr w:type="gramStart"/>
      <w:r w:rsidRPr="00E31BBF">
        <w:t>6</w:t>
      </w:r>
      <w:proofErr w:type="gramEnd"/>
      <w:r w:rsidR="00B10A4D">
        <w:t xml:space="preserve"> </w:t>
      </w:r>
      <w:r w:rsidRPr="00E31BBF">
        <w:t>(c)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74.</w:t>
      </w:r>
      <w:r w:rsidRPr="00E31BBF">
        <w:tab/>
        <w:t>The</w:t>
      </w:r>
      <w:r w:rsidR="00C21DB7">
        <w:t xml:space="preserve"> </w:t>
      </w:r>
      <w:r w:rsidRPr="00E31BBF">
        <w:t>Directive</w:t>
      </w:r>
      <w:r w:rsidR="00C21DB7">
        <w:t xml:space="preserve"> </w:t>
      </w:r>
      <w:proofErr w:type="gramStart"/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transposed</w:t>
      </w:r>
      <w:proofErr w:type="gramEnd"/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law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32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Act.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working</w:t>
      </w:r>
      <w:r w:rsidR="00C21DB7">
        <w:t xml:space="preserve"> </w:t>
      </w:r>
      <w:r w:rsidRPr="00E31BBF">
        <w:t>group</w:t>
      </w:r>
      <w:r w:rsidR="00C21DB7">
        <w:t xml:space="preserve"> </w:t>
      </w:r>
      <w:proofErr w:type="gramStart"/>
      <w:r w:rsidRPr="00E31BBF">
        <w:t>was</w:t>
      </w:r>
      <w:r w:rsidR="00C21DB7">
        <w:t xml:space="preserve"> </w:t>
      </w:r>
      <w:r w:rsidRPr="00E31BBF">
        <w:t>created</w:t>
      </w:r>
      <w:proofErr w:type="gramEnd"/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transposing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directive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national</w:t>
      </w:r>
      <w:r w:rsidR="00C21DB7">
        <w:t xml:space="preserve"> </w:t>
      </w:r>
      <w:r w:rsidRPr="00E31BBF">
        <w:t>law,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inter</w:t>
      </w:r>
      <w:r w:rsidR="00C21DB7">
        <w:t xml:space="preserve"> </w:t>
      </w:r>
      <w:r w:rsidRPr="00E31BBF">
        <w:t>alia</w:t>
      </w:r>
      <w:r w:rsidR="00C21DB7">
        <w:t xml:space="preserve"> </w:t>
      </w:r>
      <w:r w:rsidRPr="00E31BBF">
        <w:t>included</w:t>
      </w:r>
      <w:r w:rsidR="00C21DB7">
        <w:t xml:space="preserve"> </w:t>
      </w:r>
      <w:r w:rsidRPr="00E31BBF">
        <w:t>representatives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Blind</w:t>
      </w:r>
      <w:r w:rsidR="00C21DB7">
        <w:t xml:space="preserve"> </w:t>
      </w:r>
      <w:r w:rsidRPr="00E31BBF">
        <w:t>Union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Chamber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People.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75.</w:t>
      </w:r>
      <w:r w:rsidRPr="00E31BBF">
        <w:tab/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basis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32</w:t>
      </w:r>
      <w:r w:rsidR="00B10A4D">
        <w:t xml:space="preserve"> </w:t>
      </w:r>
      <w:r w:rsidRPr="00E31BBF">
        <w:t>(2)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Act,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Minister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Entrepreneurship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Technology</w:t>
      </w:r>
      <w:r w:rsidR="00C21DB7">
        <w:t xml:space="preserve"> </w:t>
      </w:r>
      <w:r w:rsidRPr="00E31BBF">
        <w:t>issued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regulation</w:t>
      </w:r>
      <w:r w:rsidR="00C21DB7">
        <w:t xml:space="preserve"> </w:t>
      </w:r>
      <w:r w:rsidRPr="00E31BBF">
        <w:t>outlining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requirements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websites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mobile</w:t>
      </w:r>
      <w:r w:rsidR="00C21DB7">
        <w:t xml:space="preserve"> </w:t>
      </w:r>
      <w:r w:rsidRPr="00E31BBF">
        <w:t>applications,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rules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publishing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describing</w:t>
      </w:r>
      <w:r w:rsidR="00C21DB7">
        <w:t xml:space="preserve"> </w:t>
      </w:r>
      <w:r w:rsidRPr="00E31BBF">
        <w:t>accessibility.</w:t>
      </w:r>
      <w:r w:rsidR="00C21DB7">
        <w:t xml:space="preserve"> </w:t>
      </w:r>
    </w:p>
    <w:p w:rsidR="002F001C" w:rsidRPr="00E31BBF" w:rsidRDefault="002F001C" w:rsidP="00AA5E96">
      <w:pPr>
        <w:pStyle w:val="HChG"/>
      </w:pPr>
      <w:r w:rsidRPr="00E31BBF">
        <w:tab/>
      </w:r>
      <w:r w:rsidRPr="00E31BBF">
        <w:tab/>
        <w:t>Article</w:t>
      </w:r>
      <w:r w:rsidR="00C21DB7">
        <w:t xml:space="preserve"> </w:t>
      </w:r>
      <w:r w:rsidRPr="00E31BBF">
        <w:t>11</w:t>
      </w:r>
      <w:r w:rsidR="00C21DB7">
        <w:t xml:space="preserve"> </w:t>
      </w:r>
      <w:r w:rsidR="00AA5E96">
        <w:br/>
        <w:t>D</w:t>
      </w:r>
      <w:r w:rsidRPr="00E31BBF">
        <w:t>isaster</w:t>
      </w:r>
      <w:r w:rsidR="00C21DB7">
        <w:t xml:space="preserve"> </w:t>
      </w:r>
      <w:r w:rsidRPr="00E31BBF">
        <w:t>risk</w:t>
      </w:r>
      <w:r w:rsidR="00C21DB7">
        <w:t xml:space="preserve"> </w:t>
      </w:r>
      <w:r w:rsidRPr="00E31BBF">
        <w:t>management</w:t>
      </w:r>
    </w:p>
    <w:p w:rsidR="002F001C" w:rsidRPr="00E31BBF" w:rsidRDefault="002F001C" w:rsidP="00732F46">
      <w:pPr>
        <w:pStyle w:val="SingleTxtG"/>
      </w:pPr>
      <w:r w:rsidRPr="00E31BBF">
        <w:t>76.</w:t>
      </w:r>
      <w:r w:rsidRPr="00E31BBF">
        <w:tab/>
        <w:t>Disaster</w:t>
      </w:r>
      <w:r w:rsidR="00C21DB7">
        <w:t xml:space="preserve"> </w:t>
      </w:r>
      <w:r w:rsidRPr="00E31BBF">
        <w:t>risk</w:t>
      </w:r>
      <w:r w:rsidR="00C21DB7">
        <w:t xml:space="preserve"> </w:t>
      </w:r>
      <w:r w:rsidRPr="00E31BBF">
        <w:t>management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Estonia</w:t>
      </w:r>
      <w:r w:rsidR="00C21DB7">
        <w:t xml:space="preserve"> </w:t>
      </w:r>
      <w:proofErr w:type="gramStart"/>
      <w:r w:rsidRPr="00E31BBF">
        <w:t>is</w:t>
      </w:r>
      <w:r w:rsidR="00C21DB7">
        <w:t xml:space="preserve"> </w:t>
      </w:r>
      <w:r w:rsidRPr="00E31BBF">
        <w:t>regulated</w:t>
      </w:r>
      <w:proofErr w:type="gramEnd"/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Internal</w:t>
      </w:r>
      <w:r w:rsidR="00C21DB7">
        <w:t xml:space="preserve"> </w:t>
      </w:r>
      <w:r w:rsidRPr="00E31BBF">
        <w:t>Security</w:t>
      </w:r>
      <w:r w:rsidR="00C21DB7">
        <w:t xml:space="preserve"> </w:t>
      </w:r>
      <w:r w:rsidRPr="00E31BBF">
        <w:t>Strategy.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2018,</w:t>
      </w:r>
      <w:r w:rsidR="00C21DB7">
        <w:t xml:space="preserve"> </w:t>
      </w:r>
      <w:r w:rsidRPr="00E31BBF">
        <w:t>Civil</w:t>
      </w:r>
      <w:r w:rsidR="00C21DB7">
        <w:t xml:space="preserve"> </w:t>
      </w:r>
      <w:r w:rsidRPr="00E31BBF">
        <w:t>Protection</w:t>
      </w:r>
      <w:r w:rsidR="00C21DB7">
        <w:t xml:space="preserve"> </w:t>
      </w:r>
      <w:r w:rsidRPr="00E31BBF">
        <w:t>Concept</w:t>
      </w:r>
      <w:r w:rsidR="00C21DB7">
        <w:t xml:space="preserve"> </w:t>
      </w:r>
      <w:proofErr w:type="gramStart"/>
      <w:r w:rsidRPr="00E31BBF">
        <w:t>was</w:t>
      </w:r>
      <w:r w:rsidR="00C21DB7">
        <w:t xml:space="preserve"> </w:t>
      </w:r>
      <w:r w:rsidRPr="00E31BBF">
        <w:t>adopted</w:t>
      </w:r>
      <w:proofErr w:type="gramEnd"/>
      <w:r w:rsidRPr="00E31BBF">
        <w:t>,</w:t>
      </w:r>
      <w:r w:rsidR="00C21DB7">
        <w:t xml:space="preserve"> </w:t>
      </w:r>
      <w:r w:rsidRPr="00E31BBF">
        <w:t>setting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human-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community-based</w:t>
      </w:r>
      <w:r w:rsidR="00C21DB7">
        <w:t xml:space="preserve"> </w:t>
      </w:r>
      <w:r w:rsidRPr="00E31BBF">
        <w:t>approach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terms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crisis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disaster</w:t>
      </w:r>
      <w:r w:rsidR="00C21DB7">
        <w:t xml:space="preserve"> </w:t>
      </w:r>
      <w:r w:rsidRPr="00E31BBF">
        <w:t>management.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concept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pays</w:t>
      </w:r>
      <w:r w:rsidR="00C21DB7">
        <w:t xml:space="preserve"> </w:t>
      </w:r>
      <w:r w:rsidRPr="00E31BBF">
        <w:t>attention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vulnerable</w:t>
      </w:r>
      <w:r w:rsidR="00C21DB7">
        <w:t xml:space="preserve"> </w:t>
      </w:r>
      <w:r w:rsidRPr="00E31BBF">
        <w:t>groups,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77.</w:t>
      </w:r>
      <w:r w:rsidRPr="00E31BBF">
        <w:tab/>
        <w:t>To</w:t>
      </w:r>
      <w:r w:rsidR="00C21DB7">
        <w:t xml:space="preserve"> </w:t>
      </w:r>
      <w:r w:rsidRPr="00E31BBF">
        <w:t>increase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help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disability,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Emergency</w:t>
      </w:r>
      <w:r w:rsidR="00C21DB7">
        <w:t xml:space="preserve"> </w:t>
      </w:r>
      <w:r w:rsidRPr="00E31BBF">
        <w:t>Response</w:t>
      </w:r>
      <w:r w:rsidR="00C21DB7">
        <w:t xml:space="preserve"> </w:t>
      </w:r>
      <w:r w:rsidRPr="00E31BBF">
        <w:t>Centre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developed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SMS-112</w:t>
      </w:r>
      <w:r w:rsidR="00C21DB7">
        <w:t xml:space="preserve"> </w:t>
      </w:r>
      <w:r w:rsidRPr="00E31BBF">
        <w:t>service.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enables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hearing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speech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send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free</w:t>
      </w:r>
      <w:r w:rsidR="00C21DB7">
        <w:t xml:space="preserve"> </w:t>
      </w:r>
      <w:r w:rsidRPr="00E31BBF">
        <w:t>SMS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they</w:t>
      </w:r>
      <w:r w:rsidR="00C21DB7">
        <w:t xml:space="preserve"> </w:t>
      </w:r>
      <w:r w:rsidRPr="00E31BBF">
        <w:t>need</w:t>
      </w:r>
      <w:r w:rsidR="00C21DB7">
        <w:t xml:space="preserve"> </w:t>
      </w:r>
      <w:r w:rsidRPr="00E31BBF">
        <w:t>rescue</w:t>
      </w:r>
      <w:r w:rsidR="00C21DB7">
        <w:t xml:space="preserve"> </w:t>
      </w:r>
      <w:r w:rsidRPr="00E31BBF">
        <w:t>workers,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ambulance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police.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order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use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service,</w:t>
      </w:r>
      <w:r w:rsidR="00C21DB7">
        <w:t xml:space="preserve"> </w:t>
      </w:r>
      <w:r w:rsidRPr="00E31BBF">
        <w:t>it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necessary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create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user</w:t>
      </w:r>
      <w:r w:rsidR="00C21DB7">
        <w:t xml:space="preserve"> </w:t>
      </w:r>
      <w:r w:rsidRPr="00E31BBF">
        <w:t>account.</w:t>
      </w:r>
    </w:p>
    <w:p w:rsidR="002F001C" w:rsidRPr="00E31BBF" w:rsidRDefault="002F001C" w:rsidP="00732F46">
      <w:pPr>
        <w:pStyle w:val="SingleTxtG"/>
      </w:pPr>
      <w:r w:rsidRPr="00E31BBF">
        <w:t>78.</w:t>
      </w:r>
      <w:r w:rsidRPr="00E31BBF">
        <w:tab/>
        <w:t>The</w:t>
      </w:r>
      <w:r w:rsidR="00C21DB7">
        <w:t xml:space="preserve"> </w:t>
      </w:r>
      <w:r w:rsidRPr="00E31BBF">
        <w:t>communication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awareness</w:t>
      </w:r>
      <w:r w:rsidR="00C21DB7">
        <w:t xml:space="preserve"> </w:t>
      </w:r>
      <w:r w:rsidRPr="00E31BBF">
        <w:t>raising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possibility</w:t>
      </w:r>
      <w:r w:rsidR="00C21DB7">
        <w:t xml:space="preserve"> </w:t>
      </w:r>
      <w:r w:rsidRPr="00E31BBF">
        <w:t>among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target</w:t>
      </w:r>
      <w:r w:rsidR="00C21DB7">
        <w:t xml:space="preserve"> </w:t>
      </w:r>
      <w:r w:rsidRPr="00E31BBF">
        <w:t>groups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organised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cooperation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representative</w:t>
      </w:r>
      <w:r w:rsidR="00C21DB7">
        <w:t xml:space="preserve"> </w:t>
      </w:r>
      <w:r w:rsidRPr="00E31BBF">
        <w:t>NGOs.</w:t>
      </w:r>
      <w:r w:rsidR="00C21DB7">
        <w:t xml:space="preserve"> </w:t>
      </w:r>
    </w:p>
    <w:p w:rsidR="002F001C" w:rsidRPr="00E31BBF" w:rsidRDefault="002F001C" w:rsidP="00AA5E96">
      <w:pPr>
        <w:pStyle w:val="H1G"/>
      </w:pPr>
      <w:r w:rsidRPr="00E31BBF">
        <w:tab/>
      </w:r>
      <w:r w:rsidRPr="00E31BBF">
        <w:tab/>
        <w:t>Equal</w:t>
      </w:r>
      <w:r w:rsidR="00C21DB7">
        <w:t xml:space="preserve"> </w:t>
      </w:r>
      <w:r w:rsidRPr="00E31BBF">
        <w:t>recognition</w:t>
      </w:r>
      <w:r w:rsidR="00C21DB7">
        <w:t xml:space="preserve"> </w:t>
      </w:r>
      <w:r w:rsidRPr="00E31BBF">
        <w:t>before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law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12)</w:t>
      </w:r>
      <w:r w:rsidR="00C21DB7">
        <w:t xml:space="preserve"> </w:t>
      </w:r>
    </w:p>
    <w:p w:rsidR="002F001C" w:rsidRPr="00E31BBF" w:rsidRDefault="002F001C" w:rsidP="00AA5E96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6</w:t>
      </w:r>
      <w:r w:rsidR="00B10A4D">
        <w:t xml:space="preserve"> </w:t>
      </w:r>
      <w:r w:rsidRPr="00E31BBF">
        <w:t>(a),</w:t>
      </w:r>
      <w:r w:rsidR="00C21DB7">
        <w:t xml:space="preserve"> </w:t>
      </w:r>
      <w:r w:rsidRPr="00E31BBF">
        <w:t>(b)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(c)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proofErr w:type="gramStart"/>
      <w:r w:rsidRPr="00E31BBF">
        <w:t>79.</w:t>
      </w:r>
      <w:r w:rsidRPr="00E31BBF">
        <w:tab/>
        <w:t>The</w:t>
      </w:r>
      <w:r w:rsidR="00C21DB7">
        <w:t xml:space="preserve"> </w:t>
      </w:r>
      <w:r w:rsidRPr="00E31BBF">
        <w:t>General</w:t>
      </w:r>
      <w:r w:rsidR="00C21DB7">
        <w:t xml:space="preserve"> </w:t>
      </w:r>
      <w:r w:rsidRPr="00E31BBF">
        <w:t>Part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Civil</w:t>
      </w:r>
      <w:r w:rsidR="00C21DB7">
        <w:t xml:space="preserve"> </w:t>
      </w:r>
      <w:r w:rsidRPr="00E31BBF">
        <w:t>Code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§</w:t>
      </w:r>
      <w:r w:rsidR="00C21DB7">
        <w:t xml:space="preserve"> </w:t>
      </w:r>
      <w:r w:rsidRPr="00E31BBF">
        <w:t>8</w:t>
      </w:r>
      <w:r w:rsidR="00C21DB7">
        <w:t xml:space="preserve"> </w:t>
      </w:r>
      <w:r w:rsidRPr="00E31BBF">
        <w:t>(3)</w:t>
      </w:r>
      <w:r w:rsidR="00C21DB7">
        <w:t xml:space="preserve"> </w:t>
      </w:r>
      <w:r w:rsidRPr="00E31BBF">
        <w:t>declares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guardian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appointed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court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due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illness,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disorder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permanently</w:t>
      </w:r>
      <w:r w:rsidR="00C21DB7">
        <w:t xml:space="preserve"> </w:t>
      </w:r>
      <w:r w:rsidRPr="00E31BBF">
        <w:t>unable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understand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direct</w:t>
      </w:r>
      <w:r w:rsidR="00C21DB7">
        <w:t xml:space="preserve"> </w:t>
      </w:r>
      <w:r w:rsidRPr="00E31BBF">
        <w:t>his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actions,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presumed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restricted</w:t>
      </w:r>
      <w:r w:rsidR="00C21DB7">
        <w:t xml:space="preserve"> </w:t>
      </w:r>
      <w:r w:rsidRPr="00E31BBF">
        <w:t>active</w:t>
      </w:r>
      <w:r w:rsidR="00C21DB7">
        <w:t xml:space="preserve"> </w:t>
      </w:r>
      <w:r w:rsidRPr="00E31BBF">
        <w:t>legal</w:t>
      </w:r>
      <w:r w:rsidR="00C21DB7">
        <w:t xml:space="preserve"> </w:t>
      </w:r>
      <w:r w:rsidRPr="00E31BBF">
        <w:t>capacity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extent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guardian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appointed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him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her.</w:t>
      </w:r>
      <w:proofErr w:type="gramEnd"/>
      <w:r w:rsidR="00C21DB7">
        <w:t xml:space="preserve"> </w:t>
      </w:r>
      <w:r w:rsidRPr="00E31BBF">
        <w:t>It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important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emphasize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active</w:t>
      </w:r>
      <w:r w:rsidR="00C21DB7">
        <w:t xml:space="preserve"> </w:t>
      </w:r>
      <w:r w:rsidRPr="00E31BBF">
        <w:t>legal</w:t>
      </w:r>
      <w:r w:rsidR="00C21DB7">
        <w:t xml:space="preserve"> </w:t>
      </w:r>
      <w:r w:rsidRPr="00E31BBF">
        <w:t>capacity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restricted,</w:t>
      </w:r>
      <w:r w:rsidR="00C21DB7">
        <w:t xml:space="preserve"> </w:t>
      </w:r>
      <w:r w:rsidRPr="00E31BBF">
        <w:t>but</w:t>
      </w:r>
      <w:r w:rsidR="00C21DB7">
        <w:t xml:space="preserve"> </w:t>
      </w:r>
      <w:r w:rsidRPr="00E31BBF">
        <w:t>rather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presumed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restricted</w:t>
      </w:r>
      <w:r w:rsidR="00C21DB7">
        <w:t xml:space="preserve"> </w:t>
      </w:r>
      <w:r w:rsidRPr="00E31BBF">
        <w:t>when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guardian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appointed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him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her,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only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specified</w:t>
      </w:r>
      <w:r w:rsidR="00C21DB7">
        <w:t xml:space="preserve"> </w:t>
      </w:r>
      <w:r w:rsidRPr="00E31BBF">
        <w:t>level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provides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basis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establish</w:t>
      </w:r>
      <w:r w:rsidR="00C21DB7">
        <w:t xml:space="preserve"> </w:t>
      </w:r>
      <w:r w:rsidRPr="00E31BBF">
        <w:t>guardianship</w:t>
      </w:r>
      <w:r w:rsidR="00C21DB7">
        <w:t xml:space="preserve"> </w:t>
      </w:r>
      <w:r w:rsidRPr="00E31BBF">
        <w:t>over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proofErr w:type="gramStart"/>
      <w:r w:rsidRPr="00E31BBF">
        <w:t>80.</w:t>
      </w:r>
      <w:r w:rsidRPr="00E31BBF">
        <w:tab/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§</w:t>
      </w:r>
      <w:r w:rsidR="00C21DB7">
        <w:t xml:space="preserve"> </w:t>
      </w:r>
      <w:r w:rsidRPr="00E31BBF">
        <w:t>203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Family</w:t>
      </w:r>
      <w:r w:rsidR="00C21DB7">
        <w:t xml:space="preserve"> </w:t>
      </w:r>
      <w:r w:rsidRPr="00E31BBF">
        <w:t>Law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(FLA),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adult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permanently</w:t>
      </w:r>
      <w:r w:rsidR="00C21DB7">
        <w:t xml:space="preserve"> </w:t>
      </w:r>
      <w:r w:rsidRPr="00E31BBF">
        <w:t>unable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understand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direct</w:t>
      </w:r>
      <w:r w:rsidR="00C21DB7">
        <w:t xml:space="preserve"> </w:t>
      </w:r>
      <w:r w:rsidRPr="00E31BBF">
        <w:t>his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actions</w:t>
      </w:r>
      <w:r w:rsidR="00C21DB7">
        <w:t xml:space="preserve"> </w:t>
      </w:r>
      <w:r w:rsidRPr="00E31BBF">
        <w:t>due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illness,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disorder,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court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appoint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guardian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him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basis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application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person,</w:t>
      </w:r>
      <w:r w:rsidR="00C21DB7">
        <w:t xml:space="preserve"> </w:t>
      </w:r>
      <w:r w:rsidRPr="00E31BBF">
        <w:t>his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parent,</w:t>
      </w:r>
      <w:r w:rsidR="00C21DB7">
        <w:t xml:space="preserve"> </w:t>
      </w:r>
      <w:r w:rsidRPr="00E31BBF">
        <w:t>spouse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adult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rural</w:t>
      </w:r>
      <w:r w:rsidR="00C21DB7">
        <w:t xml:space="preserve"> </w:t>
      </w:r>
      <w:r w:rsidRPr="00E31BBF">
        <w:t>municipality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city</w:t>
      </w:r>
      <w:r w:rsidR="00C21DB7">
        <w:t xml:space="preserve"> </w:t>
      </w:r>
      <w:r w:rsidRPr="00E31BBF">
        <w:t>government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its</w:t>
      </w:r>
      <w:r w:rsidR="00C21DB7">
        <w:t xml:space="preserve"> </w:t>
      </w:r>
      <w:r w:rsidRPr="00E31BBF">
        <w:t>own</w:t>
      </w:r>
      <w:r w:rsidR="00C21DB7">
        <w:t xml:space="preserve"> </w:t>
      </w:r>
      <w:r w:rsidRPr="00E31BBF">
        <w:t>initiative.</w:t>
      </w:r>
      <w:proofErr w:type="gramEnd"/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guardian</w:t>
      </w:r>
      <w:r w:rsidR="00C21DB7">
        <w:t xml:space="preserve"> </w:t>
      </w:r>
      <w:proofErr w:type="gramStart"/>
      <w:r w:rsidRPr="00E31BBF">
        <w:t>shall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appointed</w:t>
      </w:r>
      <w:proofErr w:type="gramEnd"/>
      <w:r w:rsidR="00C21DB7">
        <w:t xml:space="preserve"> </w:t>
      </w:r>
      <w:r w:rsidRPr="00E31BBF">
        <w:t>only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performance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functions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guardianship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required.</w:t>
      </w:r>
      <w:r w:rsidR="00C21DB7">
        <w:t xml:space="preserve"> </w:t>
      </w:r>
      <w:r w:rsidRPr="00E31BBF">
        <w:t>Guardianship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required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interests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adult</w:t>
      </w:r>
      <w:r w:rsidR="00C21DB7">
        <w:t xml:space="preserve"> </w:t>
      </w:r>
      <w:r w:rsidRPr="00E31BBF">
        <w:t>can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protected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granting</w:t>
      </w:r>
      <w:r w:rsidR="00C21DB7">
        <w:t xml:space="preserve"> </w:t>
      </w:r>
      <w:r w:rsidRPr="00E31BBF">
        <w:t>authorization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through</w:t>
      </w:r>
      <w:r w:rsidR="00C21DB7">
        <w:t xml:space="preserve"> </w:t>
      </w:r>
      <w:r w:rsidRPr="00E31BBF">
        <w:t>family</w:t>
      </w:r>
      <w:r w:rsidR="00C21DB7">
        <w:t xml:space="preserve"> </w:t>
      </w:r>
      <w:r w:rsidRPr="00E31BBF">
        <w:t>members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assistants.</w:t>
      </w:r>
      <w:r w:rsidR="00C21DB7">
        <w:t xml:space="preserve"> </w:t>
      </w:r>
      <w:r w:rsidRPr="00E31BBF">
        <w:t>Upon</w:t>
      </w:r>
      <w:r w:rsidR="00C21DB7">
        <w:t xml:space="preserve"> </w:t>
      </w:r>
      <w:r w:rsidRPr="00E31BBF">
        <w:t>establishment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guardianship,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court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assess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capability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understand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legal</w:t>
      </w:r>
      <w:r w:rsidR="00C21DB7">
        <w:t xml:space="preserve"> </w:t>
      </w:r>
      <w:r w:rsidRPr="00E31BBF">
        <w:t>consequences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contract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marriage,</w:t>
      </w:r>
      <w:r w:rsidR="00C21DB7">
        <w:t xml:space="preserve"> </w:t>
      </w:r>
      <w:r w:rsidRPr="00E31BBF">
        <w:t>acknowledgement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paternity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transactions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family</w:t>
      </w:r>
      <w:r w:rsidR="00C21DB7">
        <w:t xml:space="preserve"> </w:t>
      </w:r>
      <w:r w:rsidRPr="00E31BBF">
        <w:t>law.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guardian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duties</w:t>
      </w:r>
      <w:r w:rsidR="00C21DB7">
        <w:t xml:space="preserve"> </w:t>
      </w:r>
      <w:r w:rsidRPr="00E31BBF">
        <w:t>may</w:t>
      </w:r>
      <w:r w:rsidR="00C21DB7">
        <w:t xml:space="preserve"> </w:t>
      </w:r>
      <w:r w:rsidRPr="00E31BBF">
        <w:t>include</w:t>
      </w:r>
      <w:r w:rsidR="00C21DB7">
        <w:t xml:space="preserve"> </w:t>
      </w:r>
      <w:r w:rsidRPr="00E31BBF">
        <w:t>exercise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ward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rights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relation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third</w:t>
      </w:r>
      <w:r w:rsidR="00C21DB7">
        <w:t xml:space="preserve"> </w:t>
      </w:r>
      <w:r w:rsidRPr="00E31BBF">
        <w:t>persons.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81.</w:t>
      </w:r>
      <w:r w:rsidRPr="00E31BBF">
        <w:tab/>
        <w:t>A</w:t>
      </w:r>
      <w:r w:rsidR="00C21DB7">
        <w:t xml:space="preserve"> </w:t>
      </w:r>
      <w:r w:rsidRPr="00E31BBF">
        <w:t>court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verify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least</w:t>
      </w:r>
      <w:r w:rsidR="00C21DB7">
        <w:t xml:space="preserve"> </w:t>
      </w:r>
      <w:r w:rsidRPr="00E31BBF">
        <w:t>once</w:t>
      </w:r>
      <w:r w:rsidR="00C21DB7">
        <w:t xml:space="preserve"> </w:t>
      </w:r>
      <w:r w:rsidRPr="00E31BBF">
        <w:t>every</w:t>
      </w:r>
      <w:r w:rsidR="00C21DB7">
        <w:t xml:space="preserve"> </w:t>
      </w:r>
      <w:r w:rsidRPr="00E31BBF">
        <w:t>five</w:t>
      </w:r>
      <w:r w:rsidR="00C21DB7">
        <w:t xml:space="preserve"> </w:t>
      </w:r>
      <w:r w:rsidRPr="00E31BBF">
        <w:t>years</w:t>
      </w:r>
      <w:r w:rsidR="00C21DB7">
        <w:t xml:space="preserve"> </w:t>
      </w:r>
      <w:r w:rsidRPr="00E31BBF">
        <w:t>whether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continuation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guardianship</w:t>
      </w:r>
      <w:r w:rsidR="00C21DB7">
        <w:t xml:space="preserve"> </w:t>
      </w:r>
      <w:r w:rsidRPr="00E31BBF">
        <w:t>over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ward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necessary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protection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interests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ward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whether</w:t>
      </w:r>
      <w:r w:rsidR="00C21DB7">
        <w:t xml:space="preserve"> </w:t>
      </w:r>
      <w:r w:rsidRPr="00E31BBF">
        <w:t>grounds</w:t>
      </w:r>
      <w:r w:rsidR="00C21DB7">
        <w:t xml:space="preserve"> </w:t>
      </w:r>
      <w:r w:rsidRPr="00E31BBF">
        <w:t>exist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extension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restriction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duties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guardian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issue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corresponding</w:t>
      </w:r>
      <w:r w:rsidR="00C21DB7">
        <w:t xml:space="preserve"> </w:t>
      </w:r>
      <w:r w:rsidRPr="00E31BBF">
        <w:t>court</w:t>
      </w:r>
      <w:r w:rsidR="00C21DB7">
        <w:t xml:space="preserve"> </w:t>
      </w:r>
      <w:r w:rsidRPr="00E31BBF">
        <w:t>order.</w:t>
      </w:r>
      <w:r w:rsidR="00C21DB7">
        <w:t xml:space="preserve"> </w:t>
      </w:r>
      <w:r w:rsidRPr="00E31BBF">
        <w:t>Therefore,</w:t>
      </w:r>
      <w:r w:rsidR="00C21DB7">
        <w:t xml:space="preserve"> </w:t>
      </w:r>
      <w:r w:rsidRPr="00E31BBF"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FLA,</w:t>
      </w:r>
      <w:r w:rsidR="00C21DB7">
        <w:t xml:space="preserve"> </w:t>
      </w:r>
      <w:r w:rsidRPr="00E31BBF">
        <w:t>guardianship</w:t>
      </w:r>
      <w:r w:rsidR="00C21DB7">
        <w:t xml:space="preserve"> </w:t>
      </w:r>
      <w:proofErr w:type="gramStart"/>
      <w:r w:rsidRPr="00E31BBF">
        <w:t>shall</w:t>
      </w:r>
      <w:r w:rsidR="00C21DB7">
        <w:t xml:space="preserve"> </w:t>
      </w:r>
      <w:r w:rsidRPr="00E31BBF">
        <w:t>only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established</w:t>
      </w:r>
      <w:proofErr w:type="gramEnd"/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cases</w:t>
      </w:r>
      <w:r w:rsidR="00C21DB7">
        <w:t xml:space="preserve"> </w:t>
      </w:r>
      <w:r w:rsidRPr="00E31BBF">
        <w:t>where</w:t>
      </w:r>
      <w:r w:rsidR="00C21DB7">
        <w:t xml:space="preserve"> </w:t>
      </w:r>
      <w:r w:rsidRPr="00E31BBF">
        <w:t>use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supported</w:t>
      </w:r>
      <w:r w:rsidR="00C21DB7">
        <w:t xml:space="preserve"> </w:t>
      </w:r>
      <w:r w:rsidRPr="00E31BBF">
        <w:t>decision-making</w:t>
      </w:r>
      <w:r w:rsidR="00C21DB7">
        <w:t xml:space="preserve"> </w:t>
      </w:r>
      <w:r w:rsidRPr="00E31BBF">
        <w:t>mechanisms</w:t>
      </w:r>
      <w:r w:rsidR="00C21DB7">
        <w:t xml:space="preserve"> </w:t>
      </w:r>
      <w:r w:rsidRPr="00E31BBF">
        <w:t>would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possible</w:t>
      </w:r>
      <w:r w:rsidR="00C21DB7">
        <w:t xml:space="preserve"> </w:t>
      </w:r>
      <w:r w:rsidRPr="00E31BBF">
        <w:t>due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severity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disorder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person,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extent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guardianship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always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narrow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possible.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lastRenderedPageBreak/>
        <w:t>82.</w:t>
      </w:r>
      <w:r w:rsidRPr="00E31BBF">
        <w:tab/>
        <w:t>This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reason</w:t>
      </w:r>
      <w:r w:rsidR="00C21DB7">
        <w:t xml:space="preserve"> </w:t>
      </w:r>
      <w:r w:rsidRPr="00E31BBF">
        <w:t>why</w:t>
      </w:r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does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currently</w:t>
      </w:r>
      <w:r w:rsidR="00C21DB7">
        <w:t xml:space="preserve"> </w:t>
      </w:r>
      <w:r w:rsidRPr="00E31BBF">
        <w:t>intend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withdraw</w:t>
      </w:r>
      <w:r w:rsidR="00C21DB7">
        <w:t xml:space="preserve"> </w:t>
      </w:r>
      <w:r w:rsidRPr="00E31BBF">
        <w:t>its</w:t>
      </w:r>
      <w:r w:rsidR="00C21DB7">
        <w:t xml:space="preserve"> </w:t>
      </w:r>
      <w:r w:rsidRPr="00E31BBF">
        <w:t>interpretative</w:t>
      </w:r>
      <w:r w:rsidR="00C21DB7">
        <w:t xml:space="preserve"> </w:t>
      </w:r>
      <w:r w:rsidRPr="00E31BBF">
        <w:t>declaration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12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Convention.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2018,</w:t>
      </w:r>
      <w:r w:rsidR="00C21DB7">
        <w:t xml:space="preserve"> </w:t>
      </w:r>
      <w:r w:rsidRPr="00E31BBF">
        <w:t>there</w:t>
      </w:r>
      <w:r w:rsidR="00C21DB7">
        <w:t xml:space="preserve"> </w:t>
      </w:r>
      <w:r w:rsidRPr="00E31BBF">
        <w:t>were</w:t>
      </w:r>
      <w:r w:rsidR="00C21DB7">
        <w:t xml:space="preserve"> </w:t>
      </w:r>
      <w:r w:rsidRPr="00E31BBF">
        <w:t>60</w:t>
      </w:r>
      <w:r w:rsidR="00C21DB7">
        <w:t xml:space="preserve"> </w:t>
      </w:r>
      <w:r w:rsidRPr="00E31BBF">
        <w:t>70</w:t>
      </w:r>
      <w:r w:rsidRPr="00060D87">
        <w:rPr>
          <w:rStyle w:val="FootnoteReference"/>
        </w:rPr>
        <w:footnoteReference w:id="6"/>
      </w:r>
      <w:r w:rsidR="00C21DB7" w:rsidRPr="00060D87">
        <w:rPr>
          <w:rStyle w:val="FootnoteReference"/>
        </w:rPr>
        <w:t xml:space="preserve"> </w:t>
      </w:r>
      <w:r w:rsidRPr="00E31BBF">
        <w:t>adults</w:t>
      </w:r>
      <w:r w:rsidR="00C21DB7">
        <w:t xml:space="preserve"> </w:t>
      </w:r>
      <w:r w:rsidRPr="00E31BBF">
        <w:t>(18</w:t>
      </w:r>
      <w:r w:rsidR="00C21DB7">
        <w:t xml:space="preserve"> </w:t>
      </w:r>
      <w:r w:rsidRPr="00E31BBF">
        <w:t>years</w:t>
      </w:r>
      <w:r w:rsidR="00C21DB7">
        <w:t xml:space="preserve"> </w:t>
      </w:r>
      <w:r w:rsidRPr="00E31BBF">
        <w:t>old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older)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were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guardianship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least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day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year.</w:t>
      </w:r>
      <w:r w:rsidR="00C21DB7">
        <w:t xml:space="preserve"> </w:t>
      </w:r>
      <w:r w:rsidRPr="00E31BBF">
        <w:t>Here</w:t>
      </w:r>
      <w:r w:rsidR="00C21DB7">
        <w:t xml:space="preserve"> </w:t>
      </w:r>
      <w:r w:rsidRPr="00E31BBF">
        <w:t>we</w:t>
      </w:r>
      <w:r w:rsidR="00C21DB7">
        <w:t xml:space="preserve"> </w:t>
      </w:r>
      <w:r w:rsidRPr="00E31BBF">
        <w:t>cannot</w:t>
      </w:r>
      <w:r w:rsidR="00C21DB7">
        <w:t xml:space="preserve"> </w:t>
      </w:r>
      <w:r w:rsidRPr="00E31BBF">
        <w:t>distinguish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official</w:t>
      </w:r>
      <w:r w:rsidR="00C21DB7">
        <w:t xml:space="preserve"> </w:t>
      </w:r>
      <w:r w:rsidRPr="00E31BBF">
        <w:t>disability.</w:t>
      </w:r>
      <w:r w:rsidR="00C21DB7">
        <w:t xml:space="preserve"> </w:t>
      </w:r>
    </w:p>
    <w:p w:rsidR="002F001C" w:rsidRPr="00E31BBF" w:rsidRDefault="002F001C" w:rsidP="002945EA">
      <w:pPr>
        <w:pStyle w:val="H1G"/>
      </w:pPr>
      <w:r w:rsidRPr="00E31BBF">
        <w:tab/>
      </w:r>
      <w:r w:rsidRPr="00E31BBF">
        <w:tab/>
        <w:t>Access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justice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13)</w:t>
      </w:r>
    </w:p>
    <w:p w:rsidR="002F001C" w:rsidRPr="00E31BBF" w:rsidRDefault="002F001C" w:rsidP="002945EA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10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83.</w:t>
      </w:r>
      <w:r w:rsidRPr="00E31BBF">
        <w:tab/>
        <w:t>Pursuant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subsection</w:t>
      </w:r>
      <w:r w:rsidR="00C21DB7">
        <w:t xml:space="preserve"> </w:t>
      </w:r>
      <w:r w:rsidRPr="00E31BBF">
        <w:t>3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9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Code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Criminal</w:t>
      </w:r>
      <w:r w:rsidR="00C21DB7">
        <w:t xml:space="preserve"> </w:t>
      </w:r>
      <w:r w:rsidRPr="00E31BBF">
        <w:t>Procedure</w:t>
      </w:r>
      <w:r w:rsidR="00C21DB7">
        <w:t xml:space="preserve"> </w:t>
      </w:r>
      <w:r w:rsidRPr="00E31BBF">
        <w:t>(CCP)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investigative</w:t>
      </w:r>
      <w:r w:rsidR="00C21DB7">
        <w:t xml:space="preserve"> </w:t>
      </w:r>
      <w:r w:rsidRPr="00E31BBF">
        <w:t>bodies,</w:t>
      </w:r>
      <w:r w:rsidR="00C21DB7">
        <w:t xml:space="preserve"> </w:t>
      </w:r>
      <w:r w:rsidRPr="00E31BBF">
        <w:t>Prosecutors</w:t>
      </w:r>
      <w:r w:rsidR="003E41EF">
        <w:t>’</w:t>
      </w:r>
      <w:r w:rsidR="00C21DB7">
        <w:t xml:space="preserve"> </w:t>
      </w:r>
      <w:r w:rsidRPr="00E31BBF">
        <w:t>Offices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courts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treat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participants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proceeding</w:t>
      </w:r>
      <w:r w:rsidR="00C21DB7">
        <w:t xml:space="preserve"> </w:t>
      </w:r>
      <w:r w:rsidRPr="00E31BBF">
        <w:t>without</w:t>
      </w:r>
      <w:r w:rsidR="00C21DB7">
        <w:t xml:space="preserve"> </w:t>
      </w:r>
      <w:r w:rsidRPr="00E31BBF">
        <w:t>defamation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degradation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dignity.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84.</w:t>
      </w:r>
      <w:r w:rsidRPr="00E31BBF">
        <w:tab/>
        <w:t>The</w:t>
      </w:r>
      <w:r w:rsidR="00C21DB7">
        <w:t xml:space="preserve"> </w:t>
      </w:r>
      <w:r w:rsidRPr="00E31BBF">
        <w:t>participation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counsel</w:t>
      </w:r>
      <w:r w:rsidR="00C21DB7">
        <w:t xml:space="preserve"> </w:t>
      </w:r>
      <w:r w:rsidRPr="00E31BBF">
        <w:t>throughout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criminal</w:t>
      </w:r>
      <w:r w:rsidR="00C21DB7">
        <w:t xml:space="preserve"> </w:t>
      </w:r>
      <w:r w:rsidRPr="00E31BBF">
        <w:t>proceeding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mandatory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due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physical</w:t>
      </w:r>
      <w:r w:rsidR="00C21DB7">
        <w:t xml:space="preserve"> </w:t>
      </w:r>
      <w:r w:rsidRPr="00E31BBF">
        <w:t>disability,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unable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defend</w:t>
      </w:r>
      <w:r w:rsidR="00C21DB7">
        <w:t xml:space="preserve"> </w:t>
      </w:r>
      <w:r w:rsidRPr="00E31BBF">
        <w:t>himself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herself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defence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complicated</w:t>
      </w:r>
      <w:r w:rsidR="00C21DB7">
        <w:t xml:space="preserve"> </w:t>
      </w:r>
      <w:r w:rsidRPr="00E31BBF">
        <w:t>due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(section</w:t>
      </w:r>
      <w:r w:rsidR="00C21DB7">
        <w:t xml:space="preserve"> </w:t>
      </w:r>
      <w:r w:rsidRPr="00E31BBF">
        <w:t>45</w:t>
      </w:r>
      <w:r w:rsidR="00C21DB7">
        <w:t xml:space="preserve"> </w:t>
      </w:r>
      <w:r w:rsidRPr="00E31BBF">
        <w:t>subsection</w:t>
      </w:r>
      <w:r w:rsidR="00C21DB7">
        <w:t xml:space="preserve"> </w:t>
      </w:r>
      <w:proofErr w:type="gramStart"/>
      <w:r w:rsidRPr="00E31BBF">
        <w:t>2</w:t>
      </w:r>
      <w:proofErr w:type="gramEnd"/>
      <w:r w:rsidR="00C21DB7">
        <w:t xml:space="preserve"> </w:t>
      </w:r>
      <w:r w:rsidRPr="00E31BBF">
        <w:t>clause</w:t>
      </w:r>
      <w:r w:rsidR="00C21DB7">
        <w:t xml:space="preserve"> </w:t>
      </w:r>
      <w:r w:rsidRPr="00E31BBF">
        <w:t>2).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body</w:t>
      </w:r>
      <w:r w:rsidR="00C21DB7">
        <w:t xml:space="preserve"> </w:t>
      </w:r>
      <w:r w:rsidRPr="00E31BBF">
        <w:t>conducting</w:t>
      </w:r>
      <w:r w:rsidR="00C21DB7">
        <w:t xml:space="preserve"> </w:t>
      </w:r>
      <w:r w:rsidRPr="00E31BBF">
        <w:t>proceedings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received</w:t>
      </w:r>
      <w:r w:rsidR="00C21DB7">
        <w:t xml:space="preserve"> </w:t>
      </w:r>
      <w:r w:rsidRPr="00E31BBF">
        <w:t>appropriate</w:t>
      </w:r>
      <w:r w:rsidR="00C21DB7">
        <w:t xml:space="preserve"> </w:t>
      </w:r>
      <w:r w:rsidRPr="00E31BBF">
        <w:t>training,</w:t>
      </w:r>
      <w:r w:rsidR="00C21DB7">
        <w:t xml:space="preserve"> </w:t>
      </w:r>
      <w:r w:rsidRPr="00E31BBF">
        <w:t>involvement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protection</w:t>
      </w:r>
      <w:r w:rsidR="00C21DB7">
        <w:t xml:space="preserve"> </w:t>
      </w:r>
      <w:r w:rsidRPr="00E31BBF">
        <w:t>official,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worker,</w:t>
      </w:r>
      <w:r w:rsidR="00C21DB7">
        <w:t xml:space="preserve"> </w:t>
      </w:r>
      <w:r w:rsidRPr="00E31BBF">
        <w:t>teacher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psychologist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hearing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minor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mandatory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witness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speech</w:t>
      </w:r>
      <w:r w:rsidR="00C21DB7">
        <w:t xml:space="preserve"> </w:t>
      </w:r>
      <w:r w:rsidRPr="00E31BBF">
        <w:t>impairment,</w:t>
      </w:r>
      <w:r w:rsidR="00C21DB7">
        <w:t xml:space="preserve"> </w:t>
      </w:r>
      <w:proofErr w:type="gramStart"/>
      <w:r w:rsidRPr="00E31BBF">
        <w:t>sensory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learning</w:t>
      </w:r>
      <w:r w:rsidR="00C21DB7">
        <w:t xml:space="preserve"> </w:t>
      </w:r>
      <w:r w:rsidRPr="00E31BBF">
        <w:t>disability</w:t>
      </w:r>
      <w:proofErr w:type="gramEnd"/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disorder</w:t>
      </w:r>
      <w:r w:rsidR="00C21DB7">
        <w:t xml:space="preserve"> </w:t>
      </w:r>
      <w:r w:rsidRPr="00E31BBF">
        <w:t>(section</w:t>
      </w:r>
      <w:r w:rsidR="00C21DB7">
        <w:t xml:space="preserve"> </w:t>
      </w:r>
      <w:r w:rsidRPr="00E31BBF">
        <w:t>70</w:t>
      </w:r>
      <w:r w:rsidR="00C21DB7">
        <w:t xml:space="preserve"> </w:t>
      </w:r>
      <w:r w:rsidRPr="00E31BBF">
        <w:t>subsection</w:t>
      </w:r>
      <w:r w:rsidR="00C21DB7">
        <w:t xml:space="preserve"> </w:t>
      </w:r>
      <w:r w:rsidRPr="00E31BBF">
        <w:t>2</w:t>
      </w:r>
      <w:r w:rsidR="00C21DB7">
        <w:t xml:space="preserve"> </w:t>
      </w:r>
      <w:r w:rsidRPr="00E31BBF">
        <w:t>clause</w:t>
      </w:r>
      <w:r w:rsidR="00C21DB7">
        <w:t xml:space="preserve"> </w:t>
      </w:r>
      <w:r w:rsidRPr="00E31BBF">
        <w:t>3).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proofErr w:type="gramStart"/>
      <w:r w:rsidRPr="00E31BBF">
        <w:t>85.</w:t>
      </w:r>
      <w:r w:rsidRPr="00E31BBF">
        <w:tab/>
        <w:t>Pursuant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152,</w:t>
      </w:r>
      <w:r w:rsidR="00C21DB7">
        <w:t xml:space="preserve"> </w:t>
      </w:r>
      <w:r w:rsidRPr="00E31BBF">
        <w:t>subsections</w:t>
      </w:r>
      <w:r w:rsidR="00C21DB7">
        <w:t xml:space="preserve"> </w:t>
      </w:r>
      <w:r w:rsidRPr="00E31BBF">
        <w:t>4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5,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report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investigative</w:t>
      </w:r>
      <w:r w:rsidR="00C21DB7">
        <w:t xml:space="preserve"> </w:t>
      </w:r>
      <w:r w:rsidRPr="00E31BBF">
        <w:t>activities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procedural</w:t>
      </w:r>
      <w:r w:rsidR="00C21DB7">
        <w:t xml:space="preserve"> </w:t>
      </w:r>
      <w:r w:rsidRPr="00E31BBF">
        <w:t>acts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signed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conducting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proceedings,</w:t>
      </w:r>
      <w:r w:rsidR="00C21DB7">
        <w:t xml:space="preserve"> </w:t>
      </w:r>
      <w:r w:rsidRPr="00E31BBF">
        <w:t>qualified</w:t>
      </w:r>
      <w:r w:rsidR="00C21DB7">
        <w:t xml:space="preserve"> </w:t>
      </w:r>
      <w:r w:rsidRPr="00E31BBF">
        <w:t>persons,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subject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participating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act</w:t>
      </w:r>
      <w:proofErr w:type="gramEnd"/>
      <w:r w:rsidRPr="00E31BBF">
        <w:t>.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unable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sign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report</w:t>
      </w:r>
      <w:r w:rsidR="00C21DB7">
        <w:t xml:space="preserve"> </w:t>
      </w:r>
      <w:r w:rsidRPr="00E31BBF">
        <w:t>due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physical</w:t>
      </w:r>
      <w:r w:rsidR="00C21DB7">
        <w:t xml:space="preserve"> </w:t>
      </w:r>
      <w:r w:rsidRPr="00E31BBF">
        <w:t>disability,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notation</w:t>
      </w:r>
      <w:r w:rsidR="00C21DB7">
        <w:t xml:space="preserve"> </w:t>
      </w:r>
      <w:r w:rsidRPr="00E31BBF">
        <w:t>concerning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refusal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reasons</w:t>
      </w:r>
      <w:r w:rsidR="00C21DB7">
        <w:t xml:space="preserve"> </w:t>
      </w:r>
      <w:r w:rsidRPr="00E31BBF">
        <w:t>therefor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concerning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inability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sign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report</w:t>
      </w:r>
      <w:r w:rsidR="00C21DB7">
        <w:t xml:space="preserve"> </w:t>
      </w:r>
      <w:proofErr w:type="gramStart"/>
      <w:r w:rsidRPr="00E31BBF">
        <w:t>shall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made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report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confirmed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official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investigative</w:t>
      </w:r>
      <w:r w:rsidR="00C21DB7">
        <w:t xml:space="preserve"> </w:t>
      </w:r>
      <w:r w:rsidRPr="00E31BBF">
        <w:t>body</w:t>
      </w:r>
      <w:proofErr w:type="gramEnd"/>
      <w:r w:rsidRPr="00E31BBF">
        <w:t>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proofErr w:type="gramStart"/>
      <w:r w:rsidRPr="00E31BBF">
        <w:t>86.</w:t>
      </w:r>
      <w:r w:rsidRPr="00E31BBF">
        <w:tab/>
        <w:t>A</w:t>
      </w:r>
      <w:r w:rsidR="00C21DB7">
        <w:t xml:space="preserve"> </w:t>
      </w:r>
      <w:r w:rsidRPr="00E31BBF">
        <w:t>court</w:t>
      </w:r>
      <w:r w:rsidR="00C21DB7">
        <w:t xml:space="preserve"> </w:t>
      </w:r>
      <w:r w:rsidRPr="00E31BBF">
        <w:t>may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summon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minor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request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party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court</w:t>
      </w:r>
      <w:r w:rsidR="00C21DB7">
        <w:t xml:space="preserve"> </w:t>
      </w:r>
      <w:r w:rsidRPr="00E31BBF">
        <w:t>proceeding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allow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submit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testimony</w:t>
      </w:r>
      <w:r w:rsidR="00C21DB7">
        <w:t xml:space="preserve"> </w:t>
      </w:r>
      <w:r w:rsidRPr="00E31BBF">
        <w:t>given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minor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pre-trial</w:t>
      </w:r>
      <w:r w:rsidR="00C21DB7">
        <w:t xml:space="preserve"> </w:t>
      </w:r>
      <w:r w:rsidRPr="00E31BBF">
        <w:t>procedure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evidence,</w:t>
      </w:r>
      <w:r w:rsidR="00C21DB7">
        <w:t xml:space="preserve"> </w:t>
      </w:r>
      <w:r w:rsidRPr="00E31BBF">
        <w:t>provided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testimony</w:t>
      </w:r>
      <w:r w:rsidR="00C21DB7">
        <w:t xml:space="preserve"> </w:t>
      </w:r>
      <w:r w:rsidRPr="00E31BBF">
        <w:t>was</w:t>
      </w:r>
      <w:r w:rsidR="00C21DB7">
        <w:t xml:space="preserve"> </w:t>
      </w:r>
      <w:r w:rsidRPr="00E31BBF">
        <w:t>video</w:t>
      </w:r>
      <w:r w:rsidR="00C21DB7">
        <w:t xml:space="preserve"> </w:t>
      </w:r>
      <w:r w:rsidRPr="00E31BBF">
        <w:t>recorded,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counsel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had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opportunity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pose</w:t>
      </w:r>
      <w:r w:rsidR="00C21DB7">
        <w:t xml:space="preserve"> </w:t>
      </w:r>
      <w:r w:rsidRPr="00E31BBF">
        <w:t>questions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witness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pre-trial</w:t>
      </w:r>
      <w:r w:rsidR="00C21DB7">
        <w:t xml:space="preserve"> </w:t>
      </w:r>
      <w:r w:rsidRPr="00E31BBF">
        <w:t>proceedings</w:t>
      </w:r>
      <w:r w:rsidR="00C21DB7">
        <w:t xml:space="preserve"> </w:t>
      </w:r>
      <w:r w:rsidRPr="00E31BBF">
        <w:t>about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facts</w:t>
      </w:r>
      <w:r w:rsidR="00C21DB7">
        <w:t xml:space="preserve"> </w:t>
      </w:r>
      <w:r w:rsidRPr="00E31BBF">
        <w:t>relating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subject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proof,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witness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speech</w:t>
      </w:r>
      <w:r w:rsidR="00C21DB7">
        <w:t xml:space="preserve"> </w:t>
      </w:r>
      <w:r w:rsidRPr="00E31BBF">
        <w:t>impairment,</w:t>
      </w:r>
      <w:r w:rsidR="00C21DB7">
        <w:t xml:space="preserve"> </w:t>
      </w:r>
      <w:r w:rsidRPr="00E31BBF">
        <w:t>sensory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learning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disorder</w:t>
      </w:r>
      <w:r w:rsidR="00C21DB7">
        <w:t xml:space="preserve"> </w:t>
      </w:r>
      <w:r w:rsidRPr="00E31BBF">
        <w:t>(section</w:t>
      </w:r>
      <w:r w:rsidR="00C21DB7">
        <w:t xml:space="preserve"> </w:t>
      </w:r>
      <w:r w:rsidRPr="00E31BBF">
        <w:t>290-1</w:t>
      </w:r>
      <w:r w:rsidR="00C21DB7">
        <w:t xml:space="preserve"> </w:t>
      </w:r>
      <w:r w:rsidRPr="00E31BBF">
        <w:t>subsection</w:t>
      </w:r>
      <w:r w:rsidR="00C21DB7">
        <w:t xml:space="preserve"> </w:t>
      </w:r>
      <w:r w:rsidRPr="00E31BBF">
        <w:t>1</w:t>
      </w:r>
      <w:r w:rsidR="00C21DB7">
        <w:t xml:space="preserve"> </w:t>
      </w:r>
      <w:r w:rsidRPr="00E31BBF">
        <w:t>clause</w:t>
      </w:r>
      <w:r w:rsidR="00C21DB7">
        <w:t xml:space="preserve"> </w:t>
      </w:r>
      <w:r w:rsidRPr="00E31BBF">
        <w:t>3).</w:t>
      </w:r>
      <w:proofErr w:type="gramEnd"/>
      <w:r w:rsidR="00C21DB7">
        <w:t xml:space="preserve"> </w:t>
      </w:r>
    </w:p>
    <w:p w:rsidR="002F001C" w:rsidRPr="00E31BBF" w:rsidRDefault="002F001C" w:rsidP="00E92A9D">
      <w:pPr>
        <w:pStyle w:val="H1G"/>
      </w:pPr>
      <w:r w:rsidRPr="00E31BBF">
        <w:tab/>
      </w:r>
      <w:r w:rsidRPr="00E31BBF">
        <w:tab/>
        <w:t>Liberty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security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14)</w:t>
      </w:r>
    </w:p>
    <w:p w:rsidR="002F001C" w:rsidRPr="00E31BBF" w:rsidRDefault="002F001C" w:rsidP="00E92A9D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11</w:t>
      </w:r>
      <w:r w:rsidR="00B10A4D">
        <w:t xml:space="preserve"> </w:t>
      </w:r>
      <w:r w:rsidRPr="00E31BBF">
        <w:t>(a),</w:t>
      </w:r>
      <w:r w:rsidR="00C21DB7">
        <w:t xml:space="preserve"> </w:t>
      </w:r>
      <w:r w:rsidRPr="00E31BBF">
        <w:t>(b)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(c)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proofErr w:type="gramStart"/>
      <w:r w:rsidRPr="00E31BBF">
        <w:t>87.</w:t>
      </w:r>
      <w:r w:rsidRPr="00E31BBF">
        <w:tab/>
        <w:t>It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possible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order</w:t>
      </w:r>
      <w:r w:rsidR="00C21DB7">
        <w:t xml:space="preserve"> </w:t>
      </w:r>
      <w:r w:rsidRPr="00E31BBF">
        <w:t>coercive</w:t>
      </w:r>
      <w:r w:rsidR="00C21DB7">
        <w:t xml:space="preserve"> </w:t>
      </w:r>
      <w:r w:rsidRPr="00E31BBF">
        <w:t>psychiatric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court</w:t>
      </w:r>
      <w:r w:rsidR="00C21DB7">
        <w:t xml:space="preserve"> </w:t>
      </w:r>
      <w:r w:rsidRPr="00E31BBF">
        <w:t>if,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time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commission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unlawful</w:t>
      </w:r>
      <w:r w:rsidR="00C21DB7">
        <w:t xml:space="preserve"> </w:t>
      </w:r>
      <w:r w:rsidRPr="00E31BBF">
        <w:t>act,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lacks</w:t>
      </w:r>
      <w:r w:rsidR="00C21DB7">
        <w:t xml:space="preserve"> </w:t>
      </w:r>
      <w:r w:rsidRPr="00E31BBF">
        <w:t>capacity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he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she,</w:t>
      </w:r>
      <w:r w:rsidR="00C21DB7">
        <w:t xml:space="preserve"> </w:t>
      </w:r>
      <w:r w:rsidRPr="00E31BBF">
        <w:t>after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making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court</w:t>
      </w:r>
      <w:r w:rsidR="00C21DB7">
        <w:t xml:space="preserve"> </w:t>
      </w:r>
      <w:r w:rsidRPr="00E31BBF">
        <w:t>judgment</w:t>
      </w:r>
      <w:r w:rsidR="00C21DB7">
        <w:t xml:space="preserve"> </w:t>
      </w:r>
      <w:r w:rsidRPr="00E31BBF">
        <w:t>but</w:t>
      </w:r>
      <w:r w:rsidR="00C21DB7">
        <w:t xml:space="preserve"> </w:t>
      </w:r>
      <w:r w:rsidRPr="00E31BBF">
        <w:t>before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full</w:t>
      </w:r>
      <w:r w:rsidR="00C21DB7">
        <w:t xml:space="preserve"> </w:t>
      </w:r>
      <w:r w:rsidRPr="00E31BBF">
        <w:t>sentence,</w:t>
      </w:r>
      <w:r w:rsidR="00C21DB7">
        <w:t xml:space="preserve"> </w:t>
      </w:r>
      <w:r w:rsidRPr="00E31BBF">
        <w:t>becomes</w:t>
      </w:r>
      <w:r w:rsidR="00C21DB7">
        <w:t xml:space="preserve"> </w:t>
      </w:r>
      <w:r w:rsidRPr="00E31BBF">
        <w:t>mentally</w:t>
      </w:r>
      <w:r w:rsidR="00C21DB7">
        <w:t xml:space="preserve"> </w:t>
      </w:r>
      <w:r w:rsidRPr="00E31BBF">
        <w:t>ill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feeble-minded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suffers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any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disorder,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it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established</w:t>
      </w:r>
      <w:r w:rsidR="00C21DB7">
        <w:t xml:space="preserve"> </w:t>
      </w:r>
      <w:r w:rsidRPr="00E31BBF">
        <w:t>during</w:t>
      </w:r>
      <w:r w:rsidR="00C21DB7">
        <w:t xml:space="preserve"> </w:t>
      </w:r>
      <w:r w:rsidRPr="00E31BBF">
        <w:t>preliminary</w:t>
      </w:r>
      <w:r w:rsidR="00C21DB7">
        <w:t xml:space="preserve"> </w:t>
      </w:r>
      <w:r w:rsidRPr="00E31BBF">
        <w:t>investigation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court</w:t>
      </w:r>
      <w:r w:rsidR="00C21DB7">
        <w:t xml:space="preserve"> </w:t>
      </w:r>
      <w:r w:rsidRPr="00E31BBF">
        <w:t>hearing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matter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suffers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aforementioned</w:t>
      </w:r>
      <w:r w:rsidR="00C21DB7">
        <w:t xml:space="preserve"> </w:t>
      </w:r>
      <w:r w:rsidRPr="00E31BBF">
        <w:t>conditions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therefore</w:t>
      </w:r>
      <w:r w:rsidR="00C21DB7">
        <w:t xml:space="preserve"> </w:t>
      </w:r>
      <w:r w:rsidRPr="00E31BBF">
        <w:t>his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state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time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commission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unlawful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cannot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ascertained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he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she</w:t>
      </w:r>
      <w:r w:rsidR="00C21DB7">
        <w:t xml:space="preserve"> </w:t>
      </w:r>
      <w:r w:rsidRPr="00E31BBF">
        <w:t>poses</w:t>
      </w:r>
      <w:r w:rsidR="00C21DB7">
        <w:t xml:space="preserve"> </w:t>
      </w:r>
      <w:r w:rsidRPr="00E31BBF">
        <w:t>danger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himself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herself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society</w:t>
      </w:r>
      <w:r w:rsidR="00C21DB7">
        <w:t xml:space="preserve"> </w:t>
      </w:r>
      <w:r w:rsidRPr="00E31BBF">
        <w:t>due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unlawful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state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need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(section</w:t>
      </w:r>
      <w:r w:rsidR="00C21DB7">
        <w:t xml:space="preserve"> </w:t>
      </w:r>
      <w:r w:rsidRPr="00E31BBF">
        <w:t>86</w:t>
      </w:r>
      <w:r w:rsidR="00C21DB7">
        <w:t xml:space="preserve"> </w:t>
      </w:r>
      <w:r w:rsidRPr="00E31BBF">
        <w:t>subsection</w:t>
      </w:r>
      <w:r w:rsidR="00C21DB7">
        <w:t xml:space="preserve"> </w:t>
      </w:r>
      <w:r w:rsidRPr="00E31BBF">
        <w:t>1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Penal</w:t>
      </w:r>
      <w:r w:rsidR="00C21DB7">
        <w:t xml:space="preserve"> </w:t>
      </w:r>
      <w:r w:rsidRPr="00E31BBF">
        <w:t>Code).</w:t>
      </w:r>
      <w:proofErr w:type="gramEnd"/>
      <w:r w:rsidR="00C21DB7">
        <w:t xml:space="preserve"> </w:t>
      </w:r>
      <w:r w:rsidRPr="00E31BBF">
        <w:t>Coercive</w:t>
      </w:r>
      <w:r w:rsidR="00C21DB7">
        <w:t xml:space="preserve"> </w:t>
      </w:r>
      <w:r w:rsidRPr="00E31BBF">
        <w:t>psychiatric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may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administered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form</w:t>
      </w:r>
      <w:r w:rsidR="00C21DB7">
        <w:t xml:space="preserve"> </w:t>
      </w:r>
      <w:r w:rsidRPr="00E31BBF">
        <w:t>of</w:t>
      </w:r>
      <w:r w:rsidR="00C21DB7">
        <w:t xml:space="preserve"> </w:t>
      </w:r>
      <w:proofErr w:type="gramStart"/>
      <w:r w:rsidRPr="00E31BBF">
        <w:t>out-patient</w:t>
      </w:r>
      <w:proofErr w:type="gramEnd"/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does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pose</w:t>
      </w:r>
      <w:r w:rsidR="00C21DB7">
        <w:t xml:space="preserve"> </w:t>
      </w:r>
      <w:r w:rsidRPr="00E31BBF">
        <w:t>danger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himself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herself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society</w:t>
      </w:r>
      <w:r w:rsidR="00C21DB7">
        <w:t xml:space="preserve"> </w:t>
      </w:r>
      <w:r w:rsidRPr="00E31BBF">
        <w:t>upon</w:t>
      </w:r>
      <w:r w:rsidR="00C21DB7">
        <w:t xml:space="preserve"> </w:t>
      </w:r>
      <w:r w:rsidRPr="00E31BBF">
        <w:t>subjection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coercive</w:t>
      </w:r>
      <w:r w:rsidR="00C21DB7">
        <w:t xml:space="preserve"> </w:t>
      </w:r>
      <w:r w:rsidRPr="00E31BBF">
        <w:t>psychiatric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likely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adheres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regime.</w:t>
      </w:r>
    </w:p>
    <w:p w:rsidR="002F001C" w:rsidRPr="00E31BBF" w:rsidRDefault="002F001C" w:rsidP="00732F46">
      <w:pPr>
        <w:pStyle w:val="SingleTxtG"/>
      </w:pPr>
      <w:proofErr w:type="gramStart"/>
      <w:r w:rsidRPr="00E31BBF">
        <w:t>88.</w:t>
      </w:r>
      <w:r w:rsidRPr="00E31BBF">
        <w:tab/>
        <w:t>Pursuant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290-1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Penal</w:t>
      </w:r>
      <w:r w:rsidR="00C21DB7">
        <w:t xml:space="preserve"> </w:t>
      </w:r>
      <w:r w:rsidRPr="00E31BBF">
        <w:t>Code,</w:t>
      </w:r>
      <w:r w:rsidR="00C21DB7">
        <w:t xml:space="preserve"> </w:t>
      </w:r>
      <w:r w:rsidRPr="00E31BBF">
        <w:t>causing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great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consistent</w:t>
      </w:r>
      <w:r w:rsidR="00C21DB7">
        <w:t xml:space="preserve"> </w:t>
      </w:r>
      <w:r w:rsidRPr="00E31BBF">
        <w:t>physical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pain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official</w:t>
      </w:r>
      <w:r w:rsidR="00C21DB7">
        <w:t xml:space="preserve"> </w:t>
      </w:r>
      <w:r w:rsidRPr="00E31BBF">
        <w:t>without</w:t>
      </w:r>
      <w:r w:rsidR="00C21DB7">
        <w:t xml:space="preserve"> </w:t>
      </w:r>
      <w:r w:rsidRPr="00E31BBF">
        <w:t>legal</w:t>
      </w:r>
      <w:r w:rsidR="00C21DB7">
        <w:t xml:space="preserve"> </w:t>
      </w:r>
      <w:r w:rsidRPr="00E31BBF">
        <w:t>grounds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intention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receiving</w:t>
      </w:r>
      <w:r w:rsidR="00C21DB7">
        <w:t xml:space="preserve"> </w:t>
      </w:r>
      <w:r w:rsidRPr="00E31BBF">
        <w:t>statements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him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third</w:t>
      </w:r>
      <w:r w:rsidR="00C21DB7">
        <w:t xml:space="preserve"> </w:t>
      </w:r>
      <w:r w:rsidRPr="00E31BBF">
        <w:t>persons,</w:t>
      </w:r>
      <w:r w:rsidR="00C21DB7">
        <w:t xml:space="preserve"> </w:t>
      </w:r>
      <w:r w:rsidRPr="00E31BBF">
        <w:t>punishment,</w:t>
      </w:r>
      <w:r w:rsidR="00C21DB7">
        <w:t xml:space="preserve"> </w:t>
      </w:r>
      <w:r w:rsidRPr="00E31BBF">
        <w:t>frightening,</w:t>
      </w:r>
      <w:r w:rsidR="00C21DB7">
        <w:t xml:space="preserve"> </w:t>
      </w:r>
      <w:r w:rsidRPr="00E31BBF">
        <w:t>coercion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discrimination,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well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instigation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official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consent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punishable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seven</w:t>
      </w:r>
      <w:r w:rsidR="00C21DB7">
        <w:t xml:space="preserve"> </w:t>
      </w:r>
      <w:r w:rsidRPr="00E31BBF">
        <w:t>years</w:t>
      </w:r>
      <w:r w:rsidR="003E41EF">
        <w:t>’</w:t>
      </w:r>
      <w:r w:rsidR="00C21DB7">
        <w:t xml:space="preserve"> </w:t>
      </w:r>
      <w:r w:rsidRPr="00E31BBF">
        <w:t>imprisonment.</w:t>
      </w:r>
      <w:proofErr w:type="gramEnd"/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same</w:t>
      </w:r>
      <w:r w:rsidR="00C21DB7">
        <w:t xml:space="preserve"> </w:t>
      </w:r>
      <w:r w:rsidRPr="00E31BBF">
        <w:t>act,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committed</w:t>
      </w:r>
      <w:r w:rsidR="00C21DB7">
        <w:t xml:space="preserve"> </w:t>
      </w:r>
      <w:r w:rsidRPr="00E31BBF">
        <w:t>against</w:t>
      </w:r>
      <w:r w:rsidR="00C21DB7">
        <w:t xml:space="preserve"> </w:t>
      </w:r>
      <w:r w:rsidRPr="00E31BBF">
        <w:t>two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persons;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against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less</w:t>
      </w:r>
      <w:r w:rsidR="00C21DB7">
        <w:t xml:space="preserve"> </w:t>
      </w:r>
      <w:r w:rsidRPr="00E31BBF">
        <w:t>than</w:t>
      </w:r>
      <w:r w:rsidR="00C21DB7">
        <w:t xml:space="preserve"> </w:t>
      </w:r>
      <w:r w:rsidRPr="00E31BBF">
        <w:t>eighteen</w:t>
      </w:r>
      <w:r w:rsidR="00C21DB7">
        <w:t xml:space="preserve"> </w:t>
      </w:r>
      <w:r w:rsidRPr="00E31BBF">
        <w:t>years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age;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group,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punishable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two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ten</w:t>
      </w:r>
      <w:r w:rsidR="00C21DB7">
        <w:t xml:space="preserve"> </w:t>
      </w:r>
      <w:r w:rsidRPr="00E31BBF">
        <w:t>years</w:t>
      </w:r>
      <w:r w:rsidR="003E41EF">
        <w:t>’</w:t>
      </w:r>
      <w:r w:rsidR="00C21DB7">
        <w:t xml:space="preserve"> </w:t>
      </w:r>
      <w:r w:rsidRPr="00E31BBF">
        <w:t>imprisonment.</w:t>
      </w:r>
    </w:p>
    <w:p w:rsidR="002F001C" w:rsidRPr="00E31BBF" w:rsidRDefault="002F001C" w:rsidP="00732F46">
      <w:pPr>
        <w:pStyle w:val="SingleTxtG"/>
      </w:pPr>
      <w:proofErr w:type="gramStart"/>
      <w:r w:rsidRPr="00E31BBF">
        <w:lastRenderedPageBreak/>
        <w:t>89.</w:t>
      </w:r>
      <w:r w:rsidRPr="00E31BBF">
        <w:tab/>
        <w:t>Pursuant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118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Code,</w:t>
      </w:r>
      <w:r w:rsidR="00C21DB7">
        <w:t xml:space="preserve"> </w:t>
      </w:r>
      <w:r w:rsidRPr="00E31BBF">
        <w:t>causing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damage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results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danger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life;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disorder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persists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least</w:t>
      </w:r>
      <w:r w:rsidR="00C21DB7">
        <w:t xml:space="preserve"> </w:t>
      </w:r>
      <w:r w:rsidRPr="00E31BBF">
        <w:t>four</w:t>
      </w:r>
      <w:r w:rsidR="00C21DB7">
        <w:t xml:space="preserve"> </w:t>
      </w:r>
      <w:r w:rsidRPr="00E31BBF">
        <w:t>weeks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results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partial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no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ability;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disorder;</w:t>
      </w:r>
      <w:r w:rsidR="00C21DB7">
        <w:t xml:space="preserve"> </w:t>
      </w:r>
      <w:r w:rsidRPr="00E31BBF">
        <w:t>miscarriage;</w:t>
      </w:r>
      <w:r w:rsidR="00C21DB7">
        <w:t xml:space="preserve"> </w:t>
      </w:r>
      <w:r w:rsidRPr="00E31BBF">
        <w:t>permanent</w:t>
      </w:r>
      <w:r w:rsidR="00C21DB7">
        <w:t xml:space="preserve"> </w:t>
      </w:r>
      <w:r w:rsidRPr="00E31BBF">
        <w:t>mutilating</w:t>
      </w:r>
      <w:r w:rsidR="00C21DB7">
        <w:t xml:space="preserve"> </w:t>
      </w:r>
      <w:r w:rsidRPr="00E31BBF">
        <w:t>facial</w:t>
      </w:r>
      <w:r w:rsidR="00C21DB7">
        <w:t xml:space="preserve"> </w:t>
      </w:r>
      <w:r w:rsidRPr="00E31BBF">
        <w:t>injury;</w:t>
      </w:r>
      <w:r w:rsidR="00C21DB7">
        <w:t xml:space="preserve"> </w:t>
      </w:r>
      <w:r w:rsidRPr="00E31BBF">
        <w:t>loss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cessation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functioning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organ;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death,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punishable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four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twelve</w:t>
      </w:r>
      <w:r w:rsidR="00C21DB7">
        <w:t xml:space="preserve"> </w:t>
      </w:r>
      <w:r w:rsidRPr="00E31BBF">
        <w:t>years</w:t>
      </w:r>
      <w:r w:rsidR="003E41EF">
        <w:t>’</w:t>
      </w:r>
      <w:r w:rsidR="00C21DB7">
        <w:t xml:space="preserve"> </w:t>
      </w:r>
      <w:r w:rsidRPr="00E31BBF">
        <w:t>imprisonment.</w:t>
      </w:r>
      <w:proofErr w:type="gramEnd"/>
      <w:r w:rsidR="00C21DB7">
        <w:t xml:space="preserve"> </w:t>
      </w:r>
      <w:r w:rsidRPr="00E31BBF"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125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Code,</w:t>
      </w:r>
      <w:r w:rsidR="00C21DB7">
        <w:t xml:space="preserve"> </w:t>
      </w:r>
      <w:r w:rsidRPr="00E31BBF">
        <w:t>termination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pregnancy</w:t>
      </w:r>
      <w:r w:rsidR="00C21DB7">
        <w:t xml:space="preserve"> </w:t>
      </w:r>
      <w:r w:rsidRPr="00E31BBF">
        <w:t>against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will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pregnant</w:t>
      </w:r>
      <w:r w:rsidR="00C21DB7">
        <w:t xml:space="preserve"> </w:t>
      </w:r>
      <w:r w:rsidRPr="00E31BBF">
        <w:t>woman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punishable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three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twelve</w:t>
      </w:r>
      <w:r w:rsidR="00C21DB7">
        <w:t xml:space="preserve"> </w:t>
      </w:r>
      <w:r w:rsidRPr="00E31BBF">
        <w:t>years</w:t>
      </w:r>
      <w:r w:rsidR="003E41EF">
        <w:t>’</w:t>
      </w:r>
      <w:r w:rsidR="00C21DB7">
        <w:t xml:space="preserve"> </w:t>
      </w:r>
      <w:r w:rsidRPr="00E31BBF">
        <w:t>imprisonment.</w:t>
      </w:r>
    </w:p>
    <w:p w:rsidR="002F001C" w:rsidRPr="00E31BBF" w:rsidRDefault="002F001C" w:rsidP="00732F46">
      <w:pPr>
        <w:pStyle w:val="SingleTxtG"/>
      </w:pPr>
      <w:r w:rsidRPr="00E31BBF">
        <w:t>90.</w:t>
      </w:r>
      <w:r w:rsidRPr="00E31BBF">
        <w:tab/>
        <w:t>The</w:t>
      </w:r>
      <w:r w:rsidR="00C21DB7">
        <w:t xml:space="preserve"> </w:t>
      </w:r>
      <w:r w:rsidRPr="00E31BBF">
        <w:t>following</w:t>
      </w:r>
      <w:r w:rsidR="00C21DB7">
        <w:t xml:space="preserve"> </w:t>
      </w:r>
      <w:proofErr w:type="gramStart"/>
      <w:r w:rsidRPr="00E31BBF">
        <w:t>are</w:t>
      </w:r>
      <w:r w:rsidR="00C21DB7">
        <w:t xml:space="preserve"> </w:t>
      </w:r>
      <w:r w:rsidRPr="00E31BBF">
        <w:t>considered</w:t>
      </w:r>
      <w:proofErr w:type="gramEnd"/>
      <w:r w:rsidR="00C21DB7">
        <w:t xml:space="preserve"> </w:t>
      </w:r>
      <w:r w:rsidRPr="00E31BBF">
        <w:t>aggravating</w:t>
      </w:r>
      <w:r w:rsidR="00C21DB7">
        <w:t xml:space="preserve"> </w:t>
      </w:r>
      <w:r w:rsidRPr="00E31BBF">
        <w:t>circumstances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58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Code,</w:t>
      </w:r>
      <w:r w:rsidR="00C21DB7">
        <w:t xml:space="preserve"> </w:t>
      </w:r>
      <w:r w:rsidRPr="00E31BBF">
        <w:t>clauses</w:t>
      </w:r>
      <w:r w:rsidR="00C21DB7">
        <w:t xml:space="preserve"> </w:t>
      </w:r>
      <w:r w:rsidRPr="00E31BBF">
        <w:t>2</w:t>
      </w:r>
      <w:r w:rsidR="005363C6">
        <w:t>–</w:t>
      </w:r>
      <w:r w:rsidRPr="00E31BBF">
        <w:t>3:</w:t>
      </w:r>
    </w:p>
    <w:p w:rsidR="002F001C" w:rsidRPr="00E31BBF" w:rsidRDefault="002F001C" w:rsidP="00C263E2">
      <w:pPr>
        <w:pStyle w:val="Bullet1G"/>
      </w:pPr>
      <w:r w:rsidRPr="00E31BBF">
        <w:t>Commission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offence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peculiar</w:t>
      </w:r>
      <w:r w:rsidR="00C21DB7">
        <w:t xml:space="preserve"> </w:t>
      </w:r>
      <w:r w:rsidRPr="00E31BBF">
        <w:t>cruelty,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degradation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victim;</w:t>
      </w:r>
    </w:p>
    <w:p w:rsidR="002F001C" w:rsidRPr="00E31BBF" w:rsidRDefault="002F001C" w:rsidP="00C263E2">
      <w:pPr>
        <w:pStyle w:val="Bullet1G"/>
      </w:pPr>
      <w:r w:rsidRPr="00E31BBF">
        <w:t>Commission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offence</w:t>
      </w:r>
      <w:r w:rsidR="00C21DB7">
        <w:t xml:space="preserve"> </w:t>
      </w:r>
      <w:r w:rsidRPr="00E31BBF">
        <w:t>knowingly</w:t>
      </w:r>
      <w:r w:rsidR="00C21DB7">
        <w:t xml:space="preserve"> </w:t>
      </w:r>
      <w:r w:rsidRPr="00E31BBF">
        <w:t>against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less</w:t>
      </w:r>
      <w:r w:rsidR="00C21DB7">
        <w:t xml:space="preserve"> </w:t>
      </w:r>
      <w:r w:rsidRPr="00E31BBF">
        <w:t>than</w:t>
      </w:r>
      <w:r w:rsidR="00C21DB7">
        <w:t xml:space="preserve"> </w:t>
      </w:r>
      <w:r w:rsidRPr="00E31BBF">
        <w:t>eighteen</w:t>
      </w:r>
      <w:r w:rsidR="00C21DB7">
        <w:t xml:space="preserve"> </w:t>
      </w:r>
      <w:r w:rsidRPr="00E31BBF">
        <w:t>years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age,</w:t>
      </w:r>
      <w:r w:rsidR="00C21DB7">
        <w:t xml:space="preserve"> </w:t>
      </w:r>
      <w:r w:rsidRPr="00E31BBF">
        <w:t>pregnant,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advanced</w:t>
      </w:r>
      <w:r w:rsidR="00C21DB7">
        <w:t xml:space="preserve"> </w:t>
      </w:r>
      <w:r w:rsidRPr="00E31BBF">
        <w:t>age,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need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assistance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disorder.</w:t>
      </w:r>
    </w:p>
    <w:p w:rsidR="002F001C" w:rsidRPr="00E31BBF" w:rsidRDefault="002F001C" w:rsidP="00C263E2">
      <w:pPr>
        <w:pStyle w:val="H1G"/>
      </w:pPr>
      <w:r w:rsidRPr="00E31BBF">
        <w:tab/>
      </w:r>
      <w:r w:rsidRPr="00E31BBF">
        <w:tab/>
        <w:t>Freedom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torture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cruel,</w:t>
      </w:r>
      <w:r w:rsidR="00C21DB7">
        <w:t xml:space="preserve"> </w:t>
      </w:r>
      <w:r w:rsidRPr="00E31BBF">
        <w:t>inhuman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degrading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punishment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15)</w:t>
      </w:r>
    </w:p>
    <w:p w:rsidR="002F001C" w:rsidRPr="00E31BBF" w:rsidRDefault="002F001C" w:rsidP="00C263E2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12</w:t>
      </w:r>
      <w:r w:rsidR="00B10A4D">
        <w:t xml:space="preserve"> </w:t>
      </w:r>
      <w:r w:rsidRPr="00E31BBF">
        <w:t>(a)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91.</w:t>
      </w:r>
      <w:r w:rsidRPr="00E31BBF">
        <w:tab/>
        <w:t>Pursuant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Voluntariness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termination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pregnancy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§</w:t>
      </w:r>
      <w:r w:rsidR="00C21DB7">
        <w:t xml:space="preserve"> </w:t>
      </w:r>
      <w:proofErr w:type="gramStart"/>
      <w:r w:rsidRPr="00E31BBF">
        <w:t>5</w:t>
      </w:r>
      <w:proofErr w:type="gramEnd"/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1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2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woman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pregnancy</w:t>
      </w:r>
      <w:r w:rsidR="00C21DB7">
        <w:t xml:space="preserve"> </w:t>
      </w:r>
      <w:r w:rsidRPr="00E31BBF">
        <w:t>may</w:t>
      </w:r>
      <w:r w:rsidR="00C21DB7">
        <w:t xml:space="preserve"> </w:t>
      </w:r>
      <w:r w:rsidRPr="00E31BBF">
        <w:t>only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terminated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own</w:t>
      </w:r>
      <w:r w:rsidR="00C21DB7">
        <w:t xml:space="preserve"> </w:t>
      </w:r>
      <w:r w:rsidRPr="00E31BBF">
        <w:t>request.</w:t>
      </w:r>
      <w:r w:rsidR="00C21DB7">
        <w:t xml:space="preserve"> </w:t>
      </w:r>
      <w:r w:rsidRPr="00E31BBF">
        <w:t>Nobody</w:t>
      </w:r>
      <w:r w:rsidR="00C21DB7">
        <w:t xml:space="preserve"> </w:t>
      </w:r>
      <w:proofErr w:type="gramStart"/>
      <w:r w:rsidRPr="00E31BBF">
        <w:t>is</w:t>
      </w:r>
      <w:r w:rsidR="00C21DB7">
        <w:t xml:space="preserve"> </w:t>
      </w:r>
      <w:r w:rsidRPr="00E31BBF">
        <w:t>allowed</w:t>
      </w:r>
      <w:proofErr w:type="gramEnd"/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force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influence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woman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terminate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pregnancy.</w:t>
      </w:r>
      <w:r w:rsidR="00C21DB7">
        <w:t xml:space="preserve"> </w:t>
      </w:r>
      <w:r w:rsidRPr="00E31BBF">
        <w:t>Consent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termination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pregnancy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written</w:t>
      </w:r>
      <w:r w:rsidR="00C21DB7">
        <w:t xml:space="preserve"> </w:t>
      </w:r>
      <w:r w:rsidRPr="00E31BBF">
        <w:t>form.</w:t>
      </w:r>
      <w:r w:rsidR="00C21DB7">
        <w:t xml:space="preserve"> </w:t>
      </w:r>
      <w:r w:rsidRPr="00E31BBF">
        <w:t>Pregnancy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woman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restricted</w:t>
      </w:r>
      <w:r w:rsidR="00C21DB7">
        <w:t xml:space="preserve"> </w:t>
      </w:r>
      <w:r w:rsidRPr="00E31BBF">
        <w:t>active</w:t>
      </w:r>
      <w:r w:rsidR="00C21DB7">
        <w:t xml:space="preserve"> </w:t>
      </w:r>
      <w:r w:rsidRPr="00E31BBF">
        <w:t>legal</w:t>
      </w:r>
      <w:r w:rsidR="00C21DB7">
        <w:t xml:space="preserve"> </w:t>
      </w:r>
      <w:r w:rsidRPr="00E31BBF">
        <w:t>capacity</w:t>
      </w:r>
      <w:r w:rsidR="00C21DB7">
        <w:t xml:space="preserve"> </w:t>
      </w:r>
      <w:r w:rsidRPr="00E31BBF">
        <w:t>may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terminated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own</w:t>
      </w:r>
      <w:r w:rsidR="00C21DB7">
        <w:t xml:space="preserve"> </w:t>
      </w:r>
      <w:r w:rsidRPr="00E31BBF">
        <w:t>consent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consent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legal</w:t>
      </w:r>
      <w:r w:rsidR="00C21DB7">
        <w:t xml:space="preserve"> </w:t>
      </w:r>
      <w:r w:rsidRPr="00E31BBF">
        <w:t>representative</w:t>
      </w:r>
      <w:r w:rsidR="00C21DB7">
        <w:t xml:space="preserve"> </w:t>
      </w:r>
      <w:r w:rsidRPr="00E31BBF"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subsection</w:t>
      </w:r>
      <w:r w:rsidR="00C21DB7">
        <w:t xml:space="preserve"> </w:t>
      </w:r>
      <w:r w:rsidRPr="00E31BBF">
        <w:t>766</w:t>
      </w:r>
      <w:r w:rsidR="00C21DB7">
        <w:t xml:space="preserve"> </w:t>
      </w:r>
      <w:r w:rsidRPr="00E31BBF">
        <w:t>(4)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Law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Obligations</w:t>
      </w:r>
      <w:r w:rsidR="00C21DB7">
        <w:t xml:space="preserve"> </w:t>
      </w:r>
      <w:r w:rsidRPr="00E31BBF">
        <w:t>Act.</w:t>
      </w:r>
    </w:p>
    <w:p w:rsidR="002F001C" w:rsidRPr="00E31BBF" w:rsidRDefault="002F001C" w:rsidP="00732F46">
      <w:pPr>
        <w:pStyle w:val="SingleTxtG"/>
      </w:pPr>
      <w:r w:rsidRPr="00E31BBF">
        <w:t>92.</w:t>
      </w:r>
      <w:r w:rsidRPr="00E31BBF">
        <w:tab/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may</w:t>
      </w:r>
      <w:r w:rsidR="00C21DB7">
        <w:t xml:space="preserve"> </w:t>
      </w:r>
      <w:r w:rsidRPr="00E31BBF">
        <w:t>only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sterilised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his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own</w:t>
      </w:r>
      <w:r w:rsidR="00C21DB7">
        <w:t xml:space="preserve"> </w:t>
      </w:r>
      <w:r w:rsidRPr="00E31BBF">
        <w:t>request.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request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sterilisation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written</w:t>
      </w:r>
      <w:r w:rsidR="00C21DB7">
        <w:t xml:space="preserve"> </w:t>
      </w:r>
      <w:r w:rsidRPr="00E31BBF">
        <w:t>form.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sterilisation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restricted</w:t>
      </w:r>
      <w:r w:rsidR="00C21DB7">
        <w:t xml:space="preserve"> </w:t>
      </w:r>
      <w:r w:rsidRPr="00E31BBF">
        <w:t>active</w:t>
      </w:r>
      <w:r w:rsidR="00C21DB7">
        <w:t xml:space="preserve"> </w:t>
      </w:r>
      <w:r w:rsidRPr="00E31BBF">
        <w:t>legal</w:t>
      </w:r>
      <w:r w:rsidR="00C21DB7">
        <w:t xml:space="preserve"> </w:t>
      </w:r>
      <w:r w:rsidRPr="00E31BBF">
        <w:t>capacity</w:t>
      </w:r>
      <w:r w:rsidR="00C21DB7">
        <w:t xml:space="preserve"> </w:t>
      </w:r>
      <w:proofErr w:type="gramStart"/>
      <w:r w:rsidRPr="00E31BBF">
        <w:t>shall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decided</w:t>
      </w:r>
      <w:proofErr w:type="gramEnd"/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county</w:t>
      </w:r>
      <w:r w:rsidR="00C21DB7">
        <w:t xml:space="preserve"> </w:t>
      </w:r>
      <w:r w:rsidRPr="00E31BBF">
        <w:t>court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proceedings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petition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guardian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person.</w:t>
      </w:r>
      <w:r w:rsidR="00C21DB7">
        <w:t xml:space="preserve"> </w:t>
      </w:r>
      <w:r w:rsidRPr="00E31BBF">
        <w:t>Minors</w:t>
      </w:r>
      <w:r w:rsidR="00C21DB7">
        <w:t xml:space="preserve"> </w:t>
      </w:r>
      <w:r w:rsidRPr="00E31BBF">
        <w:t>may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sterilised</w:t>
      </w:r>
      <w:r w:rsidR="00C21DB7">
        <w:t xml:space="preserve"> </w:t>
      </w:r>
      <w:r w:rsidRPr="00E31BBF">
        <w:t>(§</w:t>
      </w:r>
      <w:r w:rsidR="00C21DB7">
        <w:t xml:space="preserve"> </w:t>
      </w:r>
      <w:r w:rsidRPr="00E31BBF">
        <w:t>19).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proofErr w:type="gramStart"/>
      <w:r w:rsidRPr="00E31BBF">
        <w:t>93.</w:t>
      </w:r>
      <w:r w:rsidRPr="00E31BBF">
        <w:tab/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admitted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involuntary</w:t>
      </w:r>
      <w:r w:rsidR="00C21DB7">
        <w:t xml:space="preserve"> </w:t>
      </w:r>
      <w:r w:rsidRPr="00E31BBF">
        <w:t>psychiatric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only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disorder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restricts</w:t>
      </w:r>
      <w:r w:rsidR="00C21DB7">
        <w:t xml:space="preserve"> </w:t>
      </w:r>
      <w:r w:rsidRPr="00E31BBF">
        <w:t>his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ability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understand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control</w:t>
      </w:r>
      <w:r w:rsidR="00C21DB7">
        <w:t xml:space="preserve"> </w:t>
      </w:r>
      <w:r w:rsidRPr="00E31BBF">
        <w:t>his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behaviour;</w:t>
      </w:r>
      <w:r w:rsidR="00C21DB7">
        <w:t xml:space="preserve"> </w:t>
      </w:r>
      <w:r w:rsidRPr="00E31BBF">
        <w:t>without</w:t>
      </w:r>
      <w:r w:rsidR="00C21DB7">
        <w:t xml:space="preserve"> </w:t>
      </w:r>
      <w:r w:rsidRPr="00E31BBF">
        <w:t>in-patient</w:t>
      </w:r>
      <w:r w:rsidR="00C21DB7">
        <w:t xml:space="preserve"> </w:t>
      </w:r>
      <w:r w:rsidRPr="00E31BBF">
        <w:t>treatment,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endangers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life,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safety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himself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herself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others</w:t>
      </w:r>
      <w:r w:rsidR="00C21DB7">
        <w:t xml:space="preserve"> </w:t>
      </w:r>
      <w:r w:rsidRPr="00E31BBF">
        <w:t>due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disorder;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psychiatric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sufficient</w:t>
      </w:r>
      <w:r w:rsidR="00C21DB7">
        <w:t xml:space="preserve"> </w:t>
      </w:r>
      <w:r w:rsidRPr="00E31BBF">
        <w:t>(§</w:t>
      </w:r>
      <w:r w:rsidR="00C21DB7">
        <w:t xml:space="preserve"> </w:t>
      </w:r>
      <w:r w:rsidRPr="00E31BBF">
        <w:t>3).</w:t>
      </w:r>
      <w:proofErr w:type="gramEnd"/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94.</w:t>
      </w:r>
      <w:r w:rsidRPr="00E31BBF">
        <w:tab/>
        <w:t>As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Welfare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stipulates,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service</w:t>
      </w:r>
      <w:r w:rsidR="00C21DB7">
        <w:t xml:space="preserve"> </w:t>
      </w:r>
      <w:proofErr w:type="gramStart"/>
      <w:r w:rsidRPr="00E31BBF">
        <w:t>shall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provided</w:t>
      </w:r>
      <w:proofErr w:type="gramEnd"/>
      <w:r w:rsidR="00C21DB7">
        <w:t xml:space="preserve"> </w:t>
      </w:r>
      <w:r w:rsidRPr="00E31BBF">
        <w:t>directly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activity</w:t>
      </w:r>
      <w:r w:rsidR="00C21DB7">
        <w:t xml:space="preserve"> </w:t>
      </w:r>
      <w:r w:rsidRPr="00E31BBF">
        <w:t>supervisor</w:t>
      </w:r>
      <w:r w:rsidR="00C21DB7">
        <w:t xml:space="preserve"> </w:t>
      </w:r>
      <w:r w:rsidRPr="00E31BBF">
        <w:t>whose</w:t>
      </w:r>
      <w:r w:rsidR="00C21DB7">
        <w:t xml:space="preserve"> </w:t>
      </w:r>
      <w:r w:rsidRPr="00E31BBF">
        <w:t>criminal</w:t>
      </w:r>
      <w:r w:rsidR="00C21DB7">
        <w:t xml:space="preserve"> </w:t>
      </w:r>
      <w:r w:rsidRPr="00E31BBF">
        <w:t>record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intentionally</w:t>
      </w:r>
      <w:r w:rsidR="00C21DB7">
        <w:t xml:space="preserve"> </w:t>
      </w:r>
      <w:r w:rsidRPr="00E31BBF">
        <w:t>committed</w:t>
      </w:r>
      <w:r w:rsidR="00C21DB7">
        <w:t xml:space="preserve"> </w:t>
      </w:r>
      <w:r w:rsidRPr="00E31BBF">
        <w:t>criminal</w:t>
      </w:r>
      <w:r w:rsidR="00C21DB7">
        <w:t xml:space="preserve"> </w:t>
      </w:r>
      <w:r w:rsidRPr="00E31BBF">
        <w:t>offence</w:t>
      </w:r>
      <w:r w:rsidR="00C21DB7">
        <w:t xml:space="preserve"> </w:t>
      </w:r>
      <w:r w:rsidRPr="00E31BBF">
        <w:t>may</w:t>
      </w:r>
      <w:r w:rsidR="00C21DB7">
        <w:t xml:space="preserve"> </w:t>
      </w:r>
      <w:r w:rsidRPr="00E31BBF">
        <w:t>endanger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life,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property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entitled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receive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service.</w:t>
      </w:r>
      <w:r w:rsidR="00C21DB7">
        <w:t xml:space="preserve"> </w:t>
      </w:r>
      <w:r w:rsidRPr="00E31BBF">
        <w:t>Circumstances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isolating</w:t>
      </w:r>
      <w:r w:rsidR="00C21DB7">
        <w:t xml:space="preserve"> </w:t>
      </w:r>
      <w:r w:rsidRPr="00E31BBF">
        <w:t>24-hour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user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restriction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freedom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movement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adults</w:t>
      </w:r>
      <w:r w:rsidR="00C21DB7">
        <w:t xml:space="preserve"> </w:t>
      </w:r>
      <w:r w:rsidRPr="00E31BBF">
        <w:t>receiving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services</w:t>
      </w:r>
      <w:r w:rsidR="00C21DB7">
        <w:t xml:space="preserve"> </w:t>
      </w:r>
      <w:proofErr w:type="gramStart"/>
      <w:r w:rsidRPr="00E31BBF">
        <w:t>are</w:t>
      </w:r>
      <w:r w:rsidR="00C21DB7">
        <w:t xml:space="preserve"> </w:t>
      </w:r>
      <w:r w:rsidRPr="00E31BBF">
        <w:t>precisely</w:t>
      </w:r>
      <w:r w:rsidR="00C21DB7">
        <w:t xml:space="preserve"> </w:t>
      </w:r>
      <w:r w:rsidRPr="00E31BBF">
        <w:t>listed</w:t>
      </w:r>
      <w:proofErr w:type="gramEnd"/>
      <w:r w:rsidRPr="00E31BBF">
        <w:t>.</w:t>
      </w:r>
    </w:p>
    <w:p w:rsidR="002F001C" w:rsidRPr="00E31BBF" w:rsidRDefault="002F001C" w:rsidP="00C263E2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12</w:t>
      </w:r>
      <w:r w:rsidR="00B10A4D">
        <w:t xml:space="preserve"> </w:t>
      </w:r>
      <w:r w:rsidRPr="00E31BBF">
        <w:t>(b)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95.</w:t>
      </w:r>
      <w:r w:rsidRPr="00E31BBF">
        <w:tab/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past</w:t>
      </w:r>
      <w:r w:rsidR="00C21DB7">
        <w:t xml:space="preserve"> </w:t>
      </w:r>
      <w:r w:rsidRPr="00E31BBF">
        <w:t>few</w:t>
      </w:r>
      <w:r w:rsidR="00C21DB7">
        <w:t xml:space="preserve"> </w:t>
      </w:r>
      <w:r w:rsidRPr="00E31BBF">
        <w:t>years,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Office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Chancellor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Justice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increased</w:t>
      </w:r>
      <w:r w:rsidR="00C21DB7">
        <w:t xml:space="preserve"> </w:t>
      </w:r>
      <w:r w:rsidRPr="00E31BBF">
        <w:t>its</w:t>
      </w:r>
      <w:r w:rsidR="00C21DB7">
        <w:t xml:space="preserve"> </w:t>
      </w:r>
      <w:r w:rsidRPr="00E31BBF">
        <w:t>monitoring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facilities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proofErr w:type="gramStart"/>
      <w:r w:rsidRPr="00E31BBF">
        <w:t>may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deprived</w:t>
      </w:r>
      <w:proofErr w:type="gramEnd"/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liberty,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particular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homes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psychiatric</w:t>
      </w:r>
      <w:r w:rsidR="00C21DB7">
        <w:t xml:space="preserve"> </w:t>
      </w:r>
      <w:r w:rsidRPr="00E31BBF">
        <w:t>clinics.</w:t>
      </w:r>
      <w:r w:rsidR="00C21DB7">
        <w:t xml:space="preserve"> </w:t>
      </w:r>
      <w:r w:rsidRPr="00E31BBF">
        <w:t>Small</w:t>
      </w:r>
      <w:r w:rsidR="00C21DB7">
        <w:t xml:space="preserve"> </w:t>
      </w:r>
      <w:r w:rsidRPr="00E31BBF">
        <w:t>additional</w:t>
      </w:r>
      <w:r w:rsidR="00C21DB7">
        <w:t xml:space="preserve"> </w:t>
      </w:r>
      <w:r w:rsidRPr="00E31BBF">
        <w:t>funds</w:t>
      </w:r>
      <w:r w:rsidR="00C21DB7">
        <w:t xml:space="preserve"> </w:t>
      </w:r>
      <w:proofErr w:type="gramStart"/>
      <w:r w:rsidRPr="00E31BBF">
        <w:t>have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allocated</w:t>
      </w:r>
      <w:proofErr w:type="gramEnd"/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budget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allow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greater</w:t>
      </w:r>
      <w:r w:rsidR="00C21DB7">
        <w:t xml:space="preserve"> </w:t>
      </w:r>
      <w:r w:rsidRPr="00E31BBF">
        <w:t>use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experts</w:t>
      </w:r>
      <w:r w:rsidR="00C21DB7">
        <w:t xml:space="preserve"> </w:t>
      </w:r>
      <w:r w:rsidRPr="00E31BBF">
        <w:t>during</w:t>
      </w:r>
      <w:r w:rsidR="00C21DB7">
        <w:t xml:space="preserve"> </w:t>
      </w:r>
      <w:r w:rsidRPr="00E31BBF">
        <w:t>its</w:t>
      </w:r>
      <w:r w:rsidR="00C21DB7">
        <w:t xml:space="preserve"> </w:t>
      </w:r>
      <w:r w:rsidRPr="00E31BBF">
        <w:t>inspections,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psychiatrists.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96.</w:t>
      </w:r>
      <w:r w:rsidRPr="00E31BBF">
        <w:tab/>
        <w:t>See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answers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5</w:t>
      </w:r>
      <w:r w:rsidR="00C21DB7">
        <w:t xml:space="preserve"> </w:t>
      </w:r>
      <w:r w:rsidRPr="00E31BBF">
        <w:t>p3</w:t>
      </w:r>
      <w:r w:rsidR="00C21DB7">
        <w:t xml:space="preserve"> </w:t>
      </w:r>
      <w:r w:rsidRPr="00E31BBF">
        <w:t>(e)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33</w:t>
      </w:r>
      <w:r w:rsidR="00C21DB7">
        <w:t xml:space="preserve"> </w:t>
      </w:r>
      <w:r w:rsidRPr="00E31BBF">
        <w:t>p24</w:t>
      </w:r>
      <w:r w:rsidR="00C21DB7">
        <w:t xml:space="preserve"> </w:t>
      </w:r>
      <w:r w:rsidRPr="00E31BBF">
        <w:t>(b).</w:t>
      </w:r>
      <w:r w:rsidR="00C21DB7">
        <w:t xml:space="preserve"> </w:t>
      </w:r>
    </w:p>
    <w:p w:rsidR="002F001C" w:rsidRPr="00E31BBF" w:rsidRDefault="002F001C" w:rsidP="00C263E2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12</w:t>
      </w:r>
      <w:r w:rsidR="00B10A4D">
        <w:t xml:space="preserve"> </w:t>
      </w:r>
      <w:r w:rsidRPr="00E31BBF">
        <w:t>(c)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97.</w:t>
      </w:r>
      <w:r w:rsidRPr="00E31BBF">
        <w:tab/>
        <w:t>There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various</w:t>
      </w:r>
      <w:r w:rsidR="00C21DB7">
        <w:t xml:space="preserve"> </w:t>
      </w:r>
      <w:r w:rsidRPr="00E31BBF">
        <w:t>awareness</w:t>
      </w:r>
      <w:r w:rsidR="00C21DB7">
        <w:t xml:space="preserve"> </w:t>
      </w:r>
      <w:r w:rsidRPr="00E31BBF">
        <w:t>raising</w:t>
      </w:r>
      <w:r w:rsidR="00C21DB7">
        <w:t xml:space="preserve"> </w:t>
      </w:r>
      <w:r w:rsidRPr="00E31BBF">
        <w:t>campaigns,</w:t>
      </w:r>
      <w:r w:rsidR="00C21DB7">
        <w:t xml:space="preserve"> </w:t>
      </w:r>
      <w:r w:rsidRPr="00E31BBF">
        <w:t>ongoing</w:t>
      </w:r>
      <w:r w:rsidR="00C21DB7">
        <w:t xml:space="preserve"> </w:t>
      </w:r>
      <w:r w:rsidRPr="00E31BBF">
        <w:t>active</w:t>
      </w:r>
      <w:r w:rsidR="00C21DB7">
        <w:t xml:space="preserve"> </w:t>
      </w:r>
      <w:r w:rsidRPr="00E31BBF">
        <w:t>contribution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representative</w:t>
      </w:r>
      <w:r w:rsidR="00C21DB7">
        <w:t xml:space="preserve"> </w:t>
      </w:r>
      <w:r w:rsidRPr="00E31BBF">
        <w:t>organisations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disability,</w:t>
      </w:r>
      <w:r w:rsidR="00C21DB7">
        <w:t xml:space="preserve"> </w:t>
      </w:r>
      <w:r w:rsidRPr="00E31BBF">
        <w:t>policy</w:t>
      </w:r>
      <w:r w:rsidR="00C21DB7">
        <w:t xml:space="preserve"> </w:t>
      </w:r>
      <w:r w:rsidRPr="00E31BBF">
        <w:t>making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Affairs</w:t>
      </w:r>
      <w:r w:rsidR="00C21DB7">
        <w:t xml:space="preserve"> </w:t>
      </w:r>
      <w:r w:rsidRPr="00E31BBF">
        <w:t>etc.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raise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awareness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rights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field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health,</w:t>
      </w:r>
      <w:r w:rsidR="00C21DB7">
        <w:t xml:space="preserve"> </w:t>
      </w:r>
      <w:r w:rsidRPr="00E31BBF">
        <w:t>medical</w:t>
      </w:r>
      <w:r w:rsidR="00C21DB7">
        <w:t xml:space="preserve"> </w:t>
      </w:r>
      <w:r w:rsidRPr="00E31BBF">
        <w:t>workers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obliged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professional</w:t>
      </w:r>
      <w:r w:rsidR="00C21DB7">
        <w:t xml:space="preserve"> </w:t>
      </w:r>
      <w:r w:rsidRPr="00E31BBF">
        <w:t>training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60</w:t>
      </w:r>
      <w:r w:rsidR="00C21DB7">
        <w:t xml:space="preserve"> </w:t>
      </w:r>
      <w:r w:rsidRPr="00E31BBF">
        <w:t>hours</w:t>
      </w:r>
      <w:r w:rsidR="00C21DB7">
        <w:t xml:space="preserve"> </w:t>
      </w:r>
      <w:r w:rsidRPr="00E31BBF">
        <w:t>per</w:t>
      </w:r>
      <w:r w:rsidR="00C21DB7">
        <w:t xml:space="preserve"> </w:t>
      </w:r>
      <w:r w:rsidRPr="00E31BBF">
        <w:t>year,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workers</w:t>
      </w:r>
      <w:r w:rsidR="00C21DB7">
        <w:t xml:space="preserve"> </w:t>
      </w:r>
      <w:r w:rsidRPr="00E31BBF">
        <w:t>40</w:t>
      </w:r>
      <w:r w:rsidR="00C21DB7">
        <w:t xml:space="preserve"> </w:t>
      </w:r>
      <w:r w:rsidRPr="00E31BBF">
        <w:t>hours</w:t>
      </w:r>
      <w:r w:rsidR="00C21DB7">
        <w:t xml:space="preserve"> </w:t>
      </w:r>
      <w:r w:rsidRPr="00E31BBF">
        <w:t>per</w:t>
      </w:r>
      <w:r w:rsidR="00C21DB7">
        <w:t xml:space="preserve"> </w:t>
      </w:r>
      <w:r w:rsidRPr="00E31BBF">
        <w:t>year.</w:t>
      </w:r>
      <w:r w:rsidR="00C21DB7">
        <w:t xml:space="preserve"> </w:t>
      </w:r>
      <w:r w:rsidRPr="00E31BBF">
        <w:t>However,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topics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trainings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fixed.</w:t>
      </w:r>
      <w:r w:rsidR="00C21DB7">
        <w:t xml:space="preserve"> </w:t>
      </w:r>
      <w:r w:rsidRPr="00E31BBF">
        <w:t>See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answers</w:t>
      </w:r>
      <w:r w:rsidR="00C21DB7">
        <w:t xml:space="preserve"> </w:t>
      </w:r>
      <w:r w:rsidRPr="00E31BBF">
        <w:t>provided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1</w:t>
      </w:r>
      <w:r w:rsidR="005363C6">
        <w:t>–</w:t>
      </w:r>
      <w:r w:rsidRPr="00E31BBF">
        <w:t>4</w:t>
      </w:r>
      <w:r w:rsidR="00C21DB7">
        <w:t xml:space="preserve"> </w:t>
      </w:r>
      <w:r w:rsidRPr="00E31BBF">
        <w:t>p1</w:t>
      </w:r>
      <w:r w:rsidR="00C21DB7">
        <w:t xml:space="preserve"> </w:t>
      </w:r>
      <w:r w:rsidRPr="00E31BBF">
        <w:t>(c)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(e),</w:t>
      </w:r>
      <w:r w:rsidR="00C21DB7">
        <w:t xml:space="preserve"> </w:t>
      </w:r>
      <w:r w:rsidRPr="00E31BBF">
        <w:t>article</w:t>
      </w:r>
      <w:r w:rsidR="00C21DB7">
        <w:t xml:space="preserve"> </w:t>
      </w:r>
      <w:proofErr w:type="gramStart"/>
      <w:r w:rsidRPr="00E31BBF">
        <w:t>6</w:t>
      </w:r>
      <w:proofErr w:type="gramEnd"/>
      <w:r w:rsidRPr="00E31BBF">
        <w:t>,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8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11.</w:t>
      </w:r>
    </w:p>
    <w:p w:rsidR="002F001C" w:rsidRPr="00E31BBF" w:rsidRDefault="002F001C" w:rsidP="00C263E2">
      <w:pPr>
        <w:pStyle w:val="H1G"/>
      </w:pPr>
      <w:r w:rsidRPr="00E31BBF">
        <w:lastRenderedPageBreak/>
        <w:tab/>
      </w:r>
      <w:r w:rsidRPr="00E31BBF">
        <w:tab/>
        <w:t>Freedom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exploitation,</w:t>
      </w:r>
      <w:r w:rsidR="00C21DB7">
        <w:t xml:space="preserve"> </w:t>
      </w:r>
      <w:r w:rsidRPr="00E31BBF">
        <w:t>violence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abuse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16)</w:t>
      </w:r>
    </w:p>
    <w:p w:rsidR="002F001C" w:rsidRPr="00E31BBF" w:rsidRDefault="002F001C" w:rsidP="00C263E2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13</w:t>
      </w:r>
      <w:r w:rsidR="00B10A4D">
        <w:t xml:space="preserve"> </w:t>
      </w:r>
      <w:r w:rsidRPr="00E31BBF">
        <w:t>(a),</w:t>
      </w:r>
      <w:r w:rsidR="00C21DB7">
        <w:t xml:space="preserve"> </w:t>
      </w:r>
      <w:r w:rsidRPr="00E31BBF">
        <w:t>(b)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(c)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proofErr w:type="gramStart"/>
      <w:r w:rsidRPr="00E31BBF">
        <w:t>98.</w:t>
      </w:r>
      <w:r w:rsidRPr="00E31BBF">
        <w:tab/>
        <w:t>Pursuant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133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Penal</w:t>
      </w:r>
      <w:r w:rsidR="00C21DB7">
        <w:t xml:space="preserve"> </w:t>
      </w:r>
      <w:r w:rsidRPr="00E31BBF">
        <w:t>Code,</w:t>
      </w:r>
      <w:r w:rsidR="00C21DB7">
        <w:t xml:space="preserve"> </w:t>
      </w:r>
      <w:r w:rsidRPr="00E31BBF">
        <w:t>subsections</w:t>
      </w:r>
      <w:r w:rsidR="00C21DB7">
        <w:t xml:space="preserve"> </w:t>
      </w:r>
      <w:r w:rsidRPr="00E31BBF">
        <w:t>1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2,</w:t>
      </w:r>
      <w:r w:rsidR="00C21DB7">
        <w:t xml:space="preserve"> </w:t>
      </w:r>
      <w:r w:rsidRPr="00E31BBF">
        <w:t>placing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person,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purpose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gaining</w:t>
      </w:r>
      <w:r w:rsidR="00C21DB7">
        <w:t xml:space="preserve"> </w:t>
      </w:r>
      <w:r w:rsidRPr="00E31BBF">
        <w:t>economic</w:t>
      </w:r>
      <w:r w:rsidR="00C21DB7">
        <w:t xml:space="preserve"> </w:t>
      </w:r>
      <w:r w:rsidRPr="00E31BBF">
        <w:t>benefits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without</w:t>
      </w:r>
      <w:r w:rsidR="00C21DB7">
        <w:t xml:space="preserve"> </w:t>
      </w:r>
      <w:r w:rsidRPr="00E31BBF">
        <w:t>it,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situation</w:t>
      </w:r>
      <w:r w:rsidR="00C21DB7">
        <w:t xml:space="preserve"> </w:t>
      </w:r>
      <w:r w:rsidRPr="00E31BBF">
        <w:t>where</w:t>
      </w:r>
      <w:r w:rsidR="00C21DB7">
        <w:t xml:space="preserve"> </w:t>
      </w:r>
      <w:r w:rsidRPr="00E31BBF">
        <w:t>he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she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forced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marry,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unusual</w:t>
      </w:r>
      <w:r w:rsidR="00C21DB7">
        <w:t xml:space="preserve"> </w:t>
      </w:r>
      <w:r w:rsidRPr="00E31BBF">
        <w:t>conditions,</w:t>
      </w:r>
      <w:r w:rsidR="00C21DB7">
        <w:t xml:space="preserve"> </w:t>
      </w:r>
      <w:r w:rsidRPr="00E31BBF">
        <w:t>engage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prostitution,</w:t>
      </w:r>
      <w:r w:rsidR="00C21DB7">
        <w:t xml:space="preserve"> </w:t>
      </w:r>
      <w:r w:rsidRPr="00E31BBF">
        <w:t>beg,</w:t>
      </w:r>
      <w:r w:rsidR="00C21DB7">
        <w:t xml:space="preserve"> </w:t>
      </w:r>
      <w:r w:rsidRPr="00E31BBF">
        <w:t>commit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criminal</w:t>
      </w:r>
      <w:r w:rsidR="00C21DB7">
        <w:t xml:space="preserve"> </w:t>
      </w:r>
      <w:r w:rsidRPr="00E31BBF">
        <w:t>offence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perform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disagreeable</w:t>
      </w:r>
      <w:r w:rsidR="00C21DB7">
        <w:t xml:space="preserve"> </w:t>
      </w:r>
      <w:r w:rsidRPr="00E31BBF">
        <w:t>duties,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keeping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situation,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performed</w:t>
      </w:r>
      <w:r w:rsidR="00C21DB7">
        <w:t xml:space="preserve"> </w:t>
      </w:r>
      <w:r w:rsidRPr="00E31BBF">
        <w:t>through</w:t>
      </w:r>
      <w:r w:rsidR="00C21DB7">
        <w:t xml:space="preserve"> </w:t>
      </w:r>
      <w:r w:rsidRPr="00E31BBF">
        <w:t>deprivation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liberty,</w:t>
      </w:r>
      <w:r w:rsidR="00C21DB7">
        <w:t xml:space="preserve"> </w:t>
      </w:r>
      <w:r w:rsidRPr="00E31BBF">
        <w:t>violence,</w:t>
      </w:r>
      <w:r w:rsidR="00C21DB7">
        <w:t xml:space="preserve"> </w:t>
      </w:r>
      <w:r w:rsidRPr="00E31BBF">
        <w:t>deceit,</w:t>
      </w:r>
      <w:r w:rsidR="00C21DB7">
        <w:t xml:space="preserve"> </w:t>
      </w:r>
      <w:r w:rsidRPr="00E31BBF">
        <w:t>threatening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cause</w:t>
      </w:r>
      <w:r w:rsidR="00C21DB7">
        <w:t xml:space="preserve"> </w:t>
      </w:r>
      <w:r w:rsidRPr="00E31BBF">
        <w:t>damage,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taking</w:t>
      </w:r>
      <w:r w:rsidR="00C21DB7">
        <w:t xml:space="preserve"> </w:t>
      </w:r>
      <w:r w:rsidRPr="00E31BBF">
        <w:t>advantage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dependence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another</w:t>
      </w:r>
      <w:r w:rsidR="00C21DB7">
        <w:t xml:space="preserve"> </w:t>
      </w:r>
      <w:r w:rsidRPr="00E31BBF">
        <w:t>person,</w:t>
      </w:r>
      <w:r w:rsidR="00C21DB7">
        <w:t xml:space="preserve"> </w:t>
      </w:r>
      <w:r w:rsidRPr="00E31BBF">
        <w:t>helpless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vulnerable</w:t>
      </w:r>
      <w:r w:rsidR="00C21DB7">
        <w:t xml:space="preserve"> </w:t>
      </w:r>
      <w:r w:rsidRPr="00E31BBF">
        <w:t>situation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person,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punishable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seven</w:t>
      </w:r>
      <w:r w:rsidR="00C21DB7">
        <w:t xml:space="preserve"> </w:t>
      </w:r>
      <w:r w:rsidRPr="00E31BBF">
        <w:t>years</w:t>
      </w:r>
      <w:r w:rsidR="003E41EF">
        <w:t>’</w:t>
      </w:r>
      <w:r w:rsidR="00C21DB7">
        <w:t xml:space="preserve"> </w:t>
      </w:r>
      <w:r w:rsidRPr="00E31BBF">
        <w:t>imprisonment.</w:t>
      </w:r>
      <w:proofErr w:type="gramEnd"/>
      <w:r w:rsidR="00C21DB7">
        <w:t xml:space="preserve"> </w:t>
      </w:r>
    </w:p>
    <w:p w:rsidR="002F001C" w:rsidRPr="00E31BBF" w:rsidRDefault="002F001C" w:rsidP="00732F46">
      <w:pPr>
        <w:pStyle w:val="SingleTxtG"/>
      </w:pPr>
      <w:proofErr w:type="gramStart"/>
      <w:r w:rsidRPr="00E31BBF">
        <w:t>99.</w:t>
      </w:r>
      <w:r w:rsidRPr="00E31BBF">
        <w:tab/>
        <w:t>The</w:t>
      </w:r>
      <w:r w:rsidR="00C21DB7">
        <w:t xml:space="preserve"> </w:t>
      </w:r>
      <w:r w:rsidRPr="00E31BBF">
        <w:t>same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committed</w:t>
      </w:r>
      <w:r w:rsidR="00C21DB7">
        <w:t xml:space="preserve"> </w:t>
      </w:r>
      <w:r w:rsidRPr="00E31BBF">
        <w:t>against</w:t>
      </w:r>
      <w:r w:rsidR="00C21DB7">
        <w:t xml:space="preserve"> </w:t>
      </w:r>
      <w:r w:rsidRPr="00E31BBF">
        <w:t>two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persons;</w:t>
      </w:r>
      <w:r w:rsidR="00C21DB7">
        <w:t xml:space="preserve"> </w:t>
      </w:r>
      <w:r w:rsidRPr="00E31BBF">
        <w:t>committed</w:t>
      </w:r>
      <w:r w:rsidR="00C21DB7">
        <w:t xml:space="preserve"> </w:t>
      </w:r>
      <w:r w:rsidRPr="00E31BBF">
        <w:t>against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less</w:t>
      </w:r>
      <w:r w:rsidR="00C21DB7">
        <w:t xml:space="preserve"> </w:t>
      </w:r>
      <w:r w:rsidRPr="00E31BBF">
        <w:t>than</w:t>
      </w:r>
      <w:r w:rsidR="00C21DB7">
        <w:t xml:space="preserve"> </w:t>
      </w:r>
      <w:r w:rsidRPr="00E31BBF">
        <w:t>eighteen</w:t>
      </w:r>
      <w:r w:rsidR="00C21DB7">
        <w:t xml:space="preserve"> </w:t>
      </w:r>
      <w:r w:rsidRPr="00E31BBF">
        <w:t>years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age;</w:t>
      </w:r>
      <w:r w:rsidR="00C21DB7">
        <w:t xml:space="preserve"> </w:t>
      </w:r>
      <w:r w:rsidRPr="00E31BBF">
        <w:t>committed</w:t>
      </w:r>
      <w:r w:rsidR="00C21DB7">
        <w:t xml:space="preserve"> </w:t>
      </w:r>
      <w:r w:rsidRPr="00E31BBF">
        <w:t>against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helpless</w:t>
      </w:r>
      <w:r w:rsidR="00C21DB7">
        <w:t xml:space="preserve"> </w:t>
      </w:r>
      <w:r w:rsidRPr="00E31BBF">
        <w:t>situation;</w:t>
      </w:r>
      <w:r w:rsidR="00C21DB7">
        <w:t xml:space="preserve"> </w:t>
      </w:r>
      <w:r w:rsidRPr="00E31BBF">
        <w:t>committed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torturous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cruel</w:t>
      </w:r>
      <w:r w:rsidR="00C21DB7">
        <w:t xml:space="preserve"> </w:t>
      </w:r>
      <w:r w:rsidRPr="00E31BBF">
        <w:t>manner;</w:t>
      </w:r>
      <w:r w:rsidR="00C21DB7">
        <w:t xml:space="preserve"> </w:t>
      </w:r>
      <w:r w:rsidRPr="00E31BBF">
        <w:t>serious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damage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caused</w:t>
      </w:r>
      <w:r w:rsidR="00C21DB7">
        <w:t xml:space="preserve"> </w:t>
      </w:r>
      <w:r w:rsidRPr="00E31BBF">
        <w:t>thereby;</w:t>
      </w:r>
      <w:r w:rsidR="00C21DB7">
        <w:t xml:space="preserve"> </w:t>
      </w:r>
      <w:r w:rsidRPr="00E31BBF">
        <w:t>danger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life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caused</w:t>
      </w:r>
      <w:r w:rsidR="00C21DB7">
        <w:t xml:space="preserve"> </w:t>
      </w:r>
      <w:r w:rsidRPr="00E31BBF">
        <w:t>thereby;</w:t>
      </w:r>
      <w:r w:rsidR="00C21DB7">
        <w:t xml:space="preserve"> </w:t>
      </w:r>
      <w:r w:rsidRPr="00E31BBF">
        <w:t>committed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group;</w:t>
      </w:r>
      <w:r w:rsidR="00C21DB7">
        <w:t xml:space="preserve"> </w:t>
      </w:r>
      <w:r w:rsidRPr="00E31BBF">
        <w:t>committed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taking</w:t>
      </w:r>
      <w:r w:rsidR="00C21DB7">
        <w:t xml:space="preserve"> </w:t>
      </w:r>
      <w:r w:rsidRPr="00E31BBF">
        <w:t>advantage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official</w:t>
      </w:r>
      <w:r w:rsidR="00C21DB7">
        <w:t xml:space="preserve"> </w:t>
      </w:r>
      <w:r w:rsidRPr="00E31BBF">
        <w:t>position;</w:t>
      </w:r>
      <w:r w:rsidR="00C21DB7">
        <w:t xml:space="preserve"> </w:t>
      </w:r>
      <w:r w:rsidRPr="00E31BBF">
        <w:t>serious</w:t>
      </w:r>
      <w:r w:rsidR="00C21DB7">
        <w:t xml:space="preserve"> </w:t>
      </w:r>
      <w:r w:rsidRPr="00E31BBF">
        <w:t>consequences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caused</w:t>
      </w:r>
      <w:r w:rsidR="00C21DB7">
        <w:t xml:space="preserve"> </w:t>
      </w:r>
      <w:r w:rsidRPr="00E31BBF">
        <w:t>thereby;</w:t>
      </w:r>
      <w:r w:rsidR="00C21DB7">
        <w:t xml:space="preserve"> </w:t>
      </w:r>
      <w:r w:rsidRPr="00E31BBF">
        <w:t>committed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previously</w:t>
      </w:r>
      <w:r w:rsidR="00C21DB7">
        <w:t xml:space="preserve"> </w:t>
      </w:r>
      <w:r w:rsidRPr="00E31BBF">
        <w:t>committed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criminal</w:t>
      </w:r>
      <w:r w:rsidR="00C21DB7">
        <w:t xml:space="preserve"> </w:t>
      </w:r>
      <w:r w:rsidRPr="00E31BBF">
        <w:t>offence</w:t>
      </w:r>
      <w:r w:rsidR="00C21DB7">
        <w:t xml:space="preserve"> </w:t>
      </w:r>
      <w:r w:rsidRPr="00E31BBF">
        <w:t>provided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similar</w:t>
      </w:r>
      <w:r w:rsidR="00C21DB7">
        <w:t xml:space="preserve"> </w:t>
      </w:r>
      <w:r w:rsidRPr="00E31BBF">
        <w:t>sections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Code,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punishable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three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fifteen</w:t>
      </w:r>
      <w:r w:rsidR="00C21DB7">
        <w:t xml:space="preserve"> </w:t>
      </w:r>
      <w:r w:rsidRPr="00E31BBF">
        <w:t>years</w:t>
      </w:r>
      <w:r w:rsidR="003E41EF">
        <w:t>’</w:t>
      </w:r>
      <w:r w:rsidR="00C21DB7">
        <w:t xml:space="preserve"> </w:t>
      </w:r>
      <w:r w:rsidRPr="00E31BBF">
        <w:t>imprisonment.</w:t>
      </w:r>
      <w:proofErr w:type="gramEnd"/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100.</w:t>
      </w:r>
      <w:r w:rsidRPr="00E31BBF">
        <w:tab/>
        <w:t>Commission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any</w:t>
      </w:r>
      <w:r w:rsidR="00C21DB7">
        <w:t xml:space="preserve"> </w:t>
      </w:r>
      <w:r w:rsidRPr="00E31BBF">
        <w:t>offence</w:t>
      </w:r>
      <w:r w:rsidR="00C21DB7">
        <w:t xml:space="preserve"> </w:t>
      </w:r>
      <w:r w:rsidRPr="00E31BBF">
        <w:t>knowingly</w:t>
      </w:r>
      <w:r w:rsidR="00C21DB7">
        <w:t xml:space="preserve"> </w:t>
      </w:r>
      <w:r w:rsidRPr="00E31BBF">
        <w:t>against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less</w:t>
      </w:r>
      <w:r w:rsidR="00C21DB7">
        <w:t xml:space="preserve"> </w:t>
      </w:r>
      <w:r w:rsidRPr="00E31BBF">
        <w:t>than</w:t>
      </w:r>
      <w:r w:rsidR="00C21DB7">
        <w:t xml:space="preserve"> </w:t>
      </w:r>
      <w:r w:rsidRPr="00E31BBF">
        <w:t>eighteen</w:t>
      </w:r>
      <w:r w:rsidR="00C21DB7">
        <w:t xml:space="preserve"> </w:t>
      </w:r>
      <w:r w:rsidRPr="00E31BBF">
        <w:t>years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age,</w:t>
      </w:r>
      <w:r w:rsidR="00C21DB7">
        <w:t xml:space="preserve"> </w:t>
      </w:r>
      <w:r w:rsidRPr="00E31BBF">
        <w:t>pregnant,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advanced</w:t>
      </w:r>
      <w:r w:rsidR="00C21DB7">
        <w:t xml:space="preserve"> </w:t>
      </w:r>
      <w:r w:rsidRPr="00E31BBF">
        <w:t>age,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need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assistance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having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disorder</w:t>
      </w:r>
      <w:r w:rsidR="00C21DB7">
        <w:t xml:space="preserve"> </w:t>
      </w:r>
      <w:proofErr w:type="gramStart"/>
      <w:r w:rsidRPr="00E31BBF">
        <w:t>is</w:t>
      </w:r>
      <w:r w:rsidR="00C21DB7">
        <w:t xml:space="preserve"> </w:t>
      </w:r>
      <w:r w:rsidRPr="00E31BBF">
        <w:t>considered</w:t>
      </w:r>
      <w:proofErr w:type="gramEnd"/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aggravating</w:t>
      </w:r>
      <w:r w:rsidR="00C21DB7">
        <w:t xml:space="preserve"> </w:t>
      </w:r>
      <w:r w:rsidRPr="00E31BBF">
        <w:t>circumstance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58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Code,</w:t>
      </w:r>
      <w:r w:rsidR="00C21DB7">
        <w:t xml:space="preserve"> </w:t>
      </w:r>
      <w:r w:rsidRPr="00E31BBF">
        <w:t>clause</w:t>
      </w:r>
      <w:r w:rsidR="00C21DB7">
        <w:t xml:space="preserve"> </w:t>
      </w:r>
      <w:r w:rsidRPr="00E31BBF">
        <w:t>3.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law</w:t>
      </w:r>
      <w:r w:rsidR="00C21DB7">
        <w:t xml:space="preserve"> </w:t>
      </w:r>
      <w:r w:rsidRPr="00E31BBF">
        <w:t>protects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particular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need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assistance</w:t>
      </w:r>
      <w:r w:rsidR="00C21DB7">
        <w:t xml:space="preserve"> </w:t>
      </w:r>
      <w:r w:rsidRPr="00E31BBF">
        <w:t>(in</w:t>
      </w:r>
      <w:r w:rsidR="00C21DB7">
        <w:t xml:space="preserve"> </w:t>
      </w:r>
      <w:r w:rsidRPr="00E31BBF">
        <w:t>Estonian,</w:t>
      </w:r>
      <w:r w:rsidR="00C21DB7">
        <w:t xml:space="preserve"> </w:t>
      </w:r>
      <w:r w:rsidRPr="00E31BBF">
        <w:t>literally</w:t>
      </w:r>
      <w:r w:rsidR="00C21DB7">
        <w:t xml:space="preserve"> </w:t>
      </w:r>
      <w:r w:rsidR="003E41EF">
        <w:t>‘</w:t>
      </w:r>
      <w:r w:rsidRPr="00E31BBF">
        <w:t>helpless</w:t>
      </w:r>
      <w:r w:rsidR="00C21DB7">
        <w:t xml:space="preserve"> </w:t>
      </w:r>
      <w:r w:rsidRPr="00E31BBF">
        <w:t>person</w:t>
      </w:r>
      <w:r w:rsidR="003E41EF">
        <w:t>’</w:t>
      </w:r>
      <w:r w:rsidRPr="00E31BBF">
        <w:t>);</w:t>
      </w:r>
      <w:r w:rsidR="00C21DB7">
        <w:t xml:space="preserve"> </w:t>
      </w:r>
      <w:r w:rsidRPr="00E31BBF">
        <w:t>sexual</w:t>
      </w:r>
      <w:r w:rsidR="00C21DB7">
        <w:t xml:space="preserve"> </w:t>
      </w:r>
      <w:r w:rsidRPr="00E31BBF">
        <w:t>offences</w:t>
      </w:r>
      <w:r w:rsidR="00C21DB7">
        <w:t xml:space="preserve"> </w:t>
      </w:r>
      <w:r w:rsidRPr="00E31BBF">
        <w:t>committed</w:t>
      </w:r>
      <w:r w:rsidR="00C21DB7">
        <w:t xml:space="preserve"> </w:t>
      </w:r>
      <w:r w:rsidRPr="00E31BBF">
        <w:t>against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victims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capable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initiating</w:t>
      </w:r>
      <w:r w:rsidR="00C21DB7">
        <w:t xml:space="preserve"> </w:t>
      </w:r>
      <w:r w:rsidRPr="00E31BBF">
        <w:t>resistance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comprehending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situation</w:t>
      </w:r>
      <w:r w:rsidR="00C21DB7">
        <w:t xml:space="preserve"> </w:t>
      </w:r>
      <w:proofErr w:type="gramStart"/>
      <w:r w:rsidRPr="00E31BBF">
        <w:t>are</w:t>
      </w:r>
      <w:r w:rsidR="00C21DB7">
        <w:t xml:space="preserve"> </w:t>
      </w:r>
      <w:r w:rsidRPr="00E31BBF">
        <w:t>considered</w:t>
      </w:r>
      <w:proofErr w:type="gramEnd"/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serious.</w:t>
      </w:r>
    </w:p>
    <w:p w:rsidR="002F001C" w:rsidRPr="00E31BBF" w:rsidRDefault="002F001C" w:rsidP="00732F46">
      <w:pPr>
        <w:pStyle w:val="SingleTxtG"/>
      </w:pPr>
      <w:proofErr w:type="gramStart"/>
      <w:r w:rsidRPr="00E31BBF">
        <w:t>101.</w:t>
      </w:r>
      <w:r w:rsidRPr="00E31BBF">
        <w:tab/>
        <w:t>Pursuant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6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Code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Criminal</w:t>
      </w:r>
      <w:r w:rsidR="00C21DB7">
        <w:t xml:space="preserve"> </w:t>
      </w:r>
      <w:r w:rsidRPr="00E31BBF">
        <w:t>Procedure,</w:t>
      </w:r>
      <w:r w:rsidR="00C21DB7">
        <w:t xml:space="preserve"> </w:t>
      </w:r>
      <w:r w:rsidRPr="00E31BBF">
        <w:t>investigative</w:t>
      </w:r>
      <w:r w:rsidR="00C21DB7">
        <w:t xml:space="preserve"> </w:t>
      </w:r>
      <w:r w:rsidRPr="00E31BBF">
        <w:t>bodies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Prosecutors</w:t>
      </w:r>
      <w:r w:rsidR="003E41EF">
        <w:t>’</w:t>
      </w:r>
      <w:r w:rsidR="00C21DB7">
        <w:t xml:space="preserve"> </w:t>
      </w:r>
      <w:r w:rsidRPr="00E31BBF">
        <w:t>Offices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required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conduct</w:t>
      </w:r>
      <w:r w:rsidR="00C21DB7">
        <w:t xml:space="preserve"> </w:t>
      </w:r>
      <w:r w:rsidRPr="00E31BBF">
        <w:t>criminal</w:t>
      </w:r>
      <w:r w:rsidR="00C21DB7">
        <w:t xml:space="preserve"> </w:t>
      </w:r>
      <w:r w:rsidRPr="00E31BBF">
        <w:t>proceedings</w:t>
      </w:r>
      <w:r w:rsidR="00C21DB7">
        <w:t xml:space="preserve"> </w:t>
      </w:r>
      <w:r w:rsidRPr="00E31BBF">
        <w:t>upon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appearance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facts</w:t>
      </w:r>
      <w:r w:rsidR="00C21DB7">
        <w:t xml:space="preserve"> </w:t>
      </w:r>
      <w:r w:rsidRPr="00E31BBF">
        <w:t>indicative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criminal</w:t>
      </w:r>
      <w:r w:rsidR="00C21DB7">
        <w:t xml:space="preserve"> </w:t>
      </w:r>
      <w:r w:rsidRPr="00E31BBF">
        <w:t>offence,</w:t>
      </w:r>
      <w:r w:rsidR="00C21DB7">
        <w:t xml:space="preserve"> </w:t>
      </w:r>
      <w:r w:rsidRPr="00E31BBF">
        <w:t>unless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circumstances</w:t>
      </w:r>
      <w:r w:rsidR="00C21DB7">
        <w:t xml:space="preserve"> </w:t>
      </w:r>
      <w:r w:rsidRPr="00E31BBF">
        <w:t>provided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§</w:t>
      </w:r>
      <w:r w:rsidR="00C21DB7">
        <w:t xml:space="preserve"> </w:t>
      </w:r>
      <w:r w:rsidRPr="00E31BBF">
        <w:t>199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Code</w:t>
      </w:r>
      <w:r w:rsidR="00C21DB7">
        <w:t xml:space="preserve"> </w:t>
      </w:r>
      <w:r w:rsidRPr="00E31BBF">
        <w:t>exist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preclude</w:t>
      </w:r>
      <w:r w:rsidR="00C21DB7">
        <w:t xml:space="preserve"> </w:t>
      </w:r>
      <w:r w:rsidRPr="00E31BBF">
        <w:t>criminal</w:t>
      </w:r>
      <w:r w:rsidR="00C21DB7">
        <w:t xml:space="preserve"> </w:t>
      </w:r>
      <w:r w:rsidRPr="00E31BBF">
        <w:t>procedure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unless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grounds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terminate</w:t>
      </w:r>
      <w:r w:rsidR="00C21DB7">
        <w:t xml:space="preserve"> </w:t>
      </w:r>
      <w:r w:rsidRPr="00E31BBF">
        <w:t>criminal</w:t>
      </w:r>
      <w:r w:rsidR="00C21DB7">
        <w:t xml:space="preserve"> </w:t>
      </w:r>
      <w:r w:rsidRPr="00E31BBF">
        <w:t>proceedings</w:t>
      </w:r>
      <w:r w:rsidR="00C21DB7">
        <w:t xml:space="preserve"> </w:t>
      </w:r>
      <w:r w:rsidRPr="00E31BBF">
        <w:t>pursuant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subsection</w:t>
      </w:r>
      <w:r w:rsidR="00C21DB7">
        <w:t xml:space="preserve"> </w:t>
      </w:r>
      <w:r w:rsidRPr="00E31BBF">
        <w:t>201</w:t>
      </w:r>
      <w:r w:rsidR="00C21DB7">
        <w:t xml:space="preserve"> </w:t>
      </w:r>
      <w:r w:rsidRPr="00E31BBF">
        <w:t>(2),</w:t>
      </w:r>
      <w:r w:rsidR="00C21DB7">
        <w:t xml:space="preserve"> </w:t>
      </w:r>
      <w:r w:rsidRPr="00E31BBF">
        <w:t>§§</w:t>
      </w:r>
      <w:r w:rsidR="00C21DB7">
        <w:t xml:space="preserve"> </w:t>
      </w:r>
      <w:r w:rsidRPr="00E31BBF">
        <w:t>202,</w:t>
      </w:r>
      <w:r w:rsidR="00C21DB7">
        <w:t xml:space="preserve"> </w:t>
      </w:r>
      <w:r w:rsidRPr="00E31BBF">
        <w:t>203,</w:t>
      </w:r>
      <w:r w:rsidR="00C21DB7">
        <w:t xml:space="preserve"> </w:t>
      </w:r>
      <w:r w:rsidRPr="00E31BBF">
        <w:t>203-1,</w:t>
      </w:r>
      <w:r w:rsidR="00C21DB7">
        <w:t xml:space="preserve"> </w:t>
      </w:r>
      <w:r w:rsidRPr="00E31BBF">
        <w:t>204,</w:t>
      </w:r>
      <w:r w:rsidR="00C21DB7">
        <w:t xml:space="preserve"> </w:t>
      </w:r>
      <w:r w:rsidRPr="00E31BBF">
        <w:t>205,</w:t>
      </w:r>
      <w:r w:rsidR="00C21DB7">
        <w:t xml:space="preserve"> </w:t>
      </w:r>
      <w:r w:rsidRPr="00E31BBF">
        <w:t>205-1,</w:t>
      </w:r>
      <w:r w:rsidR="00C21DB7">
        <w:t xml:space="preserve"> </w:t>
      </w:r>
      <w:r w:rsidRPr="00E31BBF">
        <w:t>205-2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subsection</w:t>
      </w:r>
      <w:r w:rsidR="00C21DB7">
        <w:t xml:space="preserve"> </w:t>
      </w:r>
      <w:r w:rsidRPr="00E31BBF">
        <w:t>435</w:t>
      </w:r>
      <w:r w:rsidR="00C21DB7">
        <w:t xml:space="preserve"> </w:t>
      </w:r>
      <w:r w:rsidRPr="00E31BBF">
        <w:t>(3)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Code</w:t>
      </w:r>
      <w:r w:rsidR="00C21DB7">
        <w:t xml:space="preserve"> </w:t>
      </w:r>
      <w:r w:rsidRPr="00E31BBF">
        <w:t>exist.</w:t>
      </w:r>
      <w:proofErr w:type="gramEnd"/>
      <w:r w:rsidR="00C21DB7">
        <w:t xml:space="preserve"> </w:t>
      </w:r>
      <w:r w:rsidRPr="00E31BBF">
        <w:t>Termination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criminal</w:t>
      </w:r>
      <w:r w:rsidR="00C21DB7">
        <w:t xml:space="preserve"> </w:t>
      </w:r>
      <w:r w:rsidRPr="00E31BBF">
        <w:t>proceedings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likely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lawful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offence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first</w:t>
      </w:r>
      <w:r w:rsidR="00C21DB7">
        <w:t xml:space="preserve"> </w:t>
      </w:r>
      <w:r w:rsidRPr="00E31BBF">
        <w:t>degree,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case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torture,</w:t>
      </w:r>
      <w:r w:rsidR="00C21DB7">
        <w:t xml:space="preserve"> </w:t>
      </w:r>
      <w:r w:rsidRPr="00E31BBF">
        <w:t>serious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damage,</w:t>
      </w:r>
      <w:r w:rsidR="00C21DB7">
        <w:t xml:space="preserve"> </w:t>
      </w:r>
      <w:r w:rsidRPr="00E31BBF">
        <w:t>human</w:t>
      </w:r>
      <w:r w:rsidR="00C21DB7">
        <w:t xml:space="preserve"> </w:t>
      </w:r>
      <w:r w:rsidRPr="00E31BBF">
        <w:t>trafficking,</w:t>
      </w:r>
      <w:r w:rsidR="00C21DB7">
        <w:t xml:space="preserve"> </w:t>
      </w:r>
      <w:r w:rsidRPr="00E31BBF">
        <w:t>rape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similar</w:t>
      </w:r>
      <w:r w:rsidR="00C21DB7">
        <w:t xml:space="preserve"> </w:t>
      </w:r>
      <w:r w:rsidRPr="00E31BBF">
        <w:t>offences.</w:t>
      </w:r>
      <w:r w:rsidR="00C21DB7">
        <w:t xml:space="preserve"> </w:t>
      </w:r>
      <w:r w:rsidRPr="00E31BBF">
        <w:t>Pursuant</w:t>
      </w:r>
      <w:r w:rsidR="00C21DB7">
        <w:t xml:space="preserve"> </w:t>
      </w:r>
      <w:r w:rsidRPr="00E31BBF">
        <w:t>to</w:t>
      </w:r>
      <w:r w:rsidR="00C21DB7">
        <w:t xml:space="preserve"> </w:t>
      </w:r>
      <w:proofErr w:type="gramStart"/>
      <w:r w:rsidRPr="00E31BBF">
        <w:t>sections</w:t>
      </w:r>
      <w:proofErr w:type="gramEnd"/>
      <w:r w:rsidR="00C21DB7">
        <w:t xml:space="preserve"> </w:t>
      </w:r>
      <w:r w:rsidRPr="00E31BBF">
        <w:t>306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307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Penal</w:t>
      </w:r>
      <w:r w:rsidR="00C21DB7">
        <w:t xml:space="preserve"> </w:t>
      </w:r>
      <w:r w:rsidRPr="00E31BBF">
        <w:t>Code,</w:t>
      </w:r>
      <w:r w:rsidR="00C21DB7">
        <w:t xml:space="preserve"> </w:t>
      </w:r>
      <w:r w:rsidRPr="00E31BBF">
        <w:t>non-disclosure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failure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report</w:t>
      </w:r>
      <w:r w:rsidR="00C21DB7">
        <w:t xml:space="preserve"> </w:t>
      </w:r>
      <w:r w:rsidRPr="00E31BBF">
        <w:t>first</w:t>
      </w:r>
      <w:r w:rsidR="00C21DB7">
        <w:t xml:space="preserve"> </w:t>
      </w:r>
      <w:r w:rsidRPr="00E31BBF">
        <w:t>degree</w:t>
      </w:r>
      <w:r w:rsidR="00C21DB7">
        <w:t xml:space="preserve"> </w:t>
      </w:r>
      <w:r w:rsidRPr="00E31BBF">
        <w:t>offences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offence</w:t>
      </w:r>
      <w:r w:rsidR="00C21DB7">
        <w:t xml:space="preserve"> </w:t>
      </w:r>
      <w:r w:rsidRPr="00E31BBF">
        <w:t>punishable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up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five</w:t>
      </w:r>
      <w:r w:rsidR="00C21DB7">
        <w:t xml:space="preserve"> </w:t>
      </w:r>
      <w:r w:rsidRPr="00E31BBF">
        <w:t>years</w:t>
      </w:r>
      <w:r w:rsidR="00C21DB7">
        <w:t xml:space="preserve"> </w:t>
      </w:r>
      <w:r w:rsidRPr="00E31BBF">
        <w:t>imprisonment.</w:t>
      </w:r>
      <w:r w:rsidR="00C21DB7">
        <w:t xml:space="preserve"> </w:t>
      </w:r>
      <w:r w:rsidRPr="00E31BBF">
        <w:t>Thus,</w:t>
      </w:r>
      <w:r w:rsidR="00C21DB7">
        <w:t xml:space="preserve"> </w:t>
      </w:r>
      <w:r w:rsidRPr="00E31BBF">
        <w:t>officials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any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having</w:t>
      </w:r>
      <w:r w:rsidR="00C21DB7">
        <w:t xml:space="preserve"> </w:t>
      </w:r>
      <w:r w:rsidRPr="00E31BBF">
        <w:t>knowledge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offence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legally</w:t>
      </w:r>
      <w:r w:rsidR="00C21DB7">
        <w:t xml:space="preserve"> </w:t>
      </w:r>
      <w:r w:rsidRPr="00E31BBF">
        <w:t>bound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report</w:t>
      </w:r>
      <w:r w:rsidR="00C21DB7">
        <w:t xml:space="preserve"> </w:t>
      </w:r>
      <w:r w:rsidRPr="00E31BBF">
        <w:t>it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law</w:t>
      </w:r>
      <w:r w:rsidR="00C21DB7">
        <w:t xml:space="preserve"> </w:t>
      </w:r>
      <w:r w:rsidRPr="00E31BBF">
        <w:t>enforcement</w:t>
      </w:r>
      <w:r w:rsidR="00C21DB7">
        <w:t xml:space="preserve"> </w:t>
      </w:r>
      <w:r w:rsidRPr="00E31BBF">
        <w:t>authority.</w:t>
      </w:r>
      <w:r w:rsidR="00C21DB7">
        <w:t xml:space="preserve"> </w:t>
      </w:r>
      <w:r w:rsidRPr="00E31BBF">
        <w:t>Reporting</w:t>
      </w:r>
      <w:r w:rsidR="00C21DB7">
        <w:t xml:space="preserve"> </w:t>
      </w:r>
      <w:r w:rsidRPr="00E31BBF">
        <w:t>may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done</w:t>
      </w:r>
      <w:r w:rsidR="00C21DB7">
        <w:t xml:space="preserve"> </w:t>
      </w:r>
      <w:r w:rsidRPr="00E31BBF">
        <w:t>by</w:t>
      </w:r>
      <w:r w:rsidR="00C21DB7">
        <w:t xml:space="preserve"> </w:t>
      </w:r>
      <w:proofErr w:type="gramStart"/>
      <w:r w:rsidRPr="00E31BBF">
        <w:t>any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all</w:t>
      </w:r>
      <w:proofErr w:type="gramEnd"/>
      <w:r w:rsidR="00C21DB7">
        <w:t xml:space="preserve"> </w:t>
      </w:r>
      <w:r w:rsidRPr="00E31BBF">
        <w:t>possible</w:t>
      </w:r>
      <w:r w:rsidR="00C21DB7">
        <w:t xml:space="preserve"> </w:t>
      </w:r>
      <w:r w:rsidRPr="00E31BBF">
        <w:t>channels,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anonymous</w:t>
      </w:r>
      <w:r w:rsidR="00C21DB7">
        <w:t xml:space="preserve"> </w:t>
      </w:r>
      <w:r w:rsidRPr="00E31BBF">
        <w:t>reporting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hotline,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electronic</w:t>
      </w:r>
      <w:r w:rsidR="00C21DB7">
        <w:t xml:space="preserve"> </w:t>
      </w:r>
      <w:r w:rsidRPr="00E31BBF">
        <w:t>means,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writing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person.</w:t>
      </w:r>
    </w:p>
    <w:p w:rsidR="002F001C" w:rsidRPr="00E31BBF" w:rsidRDefault="002F001C" w:rsidP="00732F46">
      <w:pPr>
        <w:pStyle w:val="SingleTxtG"/>
      </w:pPr>
      <w:r w:rsidRPr="00E31BBF">
        <w:t>102.</w:t>
      </w:r>
      <w:r w:rsidRPr="00E31BBF">
        <w:tab/>
        <w:t>See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answers</w:t>
      </w:r>
      <w:r w:rsidR="00C21DB7">
        <w:t xml:space="preserve"> </w:t>
      </w:r>
      <w:r w:rsidRPr="00E31BBF">
        <w:t>provided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article</w:t>
      </w:r>
      <w:r w:rsidR="00C21DB7">
        <w:t xml:space="preserve"> </w:t>
      </w:r>
      <w:proofErr w:type="gramStart"/>
      <w:r w:rsidRPr="00E31BBF">
        <w:t>5</w:t>
      </w:r>
      <w:proofErr w:type="gramEnd"/>
      <w:r w:rsidR="00C21DB7">
        <w:t xml:space="preserve"> </w:t>
      </w:r>
      <w:r w:rsidRPr="00E31BBF">
        <w:t>p3</w:t>
      </w:r>
      <w:r w:rsidR="00C21DB7">
        <w:t xml:space="preserve"> </w:t>
      </w:r>
      <w:r w:rsidRPr="00E31BBF">
        <w:t>(a),</w:t>
      </w:r>
      <w:r w:rsidR="00C21DB7">
        <w:t xml:space="preserve"> </w:t>
      </w:r>
      <w:r w:rsidRPr="00E31BBF">
        <w:t>(b),</w:t>
      </w:r>
      <w:r w:rsidR="00C21DB7">
        <w:t xml:space="preserve"> </w:t>
      </w:r>
      <w:r w:rsidRPr="00E31BBF">
        <w:t>(e)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6</w:t>
      </w:r>
      <w:r w:rsidR="00C21DB7">
        <w:t xml:space="preserve"> </w:t>
      </w:r>
      <w:r w:rsidRPr="00E31BBF">
        <w:t>(a)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(b).</w:t>
      </w:r>
      <w:r w:rsidR="00C21DB7">
        <w:t xml:space="preserve"> </w:t>
      </w:r>
    </w:p>
    <w:p w:rsidR="002F001C" w:rsidRPr="00E31BBF" w:rsidRDefault="002F001C" w:rsidP="00A3560D">
      <w:pPr>
        <w:pStyle w:val="H1G"/>
      </w:pPr>
      <w:r w:rsidRPr="00E31BBF">
        <w:tab/>
      </w:r>
      <w:r w:rsidRPr="00E31BBF">
        <w:tab/>
        <w:t>Living</w:t>
      </w:r>
      <w:r w:rsidR="00C21DB7">
        <w:t xml:space="preserve"> </w:t>
      </w:r>
      <w:r w:rsidRPr="00E31BBF">
        <w:t>independently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being</w:t>
      </w:r>
      <w:r w:rsidR="00C21DB7">
        <w:t xml:space="preserve"> </w:t>
      </w:r>
      <w:r w:rsidRPr="00E31BBF">
        <w:t>included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community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19)</w:t>
      </w:r>
      <w:r w:rsidR="00C21DB7">
        <w:t xml:space="preserve"> </w:t>
      </w:r>
    </w:p>
    <w:p w:rsidR="002F001C" w:rsidRPr="00E31BBF" w:rsidRDefault="002F001C" w:rsidP="00A3560D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14</w:t>
      </w:r>
      <w:r w:rsidR="00B10A4D">
        <w:t xml:space="preserve"> </w:t>
      </w:r>
      <w:r w:rsidRPr="00E31BBF">
        <w:t>(a),</w:t>
      </w:r>
      <w:r w:rsidR="00C21DB7">
        <w:t xml:space="preserve"> </w:t>
      </w:r>
      <w:r w:rsidRPr="00E31BBF">
        <w:t>(b)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(c)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103.</w:t>
      </w:r>
      <w:r w:rsidRPr="00E31BBF">
        <w:tab/>
        <w:t>Transition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institutional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community-based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(deinstitutionalisation)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priorities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Estonia.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initial</w:t>
      </w:r>
      <w:r w:rsidR="00C21DB7">
        <w:t xml:space="preserve"> </w:t>
      </w:r>
      <w:r w:rsidRPr="00E31BBF">
        <w:t>plans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process</w:t>
      </w:r>
      <w:r w:rsidR="00C21DB7">
        <w:t xml:space="preserve"> </w:t>
      </w:r>
      <w:proofErr w:type="gramStart"/>
      <w:r w:rsidRPr="00E31BBF">
        <w:t>were</w:t>
      </w:r>
      <w:r w:rsidR="00C21DB7">
        <w:t xml:space="preserve"> </w:t>
      </w:r>
      <w:r w:rsidRPr="00E31BBF">
        <w:t>made</w:t>
      </w:r>
      <w:proofErr w:type="gramEnd"/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than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decade</w:t>
      </w:r>
      <w:r w:rsidR="00C21DB7">
        <w:t xml:space="preserve"> </w:t>
      </w:r>
      <w:r w:rsidRPr="00E31BBF">
        <w:t>ago,</w:t>
      </w:r>
      <w:r w:rsidR="00C21DB7">
        <w:t xml:space="preserve"> </w:t>
      </w:r>
      <w:r w:rsidRPr="00E31BBF">
        <w:t>while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progress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made</w:t>
      </w:r>
      <w:r w:rsidR="00C21DB7">
        <w:t xml:space="preserve"> </w:t>
      </w:r>
      <w:r w:rsidRPr="00E31BBF">
        <w:t>recently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developing</w:t>
      </w:r>
      <w:r w:rsidR="00C21DB7">
        <w:t xml:space="preserve"> </w:t>
      </w:r>
      <w:r w:rsidRPr="00E31BBF">
        <w:t>new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analysing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possibilities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governments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provision.</w:t>
      </w:r>
    </w:p>
    <w:p w:rsidR="002F001C" w:rsidRPr="00E31BBF" w:rsidRDefault="002F001C" w:rsidP="00732F46">
      <w:pPr>
        <w:pStyle w:val="SingleTxtG"/>
      </w:pPr>
      <w:r w:rsidRPr="00E31BBF">
        <w:t>104.</w:t>
      </w:r>
      <w:r w:rsidRPr="00E31BBF">
        <w:tab/>
        <w:t>The</w:t>
      </w:r>
      <w:r w:rsidR="00C21DB7">
        <w:t xml:space="preserve"> </w:t>
      </w:r>
      <w:r w:rsidRPr="00E31BBF">
        <w:t>process</w:t>
      </w:r>
      <w:r w:rsidR="00C21DB7">
        <w:t xml:space="preserve"> </w:t>
      </w:r>
      <w:r w:rsidRPr="00E31BBF">
        <w:t>includes</w:t>
      </w:r>
      <w:r w:rsidR="00C21DB7">
        <w:t xml:space="preserve"> </w:t>
      </w:r>
      <w:r w:rsidRPr="00E31BBF">
        <w:t>two</w:t>
      </w:r>
      <w:r w:rsidR="00C21DB7">
        <w:t xml:space="preserve"> </w:t>
      </w:r>
      <w:r w:rsidRPr="00E31BBF">
        <w:t>dimensions:</w:t>
      </w:r>
      <w:r w:rsidR="00C21DB7">
        <w:t xml:space="preserve"> </w:t>
      </w:r>
    </w:p>
    <w:p w:rsidR="002F001C" w:rsidRPr="00E31BBF" w:rsidRDefault="00F22BD6" w:rsidP="00732F46">
      <w:pPr>
        <w:pStyle w:val="SingleTxtG"/>
      </w:pPr>
      <w:r>
        <w:tab/>
      </w:r>
      <w:r w:rsidR="002F001C" w:rsidRPr="00E31BBF">
        <w:t>1.</w:t>
      </w:r>
      <w:r w:rsidR="00C21DB7">
        <w:t xml:space="preserve"> </w:t>
      </w:r>
      <w:r w:rsidR="002F001C" w:rsidRPr="00E31BBF">
        <w:tab/>
        <w:t>Developing</w:t>
      </w:r>
      <w:r w:rsidR="00C21DB7">
        <w:t xml:space="preserve"> </w:t>
      </w:r>
      <w:r w:rsidR="002F001C" w:rsidRPr="00E31BBF">
        <w:t>and</w:t>
      </w:r>
      <w:r w:rsidR="00C21DB7">
        <w:t xml:space="preserve"> </w:t>
      </w:r>
      <w:r w:rsidR="002F001C" w:rsidRPr="00E31BBF">
        <w:t>providing</w:t>
      </w:r>
      <w:r w:rsidR="00C21DB7">
        <w:t xml:space="preserve"> </w:t>
      </w:r>
      <w:r w:rsidR="002F001C" w:rsidRPr="00E31BBF">
        <w:t>community-based,</w:t>
      </w:r>
      <w:r w:rsidR="00C21DB7">
        <w:t xml:space="preserve"> </w:t>
      </w:r>
      <w:r w:rsidR="002F001C" w:rsidRPr="00E31BBF">
        <w:t>supportive</w:t>
      </w:r>
      <w:r w:rsidR="00C21DB7">
        <w:t xml:space="preserve"> </w:t>
      </w:r>
      <w:r w:rsidR="002F001C" w:rsidRPr="00E31BBF">
        <w:t>services</w:t>
      </w:r>
      <w:r w:rsidR="00C21DB7">
        <w:t xml:space="preserve"> </w:t>
      </w:r>
      <w:r w:rsidR="002F001C" w:rsidRPr="00E31BBF">
        <w:t>for</w:t>
      </w:r>
      <w:r w:rsidR="00C21DB7">
        <w:t xml:space="preserve"> </w:t>
      </w:r>
      <w:r w:rsidR="002F001C" w:rsidRPr="00E31BBF">
        <w:t>preventing</w:t>
      </w:r>
      <w:r w:rsidR="00C21DB7">
        <w:t xml:space="preserve"> </w:t>
      </w:r>
      <w:r w:rsidR="002F001C" w:rsidRPr="00E31BBF">
        <w:t>the</w:t>
      </w:r>
      <w:r w:rsidR="00C21DB7">
        <w:t xml:space="preserve"> </w:t>
      </w:r>
      <w:r w:rsidR="002F001C" w:rsidRPr="00E31BBF">
        <w:t>need</w:t>
      </w:r>
      <w:r w:rsidR="00C21DB7">
        <w:t xml:space="preserve"> </w:t>
      </w:r>
      <w:r w:rsidR="002F001C" w:rsidRPr="00E31BBF">
        <w:t>for</w:t>
      </w:r>
      <w:r w:rsidR="00C21DB7">
        <w:t xml:space="preserve"> </w:t>
      </w:r>
      <w:r w:rsidR="002F001C" w:rsidRPr="00E31BBF">
        <w:t>institutionalisation</w:t>
      </w:r>
      <w:r w:rsidR="00C21DB7">
        <w:t xml:space="preserve"> </w:t>
      </w:r>
      <w:r w:rsidR="002F001C" w:rsidRPr="00E31BBF">
        <w:t>and</w:t>
      </w:r>
      <w:r w:rsidR="00C21DB7">
        <w:t xml:space="preserve"> </w:t>
      </w:r>
      <w:r w:rsidR="002F001C" w:rsidRPr="00E31BBF">
        <w:t>enabling</w:t>
      </w:r>
      <w:r w:rsidR="00C21DB7">
        <w:t xml:space="preserve"> </w:t>
      </w:r>
      <w:r w:rsidR="002F001C" w:rsidRPr="00E31BBF">
        <w:t>people</w:t>
      </w:r>
      <w:r w:rsidR="00C21DB7">
        <w:t xml:space="preserve"> </w:t>
      </w:r>
      <w:r w:rsidR="002F001C" w:rsidRPr="00E31BBF">
        <w:t>to</w:t>
      </w:r>
      <w:r w:rsidR="00C21DB7">
        <w:t xml:space="preserve"> </w:t>
      </w:r>
      <w:r w:rsidR="002F001C" w:rsidRPr="00E31BBF">
        <w:t>live</w:t>
      </w:r>
      <w:r w:rsidR="00C21DB7">
        <w:t xml:space="preserve"> </w:t>
      </w:r>
      <w:r w:rsidR="002F001C" w:rsidRPr="00E31BBF">
        <w:t>independently</w:t>
      </w:r>
      <w:proofErr w:type="gramStart"/>
      <w:r w:rsidR="002F001C" w:rsidRPr="00E31BBF">
        <w:t>;</w:t>
      </w:r>
      <w:proofErr w:type="gramEnd"/>
      <w:r w:rsidR="00C21DB7">
        <w:t xml:space="preserve"> </w:t>
      </w:r>
    </w:p>
    <w:p w:rsidR="002F001C" w:rsidRPr="00E31BBF" w:rsidRDefault="00F22BD6" w:rsidP="00732F46">
      <w:pPr>
        <w:pStyle w:val="SingleTxtG"/>
      </w:pPr>
      <w:r>
        <w:tab/>
      </w:r>
      <w:r w:rsidR="002F001C" w:rsidRPr="00E31BBF">
        <w:t>2.</w:t>
      </w:r>
      <w:r w:rsidR="002F001C" w:rsidRPr="00E31BBF">
        <w:tab/>
        <w:t>Providing</w:t>
      </w:r>
      <w:r w:rsidR="00C21DB7">
        <w:t xml:space="preserve"> </w:t>
      </w:r>
      <w:r w:rsidR="002F001C" w:rsidRPr="00E31BBF">
        <w:t>services</w:t>
      </w:r>
      <w:r w:rsidR="00C21DB7">
        <w:t xml:space="preserve"> </w:t>
      </w:r>
      <w:r w:rsidR="002F001C" w:rsidRPr="00E31BBF">
        <w:t>in</w:t>
      </w:r>
      <w:r w:rsidR="00C21DB7">
        <w:t xml:space="preserve"> </w:t>
      </w:r>
      <w:r w:rsidR="002F001C" w:rsidRPr="00E31BBF">
        <w:t>smaller,</w:t>
      </w:r>
      <w:r w:rsidR="00C21DB7">
        <w:t xml:space="preserve"> </w:t>
      </w:r>
      <w:r w:rsidR="002F001C" w:rsidRPr="00E31BBF">
        <w:t>home-like</w:t>
      </w:r>
      <w:r w:rsidR="00C21DB7">
        <w:t xml:space="preserve"> </w:t>
      </w:r>
      <w:r w:rsidR="002F001C" w:rsidRPr="00E31BBF">
        <w:t>institutions</w:t>
      </w:r>
      <w:r w:rsidR="00C21DB7">
        <w:t xml:space="preserve"> </w:t>
      </w:r>
      <w:r w:rsidR="002F001C" w:rsidRPr="00E31BBF">
        <w:t>(family-type</w:t>
      </w:r>
      <w:r w:rsidR="00C21DB7">
        <w:t xml:space="preserve"> </w:t>
      </w:r>
      <w:r w:rsidR="002F001C" w:rsidRPr="00E31BBF">
        <w:t>houses).</w:t>
      </w:r>
    </w:p>
    <w:p w:rsidR="002F001C" w:rsidRPr="00E31BBF" w:rsidRDefault="002F001C" w:rsidP="00732F46">
      <w:pPr>
        <w:pStyle w:val="SingleTxtG"/>
      </w:pPr>
      <w:r w:rsidRPr="00E31BBF">
        <w:t>105.</w:t>
      </w:r>
      <w:r w:rsidRPr="00E31BBF">
        <w:tab/>
        <w:t>By</w:t>
      </w:r>
      <w:r w:rsidR="00C21DB7">
        <w:t xml:space="preserve"> </w:t>
      </w:r>
      <w:r w:rsidRPr="00E31BBF">
        <w:t>2013,</w:t>
      </w:r>
      <w:r w:rsidR="00C21DB7">
        <w:t xml:space="preserve"> </w:t>
      </w:r>
      <w:r w:rsidRPr="00E31BBF">
        <w:t>55</w:t>
      </w:r>
      <w:r w:rsidR="00C21DB7">
        <w:t xml:space="preserve"> </w:t>
      </w:r>
      <w:r w:rsidRPr="00E31BBF">
        <w:t>family-type</w:t>
      </w:r>
      <w:r w:rsidR="00C21DB7">
        <w:t xml:space="preserve"> </w:t>
      </w:r>
      <w:r w:rsidRPr="00E31BBF">
        <w:t>houses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550</w:t>
      </w:r>
      <w:r w:rsidR="00C21DB7">
        <w:t xml:space="preserve"> </w:t>
      </w:r>
      <w:r w:rsidRPr="00E31BBF">
        <w:t>places</w:t>
      </w:r>
      <w:r w:rsidR="00C21DB7">
        <w:t xml:space="preserve"> </w:t>
      </w:r>
      <w:proofErr w:type="gramStart"/>
      <w:r w:rsidRPr="00E31BBF">
        <w:t>were</w:t>
      </w:r>
      <w:r w:rsidR="00C21DB7">
        <w:t xml:space="preserve"> </w:t>
      </w:r>
      <w:r w:rsidRPr="00E31BBF">
        <w:t>built</w:t>
      </w:r>
      <w:proofErr w:type="gramEnd"/>
      <w:r w:rsidRPr="00E31BBF">
        <w:t>.</w:t>
      </w:r>
      <w:r w:rsidR="00C21DB7">
        <w:t xml:space="preserve"> </w:t>
      </w:r>
      <w:r w:rsidRPr="00E31BBF">
        <w:t>Additional</w:t>
      </w:r>
      <w:r w:rsidR="00C21DB7">
        <w:t xml:space="preserve"> </w:t>
      </w:r>
      <w:r w:rsidRPr="00E31BBF">
        <w:t>investments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European</w:t>
      </w:r>
      <w:r w:rsidR="00C21DB7">
        <w:t xml:space="preserve"> </w:t>
      </w:r>
      <w:r w:rsidRPr="00E31BBF">
        <w:t>Regional</w:t>
      </w:r>
      <w:r w:rsidR="00C21DB7">
        <w:t xml:space="preserve"> </w:t>
      </w:r>
      <w:r w:rsidRPr="00E31BBF">
        <w:t>Development</w:t>
      </w:r>
      <w:r w:rsidR="00C21DB7">
        <w:t xml:space="preserve"> </w:t>
      </w:r>
      <w:r w:rsidRPr="00E31BBF">
        <w:t>Funds</w:t>
      </w:r>
      <w:r w:rsidR="00C21DB7">
        <w:t xml:space="preserve"> </w:t>
      </w:r>
      <w:proofErr w:type="gramStart"/>
      <w:r w:rsidRPr="00E31BBF">
        <w:t>are</w:t>
      </w:r>
      <w:r w:rsidR="00C21DB7">
        <w:t xml:space="preserve"> </w:t>
      </w:r>
      <w:r w:rsidRPr="00E31BBF">
        <w:t>planned</w:t>
      </w:r>
      <w:proofErr w:type="gramEnd"/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period</w:t>
      </w:r>
      <w:r w:rsidR="00C21DB7">
        <w:t xml:space="preserve"> </w:t>
      </w:r>
      <w:r w:rsidRPr="00E31BBF">
        <w:t>2014</w:t>
      </w:r>
      <w:r w:rsidR="00684C05">
        <w:t>–</w:t>
      </w:r>
      <w:r w:rsidRPr="00E31BBF">
        <w:t>2020.</w:t>
      </w:r>
      <w:r w:rsidR="00C21DB7">
        <w:t xml:space="preserve"> </w:t>
      </w:r>
      <w:r w:rsidRPr="00E31BBF">
        <w:t>EUR</w:t>
      </w:r>
      <w:r w:rsidR="00C21DB7">
        <w:t xml:space="preserve"> </w:t>
      </w:r>
      <w:r w:rsidRPr="00E31BBF">
        <w:t>56</w:t>
      </w:r>
      <w:r w:rsidR="00C21DB7">
        <w:t xml:space="preserve"> </w:t>
      </w:r>
      <w:proofErr w:type="gramStart"/>
      <w:r w:rsidRPr="00E31BBF">
        <w:t>million</w:t>
      </w:r>
      <w:proofErr w:type="gramEnd"/>
      <w:r w:rsidR="00C21DB7">
        <w:t xml:space="preserve"> </w:t>
      </w:r>
      <w:r w:rsidRPr="00E31BBF">
        <w:t>will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used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reorganise</w:t>
      </w:r>
      <w:r w:rsidR="00C21DB7">
        <w:t xml:space="preserve"> </w:t>
      </w:r>
      <w:r w:rsidRPr="00E31BBF">
        <w:t>1,200</w:t>
      </w:r>
      <w:r w:rsidR="00C21DB7">
        <w:t xml:space="preserve"> </w:t>
      </w:r>
      <w:r w:rsidRPr="00E31BBF">
        <w:t>places,</w:t>
      </w:r>
      <w:r w:rsidR="00C21DB7">
        <w:t xml:space="preserve"> </w:t>
      </w:r>
      <w:r w:rsidRPr="00E31BBF">
        <w:t>create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least</w:t>
      </w:r>
      <w:r w:rsidR="00C21DB7">
        <w:t xml:space="preserve"> </w:t>
      </w:r>
      <w:r w:rsidRPr="00E31BBF">
        <w:t>200</w:t>
      </w:r>
      <w:r w:rsidR="00C21DB7">
        <w:t xml:space="preserve"> </w:t>
      </w:r>
      <w:r w:rsidRPr="00E31BBF">
        <w:t>new</w:t>
      </w:r>
      <w:r w:rsidR="00C21DB7">
        <w:t xml:space="preserve"> </w:t>
      </w:r>
      <w:r w:rsidRPr="00E31BBF">
        <w:t>places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build</w:t>
      </w:r>
      <w:r w:rsidR="00C21DB7">
        <w:t xml:space="preserve"> </w:t>
      </w:r>
      <w:r w:rsidRPr="00E31BBF">
        <w:t>family-type</w:t>
      </w:r>
      <w:r w:rsidR="00C21DB7">
        <w:t xml:space="preserve"> </w:t>
      </w:r>
      <w:r w:rsidRPr="00E31BBF">
        <w:t>houses.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lastRenderedPageBreak/>
        <w:t>106.</w:t>
      </w:r>
      <w:r w:rsidRPr="00E31BBF">
        <w:tab/>
        <w:t>Parallel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transition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institutional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community-based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process</w:t>
      </w:r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started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design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service.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aim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deign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out</w:t>
      </w:r>
      <w:r w:rsidR="00C21DB7">
        <w:t xml:space="preserve"> </w:t>
      </w:r>
      <w:r w:rsidRPr="00E31BBF">
        <w:t>integrated,</w:t>
      </w:r>
      <w:r w:rsidR="00C21DB7">
        <w:t xml:space="preserve"> </w:t>
      </w:r>
      <w:r w:rsidRPr="00E31BBF">
        <w:t>person-centred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flexible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system.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107.</w:t>
      </w:r>
      <w:r w:rsidRPr="00E31BBF">
        <w:tab/>
        <w:t>There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currently</w:t>
      </w:r>
      <w:r w:rsidR="00C21DB7">
        <w:t xml:space="preserve"> </w:t>
      </w:r>
      <w:r w:rsidRPr="00E31BBF">
        <w:t>503</w:t>
      </w:r>
      <w:r w:rsidR="00C21DB7">
        <w:t xml:space="preserve"> </w:t>
      </w:r>
      <w:r w:rsidRPr="00E31BBF">
        <w:t>specialized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clients,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using</w:t>
      </w:r>
      <w:r w:rsidR="00C21DB7">
        <w:t xml:space="preserve"> </w:t>
      </w:r>
      <w:r w:rsidRPr="00E31BBF">
        <w:t>community</w:t>
      </w:r>
      <w:r w:rsidR="00C21DB7">
        <w:t xml:space="preserve"> </w:t>
      </w:r>
      <w:r w:rsidRPr="00E31BBF">
        <w:t>living</w:t>
      </w:r>
      <w:r w:rsidR="00C21DB7">
        <w:t xml:space="preserve"> </w:t>
      </w:r>
      <w:r w:rsidRPr="00E31BBF">
        <w:t>service.</w:t>
      </w:r>
      <w:r w:rsidR="00C21DB7">
        <w:t xml:space="preserve"> </w:t>
      </w:r>
      <w:proofErr w:type="gramStart"/>
      <w:r w:rsidRPr="00E31BBF">
        <w:t>2276</w:t>
      </w:r>
      <w:proofErr w:type="gramEnd"/>
      <w:r w:rsidR="00C21DB7">
        <w:t xml:space="preserve"> </w:t>
      </w:r>
      <w:r w:rsidRPr="00E31BBF">
        <w:t>clients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using</w:t>
      </w:r>
      <w:r w:rsidR="00C21DB7">
        <w:t xml:space="preserve"> </w:t>
      </w:r>
      <w:r w:rsidRPr="00E31BBF">
        <w:t>24-hour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services,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some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small</w:t>
      </w:r>
      <w:r w:rsidR="00C21DB7">
        <w:t xml:space="preserve"> </w:t>
      </w:r>
      <w:r w:rsidRPr="00E31BBF">
        <w:t>units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24</w:t>
      </w:r>
      <w:r w:rsidR="00C21DB7">
        <w:t xml:space="preserve"> </w:t>
      </w:r>
      <w:r w:rsidRPr="00E31BBF">
        <w:t>clients</w:t>
      </w:r>
      <w:r w:rsidR="00C21DB7">
        <w:t xml:space="preserve"> </w:t>
      </w:r>
      <w:r w:rsidRPr="00E31BBF">
        <w:t>divided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6-persons</w:t>
      </w:r>
      <w:r w:rsidR="00C21DB7">
        <w:t xml:space="preserve"> </w:t>
      </w:r>
      <w:r w:rsidR="003E41EF">
        <w:t>“</w:t>
      </w:r>
      <w:r w:rsidRPr="00E31BBF">
        <w:t>families</w:t>
      </w:r>
      <w:r w:rsidR="003E41EF">
        <w:t>”</w:t>
      </w:r>
      <w:r w:rsidRPr="00E31BBF">
        <w:t>.</w:t>
      </w:r>
      <w:r w:rsidR="00C21DB7">
        <w:t xml:space="preserve"> </w:t>
      </w:r>
      <w:r w:rsidRPr="00E31BBF">
        <w:t>Units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located</w:t>
      </w:r>
      <w:r w:rsidR="00C21DB7">
        <w:t xml:space="preserve"> </w:t>
      </w:r>
      <w:r w:rsidRPr="00E31BBF">
        <w:t>across</w:t>
      </w:r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when</w:t>
      </w:r>
      <w:r w:rsidR="00C21DB7">
        <w:t xml:space="preserve"> </w:t>
      </w:r>
      <w:r w:rsidRPr="00E31BBF">
        <w:t>building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buying</w:t>
      </w:r>
      <w:r w:rsidR="00C21DB7">
        <w:t xml:space="preserve"> </w:t>
      </w:r>
      <w:r w:rsidRPr="00E31BBF">
        <w:t>new</w:t>
      </w:r>
      <w:r w:rsidR="00C21DB7">
        <w:t xml:space="preserve"> </w:t>
      </w:r>
      <w:r w:rsidRPr="00E31BBF">
        <w:t>houses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apartments,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location</w:t>
      </w:r>
      <w:r w:rsidR="00C21DB7">
        <w:t xml:space="preserve"> </w:t>
      </w:r>
      <w:proofErr w:type="gramStart"/>
      <w:r w:rsidRPr="00E31BBF">
        <w:t>is</w:t>
      </w:r>
      <w:r w:rsidR="00C21DB7">
        <w:t xml:space="preserve"> </w:t>
      </w:r>
      <w:r w:rsidRPr="00E31BBF">
        <w:t>selected</w:t>
      </w:r>
      <w:proofErr w:type="gramEnd"/>
      <w:r w:rsidR="00C21DB7">
        <w:t xml:space="preserve"> </w:t>
      </w:r>
      <w:r w:rsidRPr="00E31BBF">
        <w:t>keeping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mind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possibility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use</w:t>
      </w:r>
      <w:r w:rsidR="00C21DB7">
        <w:t xml:space="preserve"> </w:t>
      </w:r>
      <w:r w:rsidRPr="00E31BBF">
        <w:t>mainstream</w:t>
      </w:r>
      <w:r w:rsidR="00C21DB7">
        <w:t xml:space="preserve"> </w:t>
      </w:r>
      <w:r w:rsidRPr="00E31BBF">
        <w:t>services,</w:t>
      </w:r>
      <w:r w:rsidR="00C21DB7">
        <w:t xml:space="preserve"> </w:t>
      </w:r>
      <w:r w:rsidRPr="00E31BBF">
        <w:t>so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new</w:t>
      </w:r>
      <w:r w:rsidR="00C21DB7">
        <w:t xml:space="preserve"> </w:t>
      </w:r>
      <w:r w:rsidRPr="00E31BBF">
        <w:t>places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located</w:t>
      </w:r>
      <w:r w:rsidR="00C21DB7">
        <w:t xml:space="preserve"> </w:t>
      </w:r>
      <w:r w:rsidRPr="00E31BBF">
        <w:t>near</w:t>
      </w:r>
      <w:r w:rsidR="00C21DB7">
        <w:t xml:space="preserve"> </w:t>
      </w:r>
      <w:r w:rsidRPr="00E31BBF">
        <w:t>cities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cities.</w:t>
      </w:r>
    </w:p>
    <w:p w:rsidR="002F001C" w:rsidRPr="00E31BBF" w:rsidRDefault="002F001C" w:rsidP="00732F46">
      <w:pPr>
        <w:pStyle w:val="SingleTxtG"/>
      </w:pPr>
      <w:r w:rsidRPr="00E31BBF">
        <w:t>108.</w:t>
      </w:r>
      <w:r w:rsidRPr="00E31BBF">
        <w:tab/>
        <w:t>There</w:t>
      </w:r>
      <w:r w:rsidR="00C21DB7">
        <w:t xml:space="preserve"> </w:t>
      </w:r>
      <w:r w:rsidRPr="00E31BBF">
        <w:t>were</w:t>
      </w:r>
      <w:r w:rsidR="00C21DB7">
        <w:t xml:space="preserve"> </w:t>
      </w:r>
      <w:r w:rsidRPr="00E31BBF">
        <w:t>approximately</w:t>
      </w:r>
      <w:r w:rsidR="00C21DB7">
        <w:t xml:space="preserve"> </w:t>
      </w:r>
      <w:r w:rsidRPr="00E31BBF">
        <w:t>1300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disorder</w:t>
      </w:r>
      <w:proofErr w:type="gramStart"/>
      <w:r w:rsidRPr="00E31BBF">
        <w:t>,</w:t>
      </w:r>
      <w:proofErr w:type="gramEnd"/>
      <w:r w:rsidRPr="00060D87">
        <w:rPr>
          <w:rStyle w:val="FootnoteReference"/>
        </w:rPr>
        <w:footnoteReference w:id="7"/>
      </w:r>
      <w:r w:rsidR="00C21DB7" w:rsidRPr="00060D87">
        <w:rPr>
          <w:rStyle w:val="FootnoteReference"/>
        </w:rPr>
        <w:t xml:space="preserve"> </w:t>
      </w:r>
      <w:r w:rsidRPr="00E31BBF">
        <w:t>who</w:t>
      </w:r>
      <w:r w:rsidR="00C21DB7">
        <w:t xml:space="preserve"> </w:t>
      </w:r>
      <w:r w:rsidRPr="00E31BBF">
        <w:t>received</w:t>
      </w:r>
      <w:r w:rsidR="00C21DB7">
        <w:t xml:space="preserve"> </w:t>
      </w:r>
      <w:r w:rsidRPr="00E31BBF">
        <w:t>24-hour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older</w:t>
      </w:r>
      <w:r w:rsidR="00C21DB7">
        <w:t xml:space="preserve"> </w:t>
      </w:r>
      <w:r w:rsidRPr="00E31BBF">
        <w:t>type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institutions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30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places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2018.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was</w:t>
      </w:r>
      <w:r w:rsidR="00C21DB7">
        <w:t xml:space="preserve"> </w:t>
      </w:r>
      <w:r w:rsidRPr="00E31BBF">
        <w:t>about</w:t>
      </w:r>
      <w:r w:rsidR="00C21DB7">
        <w:t xml:space="preserve"> </w:t>
      </w:r>
      <w:r w:rsidRPr="00E31BBF">
        <w:t>54%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24-hour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users.</w:t>
      </w:r>
    </w:p>
    <w:p w:rsidR="002F001C" w:rsidRPr="00E31BBF" w:rsidRDefault="002F001C" w:rsidP="00732F46">
      <w:pPr>
        <w:pStyle w:val="SingleTxtG"/>
      </w:pPr>
      <w:r w:rsidRPr="00E31BBF">
        <w:t>109.</w:t>
      </w:r>
      <w:r w:rsidRPr="00E31BBF">
        <w:tab/>
        <w:t>An</w:t>
      </w:r>
      <w:r w:rsidR="00C21DB7">
        <w:t xml:space="preserve"> </w:t>
      </w:r>
      <w:r w:rsidRPr="00E31BBF">
        <w:t>activity</w:t>
      </w:r>
      <w:r w:rsidR="00C21DB7">
        <w:t xml:space="preserve"> </w:t>
      </w:r>
      <w:r w:rsidR="003E41EF">
        <w:t>“</w:t>
      </w:r>
      <w:r w:rsidRPr="00E31BBF">
        <w:t>Development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Provision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Children</w:t>
      </w:r>
      <w:r w:rsidR="003E41EF">
        <w:t>”</w:t>
      </w:r>
      <w:r w:rsidR="00C21DB7">
        <w:t xml:space="preserve"> </w:t>
      </w:r>
      <w:proofErr w:type="gramStart"/>
      <w:r w:rsidRPr="00E31BBF">
        <w:t>was</w:t>
      </w:r>
      <w:r w:rsidR="00C21DB7">
        <w:t xml:space="preserve"> </w:t>
      </w:r>
      <w:r w:rsidRPr="00E31BBF">
        <w:t>carried</w:t>
      </w:r>
      <w:r w:rsidR="00C21DB7">
        <w:t xml:space="preserve"> </w:t>
      </w:r>
      <w:r w:rsidRPr="00E31BBF">
        <w:t>out</w:t>
      </w:r>
      <w:proofErr w:type="gramEnd"/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framework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European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Fund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action</w:t>
      </w:r>
      <w:r w:rsidR="00C21DB7">
        <w:t xml:space="preserve"> </w:t>
      </w:r>
      <w:r w:rsidR="003E41EF">
        <w:t>“</w:t>
      </w:r>
      <w:r w:rsidRPr="00E31BBF">
        <w:t>Social</w:t>
      </w:r>
      <w:r w:rsidR="00C21DB7">
        <w:t xml:space="preserve"> </w:t>
      </w:r>
      <w:r w:rsidRPr="00E31BBF">
        <w:t>Welfare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Supporting</w:t>
      </w:r>
      <w:r w:rsidR="00C21DB7">
        <w:t xml:space="preserve"> </w:t>
      </w:r>
      <w:r w:rsidRPr="00E31BBF">
        <w:t>Participation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Labour</w:t>
      </w:r>
      <w:r w:rsidR="00C21DB7">
        <w:t xml:space="preserve"> </w:t>
      </w:r>
      <w:r w:rsidRPr="00E31BBF">
        <w:t>Market</w:t>
      </w:r>
      <w:r w:rsidR="003E41EF">
        <w:t>”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2014–2020.</w:t>
      </w:r>
    </w:p>
    <w:p w:rsidR="002F001C" w:rsidRPr="00E31BBF" w:rsidRDefault="002F001C" w:rsidP="00732F46">
      <w:pPr>
        <w:pStyle w:val="SingleTxtG"/>
      </w:pPr>
      <w:r w:rsidRPr="00E31BBF">
        <w:t>110.</w:t>
      </w:r>
      <w:r w:rsidRPr="00E31BBF">
        <w:tab/>
        <w:t>The</w:t>
      </w:r>
      <w:r w:rsidR="00C21DB7">
        <w:t xml:space="preserve"> </w:t>
      </w:r>
      <w:r w:rsidRPr="00E31BBF">
        <w:t>objective</w:t>
      </w:r>
      <w:r w:rsidR="00C21DB7">
        <w:t xml:space="preserve"> </w:t>
      </w:r>
      <w:r w:rsidRPr="00E31BBF">
        <w:t>was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develop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provide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aimed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profound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–</w:t>
      </w:r>
      <w:r w:rsidR="00C21DB7">
        <w:t xml:space="preserve"> </w:t>
      </w:r>
      <w:r w:rsidRPr="00E31BBF">
        <w:t>childcare,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transport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supporting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–</w:t>
      </w:r>
      <w:r w:rsidR="00C21DB7">
        <w:t xml:space="preserve"> </w:t>
      </w:r>
      <w:r w:rsidRPr="00E31BBF">
        <w:t>so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would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available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whose</w:t>
      </w:r>
      <w:r w:rsidR="00C21DB7">
        <w:t xml:space="preserve"> </w:t>
      </w:r>
      <w:r w:rsidRPr="00E31BBF">
        <w:t>need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services</w:t>
      </w:r>
      <w:r w:rsidR="00C21DB7">
        <w:t xml:space="preserve"> </w:t>
      </w:r>
      <w:proofErr w:type="gramStart"/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assessed</w:t>
      </w:r>
      <w:proofErr w:type="gramEnd"/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protection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specialist.</w:t>
      </w:r>
      <w:r w:rsidR="00C21DB7">
        <w:t xml:space="preserve"> </w:t>
      </w:r>
      <w:r w:rsidRPr="00E31BBF">
        <w:t>Before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launch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project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2015,</w:t>
      </w:r>
      <w:r w:rsidR="00C21DB7">
        <w:t xml:space="preserve"> </w:t>
      </w:r>
      <w:r w:rsidRPr="00E31BBF">
        <w:t>there</w:t>
      </w:r>
      <w:r w:rsidR="00C21DB7">
        <w:t xml:space="preserve"> </w:t>
      </w:r>
      <w:r w:rsidRPr="00E31BBF">
        <w:t>were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providers</w:t>
      </w:r>
      <w:r w:rsidR="00C21DB7">
        <w:t xml:space="preserve"> </w:t>
      </w:r>
      <w:r w:rsidRPr="00E31BBF">
        <w:t>only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some</w:t>
      </w:r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authorities.</w:t>
      </w:r>
      <w:r w:rsidR="00C21DB7">
        <w:t xml:space="preserve"> </w:t>
      </w:r>
      <w:r w:rsidRPr="00E31BBF">
        <w:t>Now</w:t>
      </w:r>
      <w:r w:rsidR="00C21DB7">
        <w:t xml:space="preserve"> </w:t>
      </w:r>
      <w:r w:rsidRPr="00E31BBF">
        <w:t>there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providers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every</w:t>
      </w:r>
      <w:r w:rsidR="00C21DB7">
        <w:t xml:space="preserve"> </w:t>
      </w:r>
      <w:r w:rsidRPr="00E31BBF">
        <w:t>county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they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covering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authorities</w:t>
      </w:r>
      <w:r w:rsidR="00C21DB7">
        <w:t xml:space="preserve"> </w:t>
      </w:r>
      <w:r w:rsidRPr="00E31BBF">
        <w:t>where</w:t>
      </w:r>
      <w:r w:rsidR="00C21DB7">
        <w:t xml:space="preserve"> </w:t>
      </w:r>
      <w:r w:rsidRPr="00E31BBF">
        <w:t>there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profound</w:t>
      </w:r>
      <w:r w:rsidR="00C21DB7">
        <w:t xml:space="preserve"> </w:t>
      </w:r>
      <w:r w:rsidRPr="00E31BBF">
        <w:t>disabilities.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proofErr w:type="gramStart"/>
      <w:r w:rsidRPr="00E31BBF">
        <w:t>111.</w:t>
      </w:r>
      <w:r w:rsidRPr="00E31BBF">
        <w:tab/>
        <w:t>During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2018</w:t>
      </w:r>
      <w:proofErr w:type="gramEnd"/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were</w:t>
      </w:r>
      <w:r w:rsidR="00C21DB7">
        <w:t xml:space="preserve"> </w:t>
      </w:r>
      <w:r w:rsidRPr="00E31BBF">
        <w:t>provided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1906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profound</w:t>
      </w:r>
      <w:r w:rsidR="00C21DB7">
        <w:t xml:space="preserve"> </w:t>
      </w:r>
      <w:r w:rsidRPr="00E31BBF">
        <w:t>disabilities.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number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raised</w:t>
      </w:r>
      <w:r w:rsidR="00C21DB7">
        <w:t xml:space="preserve"> </w:t>
      </w:r>
      <w:r w:rsidRPr="00E31BBF">
        <w:t>every</w:t>
      </w:r>
      <w:r w:rsidR="00C21DB7">
        <w:t xml:space="preserve"> </w:t>
      </w:r>
      <w:r w:rsidRPr="00E31BBF">
        <w:t>year.</w:t>
      </w:r>
    </w:p>
    <w:p w:rsidR="002F001C" w:rsidRPr="00E31BBF" w:rsidRDefault="002F001C" w:rsidP="00732F46">
      <w:pPr>
        <w:pStyle w:val="SingleTxtG"/>
      </w:pPr>
      <w:proofErr w:type="gramStart"/>
      <w:r w:rsidRPr="00E31BBF">
        <w:t>112.</w:t>
      </w:r>
      <w:r w:rsidRPr="00E31BBF">
        <w:tab/>
        <w:t>P</w:t>
      </w:r>
      <w:r w:rsidR="00DE65D8">
        <w:t>l</w:t>
      </w:r>
      <w:r w:rsidRPr="00E31BBF">
        <w:t>ease</w:t>
      </w:r>
      <w:proofErr w:type="gramEnd"/>
      <w:r w:rsidR="00C21DB7">
        <w:t xml:space="preserve"> </w:t>
      </w:r>
      <w:r w:rsidRPr="00E31BBF">
        <w:t>see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answer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7</w:t>
      </w:r>
      <w:r w:rsidR="00C21DB7">
        <w:t xml:space="preserve"> </w:t>
      </w:r>
      <w:r w:rsidRPr="00E31BBF">
        <w:t>point</w:t>
      </w:r>
      <w:r w:rsidR="00C21DB7">
        <w:t xml:space="preserve"> </w:t>
      </w:r>
      <w:r w:rsidRPr="00E31BBF">
        <w:t>5b.</w:t>
      </w:r>
    </w:p>
    <w:p w:rsidR="002F001C" w:rsidRPr="00E31BBF" w:rsidRDefault="002F001C" w:rsidP="00D3106F">
      <w:pPr>
        <w:pStyle w:val="H1G"/>
      </w:pPr>
      <w:r w:rsidRPr="00E31BBF">
        <w:tab/>
      </w:r>
      <w:r w:rsidRPr="00E31BBF">
        <w:tab/>
        <w:t>Personal</w:t>
      </w:r>
      <w:r w:rsidR="00C21DB7">
        <w:t xml:space="preserve"> </w:t>
      </w:r>
      <w:r w:rsidRPr="00E31BBF">
        <w:t>mobility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20)</w:t>
      </w:r>
    </w:p>
    <w:p w:rsidR="002F001C" w:rsidRPr="00E31BBF" w:rsidRDefault="002F001C" w:rsidP="00D3106F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15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D3106F">
      <w:pPr>
        <w:pStyle w:val="Heading1"/>
        <w:spacing w:before="240"/>
      </w:pPr>
      <w:r w:rsidRPr="00E31BBF">
        <w:t>Table</w:t>
      </w:r>
      <w:r w:rsidR="00C21DB7">
        <w:t xml:space="preserve"> </w:t>
      </w:r>
      <w:r w:rsidRPr="00E31BBF">
        <w:t>3</w:t>
      </w:r>
    </w:p>
    <w:p w:rsidR="002F001C" w:rsidRPr="00D3106F" w:rsidRDefault="002F001C" w:rsidP="00732F46">
      <w:pPr>
        <w:pStyle w:val="SingleTxtG"/>
        <w:rPr>
          <w:b/>
          <w:bCs/>
        </w:rPr>
      </w:pPr>
      <w:r w:rsidRPr="00D3106F">
        <w:rPr>
          <w:b/>
          <w:bCs/>
        </w:rPr>
        <w:t>Expenditure</w:t>
      </w:r>
      <w:r w:rsidR="00C21DB7" w:rsidRPr="00D3106F">
        <w:rPr>
          <w:b/>
          <w:bCs/>
        </w:rPr>
        <w:t xml:space="preserve"> </w:t>
      </w:r>
      <w:r w:rsidRPr="00D3106F">
        <w:rPr>
          <w:b/>
          <w:bCs/>
        </w:rPr>
        <w:t>on</w:t>
      </w:r>
      <w:r w:rsidR="00C21DB7" w:rsidRPr="00D3106F">
        <w:rPr>
          <w:b/>
          <w:bCs/>
        </w:rPr>
        <w:t xml:space="preserve"> </w:t>
      </w:r>
      <w:r w:rsidRPr="00D3106F">
        <w:rPr>
          <w:b/>
          <w:bCs/>
        </w:rPr>
        <w:t>personal</w:t>
      </w:r>
      <w:r w:rsidR="00C21DB7" w:rsidRPr="00D3106F">
        <w:rPr>
          <w:b/>
          <w:bCs/>
        </w:rPr>
        <w:t xml:space="preserve"> </w:t>
      </w:r>
      <w:r w:rsidRPr="00D3106F">
        <w:rPr>
          <w:b/>
          <w:bCs/>
        </w:rPr>
        <w:t>mobility</w:t>
      </w:r>
      <w:r w:rsidR="00C21DB7" w:rsidRPr="00D3106F">
        <w:rPr>
          <w:b/>
          <w:bCs/>
        </w:rPr>
        <w:t xml:space="preserve"> </w:t>
      </w:r>
      <w:r w:rsidRPr="00D3106F">
        <w:rPr>
          <w:b/>
          <w:bCs/>
        </w:rPr>
        <w:t>technical</w:t>
      </w:r>
      <w:r w:rsidR="00C21DB7" w:rsidRPr="00D3106F">
        <w:rPr>
          <w:b/>
          <w:bCs/>
        </w:rPr>
        <w:t xml:space="preserve"> </w:t>
      </w:r>
      <w:r w:rsidRPr="00D3106F">
        <w:rPr>
          <w:b/>
          <w:bCs/>
        </w:rPr>
        <w:t>aids,</w:t>
      </w:r>
      <w:r w:rsidR="00C21DB7" w:rsidRPr="00D3106F">
        <w:rPr>
          <w:b/>
          <w:bCs/>
        </w:rPr>
        <w:t xml:space="preserve"> </w:t>
      </w:r>
      <w:r w:rsidRPr="00D3106F">
        <w:rPr>
          <w:b/>
          <w:bCs/>
        </w:rPr>
        <w:t>2015</w:t>
      </w:r>
      <w:r w:rsidR="00684C05">
        <w:rPr>
          <w:b/>
          <w:bCs/>
        </w:rPr>
        <w:t>–</w:t>
      </w:r>
      <w:r w:rsidRPr="00D3106F">
        <w:rPr>
          <w:b/>
          <w:bCs/>
        </w:rPr>
        <w:t>2018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1192"/>
        <w:gridCol w:w="1168"/>
        <w:gridCol w:w="1168"/>
        <w:gridCol w:w="1168"/>
      </w:tblGrid>
      <w:tr w:rsidR="002F001C" w:rsidRPr="00D3106F" w:rsidTr="00D3106F">
        <w:trPr>
          <w:tblHeader/>
        </w:trPr>
        <w:tc>
          <w:tcPr>
            <w:tcW w:w="2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D3106F">
              <w:rPr>
                <w:i/>
                <w:sz w:val="16"/>
              </w:rPr>
              <w:t>2015¹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D3106F">
              <w:rPr>
                <w:i/>
                <w:sz w:val="16"/>
              </w:rPr>
              <w:t>2016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D3106F">
              <w:rPr>
                <w:i/>
                <w:sz w:val="16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D3106F">
              <w:rPr>
                <w:i/>
                <w:sz w:val="16"/>
              </w:rPr>
              <w:t>2018</w:t>
            </w:r>
          </w:p>
        </w:tc>
      </w:tr>
      <w:tr w:rsidR="002F001C" w:rsidRPr="00D3106F" w:rsidTr="00D3106F">
        <w:tc>
          <w:tcPr>
            <w:tcW w:w="26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2F001C" w:rsidRPr="00D3106F" w:rsidRDefault="002F001C" w:rsidP="00D3106F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D3106F">
              <w:rPr>
                <w:b/>
                <w:sz w:val="18"/>
              </w:rPr>
              <w:t>Total</w:t>
            </w:r>
            <w:r w:rsidR="00C21DB7" w:rsidRPr="00D3106F">
              <w:rPr>
                <w:b/>
                <w:sz w:val="18"/>
              </w:rPr>
              <w:t xml:space="preserve"> </w:t>
            </w:r>
            <w:r w:rsidRPr="00D3106F">
              <w:rPr>
                <w:b/>
                <w:sz w:val="18"/>
              </w:rPr>
              <w:t>cost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D3106F">
              <w:rPr>
                <w:b/>
                <w:sz w:val="18"/>
              </w:rPr>
              <w:t>2</w:t>
            </w:r>
            <w:r w:rsidR="00C21DB7" w:rsidRPr="00D3106F">
              <w:rPr>
                <w:b/>
                <w:sz w:val="18"/>
              </w:rPr>
              <w:t xml:space="preserve"> </w:t>
            </w:r>
            <w:r w:rsidRPr="00D3106F">
              <w:rPr>
                <w:b/>
                <w:sz w:val="18"/>
              </w:rPr>
              <w:t>919</w:t>
            </w:r>
            <w:r w:rsidR="00C21DB7" w:rsidRPr="00D3106F">
              <w:rPr>
                <w:b/>
                <w:sz w:val="18"/>
              </w:rPr>
              <w:t xml:space="preserve"> </w:t>
            </w:r>
            <w:r w:rsidRPr="00D3106F">
              <w:rPr>
                <w:b/>
                <w:sz w:val="18"/>
              </w:rPr>
              <w:t>685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D3106F">
              <w:rPr>
                <w:b/>
                <w:sz w:val="18"/>
              </w:rPr>
              <w:t>2</w:t>
            </w:r>
            <w:r w:rsidR="00C21DB7" w:rsidRPr="00D3106F">
              <w:rPr>
                <w:b/>
                <w:sz w:val="18"/>
              </w:rPr>
              <w:t xml:space="preserve"> </w:t>
            </w:r>
            <w:r w:rsidRPr="00D3106F">
              <w:rPr>
                <w:b/>
                <w:sz w:val="18"/>
              </w:rPr>
              <w:t>412</w:t>
            </w:r>
            <w:r w:rsidR="00C21DB7" w:rsidRPr="00D3106F">
              <w:rPr>
                <w:b/>
                <w:sz w:val="18"/>
              </w:rPr>
              <w:t xml:space="preserve"> </w:t>
            </w:r>
            <w:r w:rsidRPr="00D3106F">
              <w:rPr>
                <w:b/>
                <w:sz w:val="18"/>
              </w:rPr>
              <w:t>113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D3106F">
              <w:rPr>
                <w:b/>
                <w:sz w:val="18"/>
              </w:rPr>
              <w:t>2</w:t>
            </w:r>
            <w:r w:rsidR="00C21DB7" w:rsidRPr="00D3106F">
              <w:rPr>
                <w:b/>
                <w:sz w:val="18"/>
              </w:rPr>
              <w:t xml:space="preserve"> </w:t>
            </w:r>
            <w:r w:rsidRPr="00D3106F">
              <w:rPr>
                <w:b/>
                <w:sz w:val="18"/>
              </w:rPr>
              <w:t>797</w:t>
            </w:r>
            <w:r w:rsidR="00C21DB7" w:rsidRPr="00D3106F">
              <w:rPr>
                <w:b/>
                <w:sz w:val="18"/>
              </w:rPr>
              <w:t xml:space="preserve"> </w:t>
            </w:r>
            <w:r w:rsidRPr="00D3106F">
              <w:rPr>
                <w:b/>
                <w:sz w:val="18"/>
              </w:rPr>
              <w:t>570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D3106F">
              <w:rPr>
                <w:b/>
                <w:sz w:val="18"/>
              </w:rPr>
              <w:t>3</w:t>
            </w:r>
            <w:r w:rsidR="00C21DB7" w:rsidRPr="00D3106F">
              <w:rPr>
                <w:b/>
                <w:sz w:val="18"/>
              </w:rPr>
              <w:t xml:space="preserve"> </w:t>
            </w:r>
            <w:r w:rsidRPr="00D3106F">
              <w:rPr>
                <w:b/>
                <w:sz w:val="18"/>
              </w:rPr>
              <w:t>028</w:t>
            </w:r>
            <w:r w:rsidR="00C21DB7" w:rsidRPr="00D3106F">
              <w:rPr>
                <w:b/>
                <w:sz w:val="18"/>
              </w:rPr>
              <w:t xml:space="preserve"> </w:t>
            </w:r>
            <w:r w:rsidRPr="00D3106F">
              <w:rPr>
                <w:b/>
                <w:sz w:val="18"/>
              </w:rPr>
              <w:t>843</w:t>
            </w:r>
          </w:p>
        </w:tc>
      </w:tr>
      <w:tr w:rsidR="002F001C" w:rsidRPr="00D3106F" w:rsidTr="00D3106F"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001C" w:rsidRPr="00D3106F" w:rsidRDefault="002F001C" w:rsidP="00D3106F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3106F">
              <w:rPr>
                <w:sz w:val="18"/>
              </w:rPr>
              <w:t>Expenditure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from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the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state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budget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(including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ESF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funds)</w:t>
            </w:r>
            <w:r w:rsidR="00C21DB7" w:rsidRPr="00D3106F">
              <w:rPr>
                <w:sz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106F">
              <w:rPr>
                <w:sz w:val="18"/>
              </w:rPr>
              <w:t>2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321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344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106F">
              <w:rPr>
                <w:sz w:val="18"/>
              </w:rPr>
              <w:t>1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919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066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106F">
              <w:rPr>
                <w:sz w:val="18"/>
              </w:rPr>
              <w:t>2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170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748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106F">
              <w:rPr>
                <w:sz w:val="18"/>
              </w:rPr>
              <w:t>2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375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024</w:t>
            </w:r>
          </w:p>
        </w:tc>
      </w:tr>
      <w:tr w:rsidR="002F001C" w:rsidRPr="00D3106F" w:rsidTr="00D3106F">
        <w:tc>
          <w:tcPr>
            <w:tcW w:w="2674" w:type="dxa"/>
            <w:shd w:val="clear" w:color="auto" w:fill="auto"/>
            <w:hideMark/>
          </w:tcPr>
          <w:p w:rsidR="002F001C" w:rsidRPr="00D3106F" w:rsidRDefault="002F001C" w:rsidP="004D1BE3">
            <w:pPr>
              <w:pStyle w:val="SingleTxtG"/>
              <w:spacing w:before="40" w:after="40" w:line="220" w:lineRule="exact"/>
              <w:ind w:left="288" w:right="113"/>
              <w:jc w:val="left"/>
              <w:rPr>
                <w:sz w:val="18"/>
              </w:rPr>
            </w:pPr>
            <w:r w:rsidRPr="00D3106F">
              <w:rPr>
                <w:sz w:val="18"/>
              </w:rPr>
              <w:t>from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the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state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budget</w:t>
            </w:r>
            <w:r w:rsidR="00C21DB7" w:rsidRPr="00D3106F">
              <w:rPr>
                <w:sz w:val="18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106F">
              <w:rPr>
                <w:sz w:val="18"/>
              </w:rPr>
              <w:t>2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321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344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106F">
              <w:rPr>
                <w:sz w:val="18"/>
              </w:rPr>
              <w:t>1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312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986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106F">
              <w:rPr>
                <w:sz w:val="18"/>
              </w:rPr>
              <w:t>1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427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584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106F">
              <w:rPr>
                <w:sz w:val="18"/>
              </w:rPr>
              <w:t>1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592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198</w:t>
            </w:r>
          </w:p>
        </w:tc>
      </w:tr>
      <w:tr w:rsidR="002F001C" w:rsidRPr="00D3106F" w:rsidTr="00D3106F">
        <w:tc>
          <w:tcPr>
            <w:tcW w:w="2674" w:type="dxa"/>
            <w:shd w:val="clear" w:color="auto" w:fill="auto"/>
            <w:hideMark/>
          </w:tcPr>
          <w:p w:rsidR="002F001C" w:rsidRPr="00D3106F" w:rsidRDefault="002F001C" w:rsidP="004D1BE3">
            <w:pPr>
              <w:pStyle w:val="SingleTxtG"/>
              <w:spacing w:before="40" w:after="40" w:line="220" w:lineRule="exact"/>
              <w:ind w:left="288" w:right="113"/>
              <w:jc w:val="left"/>
              <w:rPr>
                <w:sz w:val="18"/>
              </w:rPr>
            </w:pPr>
            <w:r w:rsidRPr="00D3106F">
              <w:rPr>
                <w:sz w:val="18"/>
              </w:rPr>
              <w:t>ESF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funds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106F">
              <w:rPr>
                <w:sz w:val="18"/>
              </w:rPr>
              <w:t>606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079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106F">
              <w:rPr>
                <w:sz w:val="18"/>
              </w:rPr>
              <w:t>743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164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F001C" w:rsidRPr="00D3106F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106F">
              <w:rPr>
                <w:sz w:val="18"/>
              </w:rPr>
              <w:t>782</w:t>
            </w:r>
            <w:r w:rsidR="00C21DB7" w:rsidRPr="00D3106F">
              <w:rPr>
                <w:sz w:val="18"/>
              </w:rPr>
              <w:t xml:space="preserve"> </w:t>
            </w:r>
            <w:r w:rsidRPr="00D3106F">
              <w:rPr>
                <w:sz w:val="18"/>
              </w:rPr>
              <w:t>826</w:t>
            </w:r>
          </w:p>
        </w:tc>
      </w:tr>
      <w:tr w:rsidR="002F001C" w:rsidRPr="00D3106F" w:rsidTr="00D3106F">
        <w:tc>
          <w:tcPr>
            <w:tcW w:w="2674" w:type="dxa"/>
            <w:shd w:val="clear" w:color="auto" w:fill="auto"/>
            <w:hideMark/>
          </w:tcPr>
          <w:p w:rsidR="002F001C" w:rsidRPr="00DC7543" w:rsidRDefault="002F001C" w:rsidP="00D3106F">
            <w:pPr>
              <w:pStyle w:val="SingleTxtG"/>
              <w:spacing w:before="40" w:after="40" w:line="220" w:lineRule="exact"/>
              <w:ind w:left="0" w:right="113"/>
              <w:jc w:val="left"/>
              <w:rPr>
                <w:i/>
                <w:iCs/>
                <w:sz w:val="18"/>
              </w:rPr>
            </w:pPr>
            <w:r w:rsidRPr="00DC7543">
              <w:rPr>
                <w:i/>
                <w:iCs/>
                <w:sz w:val="18"/>
              </w:rPr>
              <w:t>State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budget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resources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of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the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total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cost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of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mobility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technical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aids,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%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F001C" w:rsidRPr="007A1EDD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iCs/>
                <w:sz w:val="18"/>
              </w:rPr>
            </w:pPr>
            <w:r w:rsidRPr="007A1EDD">
              <w:rPr>
                <w:i/>
                <w:iCs/>
                <w:sz w:val="18"/>
              </w:rPr>
              <w:t>79</w:t>
            </w:r>
            <w:r w:rsidR="00DC7543" w:rsidRPr="007A1EDD">
              <w:rPr>
                <w:i/>
                <w:iCs/>
                <w:sz w:val="18"/>
              </w:rPr>
              <w:t>.</w:t>
            </w:r>
            <w:r w:rsidRPr="007A1EDD">
              <w:rPr>
                <w:i/>
                <w:iCs/>
                <w:sz w:val="18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F001C" w:rsidRPr="007A1EDD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iCs/>
                <w:sz w:val="18"/>
              </w:rPr>
            </w:pPr>
            <w:r w:rsidRPr="007A1EDD">
              <w:rPr>
                <w:i/>
                <w:iCs/>
                <w:sz w:val="18"/>
              </w:rPr>
              <w:t>79</w:t>
            </w:r>
            <w:r w:rsidR="00DC7543" w:rsidRPr="007A1EDD">
              <w:rPr>
                <w:i/>
                <w:iCs/>
                <w:sz w:val="18"/>
              </w:rPr>
              <w:t>.</w:t>
            </w:r>
            <w:r w:rsidRPr="007A1EDD">
              <w:rPr>
                <w:i/>
                <w:iCs/>
                <w:sz w:val="18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F001C" w:rsidRPr="007A1EDD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iCs/>
                <w:sz w:val="18"/>
              </w:rPr>
            </w:pPr>
            <w:r w:rsidRPr="007A1EDD">
              <w:rPr>
                <w:i/>
                <w:iCs/>
                <w:sz w:val="18"/>
              </w:rPr>
              <w:t>77</w:t>
            </w:r>
            <w:r w:rsidR="00DC7543" w:rsidRPr="007A1EDD">
              <w:rPr>
                <w:i/>
                <w:iCs/>
                <w:sz w:val="18"/>
              </w:rPr>
              <w:t>.</w:t>
            </w:r>
            <w:r w:rsidRPr="007A1EDD">
              <w:rPr>
                <w:i/>
                <w:iCs/>
                <w:sz w:val="18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F001C" w:rsidRPr="007A1EDD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iCs/>
                <w:sz w:val="18"/>
              </w:rPr>
            </w:pPr>
            <w:r w:rsidRPr="007A1EDD">
              <w:rPr>
                <w:i/>
                <w:iCs/>
                <w:sz w:val="18"/>
              </w:rPr>
              <w:t>78</w:t>
            </w:r>
            <w:r w:rsidR="00DC7543" w:rsidRPr="007A1EDD">
              <w:rPr>
                <w:i/>
                <w:iCs/>
                <w:sz w:val="18"/>
              </w:rPr>
              <w:t>.</w:t>
            </w:r>
            <w:r w:rsidRPr="007A1EDD">
              <w:rPr>
                <w:i/>
                <w:iCs/>
                <w:sz w:val="18"/>
              </w:rPr>
              <w:t>4</w:t>
            </w:r>
          </w:p>
        </w:tc>
      </w:tr>
      <w:tr w:rsidR="002F001C" w:rsidRPr="00D3106F" w:rsidTr="00D3106F">
        <w:tc>
          <w:tcPr>
            <w:tcW w:w="2674" w:type="dxa"/>
            <w:shd w:val="clear" w:color="auto" w:fill="auto"/>
            <w:hideMark/>
          </w:tcPr>
          <w:p w:rsidR="002F001C" w:rsidRPr="00DC7543" w:rsidRDefault="002F001C" w:rsidP="00D3106F">
            <w:pPr>
              <w:pStyle w:val="SingleTxtG"/>
              <w:spacing w:before="40" w:after="40" w:line="220" w:lineRule="exact"/>
              <w:ind w:left="0" w:right="113"/>
              <w:jc w:val="left"/>
              <w:rPr>
                <w:i/>
                <w:iCs/>
                <w:sz w:val="18"/>
              </w:rPr>
            </w:pPr>
            <w:r w:rsidRPr="00DC7543">
              <w:rPr>
                <w:i/>
                <w:iCs/>
                <w:sz w:val="18"/>
              </w:rPr>
              <w:t>Spending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on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personal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mobility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technical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aids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as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a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%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of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the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state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budget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expenditure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on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technical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aids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granted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on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preferential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  <w:r w:rsidRPr="00DC7543">
              <w:rPr>
                <w:i/>
                <w:iCs/>
                <w:sz w:val="18"/>
              </w:rPr>
              <w:t>terms</w:t>
            </w:r>
            <w:r w:rsidR="00C21DB7" w:rsidRPr="00DC7543">
              <w:rPr>
                <w:i/>
                <w:iCs/>
                <w:sz w:val="18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F001C" w:rsidRPr="007A1EDD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iCs/>
                <w:sz w:val="18"/>
              </w:rPr>
            </w:pPr>
            <w:r w:rsidRPr="007A1EDD">
              <w:rPr>
                <w:i/>
                <w:iCs/>
                <w:sz w:val="18"/>
              </w:rPr>
              <w:t>25</w:t>
            </w:r>
            <w:r w:rsidR="00DC7543" w:rsidRPr="007A1EDD">
              <w:rPr>
                <w:i/>
                <w:iCs/>
                <w:sz w:val="18"/>
              </w:rPr>
              <w:t>.</w:t>
            </w:r>
            <w:r w:rsidRPr="007A1EDD">
              <w:rPr>
                <w:i/>
                <w:iCs/>
                <w:sz w:val="18"/>
              </w:rPr>
              <w:t>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F001C" w:rsidRPr="007A1EDD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iCs/>
                <w:sz w:val="18"/>
              </w:rPr>
            </w:pPr>
            <w:r w:rsidRPr="007A1EDD">
              <w:rPr>
                <w:i/>
                <w:iCs/>
                <w:sz w:val="18"/>
              </w:rPr>
              <w:t>19</w:t>
            </w:r>
            <w:r w:rsidR="00DC7543" w:rsidRPr="007A1EDD">
              <w:rPr>
                <w:i/>
                <w:iCs/>
                <w:sz w:val="18"/>
              </w:rPr>
              <w:t>.</w:t>
            </w:r>
            <w:r w:rsidRPr="007A1EDD">
              <w:rPr>
                <w:i/>
                <w:iCs/>
                <w:sz w:val="18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F001C" w:rsidRPr="007A1EDD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iCs/>
                <w:sz w:val="18"/>
              </w:rPr>
            </w:pPr>
            <w:r w:rsidRPr="007A1EDD">
              <w:rPr>
                <w:i/>
                <w:iCs/>
                <w:sz w:val="18"/>
              </w:rPr>
              <w:t>19</w:t>
            </w:r>
            <w:r w:rsidR="00DC7543" w:rsidRPr="007A1EDD">
              <w:rPr>
                <w:i/>
                <w:iCs/>
                <w:sz w:val="18"/>
              </w:rPr>
              <w:t>.</w:t>
            </w:r>
            <w:r w:rsidRPr="007A1EDD">
              <w:rPr>
                <w:i/>
                <w:iCs/>
                <w:sz w:val="18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F001C" w:rsidRPr="007A1EDD" w:rsidRDefault="002F001C" w:rsidP="00D3106F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iCs/>
                <w:sz w:val="18"/>
              </w:rPr>
            </w:pPr>
            <w:r w:rsidRPr="007A1EDD">
              <w:rPr>
                <w:i/>
                <w:iCs/>
                <w:sz w:val="18"/>
              </w:rPr>
              <w:t>20</w:t>
            </w:r>
            <w:r w:rsidR="00DC7543" w:rsidRPr="007A1EDD">
              <w:rPr>
                <w:i/>
                <w:iCs/>
                <w:sz w:val="18"/>
              </w:rPr>
              <w:t>.</w:t>
            </w:r>
            <w:r w:rsidRPr="007A1EDD">
              <w:rPr>
                <w:i/>
                <w:iCs/>
                <w:sz w:val="18"/>
              </w:rPr>
              <w:t>0</w:t>
            </w:r>
          </w:p>
        </w:tc>
      </w:tr>
    </w:tbl>
    <w:p w:rsidR="002F001C" w:rsidRPr="00D3106F" w:rsidRDefault="002F001C" w:rsidP="00D3106F">
      <w:pPr>
        <w:spacing w:before="120" w:after="240" w:line="240" w:lineRule="atLeast"/>
        <w:ind w:left="1134" w:right="1134" w:firstLine="170"/>
        <w:rPr>
          <w:sz w:val="18"/>
        </w:rPr>
      </w:pPr>
      <w:proofErr w:type="gramStart"/>
      <w:r w:rsidRPr="00D3106F">
        <w:rPr>
          <w:i/>
          <w:iCs/>
          <w:sz w:val="18"/>
        </w:rPr>
        <w:t>¹</w:t>
      </w:r>
      <w:r w:rsidR="00D3106F">
        <w:rPr>
          <w:sz w:val="18"/>
        </w:rPr>
        <w:t xml:space="preserve">  </w:t>
      </w:r>
      <w:r w:rsidRPr="00D3106F">
        <w:rPr>
          <w:sz w:val="18"/>
        </w:rPr>
        <w:t>includes</w:t>
      </w:r>
      <w:proofErr w:type="gramEnd"/>
      <w:r w:rsidR="00C21DB7" w:rsidRPr="00D3106F">
        <w:rPr>
          <w:sz w:val="18"/>
        </w:rPr>
        <w:t xml:space="preserve"> </w:t>
      </w:r>
      <w:r w:rsidRPr="00D3106F">
        <w:rPr>
          <w:sz w:val="18"/>
        </w:rPr>
        <w:t>all</w:t>
      </w:r>
      <w:r w:rsidR="00C21DB7" w:rsidRPr="00D3106F">
        <w:rPr>
          <w:sz w:val="18"/>
        </w:rPr>
        <w:t xml:space="preserve"> </w:t>
      </w:r>
      <w:r w:rsidRPr="00D3106F">
        <w:rPr>
          <w:sz w:val="18"/>
        </w:rPr>
        <w:t>mobility</w:t>
      </w:r>
      <w:r w:rsidR="00C21DB7" w:rsidRPr="00D3106F">
        <w:rPr>
          <w:sz w:val="18"/>
        </w:rPr>
        <w:t xml:space="preserve"> </w:t>
      </w:r>
      <w:r w:rsidRPr="00D3106F">
        <w:rPr>
          <w:sz w:val="18"/>
        </w:rPr>
        <w:t>technical</w:t>
      </w:r>
      <w:r w:rsidR="00C21DB7" w:rsidRPr="00D3106F">
        <w:rPr>
          <w:sz w:val="18"/>
        </w:rPr>
        <w:t xml:space="preserve"> </w:t>
      </w:r>
      <w:r w:rsidRPr="00D3106F">
        <w:rPr>
          <w:sz w:val="18"/>
        </w:rPr>
        <w:t>aids.</w:t>
      </w:r>
      <w:r w:rsidR="00C21DB7" w:rsidRPr="00D3106F">
        <w:rPr>
          <w:sz w:val="18"/>
        </w:rPr>
        <w:t xml:space="preserve"> </w:t>
      </w:r>
      <w:r w:rsidRPr="00DE65D8">
        <w:rPr>
          <w:i/>
          <w:iCs/>
          <w:sz w:val="18"/>
        </w:rPr>
        <w:t>Source:</w:t>
      </w:r>
      <w:r w:rsidR="00DE65D8">
        <w:rPr>
          <w:sz w:val="18"/>
        </w:rPr>
        <w:t xml:space="preserve"> </w:t>
      </w:r>
      <w:r w:rsidR="00C21DB7" w:rsidRPr="00D3106F">
        <w:rPr>
          <w:sz w:val="18"/>
        </w:rPr>
        <w:t xml:space="preserve"> </w:t>
      </w:r>
      <w:r w:rsidRPr="00D3106F">
        <w:rPr>
          <w:sz w:val="18"/>
        </w:rPr>
        <w:t>Social</w:t>
      </w:r>
      <w:r w:rsidR="00C21DB7" w:rsidRPr="00D3106F">
        <w:rPr>
          <w:sz w:val="18"/>
        </w:rPr>
        <w:t xml:space="preserve"> </w:t>
      </w:r>
      <w:r w:rsidRPr="00D3106F">
        <w:rPr>
          <w:sz w:val="18"/>
        </w:rPr>
        <w:t>Insurance</w:t>
      </w:r>
      <w:r w:rsidR="00C21DB7" w:rsidRPr="00D3106F">
        <w:rPr>
          <w:sz w:val="18"/>
        </w:rPr>
        <w:t xml:space="preserve"> </w:t>
      </w:r>
      <w:r w:rsidRPr="00D3106F">
        <w:rPr>
          <w:sz w:val="18"/>
        </w:rPr>
        <w:t>board</w:t>
      </w:r>
      <w:r w:rsidR="00D3106F">
        <w:rPr>
          <w:sz w:val="18"/>
        </w:rPr>
        <w:t>.</w:t>
      </w:r>
    </w:p>
    <w:p w:rsidR="002F001C" w:rsidRPr="00E31BBF" w:rsidRDefault="002F001C" w:rsidP="00D3106F">
      <w:pPr>
        <w:pStyle w:val="H1G"/>
      </w:pPr>
      <w:r w:rsidRPr="00E31BBF">
        <w:lastRenderedPageBreak/>
        <w:tab/>
      </w:r>
      <w:r w:rsidRPr="00E31BBF">
        <w:tab/>
        <w:t>Freedom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expression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opinion,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access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21)</w:t>
      </w:r>
    </w:p>
    <w:p w:rsidR="002F001C" w:rsidRPr="00E31BBF" w:rsidRDefault="002F001C" w:rsidP="00D3106F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16</w:t>
      </w:r>
      <w:r w:rsidR="00B10A4D">
        <w:t xml:space="preserve"> </w:t>
      </w:r>
      <w:r w:rsidRPr="00E31BBF">
        <w:t>(a),</w:t>
      </w:r>
      <w:r w:rsidR="00C21DB7">
        <w:t xml:space="preserve"> </w:t>
      </w:r>
      <w:r w:rsidRPr="00E31BBF">
        <w:t>(b),</w:t>
      </w:r>
      <w:r w:rsidR="00C21DB7">
        <w:t xml:space="preserve"> </w:t>
      </w:r>
      <w:r w:rsidRPr="00E31BBF">
        <w:t>(c)</w:t>
      </w:r>
      <w:r w:rsidR="003E41EF">
        <w:t xml:space="preserve"> </w:t>
      </w:r>
      <w:r w:rsidRPr="00E31BBF">
        <w:t>and</w:t>
      </w:r>
      <w:r w:rsidR="00C21DB7">
        <w:t xml:space="preserve"> </w:t>
      </w:r>
      <w:r w:rsidRPr="00E31BBF">
        <w:t>(c)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proofErr w:type="gramStart"/>
      <w:r w:rsidRPr="00E31BBF">
        <w:t>113.</w:t>
      </w:r>
      <w:r w:rsidRPr="00E31BBF">
        <w:tab/>
        <w:t>In</w:t>
      </w:r>
      <w:r w:rsidR="00C21DB7">
        <w:t xml:space="preserve"> </w:t>
      </w:r>
      <w:r w:rsidRPr="00E31BBF">
        <w:t>November</w:t>
      </w:r>
      <w:r w:rsidR="00C21DB7">
        <w:t xml:space="preserve"> </w:t>
      </w:r>
      <w:r w:rsidRPr="00E31BBF">
        <w:t>2018</w:t>
      </w:r>
      <w:proofErr w:type="gramEnd"/>
      <w:r w:rsidR="00C21DB7">
        <w:t xml:space="preserve"> </w:t>
      </w:r>
      <w:r w:rsidRPr="00E31BBF">
        <w:t>amendments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Copyright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came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force,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aim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was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transpose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legislation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Marrakech</w:t>
      </w:r>
      <w:r w:rsidR="00C21DB7">
        <w:t xml:space="preserve"> </w:t>
      </w:r>
      <w:r w:rsidRPr="00E31BBF">
        <w:t>directive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provide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exception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use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works</w:t>
      </w:r>
      <w:r w:rsidR="00C21DB7">
        <w:t xml:space="preserve"> </w:t>
      </w:r>
      <w:r w:rsidRPr="00E31BBF">
        <w:t>without</w:t>
      </w:r>
      <w:r w:rsidR="00C21DB7">
        <w:t xml:space="preserve"> </w:t>
      </w:r>
      <w:r w:rsidRPr="00E31BBF">
        <w:t>authorisation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author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without</w:t>
      </w:r>
      <w:r w:rsidR="00C21DB7">
        <w:t xml:space="preserve"> </w:t>
      </w:r>
      <w:r w:rsidRPr="00E31BBF">
        <w:t>payment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remuneration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benefit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blind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visually</w:t>
      </w:r>
      <w:r w:rsidR="00C21DB7">
        <w:t xml:space="preserve"> </w:t>
      </w:r>
      <w:r w:rsidRPr="00E31BBF">
        <w:t>impaired.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most</w:t>
      </w:r>
      <w:r w:rsidR="00C21DB7">
        <w:t xml:space="preserve"> </w:t>
      </w:r>
      <w:r w:rsidRPr="00E31BBF">
        <w:t>recent</w:t>
      </w:r>
      <w:r w:rsidR="00C21DB7">
        <w:t xml:space="preserve"> </w:t>
      </w:r>
      <w:r w:rsidRPr="00E31BBF">
        <w:t>step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completion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transposition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European</w:t>
      </w:r>
      <w:r w:rsidR="00C21DB7">
        <w:t xml:space="preserve"> </w:t>
      </w:r>
      <w:r w:rsidRPr="00E31BBF">
        <w:t>Web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sector</w:t>
      </w:r>
      <w:r w:rsidR="00C21DB7">
        <w:t xml:space="preserve"> </w:t>
      </w:r>
      <w:r w:rsidRPr="00E31BBF">
        <w:t>websites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legislation.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114.</w:t>
      </w:r>
      <w:r w:rsidRPr="00E31BBF">
        <w:tab/>
        <w:t>Directive</w:t>
      </w:r>
      <w:r w:rsidR="00C21DB7">
        <w:t xml:space="preserve"> </w:t>
      </w:r>
      <w:r w:rsidRPr="00E31BBF">
        <w:t>(EU)</w:t>
      </w:r>
      <w:r w:rsidR="00C21DB7">
        <w:t xml:space="preserve"> </w:t>
      </w:r>
      <w:r w:rsidRPr="00E31BBF">
        <w:t>2019/882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requirements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products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sets</w:t>
      </w:r>
      <w:r w:rsidR="00C21DB7">
        <w:t xml:space="preserve"> </w:t>
      </w:r>
      <w:r w:rsidRPr="00E31BBF">
        <w:t>out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requirements</w:t>
      </w:r>
      <w:r w:rsidR="00C21DB7">
        <w:t xml:space="preserve"> </w:t>
      </w:r>
      <w:r w:rsidRPr="00E31BBF">
        <w:t>applicable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private</w:t>
      </w:r>
      <w:r w:rsidR="00C21DB7">
        <w:t xml:space="preserve"> </w:t>
      </w:r>
      <w:r w:rsidRPr="00E31BBF">
        <w:t>sector.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Directive</w:t>
      </w:r>
      <w:r w:rsidR="00C21DB7">
        <w:t xml:space="preserve"> </w:t>
      </w:r>
      <w:proofErr w:type="gramStart"/>
      <w:r w:rsidRPr="00E31BBF">
        <w:t>will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transposed</w:t>
      </w:r>
      <w:proofErr w:type="gramEnd"/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national</w:t>
      </w:r>
      <w:r w:rsidR="00C21DB7">
        <w:t xml:space="preserve"> </w:t>
      </w:r>
      <w:r w:rsidRPr="00E31BBF">
        <w:t>law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2022.</w:t>
      </w:r>
    </w:p>
    <w:p w:rsidR="002F001C" w:rsidRPr="00E31BBF" w:rsidRDefault="002F001C" w:rsidP="00732F46">
      <w:pPr>
        <w:pStyle w:val="SingleTxtG"/>
      </w:pPr>
      <w:r w:rsidRPr="00E31BBF">
        <w:t>115.</w:t>
      </w:r>
      <w:r w:rsidRPr="00E31BBF">
        <w:tab/>
        <w:t>The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Economic</w:t>
      </w:r>
      <w:r w:rsidR="00C21DB7">
        <w:t xml:space="preserve"> </w:t>
      </w:r>
      <w:r w:rsidRPr="00E31BBF">
        <w:t>Affairs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Communications</w:t>
      </w:r>
      <w:r w:rsidR="00C21DB7">
        <w:t xml:space="preserve"> </w:t>
      </w:r>
      <w:r w:rsidRPr="00E31BBF">
        <w:t>had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Guidelines</w:t>
      </w:r>
      <w:r w:rsidR="00C21DB7">
        <w:t xml:space="preserve"> </w:t>
      </w:r>
      <w:r w:rsidRPr="00E31BBF">
        <w:t>translated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2013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they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freely</w:t>
      </w:r>
      <w:r w:rsidR="00C21DB7">
        <w:t xml:space="preserve"> </w:t>
      </w:r>
      <w:r w:rsidRPr="00E31BBF">
        <w:t>available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Internet.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addition,</w:t>
      </w:r>
      <w:r w:rsidR="00C21DB7">
        <w:t xml:space="preserve"> </w:t>
      </w:r>
      <w:r w:rsidRPr="00E31BBF">
        <w:t>Directive</w:t>
      </w:r>
      <w:r w:rsidR="00C21DB7">
        <w:t xml:space="preserve"> </w:t>
      </w:r>
      <w:r w:rsidRPr="00E31BBF">
        <w:t>(EU)</w:t>
      </w:r>
      <w:r w:rsidR="00C21DB7">
        <w:t xml:space="preserve"> </w:t>
      </w:r>
      <w:r w:rsidRPr="00E31BBF">
        <w:t>2019/882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sets</w:t>
      </w:r>
      <w:r w:rsidR="00C21DB7">
        <w:t xml:space="preserve"> </w:t>
      </w:r>
      <w:r w:rsidRPr="00E31BBF">
        <w:t>out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requirements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sector</w:t>
      </w:r>
      <w:r w:rsidR="00C21DB7">
        <w:t xml:space="preserve"> </w:t>
      </w:r>
      <w:proofErr w:type="gramStart"/>
      <w:r w:rsidRPr="00E31BBF">
        <w:t>websites,</w:t>
      </w:r>
      <w:proofErr w:type="gramEnd"/>
      <w:r w:rsidR="00C21DB7">
        <w:t xml:space="preserve"> </w:t>
      </w:r>
      <w:r w:rsidRPr="00E31BBF">
        <w:t>these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applicable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timeline.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116.</w:t>
      </w:r>
      <w:r w:rsidRPr="00E31BBF">
        <w:tab/>
        <w:t>In</w:t>
      </w:r>
      <w:r w:rsidR="00C21DB7">
        <w:t xml:space="preserve"> </w:t>
      </w:r>
      <w:r w:rsidRPr="00E31BBF">
        <w:t>addition,</w:t>
      </w:r>
      <w:r w:rsidR="00C21DB7">
        <w:t xml:space="preserve"> </w:t>
      </w:r>
      <w:r w:rsidRPr="00E31BBF">
        <w:t>since</w:t>
      </w:r>
      <w:r w:rsidR="00C21DB7">
        <w:t xml:space="preserve"> </w:t>
      </w:r>
      <w:r w:rsidRPr="00E31BBF">
        <w:t>September</w:t>
      </w:r>
      <w:r w:rsidR="00C21DB7">
        <w:t xml:space="preserve"> </w:t>
      </w:r>
      <w:r w:rsidRPr="00E31BBF">
        <w:t>2018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Economic</w:t>
      </w:r>
      <w:r w:rsidR="00C21DB7">
        <w:t xml:space="preserve"> </w:t>
      </w:r>
      <w:r w:rsidRPr="00E31BBF">
        <w:t>Affairs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Communications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organising</w:t>
      </w:r>
      <w:r w:rsidR="00C21DB7">
        <w:t xml:space="preserve"> </w:t>
      </w:r>
      <w:r w:rsidRPr="00E31BBF">
        <w:t>practical</w:t>
      </w:r>
      <w:r w:rsidR="00C21DB7">
        <w:t xml:space="preserve"> </w:t>
      </w:r>
      <w:r w:rsidRPr="00E31BBF">
        <w:t>trainings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seminars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editors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websites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developers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websites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mobile</w:t>
      </w:r>
      <w:r w:rsidR="00C21DB7">
        <w:t xml:space="preserve"> </w:t>
      </w:r>
      <w:r w:rsidRPr="00E31BBF">
        <w:t>applications.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Data</w:t>
      </w:r>
      <w:r w:rsidR="00C21DB7">
        <w:t xml:space="preserve"> </w:t>
      </w:r>
      <w:r w:rsidRPr="00E31BBF">
        <w:t>Protection</w:t>
      </w:r>
      <w:r w:rsidR="00C21DB7">
        <w:t xml:space="preserve"> </w:t>
      </w:r>
      <w:r w:rsidRPr="00E31BBF">
        <w:t>Inspectorate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responsible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supervision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requirements.</w:t>
      </w:r>
    </w:p>
    <w:p w:rsidR="002F001C" w:rsidRPr="00E31BBF" w:rsidRDefault="002F001C" w:rsidP="00732F46">
      <w:pPr>
        <w:pStyle w:val="SingleTxtG"/>
      </w:pPr>
      <w:r w:rsidRPr="00E31BBF">
        <w:t>117.</w:t>
      </w:r>
      <w:r w:rsidRPr="00E31BBF">
        <w:tab/>
        <w:t>Please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see</w:t>
      </w:r>
      <w:r w:rsidR="00C21DB7">
        <w:t xml:space="preserve"> </w:t>
      </w:r>
      <w:r w:rsidRPr="00E31BBF">
        <w:t>answers</w:t>
      </w:r>
      <w:r w:rsidR="00C21DB7">
        <w:t xml:space="preserve"> </w:t>
      </w:r>
      <w:r w:rsidRPr="00E31BBF">
        <w:t>provided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1</w:t>
      </w:r>
      <w:r w:rsidR="00684C05">
        <w:t>–</w:t>
      </w:r>
      <w:r w:rsidRPr="00E31BBF">
        <w:t>4</w:t>
      </w:r>
      <w:r w:rsidR="00C21DB7">
        <w:t xml:space="preserve"> </w:t>
      </w:r>
      <w:r w:rsidRPr="00E31BBF">
        <w:t>point</w:t>
      </w:r>
      <w:r w:rsidR="00C21DB7">
        <w:t xml:space="preserve"> </w:t>
      </w:r>
      <w:proofErr w:type="gramStart"/>
      <w:r w:rsidRPr="00E31BBF">
        <w:t>1</w:t>
      </w:r>
      <w:proofErr w:type="gramEnd"/>
      <w:r w:rsidR="00C21DB7">
        <w:t xml:space="preserve"> </w:t>
      </w:r>
      <w:r w:rsidRPr="00E31BBF">
        <w:t>(d)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(c),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6</w:t>
      </w:r>
      <w:r w:rsidR="00C21DB7">
        <w:t xml:space="preserve"> </w:t>
      </w:r>
      <w:r w:rsidRPr="00E31BBF">
        <w:t>(b),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7,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8,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9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11.</w:t>
      </w:r>
      <w:r w:rsidRPr="00E31BBF">
        <w:tab/>
      </w:r>
    </w:p>
    <w:p w:rsidR="002F001C" w:rsidRPr="00E31BBF" w:rsidRDefault="002F001C" w:rsidP="004F710A">
      <w:pPr>
        <w:pStyle w:val="H1G"/>
      </w:pPr>
      <w:r w:rsidRPr="00E31BBF">
        <w:tab/>
      </w:r>
      <w:r w:rsidRPr="00E31BBF">
        <w:tab/>
        <w:t>Respect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home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family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23)</w:t>
      </w:r>
    </w:p>
    <w:p w:rsidR="002F001C" w:rsidRPr="00E31BBF" w:rsidRDefault="002F001C" w:rsidP="004F710A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14</w:t>
      </w:r>
      <w:r w:rsidR="00B10A4D">
        <w:t xml:space="preserve"> </w:t>
      </w:r>
      <w:r w:rsidRPr="00E31BBF">
        <w:t>(a)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(b)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proofErr w:type="gramStart"/>
      <w:r w:rsidRPr="00E31BBF">
        <w:t>118.</w:t>
      </w:r>
      <w:r w:rsidRPr="00E31BBF">
        <w:tab/>
        <w:t>In</w:t>
      </w:r>
      <w:r w:rsidR="00C21DB7">
        <w:t xml:space="preserve"> </w:t>
      </w:r>
      <w:r w:rsidRPr="00E31BBF">
        <w:t>June</w:t>
      </w:r>
      <w:r w:rsidR="00C21DB7">
        <w:t xml:space="preserve"> </w:t>
      </w:r>
      <w:r w:rsidRPr="00E31BBF">
        <w:t>2019</w:t>
      </w:r>
      <w:proofErr w:type="gramEnd"/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started</w:t>
      </w:r>
      <w:r w:rsidR="00C21DB7">
        <w:t xml:space="preserve"> </w:t>
      </w:r>
      <w:r w:rsidRPr="00E31BBF">
        <w:t>piloting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model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integrated</w:t>
      </w:r>
      <w:r w:rsidR="00C21DB7">
        <w:t xml:space="preserve"> </w:t>
      </w:r>
      <w:r w:rsidRPr="00E31BBF">
        <w:t>care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least</w:t>
      </w:r>
      <w:r w:rsidR="00C21DB7">
        <w:t xml:space="preserve"> </w:t>
      </w:r>
      <w:r w:rsidRPr="00E31BBF">
        <w:t>two</w:t>
      </w:r>
      <w:r w:rsidR="00C21DB7">
        <w:t xml:space="preserve"> </w:t>
      </w:r>
      <w:r w:rsidRPr="00E31BBF">
        <w:t>areas</w:t>
      </w:r>
      <w:r w:rsidR="00C21DB7">
        <w:t xml:space="preserve"> </w:t>
      </w:r>
      <w:r w:rsidRPr="00E31BBF">
        <w:t>(education,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care).</w:t>
      </w:r>
      <w:r w:rsidR="00C21DB7">
        <w:t xml:space="preserve"> </w:t>
      </w:r>
      <w:proofErr w:type="gramStart"/>
      <w:r w:rsidRPr="00E31BBF">
        <w:t>8</w:t>
      </w:r>
      <w:proofErr w:type="gramEnd"/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municipalities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partners</w:t>
      </w:r>
      <w:r w:rsidR="00C21DB7">
        <w:t xml:space="preserve"> </w:t>
      </w:r>
      <w:r w:rsidRPr="00E31BBF">
        <w:t>(different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providers)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included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project.</w:t>
      </w:r>
      <w:r w:rsidR="00C21DB7">
        <w:t xml:space="preserve"> </w:t>
      </w:r>
      <w:proofErr w:type="gramStart"/>
      <w:r w:rsidRPr="00E31BBF">
        <w:t>The</w:t>
      </w:r>
      <w:r w:rsidR="00C21DB7">
        <w:t xml:space="preserve"> </w:t>
      </w:r>
      <w:r w:rsidRPr="00E31BBF">
        <w:t>purpose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project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develop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new</w:t>
      </w:r>
      <w:r w:rsidR="00C21DB7">
        <w:t xml:space="preserve"> </w:t>
      </w:r>
      <w:r w:rsidRPr="00E31BBF">
        <w:t>cooperation</w:t>
      </w:r>
      <w:r w:rsidR="00C21DB7">
        <w:t xml:space="preserve"> </w:t>
      </w:r>
      <w:r w:rsidRPr="00E31BBF">
        <w:t>model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can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used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local</w:t>
      </w:r>
      <w:r w:rsidR="00C21DB7">
        <w:t xml:space="preserve"> </w:t>
      </w:r>
      <w:r w:rsidRPr="00E31BBF">
        <w:t>municipalities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it</w:t>
      </w:r>
      <w:r w:rsidR="00C21DB7">
        <w:t xml:space="preserve"> </w:t>
      </w:r>
      <w:r w:rsidRPr="00E31BBF">
        <w:t>helps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its</w:t>
      </w:r>
      <w:r w:rsidR="00C21DB7">
        <w:t xml:space="preserve"> </w:t>
      </w:r>
      <w:r w:rsidRPr="00E31BBF">
        <w:t>family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cooperation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experts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systems,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provide</w:t>
      </w:r>
      <w:r w:rsidR="00C21DB7">
        <w:t xml:space="preserve"> </w:t>
      </w:r>
      <w:r w:rsidRPr="00E31BBF">
        <w:t>each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family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help</w:t>
      </w:r>
      <w:r w:rsidR="00C21DB7">
        <w:t xml:space="preserve"> </w:t>
      </w:r>
      <w:r w:rsidRPr="00E31BBF"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location</w:t>
      </w:r>
      <w:r w:rsidR="00C21DB7">
        <w:t xml:space="preserve"> </w:t>
      </w:r>
      <w:r w:rsidRPr="00E31BBF">
        <w:t>they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actually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(in</w:t>
      </w:r>
      <w:r w:rsidR="00C21DB7">
        <w:t xml:space="preserve"> </w:t>
      </w:r>
      <w:r w:rsidRPr="00E31BBF">
        <w:t>school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home)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provide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available,</w:t>
      </w:r>
      <w:r w:rsidR="00C21DB7">
        <w:t xml:space="preserve"> </w:t>
      </w:r>
      <w:r w:rsidRPr="00E31BBF">
        <w:t>effective,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good</w:t>
      </w:r>
      <w:r w:rsidR="00C21DB7">
        <w:t xml:space="preserve"> </w:t>
      </w:r>
      <w:r w:rsidRPr="00E31BBF">
        <w:t>quality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provided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time.</w:t>
      </w:r>
      <w:proofErr w:type="gramEnd"/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project</w:t>
      </w:r>
      <w:r w:rsidR="00C21DB7">
        <w:t xml:space="preserve"> </w:t>
      </w:r>
      <w:proofErr w:type="gramStart"/>
      <w:r w:rsidRPr="00E31BBF">
        <w:t>is</w:t>
      </w:r>
      <w:r w:rsidR="00C21DB7">
        <w:t xml:space="preserve"> </w:t>
      </w:r>
      <w:r w:rsidRPr="00E31BBF">
        <w:t>coordinated</w:t>
      </w:r>
      <w:proofErr w:type="gramEnd"/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Insurance</w:t>
      </w:r>
      <w:r w:rsidR="00C21DB7">
        <w:t xml:space="preserve"> </w:t>
      </w:r>
      <w:r w:rsidRPr="00E31BBF">
        <w:t>Board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will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carried</w:t>
      </w:r>
      <w:r w:rsidR="00C21DB7">
        <w:t xml:space="preserve"> </w:t>
      </w:r>
      <w:r w:rsidRPr="00E31BBF">
        <w:t>out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cooperation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Affairs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Research.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least</w:t>
      </w:r>
      <w:r w:rsidR="00C21DB7">
        <w:t xml:space="preserve"> </w:t>
      </w:r>
      <w:r w:rsidRPr="00E31BBF">
        <w:t>71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families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involved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project.</w:t>
      </w:r>
    </w:p>
    <w:p w:rsidR="002F001C" w:rsidRPr="00E31BBF" w:rsidRDefault="002F001C" w:rsidP="00732F46">
      <w:pPr>
        <w:pStyle w:val="SingleTxtG"/>
      </w:pPr>
      <w:r w:rsidRPr="00E31BBF">
        <w:t>119.</w:t>
      </w:r>
      <w:r w:rsidRPr="00E31BBF">
        <w:tab/>
        <w:t>This</w:t>
      </w:r>
      <w:r w:rsidR="00C21DB7">
        <w:t xml:space="preserve"> </w:t>
      </w:r>
      <w:r w:rsidRPr="00E31BBF">
        <w:t>pilot</w:t>
      </w:r>
      <w:r w:rsidR="00C21DB7">
        <w:t xml:space="preserve"> </w:t>
      </w:r>
      <w:r w:rsidRPr="00E31BBF">
        <w:t>gives</w:t>
      </w:r>
      <w:r w:rsidR="00C21DB7">
        <w:t xml:space="preserve"> </w:t>
      </w:r>
      <w:r w:rsidRPr="00E31BBF">
        <w:t>input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system</w:t>
      </w:r>
      <w:r w:rsidR="00C21DB7">
        <w:t xml:space="preserve"> </w:t>
      </w:r>
      <w:r w:rsidRPr="00E31BBF">
        <w:t>analysis.</w:t>
      </w:r>
      <w:r w:rsidR="00C21DB7">
        <w:t xml:space="preserve"> </w:t>
      </w:r>
      <w:r w:rsidRPr="00E31BBF">
        <w:t>Proposals</w:t>
      </w:r>
      <w:r w:rsidR="00C21DB7">
        <w:t xml:space="preserve"> </w:t>
      </w:r>
      <w:proofErr w:type="gramStart"/>
      <w:r w:rsidRPr="00E31BBF">
        <w:t>must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presented</w:t>
      </w:r>
      <w:proofErr w:type="gramEnd"/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government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February</w:t>
      </w:r>
      <w:r w:rsidR="00C21DB7">
        <w:t xml:space="preserve"> </w:t>
      </w:r>
      <w:r w:rsidRPr="00E31BBF">
        <w:t>2020.</w:t>
      </w:r>
      <w:r w:rsidR="00C21DB7">
        <w:t xml:space="preserve"> </w:t>
      </w:r>
    </w:p>
    <w:p w:rsidR="002F001C" w:rsidRPr="00E31BBF" w:rsidRDefault="002F001C" w:rsidP="004F710A">
      <w:pPr>
        <w:pStyle w:val="H1G"/>
      </w:pPr>
      <w:r w:rsidRPr="00E31BBF">
        <w:tab/>
      </w:r>
      <w:r w:rsidRPr="00E31BBF">
        <w:tab/>
        <w:t>Education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24)</w:t>
      </w:r>
    </w:p>
    <w:p w:rsidR="002F001C" w:rsidRPr="00E31BBF" w:rsidRDefault="002F001C" w:rsidP="004F710A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18</w:t>
      </w:r>
      <w:r w:rsidR="00B10A4D">
        <w:t xml:space="preserve"> </w:t>
      </w:r>
      <w:r w:rsidRPr="00E31BBF">
        <w:t>(a)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4F710A">
      <w:pPr>
        <w:pStyle w:val="H4G"/>
      </w:pPr>
      <w:r w:rsidRPr="00E31BBF">
        <w:tab/>
      </w:r>
      <w:r w:rsidRPr="00E31BBF">
        <w:tab/>
        <w:t>General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(basic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upper-secondary</w:t>
      </w:r>
      <w:r w:rsidR="00C21DB7">
        <w:t xml:space="preserve"> </w:t>
      </w:r>
      <w:r w:rsidRPr="00E31BBF">
        <w:t>school)</w:t>
      </w:r>
    </w:p>
    <w:p w:rsidR="002F001C" w:rsidRPr="00E31BBF" w:rsidRDefault="002F001C" w:rsidP="00732F46">
      <w:pPr>
        <w:pStyle w:val="SingleTxtG"/>
      </w:pPr>
      <w:r w:rsidRPr="00E31BBF">
        <w:t>120.</w:t>
      </w:r>
      <w:r w:rsidRPr="00E31BBF">
        <w:tab/>
        <w:t>In</w:t>
      </w:r>
      <w:r w:rsidR="00C21DB7">
        <w:t xml:space="preserve"> </w:t>
      </w:r>
      <w:r w:rsidRPr="00E31BBF">
        <w:t>2018,</w:t>
      </w:r>
      <w:r w:rsidR="00C21DB7">
        <w:t xml:space="preserve"> </w:t>
      </w:r>
      <w:r w:rsidRPr="00E31BBF">
        <w:t>changes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educational</w:t>
      </w:r>
      <w:r w:rsidR="00C21DB7">
        <w:t xml:space="preserve"> </w:t>
      </w:r>
      <w:r w:rsidRPr="00E31BBF">
        <w:t>arrangements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pupils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educational</w:t>
      </w:r>
      <w:r w:rsidR="00C21DB7">
        <w:t xml:space="preserve"> </w:t>
      </w:r>
      <w:r w:rsidRPr="00E31BBF">
        <w:t>needs</w:t>
      </w:r>
      <w:r w:rsidR="00C21DB7">
        <w:t xml:space="preserve"> </w:t>
      </w:r>
      <w:proofErr w:type="gramStart"/>
      <w:r w:rsidRPr="00E31BBF">
        <w:t>were</w:t>
      </w:r>
      <w:r w:rsidR="00C21DB7">
        <w:t xml:space="preserve"> </w:t>
      </w:r>
      <w:r w:rsidRPr="00E31BBF">
        <w:t>made</w:t>
      </w:r>
      <w:proofErr w:type="gramEnd"/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Basic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Upper-Secondary</w:t>
      </w:r>
      <w:r w:rsidR="00C21DB7">
        <w:t xml:space="preserve"> </w:t>
      </w:r>
      <w:r w:rsidRPr="00E31BBF">
        <w:t>School</w:t>
      </w:r>
      <w:r w:rsidR="00C21DB7">
        <w:t xml:space="preserve"> </w:t>
      </w:r>
      <w:r w:rsidRPr="00E31BBF">
        <w:t>Act,</w:t>
      </w:r>
      <w:r w:rsidR="00C21DB7">
        <w:t xml:space="preserve"> </w:t>
      </w:r>
      <w:r w:rsidRPr="00E31BBF">
        <w:t>creating</w:t>
      </w:r>
      <w:r w:rsidR="00C21DB7">
        <w:t xml:space="preserve"> </w:t>
      </w:r>
      <w:r w:rsidRPr="00E31BBF">
        <w:t>greater</w:t>
      </w:r>
      <w:r w:rsidR="00C21DB7">
        <w:t xml:space="preserve"> </w:t>
      </w:r>
      <w:r w:rsidRPr="00E31BBF">
        <w:t>opportunities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schools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school</w:t>
      </w:r>
      <w:r w:rsidR="00C21DB7">
        <w:t xml:space="preserve"> </w:t>
      </w:r>
      <w:r w:rsidRPr="00E31BBF">
        <w:t>keepers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organise</w:t>
      </w:r>
      <w:r w:rsidR="00C21DB7">
        <w:t xml:space="preserve"> </w:t>
      </w:r>
      <w:r w:rsidRPr="00E31BBF">
        <w:t>pupils</w:t>
      </w:r>
      <w:r w:rsidR="003E41EF">
        <w:t>’</w:t>
      </w:r>
      <w:r w:rsidR="00C21DB7">
        <w:t xml:space="preserve"> </w:t>
      </w:r>
      <w:r w:rsidRPr="00E31BBF">
        <w:t>individual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implement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systems.</w:t>
      </w:r>
      <w:r w:rsidR="00C21DB7">
        <w:t xml:space="preserve"> </w:t>
      </w:r>
      <w:r w:rsidRPr="00E31BBF">
        <w:t>Main</w:t>
      </w:r>
      <w:r w:rsidR="00C21DB7">
        <w:t xml:space="preserve"> </w:t>
      </w:r>
      <w:r w:rsidRPr="00E31BBF">
        <w:t>amendments</w:t>
      </w:r>
      <w:r w:rsidR="00C21DB7">
        <w:t xml:space="preserve"> </w:t>
      </w:r>
      <w:r w:rsidRPr="00E31BBF">
        <w:t>included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increase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state</w:t>
      </w:r>
      <w:r w:rsidR="00C21DB7">
        <w:t xml:space="preserve"> </w:t>
      </w:r>
      <w:r w:rsidRPr="00E31BBF">
        <w:t>budget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raise</w:t>
      </w:r>
      <w:r w:rsidR="00C21DB7">
        <w:t xml:space="preserve"> </w:t>
      </w:r>
      <w:r w:rsidRPr="00E31BBF">
        <w:t>teachers</w:t>
      </w:r>
      <w:r w:rsidR="003E41EF">
        <w:t>’</w:t>
      </w:r>
      <w:r w:rsidR="00C21DB7">
        <w:t xml:space="preserve"> </w:t>
      </w:r>
      <w:r w:rsidRPr="00E31BBF">
        <w:t>wages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increase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operating</w:t>
      </w:r>
      <w:r w:rsidR="00C21DB7">
        <w:t xml:space="preserve"> </w:t>
      </w:r>
      <w:r w:rsidRPr="00E31BBF">
        <w:t>expenditure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implementation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enhanced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students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labour</w:t>
      </w:r>
      <w:r w:rsidR="00C21DB7">
        <w:t xml:space="preserve"> </w:t>
      </w:r>
      <w:r w:rsidRPr="00E31BBF">
        <w:t>costs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specialists;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breakdown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classes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elimination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maximum</w:t>
      </w:r>
      <w:r w:rsidR="00C21DB7">
        <w:t xml:space="preserve"> </w:t>
      </w:r>
      <w:r w:rsidRPr="00E31BBF">
        <w:t>class</w:t>
      </w:r>
      <w:r w:rsidR="00C21DB7">
        <w:t xml:space="preserve"> </w:t>
      </w:r>
      <w:r w:rsidRPr="00E31BBF">
        <w:t>capacity</w:t>
      </w:r>
      <w:r w:rsidR="00C21DB7">
        <w:t xml:space="preserve"> </w:t>
      </w:r>
      <w:r w:rsidRPr="00E31BBF">
        <w:t>level.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121.</w:t>
      </w:r>
      <w:r w:rsidRPr="00E31BBF">
        <w:tab/>
        <w:t>The</w:t>
      </w:r>
      <w:r w:rsidR="00C21DB7">
        <w:t xml:space="preserve"> </w:t>
      </w:r>
      <w:r w:rsidRPr="00E31BBF">
        <w:t>school</w:t>
      </w:r>
      <w:r w:rsidR="00C21DB7">
        <w:t xml:space="preserve"> </w:t>
      </w:r>
      <w:r w:rsidRPr="00E31BBF">
        <w:t>provides</w:t>
      </w:r>
      <w:r w:rsidR="00C21DB7">
        <w:t xml:space="preserve"> </w:t>
      </w:r>
      <w:r w:rsidRPr="00E31BBF">
        <w:t>general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student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unable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fulfil</w:t>
      </w:r>
      <w:r w:rsidR="00C21DB7">
        <w:t xml:space="preserve"> </w:t>
      </w:r>
      <w:r w:rsidRPr="00E31BBF">
        <w:t>school</w:t>
      </w:r>
      <w:r w:rsidR="00C21DB7">
        <w:t xml:space="preserve"> </w:t>
      </w:r>
      <w:r w:rsidRPr="00E31BBF">
        <w:t>duties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lagging</w:t>
      </w:r>
      <w:r w:rsidR="00C21DB7">
        <w:t xml:space="preserve"> </w:t>
      </w:r>
      <w:r w:rsidRPr="00E31BBF">
        <w:t>behind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achieving</w:t>
      </w:r>
      <w:r w:rsidR="00C21DB7">
        <w:t xml:space="preserve"> </w:t>
      </w:r>
      <w:r w:rsidRPr="00E31BBF">
        <w:t>learning</w:t>
      </w:r>
      <w:r w:rsidR="00C21DB7">
        <w:t xml:space="preserve"> </w:t>
      </w:r>
      <w:r w:rsidRPr="00E31BBF">
        <w:t>outcomes.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volume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content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to</w:t>
      </w:r>
      <w:r w:rsidR="00C21DB7">
        <w:t xml:space="preserve"> </w:t>
      </w:r>
      <w:proofErr w:type="gramStart"/>
      <w:r w:rsidRPr="00E31BBF">
        <w:t>be</w:t>
      </w:r>
      <w:r w:rsidR="00C21DB7">
        <w:t xml:space="preserve"> </w:t>
      </w:r>
      <w:r w:rsidRPr="00E31BBF">
        <w:t>implemented</w:t>
      </w:r>
      <w:proofErr w:type="gramEnd"/>
      <w:r w:rsidR="00C21DB7">
        <w:t xml:space="preserve"> </w:t>
      </w:r>
      <w:r w:rsidRPr="00E31BBF">
        <w:t>does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depend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much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medical</w:t>
      </w:r>
      <w:r w:rsidR="00C21DB7">
        <w:t xml:space="preserve"> </w:t>
      </w:r>
      <w:r w:rsidRPr="00E31BBF">
        <w:t>diagnosis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assigned</w:t>
      </w:r>
      <w:r w:rsidR="00C21DB7">
        <w:t xml:space="preserve"> </w:t>
      </w:r>
      <w:r w:rsidRPr="00E31BBF">
        <w:lastRenderedPageBreak/>
        <w:t>disability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student,</w:t>
      </w:r>
      <w:r w:rsidR="00C21DB7">
        <w:t xml:space="preserve"> </w:t>
      </w:r>
      <w:r w:rsidRPr="00E31BBF">
        <w:t>but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training</w:t>
      </w:r>
      <w:r w:rsidR="00C21DB7">
        <w:t xml:space="preserve"> </w:t>
      </w:r>
      <w:r w:rsidRPr="00E31BBF">
        <w:t>organisation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student</w:t>
      </w:r>
      <w:r w:rsidR="00C21DB7">
        <w:t xml:space="preserve"> </w:t>
      </w:r>
      <w:r w:rsidRPr="00E31BBF">
        <w:t>needs.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role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national</w:t>
      </w:r>
      <w:r w:rsidR="00C21DB7">
        <w:t xml:space="preserve"> </w:t>
      </w:r>
      <w:r w:rsidRPr="00E31BBF">
        <w:t>supervision</w:t>
      </w:r>
      <w:r w:rsidR="00C21DB7">
        <w:t xml:space="preserve"> </w:t>
      </w:r>
      <w:r w:rsidRPr="00E31BBF">
        <w:t>increased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improve</w:t>
      </w:r>
      <w:r w:rsidR="00C21DB7">
        <w:t xml:space="preserve"> </w:t>
      </w:r>
      <w:r w:rsidRPr="00E31BBF">
        <w:t>monitoring</w:t>
      </w:r>
      <w:r w:rsidR="00C21DB7">
        <w:t xml:space="preserve"> </w:t>
      </w:r>
      <w:r w:rsidRPr="00E31BBF">
        <w:t>over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teaching</w:t>
      </w:r>
      <w:r w:rsidR="00C21DB7">
        <w:t xml:space="preserve"> </w:t>
      </w:r>
      <w:r w:rsidRPr="00E31BBF">
        <w:t>arrangements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need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support.</w:t>
      </w:r>
    </w:p>
    <w:p w:rsidR="002F001C" w:rsidRPr="00E31BBF" w:rsidRDefault="002F001C" w:rsidP="004F710A">
      <w:pPr>
        <w:pStyle w:val="H4G"/>
      </w:pPr>
      <w:r w:rsidRPr="00E31BBF">
        <w:tab/>
      </w:r>
      <w:r w:rsidRPr="00E31BBF">
        <w:tab/>
        <w:t>Vocational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Training</w:t>
      </w:r>
    </w:p>
    <w:p w:rsidR="002F001C" w:rsidRPr="00E31BBF" w:rsidRDefault="002F001C" w:rsidP="00732F46">
      <w:pPr>
        <w:pStyle w:val="SingleTxtG"/>
      </w:pPr>
      <w:r w:rsidRPr="00E31BBF">
        <w:t>122.</w:t>
      </w:r>
      <w:r w:rsidRPr="00E31BBF">
        <w:tab/>
        <w:t>From</w:t>
      </w:r>
      <w:r w:rsidR="00C21DB7">
        <w:t xml:space="preserve"> </w:t>
      </w:r>
      <w:r w:rsidRPr="00E31BBF">
        <w:t>September</w:t>
      </w:r>
      <w:r w:rsidR="00C21DB7">
        <w:t xml:space="preserve"> </w:t>
      </w:r>
      <w:r w:rsidRPr="00E31BBF">
        <w:t>2019,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new</w:t>
      </w:r>
      <w:r w:rsidR="00C21DB7">
        <w:t xml:space="preserve"> </w:t>
      </w:r>
      <w:r w:rsidRPr="00E31BBF">
        <w:t>regulation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force.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educational</w:t>
      </w:r>
      <w:r w:rsidR="00C21DB7">
        <w:t xml:space="preserve"> </w:t>
      </w:r>
      <w:r w:rsidRPr="00E31BBF">
        <w:t>institutions</w:t>
      </w:r>
      <w:r w:rsidR="00C21DB7">
        <w:t xml:space="preserve"> </w:t>
      </w:r>
      <w:r w:rsidRPr="00E31BBF">
        <w:t>will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able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use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data</w:t>
      </w:r>
      <w:r w:rsidR="00C21DB7">
        <w:t xml:space="preserve"> </w:t>
      </w:r>
      <w:r w:rsidRPr="00E31BBF">
        <w:t>entered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System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prior</w:t>
      </w:r>
      <w:r w:rsidR="00C21DB7">
        <w:t xml:space="preserve"> </w:t>
      </w:r>
      <w:r w:rsidRPr="00E31BBF">
        <w:t>educational</w:t>
      </w:r>
      <w:r w:rsidR="00C21DB7">
        <w:t xml:space="preserve"> </w:t>
      </w:r>
      <w:r w:rsidRPr="00E31BBF">
        <w:t>institution,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provided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student,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continue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provide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immediately</w:t>
      </w:r>
      <w:r w:rsidR="00C21DB7">
        <w:t xml:space="preserve"> </w:t>
      </w:r>
      <w:r w:rsidRPr="00E31BBF">
        <w:t>starting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study</w:t>
      </w:r>
      <w:r w:rsidR="00C21DB7">
        <w:t xml:space="preserve"> </w:t>
      </w:r>
      <w:r w:rsidRPr="00E31BBF">
        <w:t>process.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reduces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burden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(and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parents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caregivers)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prove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when</w:t>
      </w:r>
      <w:r w:rsidR="00C21DB7">
        <w:t xml:space="preserve"> </w:t>
      </w:r>
      <w:r w:rsidRPr="00E31BBF">
        <w:t>moving</w:t>
      </w:r>
      <w:r w:rsidR="00C21DB7">
        <w:t xml:space="preserve"> </w:t>
      </w:r>
      <w:r w:rsidRPr="00E31BBF">
        <w:t>between</w:t>
      </w:r>
      <w:r w:rsidR="00C21DB7">
        <w:t xml:space="preserve"> </w:t>
      </w:r>
      <w:r w:rsidRPr="00E31BBF">
        <w:t>educational</w:t>
      </w:r>
      <w:r w:rsidR="00C21DB7">
        <w:t xml:space="preserve"> </w:t>
      </w:r>
      <w:r w:rsidRPr="00E31BBF">
        <w:t>levels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institutions.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123.</w:t>
      </w:r>
      <w:r w:rsidRPr="00E31BBF">
        <w:tab/>
        <w:t>The</w:t>
      </w:r>
      <w:r w:rsidR="00C21DB7">
        <w:t xml:space="preserve"> </w:t>
      </w:r>
      <w:r w:rsidRPr="00E31BBF">
        <w:t>definition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changed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well.</w:t>
      </w:r>
      <w:r w:rsidR="00C21DB7">
        <w:t xml:space="preserve"> </w:t>
      </w:r>
      <w:r w:rsidRPr="00E31BBF">
        <w:t>It</w:t>
      </w:r>
      <w:r w:rsidR="00C21DB7">
        <w:t xml:space="preserve"> </w:t>
      </w:r>
      <w:proofErr w:type="gramStart"/>
      <w:r w:rsidRPr="00E31BBF">
        <w:t>is</w:t>
      </w:r>
      <w:r w:rsidR="00C21DB7">
        <w:t xml:space="preserve"> </w:t>
      </w:r>
      <w:r w:rsidRPr="00E31BBF">
        <w:t>no</w:t>
      </w:r>
      <w:r w:rsidR="00C21DB7">
        <w:t xml:space="preserve"> </w:t>
      </w:r>
      <w:r w:rsidRPr="00E31BBF">
        <w:t>longer</w:t>
      </w:r>
      <w:r w:rsidR="00C21DB7">
        <w:t xml:space="preserve"> </w:t>
      </w:r>
      <w:r w:rsidRPr="00E31BBF">
        <w:t>focused</w:t>
      </w:r>
      <w:proofErr w:type="gramEnd"/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type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needs,</w:t>
      </w:r>
      <w:r w:rsidR="00C21DB7">
        <w:t xml:space="preserve"> </w:t>
      </w:r>
      <w:r w:rsidRPr="00E31BBF">
        <w:t>but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need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responsive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specific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complex</w:t>
      </w:r>
      <w:r w:rsidR="00C21DB7">
        <w:t xml:space="preserve"> </w:t>
      </w:r>
      <w:r w:rsidRPr="00E31BBF">
        <w:t>educational</w:t>
      </w:r>
      <w:r w:rsidR="00C21DB7">
        <w:t xml:space="preserve"> </w:t>
      </w:r>
      <w:r w:rsidRPr="00E31BBF">
        <w:t>needs.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overall</w:t>
      </w:r>
      <w:r w:rsidR="00C21DB7">
        <w:t xml:space="preserve"> </w:t>
      </w:r>
      <w:r w:rsidRPr="00E31BBF">
        <w:t>financial</w:t>
      </w:r>
      <w:r w:rsidR="00C21DB7">
        <w:t xml:space="preserve"> </w:t>
      </w:r>
      <w:r w:rsidRPr="00E31BBF">
        <w:t>scheme</w:t>
      </w:r>
      <w:r w:rsidR="00C21DB7">
        <w:t xml:space="preserve"> </w:t>
      </w:r>
      <w:proofErr w:type="gramStart"/>
      <w:r w:rsidRPr="00E31BBF">
        <w:t>has</w:t>
      </w:r>
      <w:r w:rsidR="00C21DB7">
        <w:t xml:space="preserve"> </w:t>
      </w:r>
      <w:r w:rsidRPr="00E31BBF">
        <w:t>become</w:t>
      </w:r>
      <w:r w:rsidR="00C21DB7">
        <w:t xml:space="preserve"> </w:t>
      </w:r>
      <w:r w:rsidRPr="00E31BBF">
        <w:t>differentiated</w:t>
      </w:r>
      <w:proofErr w:type="gramEnd"/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allows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resources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schools</w:t>
      </w:r>
      <w:r w:rsidR="00C21DB7">
        <w:t xml:space="preserve"> </w:t>
      </w:r>
      <w:r w:rsidRPr="00E31BBF">
        <w:t>implementing</w:t>
      </w:r>
      <w:r w:rsidR="00C21DB7">
        <w:t xml:space="preserve"> </w:t>
      </w:r>
      <w:r w:rsidRPr="00E31BBF">
        <w:t>comprehensive</w:t>
      </w:r>
      <w:r w:rsidR="00C21DB7">
        <w:t xml:space="preserve"> </w:t>
      </w:r>
      <w:r w:rsidRPr="00E31BBF">
        <w:t>educational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measures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carry</w:t>
      </w:r>
      <w:r w:rsidR="00C21DB7">
        <w:t xml:space="preserve"> </w:t>
      </w:r>
      <w:r w:rsidRPr="00E31BBF">
        <w:t>out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learning</w:t>
      </w:r>
      <w:r w:rsidR="00C21DB7">
        <w:t xml:space="preserve"> </w:t>
      </w:r>
      <w:r w:rsidRPr="00E31BBF">
        <w:t>process.</w:t>
      </w:r>
    </w:p>
    <w:p w:rsidR="002F001C" w:rsidRPr="00E31BBF" w:rsidRDefault="002F001C" w:rsidP="004F710A">
      <w:pPr>
        <w:pStyle w:val="H4G"/>
      </w:pPr>
      <w:r w:rsidRPr="00E31BBF">
        <w:tab/>
      </w:r>
      <w:r w:rsidRPr="00E31BBF">
        <w:tab/>
        <w:t>Higher</w:t>
      </w:r>
      <w:r w:rsidR="00C21DB7">
        <w:t xml:space="preserve"> </w:t>
      </w:r>
      <w:r w:rsidRPr="00E31BBF">
        <w:t>Education</w:t>
      </w:r>
    </w:p>
    <w:p w:rsidR="002F001C" w:rsidRPr="00E31BBF" w:rsidRDefault="002F001C" w:rsidP="00732F46">
      <w:pPr>
        <w:pStyle w:val="SingleTxtG"/>
      </w:pPr>
      <w:r w:rsidRPr="00E31BBF">
        <w:t>124.</w:t>
      </w:r>
      <w:r w:rsidRPr="00E31BBF">
        <w:tab/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353ED1">
        <w:rPr>
          <w:i/>
          <w:iCs/>
        </w:rPr>
        <w:t>Higher</w:t>
      </w:r>
      <w:r w:rsidR="00C21DB7" w:rsidRPr="00353ED1">
        <w:rPr>
          <w:i/>
          <w:iCs/>
        </w:rPr>
        <w:t xml:space="preserve"> </w:t>
      </w:r>
      <w:r w:rsidRPr="00353ED1">
        <w:rPr>
          <w:i/>
          <w:iCs/>
        </w:rPr>
        <w:t>Education</w:t>
      </w:r>
      <w:r w:rsidR="00C21DB7" w:rsidRPr="00353ED1">
        <w:rPr>
          <w:i/>
          <w:iCs/>
        </w:rPr>
        <w:t xml:space="preserve"> </w:t>
      </w:r>
      <w:r w:rsidRPr="00353ED1">
        <w:rPr>
          <w:i/>
          <w:iCs/>
        </w:rPr>
        <w:t>Act</w:t>
      </w:r>
      <w:r w:rsidRPr="00E31BBF">
        <w:t>,</w:t>
      </w:r>
      <w:r w:rsidR="00C21DB7">
        <w:t xml:space="preserve"> </w:t>
      </w:r>
      <w:r w:rsidRPr="00E31BBF">
        <w:t>Higher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Institutions</w:t>
      </w:r>
      <w:r w:rsidR="00C21DB7">
        <w:t xml:space="preserve"> </w:t>
      </w:r>
      <w:r w:rsidRPr="00E31BBF">
        <w:t>may</w:t>
      </w:r>
      <w:r w:rsidR="00C21DB7">
        <w:t xml:space="preserve"> </w:t>
      </w:r>
      <w:r w:rsidRPr="00E31BBF">
        <w:t>establish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admission</w:t>
      </w:r>
      <w:r w:rsidR="00C21DB7">
        <w:t xml:space="preserve"> </w:t>
      </w:r>
      <w:r w:rsidRPr="00E31BBF">
        <w:t>requirements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groups,</w:t>
      </w:r>
      <w:r w:rsidR="00C21DB7">
        <w:t xml:space="preserve"> </w:t>
      </w:r>
      <w:r w:rsidRPr="00E31BBF">
        <w:t>based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prior</w:t>
      </w:r>
      <w:r w:rsidR="00C21DB7">
        <w:t xml:space="preserve"> </w:t>
      </w:r>
      <w:r w:rsidRPr="00E31BBF">
        <w:t>qualifications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applicants.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proofErr w:type="gramStart"/>
      <w:r w:rsidRPr="00E31BBF">
        <w:t>125.</w:t>
      </w:r>
      <w:r w:rsidRPr="00E31BBF">
        <w:tab/>
        <w:t>Higher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Institutions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entitled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reimbursement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study</w:t>
      </w:r>
      <w:r w:rsidR="00C21DB7">
        <w:t xml:space="preserve"> </w:t>
      </w:r>
      <w:r w:rsidRPr="00E31BBF">
        <w:t>costs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student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complied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requirements</w:t>
      </w:r>
      <w:r w:rsidR="00C21DB7">
        <w:t xml:space="preserve"> </w:t>
      </w:r>
      <w:r w:rsidRPr="00E31BBF">
        <w:t>concerning</w:t>
      </w:r>
      <w:r w:rsidR="00C21DB7">
        <w:t xml:space="preserve"> </w:t>
      </w:r>
      <w:r w:rsidRPr="00E31BBF">
        <w:t>full-time</w:t>
      </w:r>
      <w:r w:rsidR="00C21DB7">
        <w:t xml:space="preserve"> </w:t>
      </w:r>
      <w:r w:rsidRPr="00E31BBF">
        <w:t>studies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he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she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moderate,</w:t>
      </w:r>
      <w:r w:rsidR="00C21DB7">
        <w:t xml:space="preserve"> </w:t>
      </w:r>
      <w:r w:rsidRPr="00E31BBF">
        <w:t>severe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profound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he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she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parent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guardian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7</w:t>
      </w:r>
      <w:r w:rsidR="00C21DB7">
        <w:t xml:space="preserve"> </w:t>
      </w:r>
      <w:r w:rsidRPr="00E31BBF">
        <w:t>years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age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child.</w:t>
      </w:r>
      <w:proofErr w:type="gramEnd"/>
    </w:p>
    <w:p w:rsidR="002F001C" w:rsidRPr="00E31BBF" w:rsidRDefault="002F001C" w:rsidP="00732F46">
      <w:pPr>
        <w:pStyle w:val="SingleTxtG"/>
      </w:pPr>
      <w:r w:rsidRPr="00E31BBF">
        <w:t>126.</w:t>
      </w:r>
      <w:r w:rsidRPr="00E31BBF">
        <w:tab/>
        <w:t>The</w:t>
      </w:r>
      <w:r w:rsidR="00C21DB7">
        <w:t xml:space="preserve"> </w:t>
      </w:r>
      <w:r w:rsidRPr="00E31BBF">
        <w:t>same</w:t>
      </w:r>
      <w:r w:rsidR="00C21DB7">
        <w:t xml:space="preserve"> </w:t>
      </w:r>
      <w:r w:rsidRPr="00E31BBF">
        <w:t>group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students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exceptions</w:t>
      </w:r>
      <w:r w:rsidR="00C21DB7">
        <w:t xml:space="preserve"> </w:t>
      </w:r>
      <w:r w:rsidRPr="00E31BBF">
        <w:t>related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academic</w:t>
      </w:r>
      <w:r w:rsidR="00C21DB7">
        <w:t xml:space="preserve"> </w:t>
      </w:r>
      <w:r w:rsidRPr="00E31BBF">
        <w:t>leave.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general,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student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entitled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complete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curriculum</w:t>
      </w:r>
      <w:r w:rsidR="00C21DB7">
        <w:t xml:space="preserve"> </w:t>
      </w:r>
      <w:r w:rsidRPr="00E31BBF">
        <w:t>during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period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academic</w:t>
      </w:r>
      <w:r w:rsidR="00C21DB7">
        <w:t xml:space="preserve"> </w:t>
      </w:r>
      <w:r w:rsidRPr="00E31BBF">
        <w:t>leave</w:t>
      </w:r>
      <w:r w:rsidR="00C21DB7">
        <w:t xml:space="preserve"> </w:t>
      </w:r>
      <w:r w:rsidRPr="00E31BBF">
        <w:t>except</w:t>
      </w:r>
      <w:r w:rsidR="00C21DB7">
        <w:t xml:space="preserve"> </w:t>
      </w:r>
      <w:r w:rsidRPr="00E31BBF">
        <w:t>if:</w:t>
      </w:r>
    </w:p>
    <w:p w:rsidR="002F001C" w:rsidRPr="00E31BBF" w:rsidRDefault="00E41983" w:rsidP="00732F46">
      <w:pPr>
        <w:pStyle w:val="SingleTxtG"/>
      </w:pPr>
      <w:r>
        <w:tab/>
      </w:r>
      <w:r w:rsidR="002F001C" w:rsidRPr="00E31BBF">
        <w:t>1.</w:t>
      </w:r>
      <w:r w:rsidR="00C21DB7">
        <w:t xml:space="preserve"> </w:t>
      </w:r>
      <w:r w:rsidR="002F001C" w:rsidRPr="00E31BBF">
        <w:tab/>
        <w:t>He</w:t>
      </w:r>
      <w:r w:rsidR="00C21DB7">
        <w:t xml:space="preserve"> </w:t>
      </w:r>
      <w:r w:rsidR="002F001C" w:rsidRPr="00E31BBF">
        <w:t>or</w:t>
      </w:r>
      <w:r w:rsidR="00C21DB7">
        <w:t xml:space="preserve"> </w:t>
      </w:r>
      <w:r w:rsidR="002F001C" w:rsidRPr="00E31BBF">
        <w:t>she</w:t>
      </w:r>
      <w:r w:rsidR="00C21DB7">
        <w:t xml:space="preserve"> </w:t>
      </w:r>
      <w:r w:rsidR="002F001C" w:rsidRPr="00E31BBF">
        <w:t>is</w:t>
      </w:r>
      <w:r w:rsidR="00C21DB7">
        <w:t xml:space="preserve"> </w:t>
      </w:r>
      <w:r w:rsidR="002F001C" w:rsidRPr="00E31BBF">
        <w:t>a</w:t>
      </w:r>
      <w:r w:rsidR="00C21DB7">
        <w:t xml:space="preserve"> </w:t>
      </w:r>
      <w:r w:rsidR="002F001C" w:rsidRPr="00E31BBF">
        <w:t>person</w:t>
      </w:r>
      <w:r w:rsidR="00C21DB7">
        <w:t xml:space="preserve"> </w:t>
      </w:r>
      <w:r w:rsidR="002F001C" w:rsidRPr="00E31BBF">
        <w:t>with</w:t>
      </w:r>
      <w:r w:rsidR="00C21DB7">
        <w:t xml:space="preserve"> </w:t>
      </w:r>
      <w:r w:rsidR="002F001C" w:rsidRPr="00E31BBF">
        <w:t>a</w:t>
      </w:r>
      <w:r w:rsidR="00C21DB7">
        <w:t xml:space="preserve"> </w:t>
      </w:r>
      <w:r w:rsidR="002F001C" w:rsidRPr="00E31BBF">
        <w:t>moderate,</w:t>
      </w:r>
      <w:r w:rsidR="00C21DB7">
        <w:t xml:space="preserve"> </w:t>
      </w:r>
      <w:r w:rsidR="002F001C" w:rsidRPr="00E31BBF">
        <w:t>severe</w:t>
      </w:r>
      <w:r w:rsidR="00C21DB7">
        <w:t xml:space="preserve"> </w:t>
      </w:r>
      <w:r w:rsidR="002F001C" w:rsidRPr="00E31BBF">
        <w:t>or</w:t>
      </w:r>
      <w:r w:rsidR="00C21DB7">
        <w:t xml:space="preserve"> </w:t>
      </w:r>
      <w:r w:rsidR="002F001C" w:rsidRPr="00E31BBF">
        <w:t>profound</w:t>
      </w:r>
      <w:r w:rsidR="00C21DB7">
        <w:t xml:space="preserve"> </w:t>
      </w:r>
      <w:r w:rsidR="002F001C" w:rsidRPr="00E31BBF">
        <w:t>disability</w:t>
      </w:r>
      <w:proofErr w:type="gramStart"/>
      <w:r w:rsidR="002F001C" w:rsidRPr="00E31BBF">
        <w:t>;</w:t>
      </w:r>
      <w:proofErr w:type="gramEnd"/>
    </w:p>
    <w:p w:rsidR="002F001C" w:rsidRPr="00E31BBF" w:rsidRDefault="00E41983" w:rsidP="00732F46">
      <w:pPr>
        <w:pStyle w:val="SingleTxtG"/>
      </w:pPr>
      <w:r>
        <w:tab/>
      </w:r>
      <w:r w:rsidR="002F001C" w:rsidRPr="00E31BBF">
        <w:t>2.</w:t>
      </w:r>
      <w:r w:rsidR="00C21DB7">
        <w:t xml:space="preserve"> </w:t>
      </w:r>
      <w:r w:rsidR="002F001C" w:rsidRPr="00E31BBF">
        <w:tab/>
        <w:t>He</w:t>
      </w:r>
      <w:r w:rsidR="00C21DB7">
        <w:t xml:space="preserve"> </w:t>
      </w:r>
      <w:r w:rsidR="002F001C" w:rsidRPr="00E31BBF">
        <w:t>or</w:t>
      </w:r>
      <w:r w:rsidR="00C21DB7">
        <w:t xml:space="preserve"> </w:t>
      </w:r>
      <w:r w:rsidR="002F001C" w:rsidRPr="00E31BBF">
        <w:t>she</w:t>
      </w:r>
      <w:r w:rsidR="00C21DB7">
        <w:t xml:space="preserve"> </w:t>
      </w:r>
      <w:r w:rsidR="002F001C" w:rsidRPr="00E31BBF">
        <w:t>is</w:t>
      </w:r>
      <w:r w:rsidR="00C21DB7">
        <w:t xml:space="preserve"> </w:t>
      </w:r>
      <w:r w:rsidR="002F001C" w:rsidRPr="00E31BBF">
        <w:t>the</w:t>
      </w:r>
      <w:r w:rsidR="00C21DB7">
        <w:t xml:space="preserve"> </w:t>
      </w:r>
      <w:r w:rsidR="002F001C" w:rsidRPr="00E31BBF">
        <w:t>parent</w:t>
      </w:r>
      <w:r w:rsidR="00C21DB7">
        <w:t xml:space="preserve"> </w:t>
      </w:r>
      <w:r w:rsidR="002F001C" w:rsidRPr="00E31BBF">
        <w:t>or</w:t>
      </w:r>
      <w:r w:rsidR="00C21DB7">
        <w:t xml:space="preserve"> </w:t>
      </w:r>
      <w:r w:rsidR="002F001C" w:rsidRPr="00E31BBF">
        <w:t>guardian</w:t>
      </w:r>
      <w:r w:rsidR="00C21DB7">
        <w:t xml:space="preserve"> </w:t>
      </w:r>
      <w:r w:rsidR="002F001C" w:rsidRPr="00E31BBF">
        <w:t>of</w:t>
      </w:r>
      <w:r w:rsidR="00C21DB7">
        <w:t xml:space="preserve"> </w:t>
      </w:r>
      <w:r w:rsidR="002F001C" w:rsidRPr="00E31BBF">
        <w:t>a</w:t>
      </w:r>
      <w:r w:rsidR="00C21DB7">
        <w:t xml:space="preserve"> </w:t>
      </w:r>
      <w:r w:rsidR="002F001C" w:rsidRPr="00E31BBF">
        <w:t>child</w:t>
      </w:r>
      <w:r w:rsidR="00C21DB7">
        <w:t xml:space="preserve"> </w:t>
      </w:r>
      <w:r w:rsidR="002F001C" w:rsidRPr="00E31BBF">
        <w:t>under</w:t>
      </w:r>
      <w:r w:rsidR="00C21DB7">
        <w:t xml:space="preserve"> </w:t>
      </w:r>
      <w:r w:rsidR="002F001C" w:rsidRPr="00E31BBF">
        <w:t>3</w:t>
      </w:r>
      <w:r w:rsidR="00C21DB7">
        <w:t xml:space="preserve"> </w:t>
      </w:r>
      <w:r w:rsidR="002F001C" w:rsidRPr="00E31BBF">
        <w:t>years</w:t>
      </w:r>
      <w:r w:rsidR="00C21DB7">
        <w:t xml:space="preserve"> </w:t>
      </w:r>
      <w:r w:rsidR="002F001C" w:rsidRPr="00E31BBF">
        <w:t>of</w:t>
      </w:r>
      <w:r w:rsidR="00C21DB7">
        <w:t xml:space="preserve"> </w:t>
      </w:r>
      <w:r w:rsidR="002F001C" w:rsidRPr="00E31BBF">
        <w:t>age</w:t>
      </w:r>
      <w:r w:rsidR="00C21DB7">
        <w:t xml:space="preserve"> </w:t>
      </w:r>
      <w:r w:rsidR="002F001C" w:rsidRPr="00E31BBF">
        <w:t>or</w:t>
      </w:r>
      <w:r w:rsidR="00C21DB7">
        <w:t xml:space="preserve"> </w:t>
      </w:r>
      <w:r w:rsidR="002F001C" w:rsidRPr="00E31BBF">
        <w:t>a</w:t>
      </w:r>
      <w:r w:rsidR="00C21DB7">
        <w:t xml:space="preserve"> </w:t>
      </w:r>
      <w:r w:rsidR="002F001C" w:rsidRPr="00E31BBF">
        <w:t>disabled</w:t>
      </w:r>
      <w:r w:rsidR="00C21DB7">
        <w:t xml:space="preserve"> </w:t>
      </w:r>
      <w:r w:rsidR="002F001C" w:rsidRPr="00E31BBF">
        <w:t>child</w:t>
      </w:r>
      <w:proofErr w:type="gramStart"/>
      <w:r w:rsidR="002F001C" w:rsidRPr="00E31BBF">
        <w:t>;</w:t>
      </w:r>
      <w:proofErr w:type="gramEnd"/>
    </w:p>
    <w:p w:rsidR="002F001C" w:rsidRPr="00E31BBF" w:rsidRDefault="00E41983" w:rsidP="00732F46">
      <w:pPr>
        <w:pStyle w:val="SingleTxtG"/>
      </w:pPr>
      <w:r>
        <w:tab/>
      </w:r>
      <w:r w:rsidR="002F001C" w:rsidRPr="00E31BBF">
        <w:t>[…]</w:t>
      </w:r>
    </w:p>
    <w:p w:rsidR="002F001C" w:rsidRPr="00E31BBF" w:rsidRDefault="002F001C" w:rsidP="00732F46">
      <w:pPr>
        <w:pStyle w:val="SingleTxtG"/>
      </w:pPr>
      <w:r w:rsidRPr="00E31BBF">
        <w:t>127.</w:t>
      </w:r>
      <w:r w:rsidRPr="00E31BBF">
        <w:tab/>
        <w:t>Additionally,</w:t>
      </w:r>
      <w:r w:rsidR="00C21DB7">
        <w:t xml:space="preserve"> </w:t>
      </w:r>
      <w:r w:rsidRPr="00E31BBF">
        <w:t>besides</w:t>
      </w:r>
      <w:r w:rsidR="00C21DB7">
        <w:t xml:space="preserve"> </w:t>
      </w:r>
      <w:r w:rsidRPr="00E31BBF">
        <w:t>guidance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counselling</w:t>
      </w:r>
      <w:r w:rsidR="00C21DB7">
        <w:t xml:space="preserve"> </w:t>
      </w:r>
      <w:r w:rsidRPr="00E31BBF">
        <w:t>service,</w:t>
      </w:r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several</w:t>
      </w:r>
      <w:r w:rsidR="00C21DB7">
        <w:t xml:space="preserve"> </w:t>
      </w:r>
      <w:r w:rsidRPr="00E31BBF">
        <w:t>scholarships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study</w:t>
      </w:r>
      <w:r w:rsidR="00C21DB7">
        <w:t xml:space="preserve"> </w:t>
      </w:r>
      <w:r w:rsidRPr="00E31BBF">
        <w:t>allowances</w:t>
      </w:r>
      <w:r w:rsidR="00C21DB7">
        <w:t xml:space="preserve"> </w:t>
      </w:r>
      <w:r w:rsidRPr="00E31BBF">
        <w:t>(scholarship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students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needs,</w:t>
      </w:r>
      <w:r w:rsidR="00C21DB7">
        <w:t xml:space="preserve"> </w:t>
      </w:r>
      <w:r w:rsidRPr="00E31BBF">
        <w:t>needs-based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allowance)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groups,</w:t>
      </w:r>
      <w:r w:rsidR="00C21DB7">
        <w:t xml:space="preserve"> </w:t>
      </w:r>
      <w:r w:rsidRPr="00E31BBF">
        <w:t>but</w:t>
      </w:r>
      <w:r w:rsidR="00C21DB7">
        <w:t xml:space="preserve"> </w:t>
      </w:r>
      <w:r w:rsidRPr="00E31BBF">
        <w:t>they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coordinated</w:t>
      </w:r>
      <w:r w:rsidR="00C21DB7">
        <w:t xml:space="preserve"> </w:t>
      </w:r>
      <w:r w:rsidRPr="00E31BBF">
        <w:t>through</w:t>
      </w:r>
      <w:r w:rsidR="00C21DB7">
        <w:t xml:space="preserve"> </w:t>
      </w:r>
      <w:r w:rsidRPr="00E31BBF">
        <w:t>higher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institutions.</w:t>
      </w:r>
      <w:r w:rsidR="00C21DB7">
        <w:t xml:space="preserve"> </w:t>
      </w:r>
    </w:p>
    <w:p w:rsidR="002F001C" w:rsidRPr="00E31BBF" w:rsidRDefault="002F001C" w:rsidP="0008108D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18</w:t>
      </w:r>
      <w:r w:rsidR="00B10A4D">
        <w:t xml:space="preserve"> </w:t>
      </w:r>
      <w:r w:rsidRPr="00E31BBF">
        <w:t>(b)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(c)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128.</w:t>
      </w:r>
      <w:r w:rsidRPr="00E31BBF">
        <w:tab/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System,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amount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students</w:t>
      </w:r>
      <w:r w:rsidR="00C21DB7">
        <w:t xml:space="preserve"> </w:t>
      </w:r>
      <w:r w:rsidRPr="00E31BBF">
        <w:t>receiving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studies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20%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children</w:t>
      </w:r>
      <w:r w:rsidR="00C21DB7">
        <w:t xml:space="preserve"> </w:t>
      </w:r>
      <w:r w:rsidRPr="00E31BBF">
        <w:t>studying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stationary</w:t>
      </w:r>
      <w:r w:rsidR="00C21DB7">
        <w:t xml:space="preserve"> </w:t>
      </w:r>
      <w:r w:rsidRPr="00E31BBF">
        <w:t>general</w:t>
      </w:r>
      <w:r w:rsidR="00C21DB7">
        <w:t xml:space="preserve"> </w:t>
      </w:r>
      <w:r w:rsidRPr="00E31BBF">
        <w:t>education:</w:t>
      </w:r>
      <w:r w:rsidR="00C21DB7">
        <w:t xml:space="preserve"> </w:t>
      </w:r>
      <w:r w:rsidRPr="00E31BBF">
        <w:t>14%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students</w:t>
      </w:r>
      <w:r w:rsidR="00C21DB7">
        <w:t xml:space="preserve"> </w:t>
      </w:r>
      <w:r w:rsidRPr="00E31BBF">
        <w:t>receive</w:t>
      </w:r>
      <w:r w:rsidR="00C21DB7">
        <w:t xml:space="preserve"> </w:t>
      </w:r>
      <w:r w:rsidRPr="00E31BBF">
        <w:t>general</w:t>
      </w:r>
      <w:r w:rsidR="00C21DB7">
        <w:t xml:space="preserve"> </w:t>
      </w:r>
      <w:r w:rsidRPr="00E31BBF">
        <w:t>support,</w:t>
      </w:r>
      <w:r w:rsidR="00C21DB7">
        <w:t xml:space="preserve"> </w:t>
      </w:r>
      <w:r w:rsidRPr="00E31BBF">
        <w:t>6%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students</w:t>
      </w:r>
      <w:r w:rsidR="00C21DB7">
        <w:t xml:space="preserve"> </w:t>
      </w:r>
      <w:r w:rsidRPr="00E31BBF">
        <w:t>receive</w:t>
      </w:r>
      <w:r w:rsidR="00C21DB7">
        <w:t xml:space="preserve"> </w:t>
      </w:r>
      <w:r w:rsidRPr="00E31BBF">
        <w:t>enhanced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(3.4%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2.7%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students,</w:t>
      </w:r>
      <w:r w:rsidR="00C21DB7">
        <w:t xml:space="preserve"> </w:t>
      </w:r>
      <w:r w:rsidRPr="00E31BBF">
        <w:t>respectively).</w:t>
      </w:r>
    </w:p>
    <w:p w:rsidR="002F001C" w:rsidRPr="00E31BBF" w:rsidRDefault="002F001C" w:rsidP="00732F46">
      <w:pPr>
        <w:pStyle w:val="SingleTxtG"/>
      </w:pPr>
      <w:r w:rsidRPr="00E31BBF">
        <w:t>129.</w:t>
      </w:r>
      <w:r w:rsidRPr="00E31BBF">
        <w:tab/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Education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Research</w:t>
      </w:r>
      <w:r w:rsidR="00C21DB7">
        <w:t xml:space="preserve"> </w:t>
      </w:r>
      <w:r w:rsidRPr="00E31BBF">
        <w:t>collects</w:t>
      </w:r>
      <w:r w:rsidR="00C21DB7">
        <w:t xml:space="preserve"> </w:t>
      </w:r>
      <w:r w:rsidRPr="00E31BBF">
        <w:t>disaggregated</w:t>
      </w:r>
      <w:r w:rsidR="00C21DB7">
        <w:t xml:space="preserve"> </w:t>
      </w:r>
      <w:r w:rsidRPr="00E31BBF">
        <w:t>data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students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uses</w:t>
      </w:r>
      <w:r w:rsidR="00C21DB7">
        <w:t xml:space="preserve"> </w:t>
      </w:r>
      <w:r w:rsidRPr="00E31BBF">
        <w:t>analysis</w:t>
      </w:r>
      <w:r w:rsidR="00C21DB7">
        <w:t xml:space="preserve"> </w:t>
      </w:r>
      <w:r w:rsidRPr="00E31BBF">
        <w:t>based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it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enhance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educational</w:t>
      </w:r>
      <w:r w:rsidR="00C21DB7">
        <w:t xml:space="preserve"> </w:t>
      </w:r>
      <w:r w:rsidRPr="00E31BBF">
        <w:t>system.</w:t>
      </w:r>
      <w:r w:rsidR="00C21DB7">
        <w:t xml:space="preserve"> </w:t>
      </w:r>
      <w:r w:rsidRPr="00E31BBF">
        <w:t>However,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liberty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share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detailed</w:t>
      </w:r>
      <w:r w:rsidR="00C21DB7">
        <w:t xml:space="preserve"> </w:t>
      </w:r>
      <w:r w:rsidRPr="00E31BBF">
        <w:t>data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some</w:t>
      </w:r>
      <w:r w:rsidR="00C21DB7">
        <w:t xml:space="preserve"> </w:t>
      </w:r>
      <w:r w:rsidRPr="00E31BBF">
        <w:t>cases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datasets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very</w:t>
      </w:r>
      <w:r w:rsidR="00C21DB7">
        <w:t xml:space="preserve"> </w:t>
      </w:r>
      <w:r w:rsidRPr="00E31BBF">
        <w:t>small</w:t>
      </w:r>
      <w:r w:rsidR="00C21DB7">
        <w:t xml:space="preserve"> </w:t>
      </w:r>
      <w:r w:rsidRPr="00E31BBF">
        <w:t>and/or</w:t>
      </w:r>
      <w:r w:rsidR="00C21DB7">
        <w:t xml:space="preserve"> </w:t>
      </w:r>
      <w:r w:rsidRPr="00E31BBF">
        <w:t>do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reflect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real</w:t>
      </w:r>
      <w:r w:rsidR="00C21DB7">
        <w:t xml:space="preserve"> </w:t>
      </w:r>
      <w:r w:rsidRPr="00E31BBF">
        <w:t>situation</w:t>
      </w:r>
      <w:r w:rsidR="00C21DB7">
        <w:t xml:space="preserve"> </w:t>
      </w:r>
      <w:r w:rsidRPr="00E31BBF">
        <w:t>(i.e.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may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several</w:t>
      </w:r>
      <w:r w:rsidR="00C21DB7">
        <w:t xml:space="preserve"> </w:t>
      </w:r>
      <w:r w:rsidRPr="00E31BBF">
        <w:t>types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disabilities;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physically</w:t>
      </w:r>
      <w:r w:rsidR="00C21DB7">
        <w:t xml:space="preserve"> </w:t>
      </w:r>
      <w:r w:rsidRPr="00E31BBF">
        <w:t>but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intellectually</w:t>
      </w:r>
      <w:r w:rsidR="00C21DB7">
        <w:t xml:space="preserve"> </w:t>
      </w:r>
      <w:r w:rsidRPr="00E31BBF">
        <w:t>impaired,</w:t>
      </w:r>
      <w:r w:rsidR="00C21DB7">
        <w:t xml:space="preserve"> </w:t>
      </w:r>
      <w:r w:rsidRPr="00E31BBF">
        <w:t>etc.).</w:t>
      </w:r>
    </w:p>
    <w:p w:rsidR="002F001C" w:rsidRPr="00E31BBF" w:rsidRDefault="002F001C" w:rsidP="0008108D">
      <w:pPr>
        <w:pStyle w:val="H1G"/>
      </w:pPr>
      <w:r w:rsidRPr="00E31BBF">
        <w:tab/>
      </w:r>
      <w:r w:rsidRPr="00E31BBF">
        <w:tab/>
        <w:t>Health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25)</w:t>
      </w:r>
    </w:p>
    <w:p w:rsidR="002F001C" w:rsidRPr="00E31BBF" w:rsidRDefault="002F001C" w:rsidP="0008108D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19</w:t>
      </w:r>
      <w:r w:rsidR="00B10A4D">
        <w:t xml:space="preserve"> </w:t>
      </w:r>
      <w:r w:rsidRPr="00E31BBF">
        <w:t>(a),</w:t>
      </w:r>
      <w:r w:rsidR="00C21DB7">
        <w:t xml:space="preserve"> </w:t>
      </w:r>
      <w:r w:rsidRPr="00E31BBF">
        <w:t>(b)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(c)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130.</w:t>
      </w:r>
      <w:r w:rsidRPr="00E31BBF">
        <w:tab/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Insurance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§</w:t>
      </w:r>
      <w:r w:rsidR="00C21DB7">
        <w:t xml:space="preserve"> </w:t>
      </w:r>
      <w:r w:rsidRPr="00E31BBF">
        <w:t>2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2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insurance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based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solidarity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limited</w:t>
      </w:r>
      <w:r w:rsidR="00C21DB7">
        <w:t xml:space="preserve"> </w:t>
      </w:r>
      <w:r w:rsidRPr="00E31BBF">
        <w:t>cost-sharing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insured</w:t>
      </w:r>
      <w:r w:rsidR="00C21DB7">
        <w:t xml:space="preserve"> </w:t>
      </w:r>
      <w:r w:rsidRPr="00E31BBF">
        <w:t>persons,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principle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lastRenderedPageBreak/>
        <w:t>provided</w:t>
      </w:r>
      <w:r w:rsidR="00C21DB7">
        <w:t xml:space="preserve"> </w:t>
      </w:r>
      <w:r w:rsidRPr="00E31BBF"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insured</w:t>
      </w:r>
      <w:r w:rsidR="00C21DB7">
        <w:t xml:space="preserve"> </w:t>
      </w:r>
      <w:r w:rsidRPr="00E31BBF">
        <w:t>persons,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treatment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equally</w:t>
      </w:r>
      <w:r w:rsidR="00C21DB7">
        <w:t xml:space="preserve"> </w:t>
      </w:r>
      <w:r w:rsidRPr="00E31BBF">
        <w:t>available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regions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insurance</w:t>
      </w:r>
      <w:r w:rsidR="00C21DB7">
        <w:t xml:space="preserve"> </w:t>
      </w:r>
      <w:r w:rsidRPr="00E31BBF">
        <w:t>funds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used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intended</w:t>
      </w:r>
      <w:r w:rsidR="00C21DB7">
        <w:t xml:space="preserve"> </w:t>
      </w:r>
      <w:r w:rsidRPr="00E31BBF">
        <w:t>purpose.</w:t>
      </w:r>
    </w:p>
    <w:p w:rsidR="002F001C" w:rsidRPr="00E31BBF" w:rsidRDefault="002F001C" w:rsidP="00732F46">
      <w:pPr>
        <w:pStyle w:val="SingleTxtG"/>
      </w:pPr>
      <w:r w:rsidRPr="00E31BBF">
        <w:t>131.</w:t>
      </w:r>
      <w:r w:rsidRPr="00E31BBF">
        <w:tab/>
        <w:t>Pursuant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§</w:t>
      </w:r>
      <w:r w:rsidR="00C21DB7">
        <w:t xml:space="preserve"> </w:t>
      </w:r>
      <w:r w:rsidRPr="00E31BBF">
        <w:t>5</w:t>
      </w:r>
      <w:r w:rsidR="00C21DB7">
        <w:t xml:space="preserve"> </w:t>
      </w:r>
      <w:r w:rsidRPr="00E31BBF">
        <w:t>section</w:t>
      </w:r>
      <w:r w:rsidR="00C21DB7">
        <w:t xml:space="preserve"> </w:t>
      </w:r>
      <w:r w:rsidRPr="00E31BBF">
        <w:t>4</w:t>
      </w:r>
      <w:r w:rsidR="00C21DB7">
        <w:t xml:space="preserve"> </w:t>
      </w:r>
      <w:r w:rsidRPr="00E31BBF">
        <w:t>point</w:t>
      </w:r>
      <w:r w:rsidR="00C21DB7">
        <w:t xml:space="preserve"> </w:t>
      </w:r>
      <w:r w:rsidRPr="00E31BBF">
        <w:t>3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3</w:t>
      </w:r>
      <w:r w:rsidRPr="005A430C">
        <w:rPr>
          <w:rStyle w:val="FootnoteReference"/>
        </w:rPr>
        <w:t>1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receive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state</w:t>
      </w:r>
      <w:r w:rsidR="00C21DB7">
        <w:t xml:space="preserve"> </w:t>
      </w:r>
      <w:r w:rsidRPr="00E31BBF">
        <w:t>pension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found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partial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ability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no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ability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Ability</w:t>
      </w:r>
      <w:r w:rsidR="00C21DB7">
        <w:t xml:space="preserve"> </w:t>
      </w:r>
      <w:r w:rsidRPr="00E31BBF">
        <w:t>Allowance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insured</w:t>
      </w:r>
      <w:r w:rsidR="00C21DB7">
        <w:t xml:space="preserve"> </w:t>
      </w:r>
      <w:r w:rsidRPr="00E31BBF">
        <w:t>persons.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132.</w:t>
      </w:r>
      <w:r w:rsidRPr="00E31BBF">
        <w:tab/>
        <w:t>Social</w:t>
      </w:r>
      <w:r w:rsidR="00C21DB7">
        <w:t xml:space="preserve"> </w:t>
      </w:r>
      <w:r w:rsidRPr="00E31BBF">
        <w:t>rehabilitation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fully</w:t>
      </w:r>
      <w:r w:rsidR="00C21DB7">
        <w:t xml:space="preserve"> </w:t>
      </w:r>
      <w:r w:rsidRPr="00E31BBF">
        <w:t>accessible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during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last</w:t>
      </w:r>
      <w:r w:rsidR="00C21DB7">
        <w:t xml:space="preserve"> </w:t>
      </w:r>
      <w:r w:rsidRPr="00E31BBF">
        <w:t>10</w:t>
      </w:r>
      <w:r w:rsidR="00C21DB7">
        <w:t xml:space="preserve"> </w:t>
      </w:r>
      <w:r w:rsidRPr="00E31BBF">
        <w:t>years</w:t>
      </w:r>
      <w:r w:rsidR="00C21DB7">
        <w:t xml:space="preserve"> </w:t>
      </w:r>
      <w:r w:rsidRPr="00E31BBF">
        <w:t>mostly</w:t>
      </w:r>
      <w:r w:rsidR="00C21DB7">
        <w:t xml:space="preserve"> </w:t>
      </w:r>
      <w:r w:rsidRPr="00E31BBF">
        <w:t>because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lack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financial</w:t>
      </w:r>
      <w:r w:rsidR="00C21DB7">
        <w:t xml:space="preserve"> </w:t>
      </w:r>
      <w:r w:rsidRPr="00E31BBF">
        <w:t>resources.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order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improve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provision/accessibility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rehabilitation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level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prices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state</w:t>
      </w:r>
      <w:r w:rsidR="00C21DB7">
        <w:t xml:space="preserve"> </w:t>
      </w:r>
      <w:r w:rsidRPr="00E31BBF">
        <w:t>pays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total</w:t>
      </w:r>
      <w:r w:rsidR="00C21DB7">
        <w:t xml:space="preserve"> </w:t>
      </w:r>
      <w:r w:rsidRPr="00E31BBF">
        <w:t>amount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budget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rehabilitation</w:t>
      </w:r>
      <w:r w:rsidR="00C21DB7">
        <w:t xml:space="preserve"> </w:t>
      </w:r>
      <w:proofErr w:type="gramStart"/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changed</w:t>
      </w:r>
      <w:proofErr w:type="gramEnd"/>
      <w:r w:rsidR="00C21DB7">
        <w:t xml:space="preserve"> </w:t>
      </w:r>
      <w:r w:rsidRPr="00E31BBF">
        <w:t>during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past</w:t>
      </w:r>
      <w:r w:rsidR="00C21DB7">
        <w:t xml:space="preserve"> </w:t>
      </w:r>
      <w:r w:rsidRPr="00E31BBF">
        <w:t>five</w:t>
      </w:r>
      <w:r w:rsidR="00C21DB7">
        <w:t xml:space="preserve"> </w:t>
      </w:r>
      <w:r w:rsidRPr="00E31BBF">
        <w:t>years.</w:t>
      </w:r>
      <w:r w:rsidR="00C21DB7">
        <w:t xml:space="preserve"> </w:t>
      </w:r>
      <w:proofErr w:type="gramStart"/>
      <w:r w:rsidRPr="00E31BBF">
        <w:t>Also</w:t>
      </w:r>
      <w:proofErr w:type="gramEnd"/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assessment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need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used</w:t>
      </w:r>
      <w:r w:rsidR="00C21DB7">
        <w:t xml:space="preserve"> </w:t>
      </w:r>
      <w:r w:rsidRPr="00E31BBF">
        <w:t>starting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2016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Insurance</w:t>
      </w:r>
      <w:r w:rsidR="00C21DB7">
        <w:t xml:space="preserve"> </w:t>
      </w:r>
      <w:r w:rsidRPr="00E31BBF">
        <w:t>Board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sure</w:t>
      </w:r>
      <w:r w:rsidR="00C21DB7">
        <w:t xml:space="preserve"> </w:t>
      </w:r>
      <w:r w:rsidRPr="00E31BBF">
        <w:t>only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ones</w:t>
      </w:r>
      <w:r w:rsidR="00C21DB7">
        <w:t xml:space="preserve"> </w:t>
      </w:r>
      <w:r w:rsidRPr="00E31BBF">
        <w:t>really</w:t>
      </w:r>
      <w:r w:rsidR="00C21DB7">
        <w:t xml:space="preserve"> </w:t>
      </w:r>
      <w:r w:rsidRPr="00E31BBF">
        <w:t>need</w:t>
      </w:r>
      <w:r w:rsidR="00C21DB7">
        <w:t xml:space="preserve"> </w:t>
      </w:r>
      <w:r w:rsidRPr="00E31BBF">
        <w:t>rehabilitation,</w:t>
      </w:r>
      <w:r w:rsidR="00C21DB7">
        <w:t xml:space="preserve"> </w:t>
      </w:r>
      <w:r w:rsidRPr="00E31BBF">
        <w:t>enter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133.</w:t>
      </w:r>
      <w:r w:rsidRPr="00E31BBF">
        <w:tab/>
        <w:t>Therefore,</w:t>
      </w:r>
      <w:r w:rsidR="00C21DB7">
        <w:t xml:space="preserve"> </w:t>
      </w:r>
      <w:r w:rsidRPr="00E31BBF">
        <w:t>there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no</w:t>
      </w:r>
      <w:r w:rsidR="00C21DB7">
        <w:t xml:space="preserve"> </w:t>
      </w:r>
      <w:r w:rsidRPr="00E31BBF">
        <w:t>longer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waiting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Insurance</w:t>
      </w:r>
      <w:r w:rsidR="00C21DB7">
        <w:t xml:space="preserve"> </w:t>
      </w:r>
      <w:r w:rsidRPr="00E31BBF">
        <w:t>Board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after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assessment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done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need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identified,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can</w:t>
      </w:r>
      <w:r w:rsidR="00C21DB7">
        <w:t xml:space="preserve"> </w:t>
      </w:r>
      <w:r w:rsidRPr="00E31BBF">
        <w:t>go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provider.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134.</w:t>
      </w:r>
      <w:r w:rsidRPr="00E31BBF">
        <w:tab/>
        <w:t>Also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principal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every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should</w:t>
      </w:r>
      <w:r w:rsidR="00C21DB7">
        <w:t xml:space="preserve"> </w:t>
      </w:r>
      <w:r w:rsidRPr="00E31BBF">
        <w:t>receive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own</w:t>
      </w:r>
      <w:r w:rsidR="00C21DB7">
        <w:t xml:space="preserve"> </w:t>
      </w:r>
      <w:proofErr w:type="gramStart"/>
      <w:r w:rsidRPr="00E31BBF">
        <w:t>community,</w:t>
      </w:r>
      <w:proofErr w:type="gramEnd"/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explained</w:t>
      </w:r>
      <w:r w:rsidR="00C21DB7">
        <w:t xml:space="preserve"> </w:t>
      </w:r>
      <w:r w:rsidRPr="00E31BBF">
        <w:t>several</w:t>
      </w:r>
      <w:r w:rsidR="00C21DB7">
        <w:t xml:space="preserve"> </w:t>
      </w:r>
      <w:r w:rsidRPr="00E31BBF">
        <w:t>times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providers.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reason</w:t>
      </w:r>
      <w:r w:rsidR="00C21DB7">
        <w:t xml:space="preserve"> </w:t>
      </w:r>
      <w:r w:rsidRPr="00E31BBF">
        <w:t>why</w:t>
      </w:r>
      <w:r w:rsidR="00C21DB7">
        <w:t xml:space="preserve"> </w:t>
      </w:r>
      <w:r w:rsidRPr="00E31BBF">
        <w:t>transportation</w:t>
      </w:r>
      <w:r w:rsidR="00C21DB7">
        <w:t xml:space="preserve"> </w:t>
      </w:r>
      <w:r w:rsidRPr="00E31BBF">
        <w:t>costs</w:t>
      </w:r>
      <w:r w:rsidR="00C21DB7">
        <w:t xml:space="preserve"> </w:t>
      </w:r>
      <w:r w:rsidRPr="00E31BBF">
        <w:t>within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service</w:t>
      </w:r>
      <w:r w:rsidR="00C21DB7">
        <w:t xml:space="preserve"> </w:t>
      </w:r>
      <w:proofErr w:type="gramStart"/>
      <w:r w:rsidRPr="00E31BBF">
        <w:t>have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raised</w:t>
      </w:r>
      <w:proofErr w:type="gramEnd"/>
      <w:r w:rsidR="00C21DB7">
        <w:t xml:space="preserve"> </w:t>
      </w:r>
      <w:r w:rsidRPr="00E31BBF">
        <w:t>during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last</w:t>
      </w:r>
      <w:r w:rsidR="00C21DB7">
        <w:t xml:space="preserve"> </w:t>
      </w:r>
      <w:r w:rsidRPr="00E31BBF">
        <w:t>couple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years.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135.</w:t>
      </w:r>
      <w:r w:rsidRPr="00E31BBF">
        <w:tab/>
        <w:t>Health</w:t>
      </w:r>
      <w:r w:rsidR="00C21DB7">
        <w:t xml:space="preserve"> </w:t>
      </w:r>
      <w:r w:rsidRPr="00E31BBF">
        <w:t>Insurance</w:t>
      </w:r>
      <w:r w:rsidR="00C21DB7">
        <w:t xml:space="preserve"> </w:t>
      </w:r>
      <w:r w:rsidRPr="00E31BBF">
        <w:t>covers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sexual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reproductive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services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disabilities.</w:t>
      </w:r>
    </w:p>
    <w:p w:rsidR="002F001C" w:rsidRPr="00E31BBF" w:rsidRDefault="002F001C" w:rsidP="00732F46">
      <w:pPr>
        <w:pStyle w:val="SingleTxtG"/>
      </w:pPr>
      <w:proofErr w:type="gramStart"/>
      <w:r w:rsidRPr="00E31BBF">
        <w:t>136.</w:t>
      </w:r>
      <w:r w:rsidRPr="00E31BBF">
        <w:tab/>
        <w:t>Please</w:t>
      </w:r>
      <w:proofErr w:type="gramEnd"/>
      <w:r w:rsidR="00C21DB7">
        <w:t xml:space="preserve"> </w:t>
      </w:r>
      <w:r w:rsidRPr="00E31BBF">
        <w:t>see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answers</w:t>
      </w:r>
      <w:r w:rsidR="00C21DB7">
        <w:t xml:space="preserve"> </w:t>
      </w:r>
      <w:r w:rsidRPr="00E31BBF">
        <w:t>provided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6</w:t>
      </w:r>
      <w:r w:rsidR="00C21DB7">
        <w:t xml:space="preserve"> </w:t>
      </w:r>
      <w:r w:rsidRPr="00E31BBF">
        <w:t>point</w:t>
      </w:r>
      <w:r w:rsidR="00C21DB7">
        <w:t xml:space="preserve"> </w:t>
      </w:r>
      <w:r w:rsidRPr="00E31BBF">
        <w:t>(B),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9,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11,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15,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16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19.</w:t>
      </w:r>
    </w:p>
    <w:p w:rsidR="002F001C" w:rsidRPr="00E31BBF" w:rsidRDefault="002F001C" w:rsidP="00CF2127">
      <w:pPr>
        <w:pStyle w:val="H1G"/>
      </w:pPr>
      <w:r w:rsidRPr="00E31BBF">
        <w:tab/>
      </w:r>
      <w:r w:rsidRPr="00E31BBF">
        <w:tab/>
        <w:t>Work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employment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27)</w:t>
      </w:r>
      <w:r w:rsidR="00C21DB7">
        <w:t xml:space="preserve"> </w:t>
      </w:r>
    </w:p>
    <w:p w:rsidR="002F001C" w:rsidRPr="00E31BBF" w:rsidRDefault="002F001C" w:rsidP="00CF2127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20</w:t>
      </w:r>
      <w:r w:rsidR="00B10A4D">
        <w:t xml:space="preserve"> </w:t>
      </w:r>
      <w:r w:rsidRPr="00E31BBF">
        <w:t>(a)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(b)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0B6E39" w:rsidRDefault="002F001C" w:rsidP="00732F46">
      <w:pPr>
        <w:pStyle w:val="SingleTxtG"/>
      </w:pPr>
      <w:r w:rsidRPr="00E31BBF">
        <w:t>137.</w:t>
      </w:r>
      <w:r w:rsidRPr="00E31BBF">
        <w:tab/>
        <w:t>The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ability</w:t>
      </w:r>
      <w:r w:rsidR="00C21DB7">
        <w:t xml:space="preserve"> </w:t>
      </w:r>
      <w:r w:rsidRPr="00E31BBF">
        <w:t>reform,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created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new</w:t>
      </w:r>
      <w:r w:rsidR="00C21DB7">
        <w:t xml:space="preserve"> </w:t>
      </w:r>
      <w:r w:rsidRPr="00E31BBF">
        <w:t>performance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ability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system,</w:t>
      </w:r>
      <w:r w:rsidR="00C21DB7">
        <w:t xml:space="preserve"> </w:t>
      </w:r>
      <w:r w:rsidRPr="00E31BBF">
        <w:t>started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2016.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aim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amendments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change</w:t>
      </w:r>
      <w:r w:rsidR="00C21DB7">
        <w:t xml:space="preserve"> </w:t>
      </w:r>
      <w:r w:rsidRPr="00E31BBF">
        <w:t>attitudes</w:t>
      </w:r>
      <w:r w:rsidR="00C21DB7">
        <w:t xml:space="preserve"> </w:t>
      </w:r>
      <w:r w:rsidRPr="00E31BBF">
        <w:t>towards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reduced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ability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help</w:t>
      </w:r>
      <w:r w:rsidR="00C21DB7">
        <w:t xml:space="preserve"> </w:t>
      </w:r>
      <w:r w:rsidRPr="00E31BBF">
        <w:t>them</w:t>
      </w:r>
      <w:r w:rsidR="00C21DB7">
        <w:t xml:space="preserve"> </w:t>
      </w:r>
      <w:r w:rsidRPr="00E31BBF">
        <w:t>find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keep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job.</w:t>
      </w:r>
      <w:r w:rsidR="00C21DB7">
        <w:t xml:space="preserve"> </w:t>
      </w:r>
      <w:r w:rsidRPr="00E31BBF"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new</w:t>
      </w:r>
      <w:r w:rsidR="00C21DB7">
        <w:t xml:space="preserve"> </w:t>
      </w:r>
      <w:r w:rsidRPr="00E31BBF">
        <w:t>system,</w:t>
      </w:r>
      <w:r w:rsidR="00C21DB7">
        <w:t xml:space="preserve"> </w:t>
      </w:r>
      <w:r w:rsidRPr="00E31BBF">
        <w:t>percentage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loss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capacity</w:t>
      </w:r>
      <w:r w:rsidR="00C21DB7">
        <w:t xml:space="preserve"> </w:t>
      </w:r>
      <w:proofErr w:type="gramStart"/>
      <w:r w:rsidRPr="00E31BBF">
        <w:t>is</w:t>
      </w:r>
      <w:r w:rsidR="00C21DB7">
        <w:t xml:space="preserve"> </w:t>
      </w:r>
      <w:r w:rsidRPr="00E31BBF">
        <w:t>no</w:t>
      </w:r>
      <w:r w:rsidR="00C21DB7">
        <w:t xml:space="preserve"> </w:t>
      </w:r>
      <w:r w:rsidRPr="00E31BBF">
        <w:t>longer</w:t>
      </w:r>
      <w:r w:rsidR="00C21DB7">
        <w:t xml:space="preserve"> </w:t>
      </w:r>
      <w:r w:rsidRPr="00E31BBF">
        <w:t>assigned</w:t>
      </w:r>
      <w:proofErr w:type="gramEnd"/>
      <w:r w:rsidRPr="00E31BBF">
        <w:t>.</w:t>
      </w:r>
      <w:r w:rsidR="00C21DB7">
        <w:t xml:space="preserve"> </w:t>
      </w:r>
      <w:r w:rsidRPr="00E31BBF">
        <w:t>Assessment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ability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organised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Unemployment</w:t>
      </w:r>
      <w:r w:rsidR="00C21DB7">
        <w:t xml:space="preserve"> </w:t>
      </w:r>
      <w:r w:rsidRPr="00E31BBF">
        <w:t>Insurance</w:t>
      </w:r>
      <w:r w:rsidR="00C21DB7">
        <w:t xml:space="preserve"> </w:t>
      </w:r>
      <w:r w:rsidRPr="00E31BBF">
        <w:t>Fund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includes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abilities,</w:t>
      </w:r>
      <w:r w:rsidR="00C21DB7">
        <w:t xml:space="preserve"> </w:t>
      </w:r>
      <w:r w:rsidRPr="00E31BBF">
        <w:t>capacity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suitable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available.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assessment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supposed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identify</w:t>
      </w:r>
      <w:r w:rsidR="00C21DB7">
        <w:t xml:space="preserve"> </w:t>
      </w:r>
      <w:r w:rsidRPr="00E31BBF">
        <w:t>whether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ability,</w:t>
      </w:r>
      <w:r w:rsidR="00C21DB7">
        <w:t xml:space="preserve"> </w:t>
      </w:r>
      <w:r w:rsidRPr="00E31BBF">
        <w:t>partial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ability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missing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ability.</w:t>
      </w:r>
      <w:r w:rsidR="00C21DB7">
        <w:t xml:space="preserve"> </w:t>
      </w:r>
    </w:p>
    <w:p w:rsidR="002F001C" w:rsidRPr="00E31BBF" w:rsidRDefault="002F001C" w:rsidP="000B6E39">
      <w:pPr>
        <w:pStyle w:val="Heading1"/>
        <w:spacing w:before="240"/>
      </w:pPr>
      <w:r w:rsidRPr="00E31BBF">
        <w:t>Figure</w:t>
      </w:r>
      <w:r w:rsidR="00C21DB7">
        <w:t xml:space="preserve"> </w:t>
      </w:r>
      <w:r w:rsidRPr="00E31BBF">
        <w:t>1</w:t>
      </w:r>
    </w:p>
    <w:p w:rsidR="002F001C" w:rsidRPr="000B6E39" w:rsidRDefault="002F001C" w:rsidP="000B6E39">
      <w:pPr>
        <w:pStyle w:val="SingleTxtG"/>
        <w:rPr>
          <w:b/>
          <w:bCs/>
        </w:rPr>
      </w:pPr>
      <w:r w:rsidRPr="000B6E39">
        <w:rPr>
          <w:b/>
          <w:bCs/>
        </w:rPr>
        <w:t>Employment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rate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compared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to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employment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rate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for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people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with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reduced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ability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for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work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and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employment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rate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for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people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with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disabilities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(16-pension</w:t>
      </w:r>
      <w:r w:rsidR="00C21DB7" w:rsidRPr="000B6E39">
        <w:rPr>
          <w:b/>
          <w:bCs/>
        </w:rPr>
        <w:t xml:space="preserve"> </w:t>
      </w:r>
      <w:r w:rsidRPr="000B6E39">
        <w:rPr>
          <w:b/>
          <w:bCs/>
        </w:rPr>
        <w:t>age)</w:t>
      </w:r>
    </w:p>
    <w:p w:rsidR="0095378D" w:rsidRDefault="002F001C" w:rsidP="0095378D">
      <w:pPr>
        <w:pStyle w:val="SingleTxtG"/>
        <w:rPr>
          <w:sz w:val="18"/>
        </w:rPr>
      </w:pPr>
      <w:r w:rsidRPr="0095378D">
        <w:rPr>
          <w:noProof/>
        </w:rPr>
        <w:drawing>
          <wp:inline distT="0" distB="0" distL="0" distR="0" wp14:anchorId="657C1E19" wp14:editId="659B8ECE">
            <wp:extent cx="4091112" cy="2387600"/>
            <wp:effectExtent l="0" t="0" r="5080" b="1270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001C" w:rsidRPr="0095378D" w:rsidRDefault="0095378D" w:rsidP="0095378D">
      <w:pPr>
        <w:spacing w:before="120" w:line="240" w:lineRule="atLeast"/>
        <w:ind w:left="1134" w:right="1134" w:firstLine="170"/>
        <w:rPr>
          <w:sz w:val="18"/>
        </w:rPr>
      </w:pPr>
      <w:r w:rsidRPr="0095378D">
        <w:rPr>
          <w:i/>
          <w:iCs/>
          <w:sz w:val="18"/>
        </w:rPr>
        <w:t>S</w:t>
      </w:r>
      <w:r w:rsidR="002F001C" w:rsidRPr="0095378D">
        <w:rPr>
          <w:i/>
          <w:iCs/>
          <w:sz w:val="18"/>
        </w:rPr>
        <w:t>ource:</w:t>
      </w:r>
      <w:r w:rsidR="00C21DB7" w:rsidRPr="0095378D">
        <w:rPr>
          <w:sz w:val="18"/>
        </w:rPr>
        <w:t xml:space="preserve"> </w:t>
      </w:r>
      <w:r>
        <w:rPr>
          <w:sz w:val="18"/>
        </w:rPr>
        <w:t xml:space="preserve"> </w:t>
      </w:r>
      <w:r w:rsidR="002F001C" w:rsidRPr="0095378D">
        <w:rPr>
          <w:sz w:val="18"/>
        </w:rPr>
        <w:t>Statistics</w:t>
      </w:r>
      <w:r w:rsidR="00C21DB7" w:rsidRPr="0095378D">
        <w:rPr>
          <w:sz w:val="18"/>
        </w:rPr>
        <w:t xml:space="preserve"> </w:t>
      </w:r>
      <w:r w:rsidR="002F001C" w:rsidRPr="0095378D">
        <w:rPr>
          <w:sz w:val="18"/>
        </w:rPr>
        <w:t>Estonia</w:t>
      </w:r>
      <w:r>
        <w:rPr>
          <w:sz w:val="18"/>
        </w:rPr>
        <w:t>.</w:t>
      </w:r>
    </w:p>
    <w:p w:rsidR="002F001C" w:rsidRPr="00E31BBF" w:rsidRDefault="002F001C" w:rsidP="008F07F6">
      <w:pPr>
        <w:pStyle w:val="Heading1"/>
      </w:pPr>
      <w:r w:rsidRPr="00E31BBF">
        <w:lastRenderedPageBreak/>
        <w:t>Figure</w:t>
      </w:r>
      <w:r w:rsidR="00C21DB7">
        <w:t xml:space="preserve"> </w:t>
      </w:r>
      <w:r w:rsidRPr="00E31BBF">
        <w:t>2</w:t>
      </w:r>
    </w:p>
    <w:p w:rsidR="002F001C" w:rsidRPr="008F07F6" w:rsidRDefault="002F001C" w:rsidP="00732F46">
      <w:pPr>
        <w:pStyle w:val="SingleTxtG"/>
        <w:rPr>
          <w:b/>
          <w:bCs/>
        </w:rPr>
      </w:pPr>
      <w:r w:rsidRPr="008F07F6">
        <w:rPr>
          <w:b/>
          <w:bCs/>
        </w:rPr>
        <w:t>Total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unemployment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rate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compared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to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unemployment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rate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for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people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with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reduced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ability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for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work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and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unemployment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rate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for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people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with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disabilities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(16-pension</w:t>
      </w:r>
      <w:r w:rsidR="00C21DB7" w:rsidRPr="008F07F6">
        <w:rPr>
          <w:b/>
          <w:bCs/>
        </w:rPr>
        <w:t xml:space="preserve"> </w:t>
      </w:r>
      <w:r w:rsidRPr="008F07F6">
        <w:rPr>
          <w:b/>
          <w:bCs/>
        </w:rPr>
        <w:t>age)</w:t>
      </w:r>
    </w:p>
    <w:p w:rsidR="008F07F6" w:rsidRDefault="002F001C" w:rsidP="00732F46">
      <w:pPr>
        <w:pStyle w:val="SingleTxtG"/>
      </w:pPr>
      <w:r w:rsidRPr="00E31BBF">
        <w:rPr>
          <w:noProof/>
        </w:rPr>
        <w:drawing>
          <wp:inline distT="0" distB="0" distL="0" distR="0" wp14:anchorId="1BC259FE" wp14:editId="0A0320FF">
            <wp:extent cx="4572000" cy="2743200"/>
            <wp:effectExtent l="0" t="0" r="0" b="0"/>
            <wp:docPr id="3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001C" w:rsidRPr="008F07F6" w:rsidRDefault="002F001C" w:rsidP="008F07F6">
      <w:pPr>
        <w:spacing w:before="120" w:after="240" w:line="240" w:lineRule="atLeast"/>
        <w:ind w:left="1134" w:right="1134" w:firstLine="170"/>
        <w:rPr>
          <w:sz w:val="18"/>
        </w:rPr>
      </w:pPr>
      <w:r w:rsidRPr="008F07F6">
        <w:rPr>
          <w:i/>
          <w:iCs/>
          <w:sz w:val="18"/>
        </w:rPr>
        <w:t>Source:</w:t>
      </w:r>
      <w:r w:rsidR="00C21DB7" w:rsidRPr="008F07F6">
        <w:rPr>
          <w:sz w:val="18"/>
        </w:rPr>
        <w:t xml:space="preserve"> </w:t>
      </w:r>
      <w:r w:rsidR="008F07F6">
        <w:rPr>
          <w:sz w:val="18"/>
        </w:rPr>
        <w:t xml:space="preserve"> </w:t>
      </w:r>
      <w:r w:rsidRPr="008F07F6">
        <w:rPr>
          <w:sz w:val="18"/>
        </w:rPr>
        <w:t>Statistics</w:t>
      </w:r>
      <w:r w:rsidR="00C21DB7" w:rsidRPr="008F07F6">
        <w:rPr>
          <w:sz w:val="18"/>
        </w:rPr>
        <w:t xml:space="preserve"> </w:t>
      </w:r>
      <w:r w:rsidRPr="008F07F6">
        <w:rPr>
          <w:sz w:val="18"/>
        </w:rPr>
        <w:t>Estonia</w:t>
      </w:r>
      <w:r w:rsidR="008F07F6">
        <w:rPr>
          <w:sz w:val="18"/>
        </w:rPr>
        <w:t>.</w:t>
      </w:r>
    </w:p>
    <w:p w:rsidR="002F001C" w:rsidRPr="00E31BBF" w:rsidRDefault="002F001C" w:rsidP="003D514D">
      <w:pPr>
        <w:pStyle w:val="Heading1"/>
      </w:pPr>
      <w:r w:rsidRPr="00E31BBF">
        <w:t>Table</w:t>
      </w:r>
      <w:r w:rsidR="00C21DB7">
        <w:t xml:space="preserve"> </w:t>
      </w:r>
      <w:r w:rsidRPr="00E31BBF">
        <w:t>4</w:t>
      </w:r>
    </w:p>
    <w:p w:rsidR="002F001C" w:rsidRPr="003D514D" w:rsidRDefault="002F001C" w:rsidP="00732F46">
      <w:pPr>
        <w:pStyle w:val="SingleTxtG"/>
        <w:rPr>
          <w:b/>
          <w:bCs/>
        </w:rPr>
      </w:pPr>
      <w:r w:rsidRPr="003D514D">
        <w:rPr>
          <w:b/>
          <w:bCs/>
        </w:rPr>
        <w:t>Employed</w:t>
      </w:r>
      <w:r w:rsidR="00C21DB7" w:rsidRPr="003D514D">
        <w:rPr>
          <w:b/>
          <w:bCs/>
        </w:rPr>
        <w:t xml:space="preserve"> </w:t>
      </w:r>
      <w:r w:rsidRPr="003D514D">
        <w:rPr>
          <w:b/>
          <w:bCs/>
        </w:rPr>
        <w:t>in</w:t>
      </w:r>
      <w:r w:rsidR="00C21DB7" w:rsidRPr="003D514D">
        <w:rPr>
          <w:b/>
          <w:bCs/>
        </w:rPr>
        <w:t xml:space="preserve"> </w:t>
      </w:r>
      <w:r w:rsidRPr="003D514D">
        <w:rPr>
          <w:b/>
          <w:bCs/>
        </w:rPr>
        <w:t>open</w:t>
      </w:r>
      <w:r w:rsidR="00C21DB7" w:rsidRPr="003D514D">
        <w:rPr>
          <w:b/>
          <w:bCs/>
        </w:rPr>
        <w:t xml:space="preserve"> </w:t>
      </w:r>
      <w:r w:rsidRPr="003D514D">
        <w:rPr>
          <w:b/>
          <w:bCs/>
        </w:rPr>
        <w:t>labour</w:t>
      </w:r>
      <w:r w:rsidR="00C21DB7" w:rsidRPr="003D514D">
        <w:rPr>
          <w:b/>
          <w:bCs/>
        </w:rPr>
        <w:t xml:space="preserve"> </w:t>
      </w:r>
      <w:r w:rsidRPr="003D514D">
        <w:rPr>
          <w:b/>
          <w:bCs/>
        </w:rPr>
        <w:t>market</w:t>
      </w:r>
      <w:r w:rsidR="00C21DB7" w:rsidRPr="003D514D">
        <w:rPr>
          <w:b/>
          <w:bCs/>
        </w:rPr>
        <w:t xml:space="preserve"> </w:t>
      </w:r>
      <w:r w:rsidRPr="003D514D">
        <w:rPr>
          <w:b/>
          <w:bCs/>
        </w:rPr>
        <w:t>and</w:t>
      </w:r>
      <w:r w:rsidR="00C21DB7" w:rsidRPr="003D514D">
        <w:rPr>
          <w:b/>
          <w:bCs/>
        </w:rPr>
        <w:t xml:space="preserve"> </w:t>
      </w:r>
      <w:r w:rsidRPr="003D514D">
        <w:rPr>
          <w:b/>
          <w:bCs/>
        </w:rPr>
        <w:t>sheltered</w:t>
      </w:r>
      <w:r w:rsidR="00C21DB7" w:rsidRPr="003D514D">
        <w:rPr>
          <w:b/>
          <w:bCs/>
        </w:rPr>
        <w:t xml:space="preserve"> </w:t>
      </w:r>
      <w:r w:rsidRPr="003D514D">
        <w:rPr>
          <w:b/>
          <w:bCs/>
        </w:rPr>
        <w:t>employment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745"/>
        <w:gridCol w:w="1745"/>
        <w:gridCol w:w="1745"/>
      </w:tblGrid>
      <w:tr w:rsidR="002F001C" w:rsidRPr="003D514D" w:rsidTr="003D514D">
        <w:trPr>
          <w:tblHeader/>
        </w:trPr>
        <w:tc>
          <w:tcPr>
            <w:tcW w:w="27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F001C" w:rsidRPr="003D514D" w:rsidRDefault="002F001C" w:rsidP="003D514D">
            <w:pPr>
              <w:pStyle w:val="SingleTxtG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F001C" w:rsidRPr="003D514D" w:rsidRDefault="002F001C" w:rsidP="003D514D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3D514D">
              <w:rPr>
                <w:i/>
                <w:sz w:val="16"/>
              </w:rPr>
              <w:t>2016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F001C" w:rsidRPr="003D514D" w:rsidRDefault="002F001C" w:rsidP="003D514D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3D514D">
              <w:rPr>
                <w:i/>
                <w:sz w:val="16"/>
              </w:rPr>
              <w:t>2017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F001C" w:rsidRPr="003D514D" w:rsidRDefault="002F001C" w:rsidP="003D514D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3D514D">
              <w:rPr>
                <w:i/>
                <w:sz w:val="16"/>
              </w:rPr>
              <w:t>2018</w:t>
            </w:r>
          </w:p>
        </w:tc>
      </w:tr>
      <w:tr w:rsidR="002F001C" w:rsidRPr="003D514D" w:rsidTr="003D514D">
        <w:tc>
          <w:tcPr>
            <w:tcW w:w="962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F001C" w:rsidRPr="003D514D" w:rsidRDefault="002F001C" w:rsidP="003D514D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3D514D">
              <w:rPr>
                <w:sz w:val="18"/>
              </w:rPr>
              <w:t>Employed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(16-pension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age)</w:t>
            </w:r>
          </w:p>
        </w:tc>
      </w:tr>
      <w:tr w:rsidR="002F001C" w:rsidRPr="003D514D" w:rsidTr="003D514D">
        <w:tc>
          <w:tcPr>
            <w:tcW w:w="2791" w:type="dxa"/>
            <w:shd w:val="clear" w:color="auto" w:fill="auto"/>
          </w:tcPr>
          <w:p w:rsidR="002F001C" w:rsidRPr="003D514D" w:rsidRDefault="002F001C" w:rsidP="003D514D">
            <w:pPr>
              <w:pStyle w:val="SingleTxtG"/>
              <w:spacing w:before="40" w:after="40" w:line="220" w:lineRule="exact"/>
              <w:ind w:left="288" w:right="113"/>
              <w:jc w:val="left"/>
              <w:rPr>
                <w:sz w:val="18"/>
              </w:rPr>
            </w:pPr>
            <w:r w:rsidRPr="003D514D">
              <w:rPr>
                <w:sz w:val="18"/>
              </w:rPr>
              <w:t>sheltered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employment</w:t>
            </w:r>
          </w:p>
        </w:tc>
        <w:tc>
          <w:tcPr>
            <w:tcW w:w="2279" w:type="dxa"/>
            <w:shd w:val="clear" w:color="auto" w:fill="auto"/>
            <w:vAlign w:val="bottom"/>
          </w:tcPr>
          <w:p w:rsidR="002F001C" w:rsidRPr="003D514D" w:rsidRDefault="002F001C" w:rsidP="003D514D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D514D">
              <w:rPr>
                <w:sz w:val="18"/>
              </w:rPr>
              <w:t>176</w:t>
            </w:r>
          </w:p>
        </w:tc>
        <w:tc>
          <w:tcPr>
            <w:tcW w:w="2279" w:type="dxa"/>
            <w:shd w:val="clear" w:color="auto" w:fill="auto"/>
            <w:vAlign w:val="bottom"/>
          </w:tcPr>
          <w:p w:rsidR="002F001C" w:rsidRPr="003D514D" w:rsidRDefault="002F001C" w:rsidP="003D514D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D514D">
              <w:rPr>
                <w:sz w:val="18"/>
              </w:rPr>
              <w:t>230</w:t>
            </w:r>
          </w:p>
        </w:tc>
        <w:tc>
          <w:tcPr>
            <w:tcW w:w="2279" w:type="dxa"/>
            <w:shd w:val="clear" w:color="auto" w:fill="auto"/>
            <w:vAlign w:val="bottom"/>
          </w:tcPr>
          <w:p w:rsidR="002F001C" w:rsidRPr="003D514D" w:rsidRDefault="002F001C" w:rsidP="003D514D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D514D">
              <w:rPr>
                <w:sz w:val="18"/>
              </w:rPr>
              <w:t>187</w:t>
            </w:r>
          </w:p>
        </w:tc>
      </w:tr>
      <w:tr w:rsidR="002F001C" w:rsidRPr="003D514D" w:rsidTr="003D514D">
        <w:tc>
          <w:tcPr>
            <w:tcW w:w="9628" w:type="dxa"/>
            <w:gridSpan w:val="4"/>
            <w:shd w:val="clear" w:color="auto" w:fill="auto"/>
          </w:tcPr>
          <w:p w:rsidR="002F001C" w:rsidRPr="003D514D" w:rsidRDefault="002F001C" w:rsidP="003D514D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3D514D">
              <w:rPr>
                <w:sz w:val="18"/>
              </w:rPr>
              <w:t>Open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labour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market</w:t>
            </w:r>
          </w:p>
        </w:tc>
      </w:tr>
      <w:tr w:rsidR="002F001C" w:rsidRPr="003D514D" w:rsidTr="003D514D">
        <w:tc>
          <w:tcPr>
            <w:tcW w:w="2791" w:type="dxa"/>
            <w:shd w:val="clear" w:color="auto" w:fill="auto"/>
          </w:tcPr>
          <w:p w:rsidR="002F001C" w:rsidRPr="003D514D" w:rsidRDefault="002F001C" w:rsidP="003D514D">
            <w:pPr>
              <w:pStyle w:val="SingleTxtG"/>
              <w:spacing w:before="40" w:after="40" w:line="220" w:lineRule="exact"/>
              <w:ind w:left="288" w:right="113"/>
              <w:jc w:val="left"/>
              <w:rPr>
                <w:sz w:val="18"/>
              </w:rPr>
            </w:pPr>
            <w:r w:rsidRPr="003D514D">
              <w:rPr>
                <w:sz w:val="18"/>
              </w:rPr>
              <w:t>employed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disabled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persons</w:t>
            </w:r>
          </w:p>
        </w:tc>
        <w:tc>
          <w:tcPr>
            <w:tcW w:w="2279" w:type="dxa"/>
            <w:shd w:val="clear" w:color="auto" w:fill="auto"/>
            <w:vAlign w:val="bottom"/>
          </w:tcPr>
          <w:p w:rsidR="002F001C" w:rsidRPr="003D514D" w:rsidRDefault="002F001C" w:rsidP="003D514D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D514D">
              <w:rPr>
                <w:sz w:val="18"/>
              </w:rPr>
              <w:t>20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100</w:t>
            </w:r>
          </w:p>
        </w:tc>
        <w:tc>
          <w:tcPr>
            <w:tcW w:w="2279" w:type="dxa"/>
            <w:shd w:val="clear" w:color="auto" w:fill="auto"/>
            <w:vAlign w:val="bottom"/>
          </w:tcPr>
          <w:p w:rsidR="002F001C" w:rsidRPr="003D514D" w:rsidRDefault="002F001C" w:rsidP="003D514D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D514D">
              <w:rPr>
                <w:sz w:val="18"/>
              </w:rPr>
              <w:t>21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200</w:t>
            </w:r>
          </w:p>
        </w:tc>
        <w:tc>
          <w:tcPr>
            <w:tcW w:w="2279" w:type="dxa"/>
            <w:shd w:val="clear" w:color="auto" w:fill="auto"/>
            <w:vAlign w:val="bottom"/>
          </w:tcPr>
          <w:p w:rsidR="002F001C" w:rsidRPr="003D514D" w:rsidRDefault="002F001C" w:rsidP="003D514D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D514D">
              <w:rPr>
                <w:sz w:val="18"/>
              </w:rPr>
              <w:t>26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500</w:t>
            </w:r>
          </w:p>
        </w:tc>
      </w:tr>
      <w:tr w:rsidR="002F001C" w:rsidRPr="003D514D" w:rsidTr="003D514D">
        <w:tc>
          <w:tcPr>
            <w:tcW w:w="2791" w:type="dxa"/>
            <w:shd w:val="clear" w:color="auto" w:fill="auto"/>
          </w:tcPr>
          <w:p w:rsidR="002F001C" w:rsidRPr="003D514D" w:rsidRDefault="002F001C" w:rsidP="003D514D">
            <w:pPr>
              <w:pStyle w:val="SingleTxtG"/>
              <w:spacing w:before="40" w:after="40" w:line="220" w:lineRule="exact"/>
              <w:ind w:left="288" w:right="113"/>
              <w:jc w:val="left"/>
              <w:rPr>
                <w:sz w:val="18"/>
              </w:rPr>
            </w:pPr>
            <w:r w:rsidRPr="003D514D">
              <w:rPr>
                <w:sz w:val="18"/>
              </w:rPr>
              <w:t>employed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persons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with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limited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capacity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for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work</w:t>
            </w:r>
          </w:p>
        </w:tc>
        <w:tc>
          <w:tcPr>
            <w:tcW w:w="2279" w:type="dxa"/>
            <w:shd w:val="clear" w:color="auto" w:fill="auto"/>
            <w:vAlign w:val="bottom"/>
          </w:tcPr>
          <w:p w:rsidR="002F001C" w:rsidRPr="003D514D" w:rsidRDefault="002F001C" w:rsidP="003D514D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D514D">
              <w:rPr>
                <w:sz w:val="18"/>
              </w:rPr>
              <w:t>54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900</w:t>
            </w:r>
          </w:p>
        </w:tc>
        <w:tc>
          <w:tcPr>
            <w:tcW w:w="2279" w:type="dxa"/>
            <w:shd w:val="clear" w:color="auto" w:fill="auto"/>
            <w:vAlign w:val="bottom"/>
          </w:tcPr>
          <w:p w:rsidR="002F001C" w:rsidRPr="003D514D" w:rsidRDefault="002F001C" w:rsidP="003D514D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D514D">
              <w:rPr>
                <w:sz w:val="18"/>
              </w:rPr>
              <w:t>55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600</w:t>
            </w:r>
          </w:p>
        </w:tc>
        <w:tc>
          <w:tcPr>
            <w:tcW w:w="2279" w:type="dxa"/>
            <w:shd w:val="clear" w:color="auto" w:fill="auto"/>
            <w:vAlign w:val="bottom"/>
          </w:tcPr>
          <w:p w:rsidR="002F001C" w:rsidRPr="003D514D" w:rsidRDefault="002F001C" w:rsidP="003D514D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3D514D">
              <w:rPr>
                <w:sz w:val="18"/>
              </w:rPr>
              <w:t>54</w:t>
            </w:r>
            <w:r w:rsidR="00C21DB7" w:rsidRPr="003D514D">
              <w:rPr>
                <w:sz w:val="18"/>
              </w:rPr>
              <w:t xml:space="preserve"> </w:t>
            </w:r>
            <w:r w:rsidRPr="003D514D">
              <w:rPr>
                <w:sz w:val="18"/>
              </w:rPr>
              <w:t>200</w:t>
            </w:r>
          </w:p>
        </w:tc>
      </w:tr>
    </w:tbl>
    <w:p w:rsidR="002F001C" w:rsidRPr="003D514D" w:rsidRDefault="002F001C" w:rsidP="003D514D">
      <w:pPr>
        <w:spacing w:before="120" w:after="240" w:line="240" w:lineRule="atLeast"/>
        <w:ind w:left="1134" w:right="1134" w:firstLine="170"/>
        <w:rPr>
          <w:sz w:val="18"/>
        </w:rPr>
      </w:pPr>
      <w:r w:rsidRPr="003D514D">
        <w:rPr>
          <w:i/>
          <w:iCs/>
          <w:sz w:val="18"/>
        </w:rPr>
        <w:t>Source:</w:t>
      </w:r>
      <w:r w:rsidR="00C21DB7" w:rsidRPr="003D514D">
        <w:rPr>
          <w:sz w:val="18"/>
        </w:rPr>
        <w:t xml:space="preserve"> </w:t>
      </w:r>
      <w:r w:rsidR="003D514D">
        <w:rPr>
          <w:sz w:val="18"/>
        </w:rPr>
        <w:t xml:space="preserve"> </w:t>
      </w:r>
      <w:r w:rsidRPr="003D514D">
        <w:rPr>
          <w:sz w:val="18"/>
        </w:rPr>
        <w:t>Unemployment</w:t>
      </w:r>
      <w:r w:rsidR="00C21DB7" w:rsidRPr="003D514D">
        <w:rPr>
          <w:sz w:val="18"/>
        </w:rPr>
        <w:t xml:space="preserve"> </w:t>
      </w:r>
      <w:r w:rsidRPr="003D514D">
        <w:rPr>
          <w:sz w:val="18"/>
        </w:rPr>
        <w:t>Insurance</w:t>
      </w:r>
      <w:r w:rsidR="00C21DB7" w:rsidRPr="003D514D">
        <w:rPr>
          <w:sz w:val="18"/>
        </w:rPr>
        <w:t xml:space="preserve"> </w:t>
      </w:r>
      <w:r w:rsidRPr="003D514D">
        <w:rPr>
          <w:sz w:val="18"/>
        </w:rPr>
        <w:t>Fund,</w:t>
      </w:r>
      <w:r w:rsidR="00C21DB7" w:rsidRPr="003D514D">
        <w:rPr>
          <w:sz w:val="18"/>
        </w:rPr>
        <w:t xml:space="preserve"> </w:t>
      </w:r>
      <w:r w:rsidRPr="003D514D">
        <w:rPr>
          <w:sz w:val="18"/>
        </w:rPr>
        <w:t>Statistics</w:t>
      </w:r>
      <w:r w:rsidR="00C21DB7" w:rsidRPr="003D514D">
        <w:rPr>
          <w:sz w:val="18"/>
        </w:rPr>
        <w:t xml:space="preserve"> </w:t>
      </w:r>
      <w:r w:rsidRPr="003D514D">
        <w:rPr>
          <w:sz w:val="18"/>
        </w:rPr>
        <w:t>Estonia</w:t>
      </w:r>
    </w:p>
    <w:p w:rsidR="002F001C" w:rsidRPr="00E31BBF" w:rsidRDefault="002F001C" w:rsidP="00732F46">
      <w:pPr>
        <w:pStyle w:val="SingleTxtG"/>
      </w:pPr>
      <w:r w:rsidRPr="00E31BBF">
        <w:t>138.</w:t>
      </w:r>
      <w:r w:rsidRPr="00E31BBF">
        <w:tab/>
        <w:t>According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Occupation</w:t>
      </w:r>
      <w:r w:rsidR="00C21DB7">
        <w:t xml:space="preserve"> </w:t>
      </w:r>
      <w:r w:rsidRPr="00E31BBF">
        <w:t>Health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Safety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work,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equipment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workplace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employee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adapted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his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physical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mental</w:t>
      </w:r>
      <w:r w:rsidR="00C21DB7">
        <w:t xml:space="preserve"> </w:t>
      </w:r>
      <w:r w:rsidRPr="00E31BBF">
        <w:t>abilities.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means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building,</w:t>
      </w:r>
      <w:r w:rsidR="00C21DB7">
        <w:t xml:space="preserve"> </w:t>
      </w:r>
      <w:r w:rsidRPr="00E31BBF">
        <w:t>workroom,</w:t>
      </w:r>
      <w:r w:rsidR="00C21DB7">
        <w:t xml:space="preserve"> </w:t>
      </w:r>
      <w:r w:rsidRPr="00E31BBF">
        <w:t>workplace,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equipment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accessible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usable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employee.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139.</w:t>
      </w:r>
      <w:r w:rsidRPr="00E31BBF">
        <w:tab/>
        <w:t>A</w:t>
      </w:r>
      <w:r w:rsidR="00C21DB7">
        <w:t xml:space="preserve"> </w:t>
      </w:r>
      <w:r w:rsidRPr="00E31BBF">
        <w:t>contract</w:t>
      </w:r>
      <w:r w:rsidR="00C21DB7">
        <w:t xml:space="preserve"> </w:t>
      </w:r>
      <w:proofErr w:type="gramStart"/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concluded</w:t>
      </w:r>
      <w:proofErr w:type="gramEnd"/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Employers</w:t>
      </w:r>
      <w:r w:rsidR="003E41EF">
        <w:t>’</w:t>
      </w:r>
      <w:r w:rsidR="00C21DB7">
        <w:t xml:space="preserve"> </w:t>
      </w:r>
      <w:r w:rsidRPr="00E31BBF">
        <w:t>Confederation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promote</w:t>
      </w:r>
      <w:r w:rsidR="00C21DB7">
        <w:t xml:space="preserve"> </w:t>
      </w:r>
      <w:r w:rsidRPr="00E31BBF">
        <w:t>employment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reduced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ability.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140.</w:t>
      </w:r>
      <w:r w:rsidRPr="00E31BBF">
        <w:tab/>
        <w:t>If,</w:t>
      </w:r>
      <w:r w:rsidR="00C21DB7">
        <w:t xml:space="preserve"> </w:t>
      </w:r>
      <w:r w:rsidRPr="00E31BBF">
        <w:t>due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decreased</w:t>
      </w:r>
      <w:r w:rsidR="00C21DB7">
        <w:t xml:space="preserve"> </w:t>
      </w:r>
      <w:r w:rsidRPr="00E31BBF">
        <w:t>working</w:t>
      </w:r>
      <w:r w:rsidR="00C21DB7">
        <w:t xml:space="preserve"> </w:t>
      </w:r>
      <w:r w:rsidRPr="00E31BBF">
        <w:t>ability,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unable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perform</w:t>
      </w:r>
      <w:r w:rsidR="00C21DB7">
        <w:t xml:space="preserve"> </w:t>
      </w:r>
      <w:r w:rsidRPr="00E31BBF">
        <w:t>duties</w:t>
      </w:r>
      <w:r w:rsidR="00C21DB7">
        <w:t xml:space="preserve"> </w:t>
      </w:r>
      <w:r w:rsidRPr="00E31BBF">
        <w:t>using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employer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equipment,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Unemployment</w:t>
      </w:r>
      <w:r w:rsidR="00C21DB7">
        <w:t xml:space="preserve"> </w:t>
      </w:r>
      <w:r w:rsidRPr="00E31BBF">
        <w:t>Insurance</w:t>
      </w:r>
      <w:r w:rsidR="00C21DB7">
        <w:t xml:space="preserve"> </w:t>
      </w:r>
      <w:r w:rsidRPr="00E31BBF">
        <w:t>Fund</w:t>
      </w:r>
      <w:r w:rsidR="00C21DB7">
        <w:t xml:space="preserve"> </w:t>
      </w:r>
      <w:r w:rsidRPr="00E31BBF">
        <w:t>will</w:t>
      </w:r>
      <w:r w:rsidR="00C21DB7">
        <w:t xml:space="preserve"> </w:t>
      </w:r>
      <w:r w:rsidRPr="00E31BBF">
        <w:t>provide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person,</w:t>
      </w:r>
      <w:r w:rsidR="00C21DB7">
        <w:t xml:space="preserve"> </w:t>
      </w:r>
      <w:r w:rsidRPr="00E31BBF">
        <w:t>free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charge,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assistive</w:t>
      </w:r>
      <w:r w:rsidR="00C21DB7">
        <w:t xml:space="preserve"> </w:t>
      </w:r>
      <w:r w:rsidRPr="00E31BBF">
        <w:t>equipment</w:t>
      </w:r>
      <w:r w:rsidR="00C21DB7">
        <w:t xml:space="preserve"> </w:t>
      </w:r>
      <w:r w:rsidRPr="00E31BBF">
        <w:t>necessary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carry</w:t>
      </w:r>
      <w:r w:rsidR="00C21DB7">
        <w:t xml:space="preserve"> </w:t>
      </w:r>
      <w:r w:rsidRPr="00E31BBF">
        <w:t>out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work.</w:t>
      </w:r>
    </w:p>
    <w:p w:rsidR="002F001C" w:rsidRPr="00E31BBF" w:rsidRDefault="002F001C" w:rsidP="00732F46">
      <w:pPr>
        <w:pStyle w:val="SingleTxtG"/>
      </w:pPr>
      <w:r w:rsidRPr="00E31BBF">
        <w:t>141.</w:t>
      </w:r>
      <w:r w:rsidRPr="00E31BBF">
        <w:tab/>
        <w:t>If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employee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difficulties</w:t>
      </w:r>
      <w:r w:rsidR="00C21DB7">
        <w:t xml:space="preserve"> </w:t>
      </w:r>
      <w:r w:rsidRPr="00E31BBF">
        <w:t>accessing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workspaces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using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equipment</w:t>
      </w:r>
      <w:r w:rsidR="00C21DB7">
        <w:t xml:space="preserve"> </w:t>
      </w:r>
      <w:r w:rsidRPr="00E31BBF">
        <w:t>provided,</w:t>
      </w:r>
      <w:r w:rsidR="00C21DB7">
        <w:t xml:space="preserve"> </w:t>
      </w:r>
      <w:r w:rsidRPr="00E31BBF">
        <w:t>we</w:t>
      </w:r>
      <w:r w:rsidR="00C21DB7">
        <w:t xml:space="preserve"> </w:t>
      </w:r>
      <w:r w:rsidRPr="00E31BBF">
        <w:t>will</w:t>
      </w:r>
      <w:r w:rsidR="00C21DB7">
        <w:t xml:space="preserve"> </w:t>
      </w:r>
      <w:r w:rsidRPr="00E31BBF">
        <w:t>help</w:t>
      </w:r>
      <w:r w:rsidR="00C21DB7">
        <w:t xml:space="preserve"> </w:t>
      </w:r>
      <w:r w:rsidRPr="00E31BBF">
        <w:t>adjust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workplace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equipment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way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makes</w:t>
      </w:r>
      <w:r w:rsidR="00C21DB7">
        <w:t xml:space="preserve"> </w:t>
      </w:r>
      <w:r w:rsidRPr="00E31BBF">
        <w:t>them</w:t>
      </w:r>
      <w:r w:rsidR="00C21DB7">
        <w:t xml:space="preserve"> </w:t>
      </w:r>
      <w:r w:rsidRPr="00E31BBF">
        <w:t>accessible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usable.</w:t>
      </w:r>
      <w:r w:rsidR="00C21DB7">
        <w:t xml:space="preserve"> </w:t>
      </w:r>
      <w:r w:rsidRPr="00E31BBF">
        <w:t>Depending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case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reasonable</w:t>
      </w:r>
      <w:r w:rsidR="00C21DB7">
        <w:t xml:space="preserve"> </w:t>
      </w:r>
      <w:r w:rsidRPr="00E31BBF">
        <w:t>cost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adjustment,</w:t>
      </w:r>
      <w:r w:rsidR="00C21DB7">
        <w:t xml:space="preserve"> </w:t>
      </w:r>
      <w:r w:rsidRPr="00E31BBF">
        <w:t>up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100%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adjustment</w:t>
      </w:r>
      <w:r w:rsidR="00C21DB7">
        <w:t xml:space="preserve"> </w:t>
      </w:r>
      <w:r w:rsidRPr="00E31BBF">
        <w:t>costs</w:t>
      </w:r>
      <w:r w:rsidR="00C21DB7">
        <w:t xml:space="preserve"> </w:t>
      </w:r>
      <w:proofErr w:type="gramStart"/>
      <w:r w:rsidRPr="00E31BBF">
        <w:t>may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compensated</w:t>
      </w:r>
      <w:proofErr w:type="gramEnd"/>
      <w:r w:rsidRPr="00E31BBF">
        <w:t>.</w:t>
      </w:r>
    </w:p>
    <w:p w:rsidR="002F001C" w:rsidRPr="00E31BBF" w:rsidRDefault="002F001C" w:rsidP="000C41BC">
      <w:pPr>
        <w:pStyle w:val="H1G"/>
      </w:pPr>
      <w:r w:rsidRPr="00E31BBF">
        <w:lastRenderedPageBreak/>
        <w:tab/>
      </w:r>
      <w:r w:rsidRPr="00E31BBF">
        <w:tab/>
        <w:t>Adequate</w:t>
      </w:r>
      <w:r w:rsidR="00C21DB7">
        <w:t xml:space="preserve"> </w:t>
      </w:r>
      <w:r w:rsidRPr="00E31BBF">
        <w:t>standard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living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protection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28)</w:t>
      </w:r>
      <w:r w:rsidR="00C21DB7">
        <w:t xml:space="preserve"> </w:t>
      </w:r>
    </w:p>
    <w:p w:rsidR="002F001C" w:rsidRPr="00E31BBF" w:rsidRDefault="002F001C" w:rsidP="000C41BC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21</w:t>
      </w:r>
      <w:r w:rsidR="00B10A4D">
        <w:t xml:space="preserve"> </w:t>
      </w:r>
      <w:r w:rsidRPr="00E31BBF">
        <w:t>(a)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(b)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  <w:r w:rsidRPr="00E31BBF">
        <w:t>CRPD/C/EST/Q/1</w:t>
      </w:r>
    </w:p>
    <w:p w:rsidR="002F001C" w:rsidRPr="00E31BBF" w:rsidRDefault="002F001C" w:rsidP="00732F46">
      <w:pPr>
        <w:pStyle w:val="SingleTxtG"/>
      </w:pPr>
      <w:r w:rsidRPr="00E31BBF">
        <w:t>142.</w:t>
      </w:r>
      <w:r w:rsidRPr="00E31BBF">
        <w:tab/>
        <w:t>Poverty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poverty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issues</w:t>
      </w:r>
      <w:r w:rsidR="00C21DB7">
        <w:t xml:space="preserve"> </w:t>
      </w:r>
      <w:r w:rsidRPr="00E31BBF">
        <w:t>addressed</w:t>
      </w:r>
      <w:r w:rsidR="00C21DB7">
        <w:t xml:space="preserve"> </w:t>
      </w:r>
      <w:r w:rsidRPr="00E31BBF">
        <w:t>horizontally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specific</w:t>
      </w:r>
      <w:r w:rsidR="00C21DB7">
        <w:t xml:space="preserve"> </w:t>
      </w:r>
      <w:r w:rsidRPr="00E31BBF">
        <w:t>measures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Welfare</w:t>
      </w:r>
      <w:r w:rsidR="00C21DB7">
        <w:t xml:space="preserve"> </w:t>
      </w:r>
      <w:r w:rsidRPr="00E31BBF">
        <w:t>Development</w:t>
      </w:r>
      <w:r w:rsidR="00C21DB7">
        <w:t xml:space="preserve"> </w:t>
      </w:r>
      <w:r w:rsidRPr="00E31BBF">
        <w:t>Plan</w:t>
      </w:r>
      <w:r w:rsidR="00C21DB7">
        <w:t xml:space="preserve"> </w:t>
      </w:r>
      <w:r w:rsidRPr="00E31BBF">
        <w:t>2016</w:t>
      </w:r>
      <w:r w:rsidR="00684C05">
        <w:t>–</w:t>
      </w:r>
      <w:r w:rsidRPr="00E31BBF">
        <w:t>2023.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example,</w:t>
      </w:r>
      <w:r w:rsidR="00C21DB7">
        <w:t xml:space="preserve"> </w:t>
      </w:r>
      <w:r w:rsidRPr="00E31BBF">
        <w:t>coping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elderly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low</w:t>
      </w:r>
      <w:r w:rsidR="00C21DB7">
        <w:t xml:space="preserve"> </w:t>
      </w:r>
      <w:r w:rsidRPr="00E31BBF">
        <w:t>wages</w:t>
      </w:r>
      <w:r w:rsidR="00C21DB7">
        <w:t xml:space="preserve"> </w:t>
      </w:r>
      <w:proofErr w:type="gramStart"/>
      <w:r w:rsidRPr="00E31BBF">
        <w:t>shall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improved</w:t>
      </w:r>
      <w:proofErr w:type="gramEnd"/>
      <w:r w:rsidR="00C21DB7">
        <w:t xml:space="preserve"> </w:t>
      </w:r>
      <w:r w:rsidRPr="00E31BBF">
        <w:t>through</w:t>
      </w:r>
      <w:r w:rsidR="00C21DB7">
        <w:t xml:space="preserve"> </w:t>
      </w:r>
      <w:r w:rsidRPr="00E31BBF">
        <w:t>additional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schemes;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solve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problem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poverty</w:t>
      </w:r>
      <w:r w:rsidR="00C21DB7">
        <w:t xml:space="preserve"> </w:t>
      </w:r>
      <w:r w:rsidRPr="00E31BBF">
        <w:t>among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unemployed,</w:t>
      </w:r>
      <w:r w:rsidR="00C21DB7">
        <w:t xml:space="preserve"> </w:t>
      </w:r>
      <w:r w:rsidRPr="00E31BBF">
        <w:t>proposals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developed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increasing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mutual</w:t>
      </w:r>
      <w:r w:rsidR="00C21DB7">
        <w:t xml:space="preserve"> </w:t>
      </w:r>
      <w:r w:rsidRPr="00E31BBF">
        <w:t>coverage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unemployment</w:t>
      </w:r>
      <w:r w:rsidR="00C21DB7">
        <w:t xml:space="preserve"> </w:t>
      </w:r>
      <w:r w:rsidRPr="00E31BBF">
        <w:t>insurance</w:t>
      </w:r>
      <w:r w:rsidR="00C21DB7">
        <w:t xml:space="preserve"> </w:t>
      </w:r>
      <w:r w:rsidRPr="00E31BBF">
        <w:t>benefit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unemployment</w:t>
      </w:r>
      <w:r w:rsidR="00C21DB7">
        <w:t xml:space="preserve"> </w:t>
      </w:r>
      <w:r w:rsidRPr="00E31BBF">
        <w:t>benefit.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benefits</w:t>
      </w:r>
      <w:r w:rsidR="003E41EF">
        <w:t>’</w:t>
      </w:r>
      <w:r w:rsidR="00C21DB7">
        <w:t xml:space="preserve"> </w:t>
      </w:r>
      <w:r w:rsidRPr="00E31BBF">
        <w:t>scheme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people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shall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analysed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proposals</w:t>
      </w:r>
      <w:r w:rsidR="00C21DB7">
        <w:t xml:space="preserve"> </w:t>
      </w:r>
      <w:proofErr w:type="gramStart"/>
      <w:r w:rsidRPr="00E31BBF">
        <w:t>shall</w:t>
      </w:r>
      <w:r w:rsidR="00C21DB7">
        <w:t xml:space="preserve"> </w:t>
      </w:r>
      <w:r w:rsidRPr="00E31BBF">
        <w:t>be</w:t>
      </w:r>
      <w:r w:rsidR="00C21DB7">
        <w:t xml:space="preserve"> </w:t>
      </w:r>
      <w:r w:rsidRPr="00E31BBF">
        <w:t>made</w:t>
      </w:r>
      <w:proofErr w:type="gramEnd"/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its</w:t>
      </w:r>
      <w:r w:rsidR="00C21DB7">
        <w:t xml:space="preserve"> </w:t>
      </w:r>
      <w:r w:rsidRPr="00E31BBF">
        <w:t>better</w:t>
      </w:r>
      <w:r w:rsidR="00C21DB7">
        <w:t xml:space="preserve"> </w:t>
      </w:r>
      <w:r w:rsidRPr="00E31BBF">
        <w:t>coherence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services.</w:t>
      </w:r>
    </w:p>
    <w:p w:rsidR="002F001C" w:rsidRPr="00E31BBF" w:rsidRDefault="002F001C" w:rsidP="00951680">
      <w:pPr>
        <w:pStyle w:val="Heading1"/>
        <w:spacing w:before="240"/>
      </w:pPr>
      <w:r w:rsidRPr="00E31BBF">
        <w:t>Table</w:t>
      </w:r>
      <w:r w:rsidR="00C21DB7">
        <w:t xml:space="preserve"> </w:t>
      </w:r>
      <w:r w:rsidRPr="00E31BBF">
        <w:t>5</w:t>
      </w:r>
    </w:p>
    <w:p w:rsidR="002F001C" w:rsidRPr="00CD3707" w:rsidRDefault="002F001C" w:rsidP="00732F46">
      <w:pPr>
        <w:pStyle w:val="SingleTxtG"/>
        <w:rPr>
          <w:b/>
          <w:bCs/>
        </w:rPr>
      </w:pPr>
      <w:r w:rsidRPr="00CD3707">
        <w:rPr>
          <w:b/>
          <w:bCs/>
        </w:rPr>
        <w:t>At-risk-of-poverty</w:t>
      </w:r>
      <w:r w:rsidR="00C21DB7" w:rsidRPr="00CD3707">
        <w:rPr>
          <w:b/>
          <w:bCs/>
        </w:rPr>
        <w:t xml:space="preserve"> </w:t>
      </w:r>
      <w:r w:rsidRPr="00CD3707">
        <w:rPr>
          <w:b/>
          <w:bCs/>
        </w:rPr>
        <w:t>rate</w:t>
      </w:r>
      <w:r w:rsidR="00C21DB7" w:rsidRPr="00CD3707">
        <w:rPr>
          <w:b/>
          <w:bCs/>
        </w:rPr>
        <w:t xml:space="preserve"> </w:t>
      </w:r>
      <w:r w:rsidRPr="00CD3707">
        <w:rPr>
          <w:b/>
          <w:bCs/>
        </w:rPr>
        <w:t>by</w:t>
      </w:r>
      <w:r w:rsidR="00C21DB7" w:rsidRPr="00CD3707">
        <w:rPr>
          <w:b/>
          <w:bCs/>
        </w:rPr>
        <w:t xml:space="preserve"> </w:t>
      </w:r>
      <w:r w:rsidRPr="00CD3707">
        <w:rPr>
          <w:b/>
          <w:bCs/>
        </w:rPr>
        <w:t>disability</w:t>
      </w:r>
      <w:r w:rsidR="00C21DB7" w:rsidRPr="00CD3707">
        <w:rPr>
          <w:b/>
          <w:bCs/>
        </w:rPr>
        <w:t xml:space="preserve"> </w:t>
      </w:r>
      <w:r w:rsidRPr="00CD3707">
        <w:rPr>
          <w:b/>
          <w:bCs/>
        </w:rPr>
        <w:t>and</w:t>
      </w:r>
      <w:r w:rsidR="00C21DB7" w:rsidRPr="00CD3707">
        <w:rPr>
          <w:b/>
          <w:bCs/>
        </w:rPr>
        <w:t xml:space="preserve"> </w:t>
      </w:r>
      <w:r w:rsidRPr="00CD3707">
        <w:rPr>
          <w:b/>
          <w:bCs/>
        </w:rPr>
        <w:t>sex</w:t>
      </w:r>
      <w:r w:rsidR="00C21DB7" w:rsidRPr="00CD3707">
        <w:rPr>
          <w:b/>
          <w:bCs/>
        </w:rPr>
        <w:t xml:space="preserve"> </w:t>
      </w:r>
      <w:r w:rsidRPr="00CD3707">
        <w:rPr>
          <w:b/>
          <w:bCs/>
        </w:rPr>
        <w:t>in</w:t>
      </w:r>
      <w:r w:rsidR="00C21DB7" w:rsidRPr="00CD3707">
        <w:rPr>
          <w:b/>
          <w:bCs/>
        </w:rPr>
        <w:t xml:space="preserve"> </w:t>
      </w:r>
      <w:r w:rsidRPr="00CD3707">
        <w:rPr>
          <w:b/>
          <w:bCs/>
        </w:rPr>
        <w:t>2015</w:t>
      </w:r>
      <w:r w:rsidR="00684C05">
        <w:rPr>
          <w:b/>
          <w:bCs/>
        </w:rPr>
        <w:t>–</w:t>
      </w:r>
      <w:r w:rsidRPr="00CD3707">
        <w:rPr>
          <w:b/>
          <w:bCs/>
        </w:rPr>
        <w:t>2017,</w:t>
      </w:r>
      <w:r w:rsidR="00C21DB7" w:rsidRPr="00CD3707">
        <w:rPr>
          <w:b/>
          <w:bCs/>
        </w:rPr>
        <w:t xml:space="preserve"> </w:t>
      </w:r>
      <w:proofErr w:type="gramStart"/>
      <w:r w:rsidRPr="00CD3707">
        <w:rPr>
          <w:b/>
          <w:bCs/>
        </w:rPr>
        <w:t>%</w:t>
      </w:r>
      <w:proofErr w:type="gramEnd"/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83"/>
        <w:gridCol w:w="1414"/>
        <w:gridCol w:w="1414"/>
        <w:gridCol w:w="1414"/>
      </w:tblGrid>
      <w:tr w:rsidR="002F001C" w:rsidRPr="00CD3707" w:rsidTr="00CD3707">
        <w:trPr>
          <w:tblHeader/>
        </w:trPr>
        <w:tc>
          <w:tcPr>
            <w:tcW w:w="20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CD3707" w:rsidRDefault="00C21DB7" w:rsidP="00CD3707">
            <w:pPr>
              <w:pStyle w:val="SingleTxtG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CD3707">
              <w:rPr>
                <w:i/>
                <w:sz w:val="16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CD3707" w:rsidRDefault="00C21DB7" w:rsidP="00CD3707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CD3707">
              <w:rPr>
                <w:i/>
                <w:sz w:val="16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CD3707">
              <w:rPr>
                <w:i/>
                <w:sz w:val="16"/>
              </w:rPr>
              <w:t>2015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CD3707">
              <w:rPr>
                <w:i/>
                <w:sz w:val="16"/>
              </w:rPr>
              <w:t>2016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CD3707">
              <w:rPr>
                <w:i/>
                <w:sz w:val="16"/>
              </w:rPr>
              <w:t>2017</w:t>
            </w:r>
          </w:p>
        </w:tc>
      </w:tr>
      <w:tr w:rsidR="002F001C" w:rsidRPr="00CD3707" w:rsidTr="00A73FDF">
        <w:tc>
          <w:tcPr>
            <w:tcW w:w="201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F001C" w:rsidRPr="00CD3707" w:rsidRDefault="002F001C" w:rsidP="00A73FDF">
            <w:pPr>
              <w:pStyle w:val="SingleTxtG"/>
              <w:spacing w:before="80" w:after="80" w:line="220" w:lineRule="exact"/>
              <w:ind w:left="430" w:right="113"/>
              <w:jc w:val="left"/>
              <w:rPr>
                <w:b/>
                <w:sz w:val="18"/>
              </w:rPr>
            </w:pPr>
            <w:r w:rsidRPr="00CD3707">
              <w:rPr>
                <w:b/>
                <w:sz w:val="18"/>
              </w:rPr>
              <w:t>Total</w:t>
            </w:r>
          </w:p>
        </w:tc>
        <w:tc>
          <w:tcPr>
            <w:tcW w:w="206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80" w:after="80" w:line="220" w:lineRule="exact"/>
              <w:ind w:left="0" w:right="113"/>
              <w:jc w:val="left"/>
              <w:rPr>
                <w:b/>
                <w:sz w:val="18"/>
              </w:rPr>
            </w:pPr>
            <w:r w:rsidRPr="00CD3707">
              <w:rPr>
                <w:b/>
                <w:sz w:val="18"/>
              </w:rPr>
              <w:t>Disabled</w:t>
            </w:r>
            <w:r w:rsidR="00C21DB7" w:rsidRPr="00CD3707">
              <w:rPr>
                <w:b/>
                <w:sz w:val="18"/>
              </w:rPr>
              <w:t xml:space="preserve"> </w:t>
            </w:r>
            <w:r w:rsidRPr="00CD3707">
              <w:rPr>
                <w:b/>
                <w:sz w:val="18"/>
              </w:rPr>
              <w:t>persons</w:t>
            </w: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CD3707">
              <w:rPr>
                <w:b/>
                <w:sz w:val="18"/>
              </w:rPr>
              <w:t>41</w:t>
            </w:r>
            <w:r w:rsidR="00CD3707">
              <w:rPr>
                <w:b/>
                <w:sz w:val="18"/>
              </w:rPr>
              <w:t>.</w:t>
            </w:r>
            <w:r w:rsidRPr="00CD3707">
              <w:rPr>
                <w:b/>
                <w:sz w:val="18"/>
              </w:rPr>
              <w:t>6</w:t>
            </w: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CD3707">
              <w:rPr>
                <w:b/>
                <w:sz w:val="18"/>
              </w:rPr>
              <w:t>40</w:t>
            </w:r>
            <w:r w:rsidR="00CD3707">
              <w:rPr>
                <w:b/>
                <w:sz w:val="18"/>
              </w:rPr>
              <w:t>.</w:t>
            </w:r>
            <w:r w:rsidRPr="00CD3707">
              <w:rPr>
                <w:b/>
                <w:sz w:val="18"/>
              </w:rPr>
              <w:t>4</w:t>
            </w: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CD3707">
              <w:rPr>
                <w:b/>
                <w:sz w:val="18"/>
              </w:rPr>
              <w:t>42</w:t>
            </w:r>
            <w:r w:rsidR="00CD3707">
              <w:rPr>
                <w:b/>
                <w:sz w:val="18"/>
              </w:rPr>
              <w:t>.</w:t>
            </w:r>
            <w:r w:rsidRPr="00CD3707">
              <w:rPr>
                <w:b/>
                <w:sz w:val="18"/>
              </w:rPr>
              <w:t>7</w:t>
            </w:r>
          </w:p>
        </w:tc>
      </w:tr>
      <w:tr w:rsidR="002F001C" w:rsidRPr="00CD3707" w:rsidTr="00A73FDF">
        <w:tc>
          <w:tcPr>
            <w:tcW w:w="201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206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80" w:after="80" w:line="220" w:lineRule="exact"/>
              <w:ind w:left="0" w:right="113"/>
              <w:jc w:val="left"/>
              <w:rPr>
                <w:b/>
                <w:sz w:val="18"/>
              </w:rPr>
            </w:pPr>
            <w:r w:rsidRPr="00CD3707">
              <w:rPr>
                <w:b/>
                <w:sz w:val="18"/>
              </w:rPr>
              <w:t>Persons</w:t>
            </w:r>
            <w:r w:rsidR="00C21DB7" w:rsidRPr="00CD3707">
              <w:rPr>
                <w:b/>
                <w:sz w:val="18"/>
              </w:rPr>
              <w:t xml:space="preserve"> </w:t>
            </w:r>
            <w:r w:rsidRPr="00CD3707">
              <w:rPr>
                <w:b/>
                <w:sz w:val="18"/>
              </w:rPr>
              <w:t>with</w:t>
            </w:r>
            <w:r w:rsidR="00C21DB7" w:rsidRPr="00CD3707">
              <w:rPr>
                <w:b/>
                <w:sz w:val="18"/>
              </w:rPr>
              <w:t xml:space="preserve"> </w:t>
            </w:r>
            <w:r w:rsidRPr="00CD3707">
              <w:rPr>
                <w:b/>
                <w:sz w:val="18"/>
              </w:rPr>
              <w:t>and</w:t>
            </w:r>
            <w:r w:rsidR="00C21DB7" w:rsidRPr="00CD3707">
              <w:rPr>
                <w:b/>
                <w:sz w:val="18"/>
              </w:rPr>
              <w:t xml:space="preserve"> </w:t>
            </w:r>
            <w:r w:rsidRPr="00CD3707">
              <w:rPr>
                <w:b/>
                <w:sz w:val="18"/>
              </w:rPr>
              <w:t>without</w:t>
            </w:r>
            <w:r w:rsidR="00C21DB7" w:rsidRPr="00CD3707">
              <w:rPr>
                <w:b/>
                <w:sz w:val="18"/>
              </w:rPr>
              <w:t xml:space="preserve"> </w:t>
            </w:r>
            <w:r w:rsidRPr="00CD3707">
              <w:rPr>
                <w:b/>
                <w:sz w:val="18"/>
              </w:rPr>
              <w:t>disability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CD3707">
              <w:rPr>
                <w:b/>
                <w:sz w:val="18"/>
              </w:rPr>
              <w:t>21</w:t>
            </w:r>
            <w:r w:rsidR="00CD3707">
              <w:rPr>
                <w:b/>
                <w:sz w:val="18"/>
              </w:rPr>
              <w:t>.</w:t>
            </w:r>
            <w:r w:rsidRPr="00CD3707">
              <w:rPr>
                <w:b/>
                <w:sz w:val="18"/>
              </w:rPr>
              <w:t>7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CD3707">
              <w:rPr>
                <w:b/>
                <w:sz w:val="18"/>
              </w:rPr>
              <w:t>21</w:t>
            </w:r>
            <w:r w:rsidR="00CD3707">
              <w:rPr>
                <w:b/>
                <w:sz w:val="18"/>
              </w:rPr>
              <w:t>.</w:t>
            </w:r>
            <w:r w:rsidRPr="00CD3707">
              <w:rPr>
                <w:b/>
                <w:sz w:val="18"/>
              </w:rPr>
              <w:t>0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CD3707">
              <w:rPr>
                <w:b/>
                <w:sz w:val="18"/>
              </w:rPr>
              <w:t>21</w:t>
            </w:r>
            <w:r w:rsidR="00CD3707">
              <w:rPr>
                <w:b/>
                <w:sz w:val="18"/>
              </w:rPr>
              <w:t>.</w:t>
            </w:r>
            <w:r w:rsidRPr="00CD3707">
              <w:rPr>
                <w:b/>
                <w:sz w:val="18"/>
              </w:rPr>
              <w:t>9</w:t>
            </w:r>
          </w:p>
        </w:tc>
      </w:tr>
      <w:tr w:rsidR="002F001C" w:rsidRPr="00CD3707" w:rsidTr="00A73FDF">
        <w:tc>
          <w:tcPr>
            <w:tcW w:w="20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D3707">
              <w:rPr>
                <w:sz w:val="18"/>
              </w:rPr>
              <w:t>Males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D3707">
              <w:rPr>
                <w:sz w:val="18"/>
              </w:rPr>
              <w:t>Disabled</w:t>
            </w:r>
            <w:r w:rsidR="00C21DB7" w:rsidRPr="00CD3707">
              <w:rPr>
                <w:sz w:val="18"/>
              </w:rPr>
              <w:t xml:space="preserve"> </w:t>
            </w:r>
            <w:r w:rsidRPr="00CD3707">
              <w:rPr>
                <w:sz w:val="18"/>
              </w:rPr>
              <w:t>persons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D3707">
              <w:rPr>
                <w:sz w:val="18"/>
              </w:rPr>
              <w:t>34</w:t>
            </w:r>
            <w:r w:rsidR="00CD3707">
              <w:rPr>
                <w:sz w:val="18"/>
              </w:rPr>
              <w:t>.</w:t>
            </w:r>
            <w:r w:rsidRPr="00CD3707">
              <w:rPr>
                <w:sz w:val="18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D3707">
              <w:rPr>
                <w:sz w:val="18"/>
              </w:rPr>
              <w:t>32</w:t>
            </w:r>
            <w:r w:rsidR="00CD3707">
              <w:rPr>
                <w:sz w:val="18"/>
              </w:rPr>
              <w:t>.</w:t>
            </w:r>
            <w:r w:rsidRPr="00CD3707">
              <w:rPr>
                <w:sz w:val="1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D3707">
              <w:rPr>
                <w:sz w:val="18"/>
              </w:rPr>
              <w:t>36</w:t>
            </w:r>
            <w:r w:rsidR="00CD3707">
              <w:rPr>
                <w:sz w:val="18"/>
              </w:rPr>
              <w:t>.</w:t>
            </w:r>
            <w:r w:rsidRPr="00CD3707">
              <w:rPr>
                <w:sz w:val="18"/>
              </w:rPr>
              <w:t>1</w:t>
            </w:r>
          </w:p>
        </w:tc>
      </w:tr>
      <w:tr w:rsidR="002F001C" w:rsidRPr="00CD3707" w:rsidTr="00A73FDF">
        <w:tc>
          <w:tcPr>
            <w:tcW w:w="2019" w:type="dxa"/>
            <w:vMerge/>
            <w:shd w:val="clear" w:color="auto" w:fill="auto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2068" w:type="dxa"/>
            <w:shd w:val="clear" w:color="auto" w:fill="auto"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D3707">
              <w:rPr>
                <w:sz w:val="18"/>
              </w:rPr>
              <w:t>Persons</w:t>
            </w:r>
            <w:r w:rsidR="00C21DB7" w:rsidRPr="00CD3707">
              <w:rPr>
                <w:sz w:val="18"/>
              </w:rPr>
              <w:t xml:space="preserve"> </w:t>
            </w:r>
            <w:r w:rsidRPr="00CD3707">
              <w:rPr>
                <w:sz w:val="18"/>
              </w:rPr>
              <w:t>with</w:t>
            </w:r>
            <w:r w:rsidR="00C21DB7" w:rsidRPr="00CD3707">
              <w:rPr>
                <w:sz w:val="18"/>
              </w:rPr>
              <w:t xml:space="preserve"> </w:t>
            </w:r>
            <w:r w:rsidRPr="00CD3707">
              <w:rPr>
                <w:sz w:val="18"/>
              </w:rPr>
              <w:t>and</w:t>
            </w:r>
            <w:r w:rsidR="00C21DB7" w:rsidRPr="00CD3707">
              <w:rPr>
                <w:sz w:val="18"/>
              </w:rPr>
              <w:t xml:space="preserve"> </w:t>
            </w:r>
            <w:r w:rsidRPr="00CD3707">
              <w:rPr>
                <w:sz w:val="18"/>
              </w:rPr>
              <w:t>without</w:t>
            </w:r>
            <w:r w:rsidR="00C21DB7" w:rsidRPr="00CD3707">
              <w:rPr>
                <w:sz w:val="18"/>
              </w:rPr>
              <w:t xml:space="preserve"> </w:t>
            </w:r>
            <w:r w:rsidRPr="00CD3707">
              <w:rPr>
                <w:sz w:val="18"/>
              </w:rPr>
              <w:t>disability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D3707">
              <w:rPr>
                <w:sz w:val="18"/>
              </w:rPr>
              <w:t>19</w:t>
            </w:r>
            <w:r w:rsidR="00CD3707">
              <w:rPr>
                <w:sz w:val="18"/>
              </w:rPr>
              <w:t>.</w:t>
            </w:r>
            <w:r w:rsidRPr="00CD3707">
              <w:rPr>
                <w:sz w:val="18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D3707">
              <w:rPr>
                <w:sz w:val="18"/>
              </w:rPr>
              <w:t>18</w:t>
            </w:r>
            <w:r w:rsidR="00CD3707">
              <w:rPr>
                <w:sz w:val="18"/>
              </w:rPr>
              <w:t>.</w:t>
            </w:r>
            <w:r w:rsidRPr="00CD3707">
              <w:rPr>
                <w:sz w:val="18"/>
              </w:rPr>
              <w:t>4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D3707">
              <w:rPr>
                <w:sz w:val="18"/>
              </w:rPr>
              <w:t>19</w:t>
            </w:r>
            <w:r w:rsidR="00CD3707">
              <w:rPr>
                <w:sz w:val="18"/>
              </w:rPr>
              <w:t>.</w:t>
            </w:r>
            <w:r w:rsidRPr="00CD3707">
              <w:rPr>
                <w:sz w:val="18"/>
              </w:rPr>
              <w:t>3</w:t>
            </w:r>
          </w:p>
        </w:tc>
      </w:tr>
      <w:tr w:rsidR="002F001C" w:rsidRPr="00CD3707" w:rsidTr="00A73FDF">
        <w:tc>
          <w:tcPr>
            <w:tcW w:w="2019" w:type="dxa"/>
            <w:vMerge w:val="restart"/>
            <w:shd w:val="clear" w:color="auto" w:fill="auto"/>
            <w:noWrap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D3707">
              <w:rPr>
                <w:sz w:val="18"/>
              </w:rPr>
              <w:t>Females</w:t>
            </w:r>
          </w:p>
        </w:tc>
        <w:tc>
          <w:tcPr>
            <w:tcW w:w="2068" w:type="dxa"/>
            <w:shd w:val="clear" w:color="auto" w:fill="auto"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D3707">
              <w:rPr>
                <w:sz w:val="18"/>
              </w:rPr>
              <w:t>Disabled</w:t>
            </w:r>
            <w:r w:rsidR="00C21DB7" w:rsidRPr="00CD3707">
              <w:rPr>
                <w:sz w:val="18"/>
              </w:rPr>
              <w:t xml:space="preserve"> </w:t>
            </w:r>
            <w:r w:rsidRPr="00CD3707">
              <w:rPr>
                <w:sz w:val="18"/>
              </w:rPr>
              <w:t>persons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D3707">
              <w:rPr>
                <w:sz w:val="18"/>
              </w:rPr>
              <w:t>46</w:t>
            </w:r>
            <w:r w:rsidR="00CD3707">
              <w:rPr>
                <w:sz w:val="18"/>
              </w:rPr>
              <w:t>.</w:t>
            </w:r>
            <w:r w:rsidRPr="00CD3707">
              <w:rPr>
                <w:sz w:val="18"/>
              </w:rPr>
              <w:t>7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D3707">
              <w:rPr>
                <w:sz w:val="18"/>
              </w:rPr>
              <w:t>46</w:t>
            </w:r>
            <w:r w:rsidR="00CD3707">
              <w:rPr>
                <w:sz w:val="18"/>
              </w:rPr>
              <w:t>.</w:t>
            </w:r>
            <w:r w:rsidRPr="00CD3707">
              <w:rPr>
                <w:sz w:val="18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D3707">
              <w:rPr>
                <w:sz w:val="18"/>
              </w:rPr>
              <w:t>47</w:t>
            </w:r>
            <w:r w:rsidR="00CD3707">
              <w:rPr>
                <w:sz w:val="18"/>
              </w:rPr>
              <w:t>.</w:t>
            </w:r>
            <w:r w:rsidRPr="00CD3707">
              <w:rPr>
                <w:sz w:val="18"/>
              </w:rPr>
              <w:t>6</w:t>
            </w:r>
          </w:p>
        </w:tc>
      </w:tr>
      <w:tr w:rsidR="002F001C" w:rsidRPr="00CD3707" w:rsidTr="00CD3707">
        <w:tc>
          <w:tcPr>
            <w:tcW w:w="2019" w:type="dxa"/>
            <w:vMerge/>
            <w:shd w:val="clear" w:color="auto" w:fill="auto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2068" w:type="dxa"/>
            <w:shd w:val="clear" w:color="auto" w:fill="auto"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CD3707">
              <w:rPr>
                <w:sz w:val="18"/>
              </w:rPr>
              <w:t>Persons</w:t>
            </w:r>
            <w:r w:rsidR="00C21DB7" w:rsidRPr="00CD3707">
              <w:rPr>
                <w:sz w:val="18"/>
              </w:rPr>
              <w:t xml:space="preserve"> </w:t>
            </w:r>
            <w:r w:rsidRPr="00CD3707">
              <w:rPr>
                <w:sz w:val="18"/>
              </w:rPr>
              <w:t>with</w:t>
            </w:r>
            <w:r w:rsidR="00C21DB7" w:rsidRPr="00CD3707">
              <w:rPr>
                <w:sz w:val="18"/>
              </w:rPr>
              <w:t xml:space="preserve"> </w:t>
            </w:r>
            <w:r w:rsidRPr="00CD3707">
              <w:rPr>
                <w:sz w:val="18"/>
              </w:rPr>
              <w:t>and</w:t>
            </w:r>
            <w:r w:rsidR="00C21DB7" w:rsidRPr="00CD3707">
              <w:rPr>
                <w:sz w:val="18"/>
              </w:rPr>
              <w:t xml:space="preserve"> </w:t>
            </w:r>
            <w:r w:rsidRPr="00CD3707">
              <w:rPr>
                <w:sz w:val="18"/>
              </w:rPr>
              <w:t>without</w:t>
            </w:r>
            <w:r w:rsidR="00C21DB7" w:rsidRPr="00CD3707">
              <w:rPr>
                <w:sz w:val="18"/>
              </w:rPr>
              <w:t xml:space="preserve"> </w:t>
            </w:r>
            <w:r w:rsidRPr="00CD3707">
              <w:rPr>
                <w:sz w:val="18"/>
              </w:rPr>
              <w:t>disability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D3707">
              <w:rPr>
                <w:sz w:val="18"/>
              </w:rPr>
              <w:t>24</w:t>
            </w:r>
            <w:r w:rsidR="00CD3707">
              <w:rPr>
                <w:sz w:val="18"/>
              </w:rPr>
              <w:t>.</w:t>
            </w:r>
            <w:r w:rsidRPr="00CD3707">
              <w:rPr>
                <w:sz w:val="18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D3707">
              <w:rPr>
                <w:sz w:val="18"/>
              </w:rPr>
              <w:t>23</w:t>
            </w:r>
            <w:r w:rsidR="00CD3707">
              <w:rPr>
                <w:sz w:val="18"/>
              </w:rPr>
              <w:t>.</w:t>
            </w:r>
            <w:r w:rsidRPr="00CD3707">
              <w:rPr>
                <w:sz w:val="18"/>
              </w:rPr>
              <w:t>3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001C" w:rsidRPr="00CD3707" w:rsidRDefault="002F001C" w:rsidP="00CD3707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CD3707">
              <w:rPr>
                <w:sz w:val="18"/>
              </w:rPr>
              <w:t>24</w:t>
            </w:r>
            <w:r w:rsidR="00CD3707">
              <w:rPr>
                <w:sz w:val="18"/>
              </w:rPr>
              <w:t>.</w:t>
            </w:r>
            <w:r w:rsidRPr="00CD3707">
              <w:rPr>
                <w:sz w:val="18"/>
              </w:rPr>
              <w:t>2</w:t>
            </w:r>
          </w:p>
        </w:tc>
      </w:tr>
    </w:tbl>
    <w:p w:rsidR="002F001C" w:rsidRPr="00291EB2" w:rsidRDefault="002F001C" w:rsidP="00CD3707">
      <w:pPr>
        <w:spacing w:before="120" w:after="240" w:line="240" w:lineRule="atLeast"/>
        <w:ind w:left="1134" w:right="1134" w:firstLine="170"/>
        <w:rPr>
          <w:i/>
          <w:iCs/>
          <w:sz w:val="18"/>
        </w:rPr>
      </w:pPr>
      <w:r w:rsidRPr="00CD3707">
        <w:rPr>
          <w:i/>
          <w:iCs/>
          <w:sz w:val="18"/>
        </w:rPr>
        <w:t>Source:</w:t>
      </w:r>
      <w:r w:rsidR="00C21DB7" w:rsidRPr="00CD3707">
        <w:rPr>
          <w:sz w:val="18"/>
        </w:rPr>
        <w:t xml:space="preserve"> </w:t>
      </w:r>
      <w:r w:rsidR="00CD3707">
        <w:rPr>
          <w:sz w:val="18"/>
        </w:rPr>
        <w:t xml:space="preserve"> </w:t>
      </w:r>
      <w:r w:rsidRPr="00FA1209">
        <w:rPr>
          <w:sz w:val="18"/>
        </w:rPr>
        <w:t>Statistics</w:t>
      </w:r>
      <w:r w:rsidR="00C21DB7" w:rsidRPr="00FA1209">
        <w:rPr>
          <w:sz w:val="18"/>
        </w:rPr>
        <w:t xml:space="preserve"> </w:t>
      </w:r>
      <w:r w:rsidRPr="00FA1209">
        <w:rPr>
          <w:sz w:val="18"/>
        </w:rPr>
        <w:t>Estonia,</w:t>
      </w:r>
      <w:r w:rsidR="00C21DB7" w:rsidRPr="00FA1209">
        <w:rPr>
          <w:sz w:val="18"/>
        </w:rPr>
        <w:t xml:space="preserve"> </w:t>
      </w:r>
      <w:r w:rsidRPr="00FA1209">
        <w:rPr>
          <w:sz w:val="18"/>
        </w:rPr>
        <w:t>Estonian</w:t>
      </w:r>
      <w:r w:rsidR="00C21DB7" w:rsidRPr="00FA1209">
        <w:rPr>
          <w:sz w:val="18"/>
        </w:rPr>
        <w:t xml:space="preserve"> </w:t>
      </w:r>
      <w:r w:rsidRPr="00FA1209">
        <w:rPr>
          <w:sz w:val="18"/>
        </w:rPr>
        <w:t>Social</w:t>
      </w:r>
      <w:r w:rsidR="00C21DB7" w:rsidRPr="00FA1209">
        <w:rPr>
          <w:sz w:val="18"/>
        </w:rPr>
        <w:t xml:space="preserve"> </w:t>
      </w:r>
      <w:r w:rsidRPr="00FA1209">
        <w:rPr>
          <w:sz w:val="18"/>
        </w:rPr>
        <w:t>Survey</w:t>
      </w:r>
      <w:r w:rsidR="00C21DB7" w:rsidRPr="00FA1209">
        <w:rPr>
          <w:sz w:val="18"/>
        </w:rPr>
        <w:t xml:space="preserve"> </w:t>
      </w:r>
      <w:r w:rsidRPr="00FA1209">
        <w:rPr>
          <w:sz w:val="18"/>
        </w:rPr>
        <w:t>2016</w:t>
      </w:r>
      <w:r w:rsidR="00684C05" w:rsidRPr="00FA1209">
        <w:rPr>
          <w:sz w:val="18"/>
        </w:rPr>
        <w:t>–</w:t>
      </w:r>
      <w:r w:rsidRPr="00FA1209">
        <w:rPr>
          <w:sz w:val="18"/>
        </w:rPr>
        <w:t>2018</w:t>
      </w:r>
      <w:r w:rsidR="00C21DB7" w:rsidRPr="00FA1209">
        <w:rPr>
          <w:sz w:val="18"/>
        </w:rPr>
        <w:t xml:space="preserve"> </w:t>
      </w:r>
      <w:r w:rsidRPr="00FA1209">
        <w:rPr>
          <w:sz w:val="18"/>
        </w:rPr>
        <w:t>(income</w:t>
      </w:r>
      <w:r w:rsidR="00C21DB7" w:rsidRPr="00FA1209">
        <w:rPr>
          <w:sz w:val="18"/>
        </w:rPr>
        <w:t xml:space="preserve"> </w:t>
      </w:r>
      <w:r w:rsidRPr="00FA1209">
        <w:rPr>
          <w:sz w:val="18"/>
        </w:rPr>
        <w:t>years</w:t>
      </w:r>
      <w:r w:rsidR="00C21DB7" w:rsidRPr="00FA1209">
        <w:rPr>
          <w:sz w:val="18"/>
        </w:rPr>
        <w:t xml:space="preserve"> </w:t>
      </w:r>
      <w:r w:rsidRPr="00FA1209">
        <w:rPr>
          <w:sz w:val="18"/>
        </w:rPr>
        <w:t>2015</w:t>
      </w:r>
      <w:r w:rsidR="00684C05" w:rsidRPr="00FA1209">
        <w:rPr>
          <w:sz w:val="18"/>
        </w:rPr>
        <w:t>–</w:t>
      </w:r>
      <w:r w:rsidRPr="00FA1209">
        <w:rPr>
          <w:sz w:val="18"/>
        </w:rPr>
        <w:t>2017)</w:t>
      </w:r>
      <w:r w:rsidR="00CD3707" w:rsidRPr="00FA1209">
        <w:rPr>
          <w:sz w:val="18"/>
        </w:rPr>
        <w:t>.</w:t>
      </w:r>
    </w:p>
    <w:p w:rsidR="002F001C" w:rsidRPr="00E31BBF" w:rsidRDefault="002F001C" w:rsidP="00D36218">
      <w:pPr>
        <w:pStyle w:val="Heading1"/>
      </w:pPr>
      <w:r w:rsidRPr="00E31BBF">
        <w:t>Table</w:t>
      </w:r>
      <w:r w:rsidR="00C21DB7">
        <w:t xml:space="preserve"> </w:t>
      </w:r>
      <w:r w:rsidRPr="00E31BBF">
        <w:t>6</w:t>
      </w:r>
    </w:p>
    <w:p w:rsidR="002F001C" w:rsidRPr="00D36218" w:rsidRDefault="002F001C" w:rsidP="00732F46">
      <w:pPr>
        <w:pStyle w:val="SingleTxtG"/>
        <w:rPr>
          <w:b/>
          <w:bCs/>
        </w:rPr>
      </w:pPr>
      <w:r w:rsidRPr="00D36218">
        <w:rPr>
          <w:b/>
          <w:bCs/>
        </w:rPr>
        <w:t>Absolute</w:t>
      </w:r>
      <w:r w:rsidR="00C21DB7" w:rsidRPr="00D36218">
        <w:rPr>
          <w:b/>
          <w:bCs/>
        </w:rPr>
        <w:t xml:space="preserve"> </w:t>
      </w:r>
      <w:r w:rsidRPr="00D36218">
        <w:rPr>
          <w:b/>
          <w:bCs/>
        </w:rPr>
        <w:t>poverty</w:t>
      </w:r>
      <w:r w:rsidR="00C21DB7" w:rsidRPr="00D36218">
        <w:rPr>
          <w:b/>
          <w:bCs/>
        </w:rPr>
        <w:t xml:space="preserve"> </w:t>
      </w:r>
      <w:r w:rsidRPr="00D36218">
        <w:rPr>
          <w:b/>
          <w:bCs/>
        </w:rPr>
        <w:t>rate</w:t>
      </w:r>
      <w:r w:rsidR="00C21DB7" w:rsidRPr="00D36218">
        <w:rPr>
          <w:b/>
          <w:bCs/>
        </w:rPr>
        <w:t xml:space="preserve"> </w:t>
      </w:r>
      <w:r w:rsidRPr="00D36218">
        <w:rPr>
          <w:b/>
          <w:bCs/>
        </w:rPr>
        <w:t>by</w:t>
      </w:r>
      <w:r w:rsidR="00C21DB7" w:rsidRPr="00D36218">
        <w:rPr>
          <w:b/>
          <w:bCs/>
        </w:rPr>
        <w:t xml:space="preserve"> </w:t>
      </w:r>
      <w:r w:rsidRPr="00D36218">
        <w:rPr>
          <w:b/>
          <w:bCs/>
        </w:rPr>
        <w:t>disability</w:t>
      </w:r>
      <w:r w:rsidR="00C21DB7" w:rsidRPr="00D36218">
        <w:rPr>
          <w:b/>
          <w:bCs/>
        </w:rPr>
        <w:t xml:space="preserve"> </w:t>
      </w:r>
      <w:r w:rsidRPr="00D36218">
        <w:rPr>
          <w:b/>
          <w:bCs/>
        </w:rPr>
        <w:t>and</w:t>
      </w:r>
      <w:r w:rsidR="00C21DB7" w:rsidRPr="00D36218">
        <w:rPr>
          <w:b/>
          <w:bCs/>
        </w:rPr>
        <w:t xml:space="preserve"> </w:t>
      </w:r>
      <w:r w:rsidRPr="00D36218">
        <w:rPr>
          <w:b/>
          <w:bCs/>
        </w:rPr>
        <w:t>sex</w:t>
      </w:r>
      <w:r w:rsidR="00C21DB7" w:rsidRPr="00D36218">
        <w:rPr>
          <w:b/>
          <w:bCs/>
        </w:rPr>
        <w:t xml:space="preserve"> </w:t>
      </w:r>
      <w:r w:rsidRPr="00D36218">
        <w:rPr>
          <w:b/>
          <w:bCs/>
        </w:rPr>
        <w:t>in</w:t>
      </w:r>
      <w:r w:rsidR="00C21DB7" w:rsidRPr="00D36218">
        <w:rPr>
          <w:b/>
          <w:bCs/>
        </w:rPr>
        <w:t xml:space="preserve"> </w:t>
      </w:r>
      <w:r w:rsidRPr="00D36218">
        <w:rPr>
          <w:b/>
          <w:bCs/>
        </w:rPr>
        <w:t>2015</w:t>
      </w:r>
      <w:r w:rsidR="00684C05">
        <w:rPr>
          <w:b/>
          <w:bCs/>
        </w:rPr>
        <w:t>–</w:t>
      </w:r>
      <w:r w:rsidRPr="00D36218">
        <w:rPr>
          <w:b/>
          <w:bCs/>
        </w:rPr>
        <w:t>2017,</w:t>
      </w:r>
      <w:r w:rsidR="00C21DB7" w:rsidRPr="00D36218">
        <w:rPr>
          <w:b/>
          <w:bCs/>
        </w:rPr>
        <w:t xml:space="preserve"> </w:t>
      </w:r>
      <w:proofErr w:type="gramStart"/>
      <w:r w:rsidRPr="00D36218">
        <w:rPr>
          <w:b/>
          <w:bCs/>
        </w:rPr>
        <w:t>%</w:t>
      </w:r>
      <w:proofErr w:type="gramEnd"/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83"/>
        <w:gridCol w:w="1414"/>
        <w:gridCol w:w="1414"/>
        <w:gridCol w:w="1414"/>
      </w:tblGrid>
      <w:tr w:rsidR="002F001C" w:rsidRPr="00D36218" w:rsidTr="00291EB2">
        <w:trPr>
          <w:tblHeader/>
        </w:trPr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6218" w:rsidRDefault="00C21DB7" w:rsidP="00D36218">
            <w:pPr>
              <w:pStyle w:val="SingleTxtG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D36218">
              <w:rPr>
                <w:i/>
                <w:sz w:val="16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6218" w:rsidRDefault="00C21DB7" w:rsidP="00291EB2">
            <w:pPr>
              <w:pStyle w:val="SingleTxtG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D36218">
              <w:rPr>
                <w:i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D36218">
              <w:rPr>
                <w:i/>
                <w:sz w:val="16"/>
              </w:rPr>
              <w:t>2015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D36218">
              <w:rPr>
                <w:i/>
                <w:sz w:val="16"/>
              </w:rPr>
              <w:t>2016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D36218">
              <w:rPr>
                <w:i/>
                <w:sz w:val="16"/>
              </w:rPr>
              <w:t>2017</w:t>
            </w:r>
          </w:p>
        </w:tc>
      </w:tr>
      <w:tr w:rsidR="002F001C" w:rsidRPr="00291EB2" w:rsidTr="00A73FDF">
        <w:tc>
          <w:tcPr>
            <w:tcW w:w="15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F001C" w:rsidRPr="00291EB2" w:rsidRDefault="002F001C" w:rsidP="00A73FDF">
            <w:pPr>
              <w:pStyle w:val="SingleTxtG"/>
              <w:spacing w:before="80" w:after="80" w:line="220" w:lineRule="exact"/>
              <w:ind w:left="430" w:right="113"/>
              <w:jc w:val="lef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Total</w:t>
            </w:r>
          </w:p>
        </w:tc>
        <w:tc>
          <w:tcPr>
            <w:tcW w:w="158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80" w:after="80" w:line="220" w:lineRule="exact"/>
              <w:ind w:left="0" w:right="113"/>
              <w:jc w:val="lef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Disabled</w:t>
            </w:r>
            <w:r w:rsidR="00C21DB7" w:rsidRPr="00291EB2">
              <w:rPr>
                <w:b/>
                <w:sz w:val="18"/>
              </w:rPr>
              <w:t xml:space="preserve"> </w:t>
            </w:r>
            <w:r w:rsidRPr="00291EB2">
              <w:rPr>
                <w:b/>
                <w:sz w:val="18"/>
              </w:rPr>
              <w:t>persons</w:t>
            </w:r>
          </w:p>
        </w:tc>
        <w:tc>
          <w:tcPr>
            <w:tcW w:w="141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2</w:t>
            </w:r>
            <w:r w:rsidR="00291EB2">
              <w:rPr>
                <w:b/>
                <w:sz w:val="18"/>
              </w:rPr>
              <w:t>.</w:t>
            </w:r>
            <w:r w:rsidRPr="00291EB2">
              <w:rPr>
                <w:b/>
                <w:sz w:val="18"/>
              </w:rPr>
              <w:t>2</w:t>
            </w:r>
          </w:p>
        </w:tc>
        <w:tc>
          <w:tcPr>
            <w:tcW w:w="141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1</w:t>
            </w:r>
            <w:r w:rsidR="00291EB2">
              <w:rPr>
                <w:b/>
                <w:sz w:val="18"/>
              </w:rPr>
              <w:t>.</w:t>
            </w:r>
            <w:r w:rsidRPr="00291EB2">
              <w:rPr>
                <w:b/>
                <w:sz w:val="18"/>
              </w:rPr>
              <w:t>7</w:t>
            </w:r>
          </w:p>
        </w:tc>
        <w:tc>
          <w:tcPr>
            <w:tcW w:w="141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1</w:t>
            </w:r>
            <w:r w:rsidR="00291EB2">
              <w:rPr>
                <w:b/>
                <w:sz w:val="18"/>
              </w:rPr>
              <w:t>.</w:t>
            </w:r>
            <w:r w:rsidRPr="00291EB2">
              <w:rPr>
                <w:b/>
                <w:sz w:val="18"/>
              </w:rPr>
              <w:t>1</w:t>
            </w:r>
          </w:p>
        </w:tc>
      </w:tr>
      <w:tr w:rsidR="002F001C" w:rsidRPr="00D36218" w:rsidTr="00A73FDF">
        <w:tc>
          <w:tcPr>
            <w:tcW w:w="154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80" w:after="80" w:line="220" w:lineRule="exact"/>
              <w:ind w:left="0" w:right="113"/>
              <w:jc w:val="lef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Persons</w:t>
            </w:r>
            <w:r w:rsidR="00C21DB7" w:rsidRPr="00291EB2">
              <w:rPr>
                <w:b/>
                <w:sz w:val="18"/>
              </w:rPr>
              <w:t xml:space="preserve"> </w:t>
            </w:r>
            <w:r w:rsidRPr="00291EB2">
              <w:rPr>
                <w:b/>
                <w:sz w:val="18"/>
              </w:rPr>
              <w:t>with</w:t>
            </w:r>
            <w:r w:rsidR="00C21DB7" w:rsidRPr="00291EB2">
              <w:rPr>
                <w:b/>
                <w:sz w:val="18"/>
              </w:rPr>
              <w:t xml:space="preserve"> </w:t>
            </w:r>
            <w:r w:rsidRPr="00291EB2">
              <w:rPr>
                <w:b/>
                <w:sz w:val="18"/>
              </w:rPr>
              <w:t>and</w:t>
            </w:r>
            <w:r w:rsidR="00C21DB7" w:rsidRPr="00291EB2">
              <w:rPr>
                <w:b/>
                <w:sz w:val="18"/>
              </w:rPr>
              <w:t xml:space="preserve"> </w:t>
            </w:r>
            <w:r w:rsidRPr="00291EB2">
              <w:rPr>
                <w:b/>
                <w:sz w:val="18"/>
              </w:rPr>
              <w:t>without</w:t>
            </w:r>
            <w:r w:rsidR="00C21DB7" w:rsidRPr="00291EB2">
              <w:rPr>
                <w:b/>
                <w:sz w:val="18"/>
              </w:rPr>
              <w:t xml:space="preserve"> </w:t>
            </w:r>
            <w:r w:rsidRPr="00291EB2">
              <w:rPr>
                <w:b/>
                <w:sz w:val="18"/>
              </w:rPr>
              <w:t>disability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4</w:t>
            </w:r>
            <w:r w:rsidR="00291EB2">
              <w:rPr>
                <w:b/>
                <w:sz w:val="18"/>
              </w:rPr>
              <w:t>.</w:t>
            </w:r>
            <w:r w:rsidRPr="00291EB2">
              <w:rPr>
                <w:b/>
                <w:sz w:val="18"/>
              </w:rPr>
              <w:t>3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3</w:t>
            </w:r>
            <w:r w:rsidR="00291EB2">
              <w:rPr>
                <w:b/>
                <w:sz w:val="18"/>
              </w:rPr>
              <w:t>.</w:t>
            </w:r>
            <w:r w:rsidRPr="00291EB2">
              <w:rPr>
                <w:b/>
                <w:sz w:val="18"/>
              </w:rPr>
              <w:t>2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2</w:t>
            </w:r>
            <w:r w:rsidR="00291EB2">
              <w:rPr>
                <w:b/>
                <w:sz w:val="18"/>
              </w:rPr>
              <w:t>.</w:t>
            </w:r>
            <w:r w:rsidRPr="00291EB2">
              <w:rPr>
                <w:b/>
                <w:sz w:val="18"/>
              </w:rPr>
              <w:t>7</w:t>
            </w:r>
          </w:p>
        </w:tc>
      </w:tr>
      <w:tr w:rsidR="002F001C" w:rsidRPr="00D36218" w:rsidTr="00A73FDF"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36218">
              <w:rPr>
                <w:sz w:val="18"/>
              </w:rPr>
              <w:t>Males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F001C" w:rsidRPr="00D36218" w:rsidRDefault="002F001C" w:rsidP="00291EB2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36218">
              <w:rPr>
                <w:sz w:val="18"/>
              </w:rPr>
              <w:t>Disabled</w:t>
            </w:r>
            <w:r w:rsidR="00C21DB7" w:rsidRPr="00D36218">
              <w:rPr>
                <w:sz w:val="18"/>
              </w:rPr>
              <w:t xml:space="preserve"> </w:t>
            </w:r>
            <w:r w:rsidRPr="00D36218">
              <w:rPr>
                <w:sz w:val="18"/>
              </w:rPr>
              <w:t>persons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6218">
              <w:rPr>
                <w:sz w:val="18"/>
              </w:rPr>
              <w:t>3</w:t>
            </w:r>
            <w:r w:rsidR="00291EB2">
              <w:rPr>
                <w:sz w:val="18"/>
              </w:rPr>
              <w:t>.</w:t>
            </w:r>
            <w:r w:rsidRPr="00D36218">
              <w:rPr>
                <w:sz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6218">
              <w:rPr>
                <w:sz w:val="18"/>
              </w:rPr>
              <w:t>..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6218">
              <w:rPr>
                <w:sz w:val="18"/>
              </w:rPr>
              <w:t>..</w:t>
            </w:r>
          </w:p>
        </w:tc>
      </w:tr>
      <w:tr w:rsidR="002F001C" w:rsidRPr="00D36218" w:rsidTr="00A73FDF">
        <w:tc>
          <w:tcPr>
            <w:tcW w:w="1545" w:type="dxa"/>
            <w:vMerge/>
            <w:shd w:val="clear" w:color="auto" w:fill="auto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2F001C" w:rsidRPr="00D36218" w:rsidRDefault="002F001C" w:rsidP="00291EB2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36218">
              <w:rPr>
                <w:sz w:val="18"/>
              </w:rPr>
              <w:t>Persons</w:t>
            </w:r>
            <w:r w:rsidR="00C21DB7" w:rsidRPr="00D36218">
              <w:rPr>
                <w:sz w:val="18"/>
              </w:rPr>
              <w:t xml:space="preserve"> </w:t>
            </w:r>
            <w:r w:rsidRPr="00D36218">
              <w:rPr>
                <w:sz w:val="18"/>
              </w:rPr>
              <w:t>with</w:t>
            </w:r>
            <w:r w:rsidR="00C21DB7" w:rsidRPr="00D36218">
              <w:rPr>
                <w:sz w:val="18"/>
              </w:rPr>
              <w:t xml:space="preserve"> </w:t>
            </w:r>
            <w:r w:rsidRPr="00D36218">
              <w:rPr>
                <w:sz w:val="18"/>
              </w:rPr>
              <w:t>and</w:t>
            </w:r>
            <w:r w:rsidR="00C21DB7" w:rsidRPr="00D36218">
              <w:rPr>
                <w:sz w:val="18"/>
              </w:rPr>
              <w:t xml:space="preserve"> </w:t>
            </w:r>
            <w:r w:rsidRPr="00D36218">
              <w:rPr>
                <w:sz w:val="18"/>
              </w:rPr>
              <w:t>without</w:t>
            </w:r>
            <w:r w:rsidR="00C21DB7" w:rsidRPr="00D36218">
              <w:rPr>
                <w:sz w:val="18"/>
              </w:rPr>
              <w:t xml:space="preserve"> </w:t>
            </w:r>
            <w:r w:rsidRPr="00D36218">
              <w:rPr>
                <w:sz w:val="18"/>
              </w:rPr>
              <w:t>disability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6218">
              <w:rPr>
                <w:sz w:val="18"/>
              </w:rPr>
              <w:t>5</w:t>
            </w:r>
            <w:r w:rsidR="00291EB2">
              <w:rPr>
                <w:sz w:val="18"/>
              </w:rPr>
              <w:t>.</w:t>
            </w:r>
            <w:r w:rsidRPr="00D36218">
              <w:rPr>
                <w:sz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6218">
              <w:rPr>
                <w:sz w:val="18"/>
              </w:rPr>
              <w:t>4</w:t>
            </w:r>
            <w:r w:rsidR="00291EB2">
              <w:rPr>
                <w:sz w:val="18"/>
              </w:rPr>
              <w:t>.</w:t>
            </w:r>
            <w:r w:rsidRPr="00D36218">
              <w:rPr>
                <w:sz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6218">
              <w:rPr>
                <w:sz w:val="18"/>
              </w:rPr>
              <w:t>3</w:t>
            </w:r>
            <w:r w:rsidR="00291EB2">
              <w:rPr>
                <w:sz w:val="18"/>
              </w:rPr>
              <w:t>.</w:t>
            </w:r>
            <w:r w:rsidRPr="00D36218">
              <w:rPr>
                <w:sz w:val="18"/>
              </w:rPr>
              <w:t>6</w:t>
            </w:r>
          </w:p>
        </w:tc>
      </w:tr>
      <w:tr w:rsidR="002F001C" w:rsidRPr="00D36218" w:rsidTr="00A73FDF">
        <w:tc>
          <w:tcPr>
            <w:tcW w:w="1545" w:type="dxa"/>
            <w:vMerge w:val="restart"/>
            <w:shd w:val="clear" w:color="auto" w:fill="auto"/>
            <w:noWrap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36218">
              <w:rPr>
                <w:sz w:val="18"/>
              </w:rPr>
              <w:t>Females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2F001C" w:rsidRPr="00D36218" w:rsidRDefault="002F001C" w:rsidP="00291EB2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36218">
              <w:rPr>
                <w:sz w:val="18"/>
              </w:rPr>
              <w:t>Disabled</w:t>
            </w:r>
            <w:r w:rsidR="00C21DB7" w:rsidRPr="00D36218">
              <w:rPr>
                <w:sz w:val="18"/>
              </w:rPr>
              <w:t xml:space="preserve"> </w:t>
            </w:r>
            <w:r w:rsidRPr="00D36218">
              <w:rPr>
                <w:sz w:val="18"/>
              </w:rPr>
              <w:t>persons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6218">
              <w:rPr>
                <w:sz w:val="18"/>
              </w:rPr>
              <w:t>1</w:t>
            </w:r>
            <w:r w:rsidR="00291EB2">
              <w:rPr>
                <w:sz w:val="18"/>
              </w:rPr>
              <w:t>.</w:t>
            </w:r>
            <w:r w:rsidRPr="00D36218">
              <w:rPr>
                <w:sz w:val="18"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6218">
              <w:rPr>
                <w:sz w:val="18"/>
              </w:rPr>
              <w:t>..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6218">
              <w:rPr>
                <w:sz w:val="18"/>
              </w:rPr>
              <w:t>..</w:t>
            </w:r>
          </w:p>
        </w:tc>
      </w:tr>
      <w:tr w:rsidR="002F001C" w:rsidRPr="00D36218" w:rsidTr="00291EB2"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001C" w:rsidRPr="00D36218" w:rsidRDefault="002F001C" w:rsidP="00291EB2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D36218">
              <w:rPr>
                <w:sz w:val="18"/>
              </w:rPr>
              <w:t>Persons</w:t>
            </w:r>
            <w:r w:rsidR="00C21DB7" w:rsidRPr="00D36218">
              <w:rPr>
                <w:sz w:val="18"/>
              </w:rPr>
              <w:t xml:space="preserve"> </w:t>
            </w:r>
            <w:r w:rsidRPr="00D36218">
              <w:rPr>
                <w:sz w:val="18"/>
              </w:rPr>
              <w:t>with</w:t>
            </w:r>
            <w:r w:rsidR="00C21DB7" w:rsidRPr="00D36218">
              <w:rPr>
                <w:sz w:val="18"/>
              </w:rPr>
              <w:t xml:space="preserve"> </w:t>
            </w:r>
            <w:r w:rsidRPr="00D36218">
              <w:rPr>
                <w:sz w:val="18"/>
              </w:rPr>
              <w:t>and</w:t>
            </w:r>
            <w:r w:rsidR="00C21DB7" w:rsidRPr="00D36218">
              <w:rPr>
                <w:sz w:val="18"/>
              </w:rPr>
              <w:t xml:space="preserve"> </w:t>
            </w:r>
            <w:r w:rsidRPr="00D36218">
              <w:rPr>
                <w:sz w:val="18"/>
              </w:rPr>
              <w:t>without</w:t>
            </w:r>
            <w:r w:rsidR="00C21DB7" w:rsidRPr="00D36218">
              <w:rPr>
                <w:sz w:val="18"/>
              </w:rPr>
              <w:t xml:space="preserve"> </w:t>
            </w:r>
            <w:r w:rsidRPr="00D36218">
              <w:rPr>
                <w:sz w:val="18"/>
              </w:rPr>
              <w:t>disability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6218">
              <w:rPr>
                <w:sz w:val="18"/>
              </w:rPr>
              <w:t>3</w:t>
            </w:r>
            <w:r w:rsidR="00291EB2">
              <w:rPr>
                <w:sz w:val="18"/>
              </w:rPr>
              <w:t>.</w:t>
            </w:r>
            <w:r w:rsidRPr="00D36218">
              <w:rPr>
                <w:sz w:val="18"/>
              </w:rPr>
              <w:t>7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6218">
              <w:rPr>
                <w:sz w:val="18"/>
              </w:rPr>
              <w:t>2</w:t>
            </w:r>
            <w:r w:rsidR="00291EB2">
              <w:rPr>
                <w:sz w:val="18"/>
              </w:rPr>
              <w:t>.</w:t>
            </w:r>
            <w:r w:rsidRPr="00D36218">
              <w:rPr>
                <w:sz w:val="18"/>
              </w:rPr>
              <w:t>6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D36218" w:rsidRDefault="002F001C" w:rsidP="00D36218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D36218">
              <w:rPr>
                <w:sz w:val="18"/>
              </w:rPr>
              <w:t>1</w:t>
            </w:r>
            <w:r w:rsidR="00291EB2">
              <w:rPr>
                <w:sz w:val="18"/>
              </w:rPr>
              <w:t>.</w:t>
            </w:r>
            <w:r w:rsidRPr="00D36218">
              <w:rPr>
                <w:sz w:val="18"/>
              </w:rPr>
              <w:t>9</w:t>
            </w:r>
          </w:p>
        </w:tc>
      </w:tr>
    </w:tbl>
    <w:p w:rsidR="002F001C" w:rsidRPr="00291EB2" w:rsidRDefault="002F001C" w:rsidP="00291EB2">
      <w:pPr>
        <w:spacing w:before="120" w:after="240" w:line="240" w:lineRule="atLeast"/>
        <w:ind w:left="1134" w:right="1134" w:firstLine="170"/>
        <w:rPr>
          <w:i/>
          <w:iCs/>
          <w:sz w:val="18"/>
        </w:rPr>
      </w:pPr>
      <w:r w:rsidRPr="00291EB2">
        <w:rPr>
          <w:i/>
          <w:iCs/>
          <w:sz w:val="18"/>
        </w:rPr>
        <w:t>Source:</w:t>
      </w:r>
      <w:r w:rsidR="00291EB2">
        <w:rPr>
          <w:sz w:val="18"/>
        </w:rPr>
        <w:t xml:space="preserve"> </w:t>
      </w:r>
      <w:r w:rsidR="00C21DB7" w:rsidRPr="00291EB2">
        <w:rPr>
          <w:sz w:val="18"/>
        </w:rPr>
        <w:t xml:space="preserve"> </w:t>
      </w:r>
      <w:r w:rsidRPr="00486324">
        <w:rPr>
          <w:sz w:val="18"/>
        </w:rPr>
        <w:t>Statistics</w:t>
      </w:r>
      <w:r w:rsidR="00C21DB7" w:rsidRPr="00486324">
        <w:rPr>
          <w:sz w:val="18"/>
        </w:rPr>
        <w:t xml:space="preserve"> </w:t>
      </w:r>
      <w:r w:rsidRPr="00486324">
        <w:rPr>
          <w:sz w:val="18"/>
        </w:rPr>
        <w:t>Estonia,</w:t>
      </w:r>
      <w:r w:rsidR="00C21DB7" w:rsidRPr="00486324">
        <w:rPr>
          <w:sz w:val="18"/>
        </w:rPr>
        <w:t xml:space="preserve"> </w:t>
      </w:r>
      <w:r w:rsidRPr="00486324">
        <w:rPr>
          <w:sz w:val="18"/>
        </w:rPr>
        <w:t>Estonian</w:t>
      </w:r>
      <w:r w:rsidR="00C21DB7" w:rsidRPr="00486324">
        <w:rPr>
          <w:sz w:val="18"/>
        </w:rPr>
        <w:t xml:space="preserve"> </w:t>
      </w:r>
      <w:r w:rsidRPr="00486324">
        <w:rPr>
          <w:sz w:val="18"/>
        </w:rPr>
        <w:t>Social</w:t>
      </w:r>
      <w:r w:rsidR="00C21DB7" w:rsidRPr="00486324">
        <w:rPr>
          <w:sz w:val="18"/>
        </w:rPr>
        <w:t xml:space="preserve"> </w:t>
      </w:r>
      <w:r w:rsidRPr="00486324">
        <w:rPr>
          <w:sz w:val="18"/>
        </w:rPr>
        <w:t>Survey</w:t>
      </w:r>
      <w:r w:rsidR="00C21DB7" w:rsidRPr="00486324">
        <w:rPr>
          <w:sz w:val="18"/>
        </w:rPr>
        <w:t xml:space="preserve"> </w:t>
      </w:r>
      <w:r w:rsidRPr="00486324">
        <w:rPr>
          <w:sz w:val="18"/>
        </w:rPr>
        <w:t>2016</w:t>
      </w:r>
      <w:r w:rsidR="00684C05" w:rsidRPr="00486324">
        <w:rPr>
          <w:sz w:val="18"/>
        </w:rPr>
        <w:t>–</w:t>
      </w:r>
      <w:r w:rsidRPr="00486324">
        <w:rPr>
          <w:sz w:val="18"/>
        </w:rPr>
        <w:t>2018</w:t>
      </w:r>
      <w:r w:rsidR="00C21DB7" w:rsidRPr="00486324">
        <w:rPr>
          <w:sz w:val="18"/>
        </w:rPr>
        <w:t xml:space="preserve"> </w:t>
      </w:r>
      <w:r w:rsidRPr="00486324">
        <w:rPr>
          <w:sz w:val="18"/>
        </w:rPr>
        <w:t>(income</w:t>
      </w:r>
      <w:r w:rsidR="00C21DB7" w:rsidRPr="00486324">
        <w:rPr>
          <w:sz w:val="18"/>
        </w:rPr>
        <w:t xml:space="preserve"> </w:t>
      </w:r>
      <w:r w:rsidRPr="00486324">
        <w:rPr>
          <w:sz w:val="18"/>
        </w:rPr>
        <w:t>years</w:t>
      </w:r>
      <w:r w:rsidR="00C21DB7" w:rsidRPr="00486324">
        <w:rPr>
          <w:sz w:val="18"/>
        </w:rPr>
        <w:t xml:space="preserve"> </w:t>
      </w:r>
      <w:r w:rsidRPr="00486324">
        <w:rPr>
          <w:sz w:val="18"/>
        </w:rPr>
        <w:t>2015</w:t>
      </w:r>
      <w:r w:rsidR="00684C05" w:rsidRPr="00486324">
        <w:rPr>
          <w:sz w:val="18"/>
        </w:rPr>
        <w:t>–</w:t>
      </w:r>
      <w:r w:rsidRPr="00486324">
        <w:rPr>
          <w:sz w:val="18"/>
        </w:rPr>
        <w:t>2017)</w:t>
      </w:r>
      <w:r w:rsidR="00291EB2" w:rsidRPr="00486324">
        <w:rPr>
          <w:sz w:val="18"/>
        </w:rPr>
        <w:t>.</w:t>
      </w:r>
    </w:p>
    <w:p w:rsidR="002F001C" w:rsidRPr="00E31BBF" w:rsidRDefault="002F001C" w:rsidP="00732F46">
      <w:pPr>
        <w:pStyle w:val="SingleTxtG"/>
      </w:pPr>
      <w:proofErr w:type="gramStart"/>
      <w:r w:rsidRPr="00E31BBF">
        <w:t>data</w:t>
      </w:r>
      <w:proofErr w:type="gramEnd"/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calculated;</w:t>
      </w:r>
      <w:r w:rsidR="00C21DB7">
        <w:t xml:space="preserve"> </w:t>
      </w:r>
      <w:r w:rsidRPr="00E31BBF">
        <w:t>data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available;</w:t>
      </w:r>
      <w:r w:rsidR="00C21DB7">
        <w:t xml:space="preserve"> </w:t>
      </w:r>
      <w:r w:rsidRPr="00E31BBF">
        <w:t>unreliable</w:t>
      </w:r>
      <w:r w:rsidR="00C21DB7">
        <w:t xml:space="preserve"> </w:t>
      </w:r>
      <w:r w:rsidRPr="00E31BBF">
        <w:t>data</w:t>
      </w:r>
      <w:r w:rsidR="00C21DB7">
        <w:t xml:space="preserve"> </w:t>
      </w:r>
      <w:r w:rsidRPr="00E31BBF">
        <w:t>due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small</w:t>
      </w:r>
      <w:r w:rsidR="00C21DB7">
        <w:t xml:space="preserve"> </w:t>
      </w:r>
      <w:r w:rsidRPr="00E31BBF">
        <w:t>size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sample</w:t>
      </w:r>
    </w:p>
    <w:p w:rsidR="002F001C" w:rsidRPr="00E31BBF" w:rsidRDefault="002F001C" w:rsidP="00FA2ED7">
      <w:pPr>
        <w:pStyle w:val="Heading1"/>
        <w:keepNext/>
        <w:keepLines/>
        <w:spacing w:before="240"/>
      </w:pPr>
      <w:r w:rsidRPr="00E31BBF">
        <w:lastRenderedPageBreak/>
        <w:t>Table</w:t>
      </w:r>
      <w:r w:rsidR="00C21DB7">
        <w:t xml:space="preserve"> </w:t>
      </w:r>
      <w:r w:rsidRPr="00E31BBF">
        <w:t>7</w:t>
      </w:r>
    </w:p>
    <w:p w:rsidR="002F001C" w:rsidRPr="00291EB2" w:rsidRDefault="002F001C" w:rsidP="00FA2ED7">
      <w:pPr>
        <w:pStyle w:val="SingleTxtG"/>
        <w:keepNext/>
        <w:keepLines/>
        <w:rPr>
          <w:b/>
          <w:bCs/>
        </w:rPr>
      </w:pPr>
      <w:r w:rsidRPr="00291EB2">
        <w:rPr>
          <w:b/>
          <w:bCs/>
        </w:rPr>
        <w:t>Severe</w:t>
      </w:r>
      <w:r w:rsidR="00C21DB7" w:rsidRPr="00291EB2">
        <w:rPr>
          <w:b/>
          <w:bCs/>
        </w:rPr>
        <w:t xml:space="preserve"> </w:t>
      </w:r>
      <w:r w:rsidRPr="00291EB2">
        <w:rPr>
          <w:b/>
          <w:bCs/>
        </w:rPr>
        <w:t>material</w:t>
      </w:r>
      <w:r w:rsidR="00C21DB7" w:rsidRPr="00291EB2">
        <w:rPr>
          <w:b/>
          <w:bCs/>
        </w:rPr>
        <w:t xml:space="preserve"> </w:t>
      </w:r>
      <w:r w:rsidRPr="00291EB2">
        <w:rPr>
          <w:b/>
          <w:bCs/>
        </w:rPr>
        <w:t>deprivation</w:t>
      </w:r>
      <w:r w:rsidR="00C21DB7" w:rsidRPr="00291EB2">
        <w:rPr>
          <w:b/>
          <w:bCs/>
        </w:rPr>
        <w:t xml:space="preserve"> </w:t>
      </w:r>
      <w:r w:rsidRPr="00291EB2">
        <w:rPr>
          <w:b/>
          <w:bCs/>
        </w:rPr>
        <w:t>rate</w:t>
      </w:r>
      <w:r w:rsidR="00C21DB7" w:rsidRPr="00291EB2">
        <w:rPr>
          <w:b/>
          <w:bCs/>
        </w:rPr>
        <w:t xml:space="preserve"> </w:t>
      </w:r>
      <w:r w:rsidRPr="00291EB2">
        <w:rPr>
          <w:b/>
          <w:bCs/>
        </w:rPr>
        <w:t>by</w:t>
      </w:r>
      <w:r w:rsidR="00C21DB7" w:rsidRPr="00291EB2">
        <w:rPr>
          <w:b/>
          <w:bCs/>
        </w:rPr>
        <w:t xml:space="preserve"> </w:t>
      </w:r>
      <w:r w:rsidRPr="00291EB2">
        <w:rPr>
          <w:b/>
          <w:bCs/>
        </w:rPr>
        <w:t>disability</w:t>
      </w:r>
      <w:r w:rsidR="00C21DB7" w:rsidRPr="00291EB2">
        <w:rPr>
          <w:b/>
          <w:bCs/>
        </w:rPr>
        <w:t xml:space="preserve"> </w:t>
      </w:r>
      <w:r w:rsidRPr="00291EB2">
        <w:rPr>
          <w:b/>
          <w:bCs/>
        </w:rPr>
        <w:t>and</w:t>
      </w:r>
      <w:r w:rsidR="00C21DB7" w:rsidRPr="00291EB2">
        <w:rPr>
          <w:b/>
          <w:bCs/>
        </w:rPr>
        <w:t xml:space="preserve"> </w:t>
      </w:r>
      <w:r w:rsidRPr="00291EB2">
        <w:rPr>
          <w:b/>
          <w:bCs/>
        </w:rPr>
        <w:t>sex</w:t>
      </w:r>
      <w:r w:rsidR="00C21DB7" w:rsidRPr="00291EB2">
        <w:rPr>
          <w:b/>
          <w:bCs/>
        </w:rPr>
        <w:t xml:space="preserve"> </w:t>
      </w:r>
      <w:r w:rsidRPr="00291EB2">
        <w:rPr>
          <w:b/>
          <w:bCs/>
        </w:rPr>
        <w:t>in</w:t>
      </w:r>
      <w:r w:rsidR="00C21DB7" w:rsidRPr="00291EB2">
        <w:rPr>
          <w:b/>
          <w:bCs/>
        </w:rPr>
        <w:t xml:space="preserve"> </w:t>
      </w:r>
      <w:r w:rsidRPr="00291EB2">
        <w:rPr>
          <w:b/>
          <w:bCs/>
        </w:rPr>
        <w:t>2015-2018,</w:t>
      </w:r>
      <w:r w:rsidR="00C21DB7" w:rsidRPr="00291EB2">
        <w:rPr>
          <w:b/>
          <w:bCs/>
        </w:rPr>
        <w:t xml:space="preserve"> </w:t>
      </w:r>
      <w:proofErr w:type="gramStart"/>
      <w:r w:rsidRPr="00291EB2">
        <w:rPr>
          <w:b/>
          <w:bCs/>
        </w:rPr>
        <w:t>%</w:t>
      </w:r>
      <w:proofErr w:type="gramEnd"/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327"/>
        <w:gridCol w:w="1187"/>
        <w:gridCol w:w="1187"/>
        <w:gridCol w:w="1187"/>
        <w:gridCol w:w="1187"/>
      </w:tblGrid>
      <w:tr w:rsidR="002F001C" w:rsidRPr="00291EB2" w:rsidTr="00FA2ED7">
        <w:trPr>
          <w:tblHeader/>
        </w:trPr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C21DB7" w:rsidP="00FA2ED7">
            <w:pPr>
              <w:pStyle w:val="SingleTxtG"/>
              <w:keepNext/>
              <w:keepLines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91EB2">
              <w:rPr>
                <w:i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C21DB7" w:rsidP="00FA2ED7">
            <w:pPr>
              <w:pStyle w:val="SingleTxtG"/>
              <w:keepNext/>
              <w:keepLines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91EB2">
              <w:rPr>
                <w:i/>
                <w:sz w:val="16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291EB2">
              <w:rPr>
                <w:i/>
                <w:sz w:val="16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291EB2">
              <w:rPr>
                <w:i/>
                <w:sz w:val="16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291EB2">
              <w:rPr>
                <w:i/>
                <w:sz w:val="16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291EB2">
              <w:rPr>
                <w:i/>
                <w:sz w:val="16"/>
              </w:rPr>
              <w:t>2018</w:t>
            </w:r>
          </w:p>
        </w:tc>
      </w:tr>
      <w:tr w:rsidR="002F001C" w:rsidRPr="00291EB2" w:rsidTr="00FA2ED7">
        <w:tc>
          <w:tcPr>
            <w:tcW w:w="169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20" w:lineRule="exact"/>
              <w:ind w:left="430" w:right="113"/>
              <w:jc w:val="lef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Total</w:t>
            </w:r>
          </w:p>
        </w:tc>
        <w:tc>
          <w:tcPr>
            <w:tcW w:w="173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20" w:lineRule="exact"/>
              <w:ind w:left="0" w:right="113"/>
              <w:jc w:val="lef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Disabled</w:t>
            </w:r>
            <w:r w:rsidR="00C21DB7" w:rsidRPr="00291EB2">
              <w:rPr>
                <w:b/>
                <w:sz w:val="18"/>
              </w:rPr>
              <w:t xml:space="preserve"> </w:t>
            </w:r>
            <w:r w:rsidRPr="00291EB2">
              <w:rPr>
                <w:b/>
                <w:sz w:val="18"/>
              </w:rPr>
              <w:t>persons</w:t>
            </w:r>
          </w:p>
        </w:tc>
        <w:tc>
          <w:tcPr>
            <w:tcW w:w="155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9</w:t>
            </w:r>
            <w:r w:rsidR="00EF7837">
              <w:rPr>
                <w:b/>
                <w:sz w:val="18"/>
              </w:rPr>
              <w:t>.</w:t>
            </w:r>
            <w:r w:rsidRPr="00291EB2">
              <w:rPr>
                <w:b/>
                <w:sz w:val="18"/>
              </w:rPr>
              <w:t>7</w:t>
            </w:r>
          </w:p>
        </w:tc>
        <w:tc>
          <w:tcPr>
            <w:tcW w:w="155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10</w:t>
            </w:r>
            <w:r w:rsidR="00EF7837">
              <w:rPr>
                <w:b/>
                <w:sz w:val="18"/>
              </w:rPr>
              <w:t>.</w:t>
            </w:r>
            <w:r w:rsidRPr="00291EB2">
              <w:rPr>
                <w:b/>
                <w:sz w:val="18"/>
              </w:rPr>
              <w:t>9</w:t>
            </w:r>
          </w:p>
        </w:tc>
        <w:tc>
          <w:tcPr>
            <w:tcW w:w="155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8</w:t>
            </w:r>
            <w:r w:rsidR="00EF7837">
              <w:rPr>
                <w:b/>
                <w:sz w:val="18"/>
              </w:rPr>
              <w:t>.</w:t>
            </w:r>
            <w:r w:rsidRPr="00291EB2">
              <w:rPr>
                <w:b/>
                <w:sz w:val="18"/>
              </w:rPr>
              <w:t>1</w:t>
            </w:r>
          </w:p>
        </w:tc>
        <w:tc>
          <w:tcPr>
            <w:tcW w:w="155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7</w:t>
            </w:r>
            <w:r w:rsidR="00EF7837">
              <w:rPr>
                <w:b/>
                <w:sz w:val="18"/>
              </w:rPr>
              <w:t>.</w:t>
            </w:r>
            <w:r w:rsidRPr="00291EB2">
              <w:rPr>
                <w:b/>
                <w:sz w:val="18"/>
              </w:rPr>
              <w:t>6</w:t>
            </w:r>
          </w:p>
        </w:tc>
      </w:tr>
      <w:tr w:rsidR="002F001C" w:rsidRPr="00291EB2" w:rsidTr="00FA2ED7">
        <w:tc>
          <w:tcPr>
            <w:tcW w:w="1691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20" w:lineRule="exact"/>
              <w:ind w:left="0" w:right="113"/>
              <w:jc w:val="lef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Persons</w:t>
            </w:r>
            <w:r w:rsidR="00C21DB7" w:rsidRPr="00291EB2">
              <w:rPr>
                <w:b/>
                <w:sz w:val="18"/>
              </w:rPr>
              <w:t xml:space="preserve"> </w:t>
            </w:r>
            <w:r w:rsidRPr="00291EB2">
              <w:rPr>
                <w:b/>
                <w:sz w:val="18"/>
              </w:rPr>
              <w:t>with</w:t>
            </w:r>
            <w:r w:rsidR="00C21DB7" w:rsidRPr="00291EB2">
              <w:rPr>
                <w:b/>
                <w:sz w:val="18"/>
              </w:rPr>
              <w:t xml:space="preserve"> </w:t>
            </w:r>
            <w:r w:rsidRPr="00291EB2">
              <w:rPr>
                <w:b/>
                <w:sz w:val="18"/>
              </w:rPr>
              <w:t>and</w:t>
            </w:r>
            <w:r w:rsidR="00C21DB7" w:rsidRPr="00291EB2">
              <w:rPr>
                <w:b/>
                <w:sz w:val="18"/>
              </w:rPr>
              <w:t xml:space="preserve"> </w:t>
            </w:r>
            <w:r w:rsidRPr="00291EB2">
              <w:rPr>
                <w:b/>
                <w:sz w:val="18"/>
              </w:rPr>
              <w:t>without</w:t>
            </w:r>
            <w:r w:rsidR="00C21DB7" w:rsidRPr="00291EB2">
              <w:rPr>
                <w:b/>
                <w:sz w:val="18"/>
              </w:rPr>
              <w:t xml:space="preserve"> </w:t>
            </w:r>
            <w:r w:rsidRPr="00291EB2">
              <w:rPr>
                <w:b/>
                <w:sz w:val="18"/>
              </w:rPr>
              <w:t>disability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4</w:t>
            </w:r>
            <w:r w:rsidR="00EF7837">
              <w:rPr>
                <w:b/>
                <w:sz w:val="18"/>
              </w:rPr>
              <w:t>.</w:t>
            </w:r>
            <w:r w:rsidRPr="00291EB2">
              <w:rPr>
                <w:b/>
                <w:sz w:val="18"/>
              </w:rPr>
              <w:t>5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4</w:t>
            </w:r>
            <w:r w:rsidR="00EF7837">
              <w:rPr>
                <w:b/>
                <w:sz w:val="18"/>
              </w:rPr>
              <w:t>.</w:t>
            </w:r>
            <w:r w:rsidRPr="00291EB2">
              <w:rPr>
                <w:b/>
                <w:sz w:val="18"/>
              </w:rPr>
              <w:t>7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4</w:t>
            </w:r>
            <w:r w:rsidR="00EF7837">
              <w:rPr>
                <w:b/>
                <w:sz w:val="18"/>
              </w:rPr>
              <w:t>.</w:t>
            </w:r>
            <w:r w:rsidRPr="00291EB2">
              <w:rPr>
                <w:b/>
                <w:sz w:val="18"/>
              </w:rPr>
              <w:t>1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FA2ED7">
            <w:pPr>
              <w:pStyle w:val="SingleTxtG"/>
              <w:keepNext/>
              <w:keepLines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291EB2">
              <w:rPr>
                <w:b/>
                <w:sz w:val="18"/>
              </w:rPr>
              <w:t>3</w:t>
            </w:r>
            <w:r w:rsidR="00EF7837">
              <w:rPr>
                <w:b/>
                <w:sz w:val="18"/>
              </w:rPr>
              <w:t>.</w:t>
            </w:r>
            <w:r w:rsidRPr="00291EB2">
              <w:rPr>
                <w:b/>
                <w:sz w:val="18"/>
              </w:rPr>
              <w:t>8</w:t>
            </w:r>
          </w:p>
        </w:tc>
      </w:tr>
      <w:tr w:rsidR="002F001C" w:rsidRPr="00291EB2" w:rsidTr="00FA2ED7">
        <w:tc>
          <w:tcPr>
            <w:tcW w:w="16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F001C" w:rsidRPr="00291EB2" w:rsidRDefault="002F001C" w:rsidP="00FA2ED7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291EB2">
              <w:rPr>
                <w:sz w:val="18"/>
              </w:rPr>
              <w:t>Males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F001C" w:rsidRPr="00291EB2" w:rsidRDefault="002F001C" w:rsidP="002E286A">
            <w:pPr>
              <w:pStyle w:val="SingleTxtG"/>
              <w:keepNext/>
              <w:keepLines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291EB2">
              <w:rPr>
                <w:sz w:val="18"/>
              </w:rPr>
              <w:t>Disabled</w:t>
            </w:r>
            <w:r w:rsidR="00C21DB7" w:rsidRPr="00291EB2">
              <w:rPr>
                <w:sz w:val="18"/>
              </w:rPr>
              <w:t xml:space="preserve"> </w:t>
            </w:r>
            <w:r w:rsidRPr="00291EB2">
              <w:rPr>
                <w:sz w:val="18"/>
              </w:rPr>
              <w:t>persons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2E286A">
            <w:pPr>
              <w:pStyle w:val="SingleTxtG"/>
              <w:keepNext/>
              <w:keepLines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10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2E286A">
            <w:pPr>
              <w:pStyle w:val="SingleTxtG"/>
              <w:keepNext/>
              <w:keepLines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12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2E286A">
            <w:pPr>
              <w:pStyle w:val="SingleTxtG"/>
              <w:keepNext/>
              <w:keepLines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6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2E286A">
            <w:pPr>
              <w:pStyle w:val="SingleTxtG"/>
              <w:keepNext/>
              <w:keepLines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7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7</w:t>
            </w:r>
          </w:p>
        </w:tc>
      </w:tr>
      <w:tr w:rsidR="002F001C" w:rsidRPr="00291EB2" w:rsidTr="00FA2ED7">
        <w:tc>
          <w:tcPr>
            <w:tcW w:w="1691" w:type="dxa"/>
            <w:vMerge/>
            <w:shd w:val="clear" w:color="auto" w:fill="auto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291EB2">
              <w:rPr>
                <w:sz w:val="18"/>
              </w:rPr>
              <w:t>Persons</w:t>
            </w:r>
            <w:r w:rsidR="00C21DB7" w:rsidRPr="00291EB2">
              <w:rPr>
                <w:sz w:val="18"/>
              </w:rPr>
              <w:t xml:space="preserve"> </w:t>
            </w:r>
            <w:r w:rsidRPr="00291EB2">
              <w:rPr>
                <w:sz w:val="18"/>
              </w:rPr>
              <w:t>with</w:t>
            </w:r>
            <w:r w:rsidR="00C21DB7" w:rsidRPr="00291EB2">
              <w:rPr>
                <w:sz w:val="18"/>
              </w:rPr>
              <w:t xml:space="preserve"> </w:t>
            </w:r>
            <w:r w:rsidRPr="00291EB2">
              <w:rPr>
                <w:sz w:val="18"/>
              </w:rPr>
              <w:t>and</w:t>
            </w:r>
            <w:r w:rsidR="00C21DB7" w:rsidRPr="00291EB2">
              <w:rPr>
                <w:sz w:val="18"/>
              </w:rPr>
              <w:t xml:space="preserve"> </w:t>
            </w:r>
            <w:r w:rsidRPr="00291EB2">
              <w:rPr>
                <w:sz w:val="18"/>
              </w:rPr>
              <w:t>without</w:t>
            </w:r>
            <w:r w:rsidR="00C21DB7" w:rsidRPr="00291EB2">
              <w:rPr>
                <w:sz w:val="18"/>
              </w:rPr>
              <w:t xml:space="preserve"> </w:t>
            </w:r>
            <w:r w:rsidRPr="00291EB2">
              <w:rPr>
                <w:sz w:val="18"/>
              </w:rPr>
              <w:t>disability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4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4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3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3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7</w:t>
            </w:r>
          </w:p>
        </w:tc>
      </w:tr>
      <w:tr w:rsidR="002F001C" w:rsidRPr="00291EB2" w:rsidTr="00FA2ED7">
        <w:tc>
          <w:tcPr>
            <w:tcW w:w="1691" w:type="dxa"/>
            <w:vMerge w:val="restart"/>
            <w:shd w:val="clear" w:color="auto" w:fill="auto"/>
            <w:noWrap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291EB2">
              <w:rPr>
                <w:sz w:val="18"/>
              </w:rPr>
              <w:t>Females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291EB2">
              <w:rPr>
                <w:sz w:val="18"/>
              </w:rPr>
              <w:t>Disabled</w:t>
            </w:r>
            <w:r w:rsidR="00C21DB7" w:rsidRPr="00291EB2">
              <w:rPr>
                <w:sz w:val="18"/>
              </w:rPr>
              <w:t xml:space="preserve"> </w:t>
            </w:r>
            <w:r w:rsidRPr="00291EB2">
              <w:rPr>
                <w:sz w:val="18"/>
              </w:rPr>
              <w:t>persons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9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9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9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9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7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5</w:t>
            </w:r>
          </w:p>
        </w:tc>
      </w:tr>
      <w:tr w:rsidR="002F001C" w:rsidRPr="00291EB2" w:rsidTr="00FA2ED7"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291EB2">
              <w:rPr>
                <w:sz w:val="18"/>
              </w:rPr>
              <w:t>Persons</w:t>
            </w:r>
            <w:r w:rsidR="00C21DB7" w:rsidRPr="00291EB2">
              <w:rPr>
                <w:sz w:val="18"/>
              </w:rPr>
              <w:t xml:space="preserve"> </w:t>
            </w:r>
            <w:r w:rsidRPr="00291EB2">
              <w:rPr>
                <w:sz w:val="18"/>
              </w:rPr>
              <w:t>with</w:t>
            </w:r>
            <w:r w:rsidR="00C21DB7" w:rsidRPr="00291EB2">
              <w:rPr>
                <w:sz w:val="18"/>
              </w:rPr>
              <w:t xml:space="preserve"> </w:t>
            </w:r>
            <w:r w:rsidRPr="00291EB2">
              <w:rPr>
                <w:sz w:val="18"/>
              </w:rPr>
              <w:t>and</w:t>
            </w:r>
            <w:r w:rsidR="00C21DB7" w:rsidRPr="00291EB2">
              <w:rPr>
                <w:sz w:val="18"/>
              </w:rPr>
              <w:t xml:space="preserve"> </w:t>
            </w:r>
            <w:r w:rsidRPr="00291EB2">
              <w:rPr>
                <w:sz w:val="18"/>
              </w:rPr>
              <w:t>without</w:t>
            </w:r>
            <w:r w:rsidR="00C21DB7" w:rsidRPr="00291EB2">
              <w:rPr>
                <w:sz w:val="18"/>
              </w:rPr>
              <w:t xml:space="preserve"> </w:t>
            </w:r>
            <w:r w:rsidRPr="00291EB2">
              <w:rPr>
                <w:sz w:val="18"/>
              </w:rPr>
              <w:t>disability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4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7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4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8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4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5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1C" w:rsidRPr="00291EB2" w:rsidRDefault="002F001C" w:rsidP="00291E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291EB2">
              <w:rPr>
                <w:sz w:val="18"/>
              </w:rPr>
              <w:t>3</w:t>
            </w:r>
            <w:r w:rsidR="00EF7837">
              <w:rPr>
                <w:sz w:val="18"/>
              </w:rPr>
              <w:t>.</w:t>
            </w:r>
            <w:r w:rsidRPr="00291EB2">
              <w:rPr>
                <w:sz w:val="18"/>
              </w:rPr>
              <w:t>8</w:t>
            </w:r>
          </w:p>
        </w:tc>
      </w:tr>
    </w:tbl>
    <w:p w:rsidR="002F001C" w:rsidRPr="00EF7837" w:rsidRDefault="002F001C" w:rsidP="00EF7837">
      <w:pPr>
        <w:spacing w:before="120" w:after="240" w:line="240" w:lineRule="atLeast"/>
        <w:ind w:left="1134" w:right="1134" w:firstLine="170"/>
        <w:rPr>
          <w:sz w:val="18"/>
        </w:rPr>
      </w:pPr>
      <w:r w:rsidRPr="00EF7837">
        <w:rPr>
          <w:i/>
          <w:iCs/>
          <w:sz w:val="18"/>
        </w:rPr>
        <w:t>Source:</w:t>
      </w:r>
      <w:r w:rsidR="00EF7837">
        <w:rPr>
          <w:sz w:val="18"/>
        </w:rPr>
        <w:t xml:space="preserve"> </w:t>
      </w:r>
      <w:r w:rsidR="00C21DB7" w:rsidRPr="00EF7837">
        <w:rPr>
          <w:sz w:val="18"/>
        </w:rPr>
        <w:t xml:space="preserve"> </w:t>
      </w:r>
      <w:r w:rsidRPr="00FA2ED7">
        <w:rPr>
          <w:sz w:val="18"/>
        </w:rPr>
        <w:t>Statistics</w:t>
      </w:r>
      <w:r w:rsidR="00C21DB7" w:rsidRPr="00FA2ED7">
        <w:rPr>
          <w:sz w:val="18"/>
        </w:rPr>
        <w:t xml:space="preserve"> </w:t>
      </w:r>
      <w:r w:rsidRPr="00FA2ED7">
        <w:rPr>
          <w:sz w:val="18"/>
        </w:rPr>
        <w:t>Estonia,</w:t>
      </w:r>
      <w:r w:rsidR="00C21DB7" w:rsidRPr="00FA2ED7">
        <w:rPr>
          <w:sz w:val="18"/>
        </w:rPr>
        <w:t xml:space="preserve"> </w:t>
      </w:r>
      <w:r w:rsidRPr="00FA2ED7">
        <w:rPr>
          <w:sz w:val="18"/>
        </w:rPr>
        <w:t>Estonian</w:t>
      </w:r>
      <w:r w:rsidR="00C21DB7" w:rsidRPr="00FA2ED7">
        <w:rPr>
          <w:sz w:val="18"/>
        </w:rPr>
        <w:t xml:space="preserve"> </w:t>
      </w:r>
      <w:r w:rsidRPr="00FA2ED7">
        <w:rPr>
          <w:sz w:val="18"/>
        </w:rPr>
        <w:t>Social</w:t>
      </w:r>
      <w:r w:rsidR="00C21DB7" w:rsidRPr="00FA2ED7">
        <w:rPr>
          <w:sz w:val="18"/>
        </w:rPr>
        <w:t xml:space="preserve"> </w:t>
      </w:r>
      <w:r w:rsidRPr="00FA2ED7">
        <w:rPr>
          <w:sz w:val="18"/>
        </w:rPr>
        <w:t>Survey</w:t>
      </w:r>
      <w:r w:rsidR="00C21DB7" w:rsidRPr="00FA2ED7">
        <w:rPr>
          <w:sz w:val="18"/>
        </w:rPr>
        <w:t xml:space="preserve"> </w:t>
      </w:r>
      <w:r w:rsidRPr="00FA2ED7">
        <w:rPr>
          <w:sz w:val="18"/>
        </w:rPr>
        <w:t>2015</w:t>
      </w:r>
      <w:r w:rsidR="00684C05" w:rsidRPr="00FA2ED7">
        <w:rPr>
          <w:sz w:val="18"/>
        </w:rPr>
        <w:t>–</w:t>
      </w:r>
      <w:r w:rsidRPr="00FA2ED7">
        <w:rPr>
          <w:sz w:val="18"/>
        </w:rPr>
        <w:t>2018</w:t>
      </w:r>
      <w:r w:rsidR="00247FE3" w:rsidRPr="00FA2ED7">
        <w:rPr>
          <w:sz w:val="18"/>
        </w:rPr>
        <w:t>.</w:t>
      </w:r>
    </w:p>
    <w:p w:rsidR="002F001C" w:rsidRPr="00E31BBF" w:rsidRDefault="002F001C" w:rsidP="00732F46">
      <w:pPr>
        <w:pStyle w:val="SingleTxtG"/>
      </w:pPr>
      <w:r w:rsidRPr="00E31BBF">
        <w:t>143.</w:t>
      </w:r>
      <w:r w:rsidRPr="00E31BBF">
        <w:tab/>
        <w:t>Universal</w:t>
      </w:r>
      <w:r w:rsidR="00C21DB7">
        <w:t xml:space="preserve"> </w:t>
      </w:r>
      <w:r w:rsidRPr="00E31BBF">
        <w:t>design</w:t>
      </w:r>
      <w:r w:rsidR="00C21DB7">
        <w:t xml:space="preserve"> </w:t>
      </w:r>
      <w:r w:rsidRPr="00E31BBF">
        <w:t>principles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applied</w:t>
      </w:r>
      <w:r w:rsidR="00C21DB7">
        <w:t xml:space="preserve"> </w:t>
      </w:r>
      <w:r w:rsidRPr="00E31BBF">
        <w:t>both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development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infrastructure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use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vehicles</w:t>
      </w:r>
      <w:r w:rsidR="00C21DB7">
        <w:t xml:space="preserve"> </w:t>
      </w:r>
      <w:r w:rsidRPr="00E31BBF">
        <w:t>through</w:t>
      </w:r>
      <w:r w:rsidR="00C21DB7">
        <w:t xml:space="preserve"> </w:t>
      </w:r>
      <w:r w:rsidRPr="00E31BBF">
        <w:t>procurement</w:t>
      </w:r>
      <w:r w:rsidR="00C21DB7">
        <w:t xml:space="preserve"> </w:t>
      </w:r>
      <w:r w:rsidRPr="00E31BBF">
        <w:t>processes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more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less</w:t>
      </w:r>
      <w:r w:rsidR="00C21DB7">
        <w:t xml:space="preserve"> </w:t>
      </w:r>
      <w:r w:rsidRPr="00E31BBF">
        <w:t>success.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144.</w:t>
      </w:r>
      <w:r w:rsidRPr="00E31BBF">
        <w:tab/>
        <w:t>See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answers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7</w:t>
      </w:r>
      <w:r w:rsidR="00C21DB7">
        <w:t xml:space="preserve"> </w:t>
      </w:r>
      <w:r w:rsidRPr="00E31BBF">
        <w:t>point</w:t>
      </w:r>
      <w:r w:rsidR="00C21DB7">
        <w:t xml:space="preserve"> </w:t>
      </w:r>
      <w:proofErr w:type="gramStart"/>
      <w:r w:rsidRPr="00E31BBF">
        <w:t>5</w:t>
      </w:r>
      <w:proofErr w:type="gramEnd"/>
      <w:r w:rsidR="00C21DB7">
        <w:t xml:space="preserve"> </w:t>
      </w:r>
      <w:r w:rsidRPr="00E31BBF">
        <w:t>(b)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9</w:t>
      </w:r>
      <w:r w:rsidR="00C21DB7">
        <w:t xml:space="preserve"> </w:t>
      </w:r>
      <w:r w:rsidRPr="00E31BBF">
        <w:t>etc.</w:t>
      </w:r>
      <w:r w:rsidR="00C21DB7">
        <w:t xml:space="preserve"> </w:t>
      </w:r>
    </w:p>
    <w:p w:rsidR="002F001C" w:rsidRPr="00E31BBF" w:rsidRDefault="002F001C" w:rsidP="00247FE3">
      <w:pPr>
        <w:pStyle w:val="H1G"/>
      </w:pPr>
      <w:r w:rsidRPr="00E31BBF">
        <w:tab/>
      </w:r>
      <w:r w:rsidRPr="00E31BBF">
        <w:tab/>
        <w:t>Participation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political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life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29)</w:t>
      </w:r>
    </w:p>
    <w:p w:rsidR="002F001C" w:rsidRPr="00E31BBF" w:rsidRDefault="002F001C" w:rsidP="00247FE3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22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145.</w:t>
      </w:r>
      <w:r w:rsidRPr="00E31BBF">
        <w:tab/>
        <w:t>All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reached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statutory</w:t>
      </w:r>
      <w:r w:rsidR="00C21DB7">
        <w:t xml:space="preserve"> </w:t>
      </w:r>
      <w:r w:rsidRPr="00E31BBF">
        <w:t>age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equal</w:t>
      </w:r>
      <w:r w:rsidR="00C21DB7">
        <w:t xml:space="preserve"> </w:t>
      </w:r>
      <w:r w:rsidRPr="00E31BBF">
        <w:t>right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vote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participate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stand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elections.</w:t>
      </w:r>
      <w:r w:rsidR="00C21DB7">
        <w:t xml:space="preserve"> </w:t>
      </w:r>
      <w:r w:rsidRPr="00E31BBF">
        <w:t>Pursuant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electoral</w:t>
      </w:r>
      <w:r w:rsidR="00C21DB7">
        <w:t xml:space="preserve"> </w:t>
      </w:r>
      <w:r w:rsidRPr="00E31BBF">
        <w:t>law,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eligible</w:t>
      </w:r>
      <w:r w:rsidR="00C21DB7">
        <w:t xml:space="preserve"> </w:t>
      </w:r>
      <w:r w:rsidRPr="00E31BBF">
        <w:t>voters</w:t>
      </w:r>
      <w:r w:rsidR="00C21DB7">
        <w:t xml:space="preserve"> </w:t>
      </w:r>
      <w:r w:rsidRPr="00E31BBF">
        <w:t>must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possibility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vote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manner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choice: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polling</w:t>
      </w:r>
      <w:r w:rsidR="00C21DB7">
        <w:t xml:space="preserve"> </w:t>
      </w:r>
      <w:r w:rsidRPr="00E31BBF">
        <w:t>station,</w:t>
      </w:r>
      <w:r w:rsidR="00C21DB7">
        <w:t xml:space="preserve"> </w:t>
      </w:r>
      <w:r w:rsidRPr="00E31BBF">
        <w:t>electronically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at</w:t>
      </w:r>
      <w:r w:rsidR="00C21DB7">
        <w:t xml:space="preserve"> </w:t>
      </w:r>
      <w:r w:rsidRPr="00E31BBF">
        <w:t>home.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rule,</w:t>
      </w:r>
      <w:r w:rsidR="00C21DB7">
        <w:t xml:space="preserve"> </w:t>
      </w:r>
      <w:r w:rsidRPr="00E31BBF">
        <w:t>voters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vote</w:t>
      </w:r>
      <w:r w:rsidR="00C21DB7">
        <w:t xml:space="preserve"> </w:t>
      </w:r>
      <w:r w:rsidRPr="00E31BBF">
        <w:t>independently.</w:t>
      </w:r>
      <w:r w:rsidR="00C21DB7">
        <w:t xml:space="preserve"> </w:t>
      </w:r>
      <w:r w:rsidRPr="00E31BBF">
        <w:t>However,</w:t>
      </w:r>
      <w:r w:rsidR="00C21DB7">
        <w:t xml:space="preserve"> </w:t>
      </w:r>
      <w:r w:rsidRPr="00E31BBF">
        <w:t>voters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want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need</w:t>
      </w:r>
      <w:r w:rsidR="00C21DB7">
        <w:t xml:space="preserve"> </w:t>
      </w:r>
      <w:r w:rsidRPr="00E31BBF">
        <w:t>assistance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filling</w:t>
      </w:r>
      <w:r w:rsidR="00C21DB7">
        <w:t xml:space="preserve"> </w:t>
      </w:r>
      <w:r w:rsidRPr="00E31BBF">
        <w:t>out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ballot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right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assistance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whomever</w:t>
      </w:r>
      <w:r w:rsidR="00C21DB7">
        <w:t xml:space="preserve"> </w:t>
      </w:r>
      <w:r w:rsidRPr="00E31BBF">
        <w:t>they</w:t>
      </w:r>
      <w:r w:rsidR="00C21DB7">
        <w:t xml:space="preserve"> </w:t>
      </w:r>
      <w:r w:rsidRPr="00E31BBF">
        <w:t>choose,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long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person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not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candidate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particular</w:t>
      </w:r>
      <w:r w:rsidR="00C21DB7">
        <w:t xml:space="preserve"> </w:t>
      </w:r>
      <w:r w:rsidRPr="00E31BBF">
        <w:t>electoral</w:t>
      </w:r>
      <w:r w:rsidR="00C21DB7">
        <w:t xml:space="preserve"> </w:t>
      </w:r>
      <w:r w:rsidRPr="00E31BBF">
        <w:t>district.</w:t>
      </w:r>
      <w:r w:rsidR="00C21DB7">
        <w:t xml:space="preserve"> </w:t>
      </w:r>
      <w:r w:rsidRPr="00E31BBF">
        <w:t>The</w:t>
      </w:r>
      <w:r w:rsidR="00C21DB7">
        <w:t xml:space="preserve"> </w:t>
      </w:r>
      <w:proofErr w:type="spellStart"/>
      <w:r w:rsidR="00494E7F" w:rsidRPr="00494E7F">
        <w:rPr>
          <w:i/>
          <w:iCs/>
        </w:rPr>
        <w:t>Riigikogu</w:t>
      </w:r>
      <w:proofErr w:type="spellEnd"/>
      <w:r w:rsidR="00C21DB7">
        <w:t xml:space="preserve"> </w:t>
      </w:r>
      <w:r w:rsidRPr="00E31BBF">
        <w:t>Election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requires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electronic</w:t>
      </w:r>
      <w:r w:rsidR="00C21DB7">
        <w:t xml:space="preserve"> </w:t>
      </w:r>
      <w:r w:rsidRPr="00E31BBF">
        <w:t>voting</w:t>
      </w:r>
      <w:r w:rsidR="00C21DB7">
        <w:t xml:space="preserve"> </w:t>
      </w:r>
      <w:r w:rsidRPr="00E31BBF">
        <w:t>application</w:t>
      </w:r>
      <w:r w:rsidR="00C21DB7">
        <w:t xml:space="preserve"> </w:t>
      </w:r>
      <w:r w:rsidRPr="00E31BBF">
        <w:t>must</w:t>
      </w:r>
      <w:r w:rsidR="00C21DB7">
        <w:t xml:space="preserve"> </w:t>
      </w:r>
      <w:r w:rsidRPr="00E31BBF">
        <w:t>provide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visually</w:t>
      </w:r>
      <w:r w:rsidR="00C21DB7">
        <w:t xml:space="preserve"> </w:t>
      </w:r>
      <w:r w:rsidRPr="00E31BBF">
        <w:t>impaired</w:t>
      </w:r>
      <w:r w:rsidR="00C21DB7">
        <w:t xml:space="preserve"> </w:t>
      </w:r>
      <w:r w:rsidRPr="00E31BBF">
        <w:t>persons.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146.</w:t>
      </w:r>
      <w:r w:rsidRPr="00E31BBF">
        <w:tab/>
        <w:t>Polling</w:t>
      </w:r>
      <w:r w:rsidR="00C21DB7">
        <w:t xml:space="preserve"> </w:t>
      </w:r>
      <w:r w:rsidRPr="00E31BBF">
        <w:t>stations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located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public</w:t>
      </w:r>
      <w:r w:rsidR="00C21DB7">
        <w:t xml:space="preserve"> </w:t>
      </w:r>
      <w:r w:rsidRPr="00E31BBF">
        <w:t>buildings,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must</w:t>
      </w:r>
      <w:r w:rsidR="00C21DB7">
        <w:t xml:space="preserve"> </w:t>
      </w:r>
      <w:r w:rsidRPr="00E31BBF">
        <w:t>comply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requirements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Regulation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Minister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Enterprise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Technology</w:t>
      </w:r>
      <w:r w:rsidR="00C21DB7">
        <w:t xml:space="preserve"> </w:t>
      </w:r>
      <w:r w:rsidR="003E41EF">
        <w:t>“</w:t>
      </w:r>
      <w:r w:rsidRPr="00E31BBF">
        <w:t>Requirements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Structures</w:t>
      </w:r>
      <w:r w:rsidR="00C21DB7">
        <w:t xml:space="preserve"> </w:t>
      </w:r>
      <w:r w:rsidRPr="00E31BBF">
        <w:t>arising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Persons</w:t>
      </w:r>
      <w:r w:rsidR="003E41EF">
        <w:t>”</w:t>
      </w:r>
      <w:r w:rsidRPr="00060D87">
        <w:rPr>
          <w:rStyle w:val="FootnoteReference"/>
        </w:rPr>
        <w:footnoteReference w:id="8"/>
      </w:r>
      <w:r w:rsidR="00C21DB7" w:rsidRPr="00060D87">
        <w:rPr>
          <w:rStyle w:val="FootnoteReference"/>
        </w:rPr>
        <w:t xml:space="preserve"> </w:t>
      </w:r>
      <w:r w:rsidRPr="00E31BBF">
        <w:t>adopted</w:t>
      </w:r>
      <w:r w:rsidR="00C21DB7">
        <w:t xml:space="preserve"> </w:t>
      </w:r>
      <w:proofErr w:type="gramStart"/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basis</w:t>
      </w:r>
      <w:r w:rsidR="00C21DB7">
        <w:t xml:space="preserve"> </w:t>
      </w:r>
      <w:r w:rsidRPr="00E31BBF">
        <w:t>of</w:t>
      </w:r>
      <w:proofErr w:type="gramEnd"/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Building</w:t>
      </w:r>
      <w:r w:rsidR="00C21DB7">
        <w:t xml:space="preserve"> </w:t>
      </w:r>
      <w:r w:rsidRPr="00E31BBF">
        <w:t>Code.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147.</w:t>
      </w:r>
      <w:r w:rsidRPr="00E31BBF">
        <w:tab/>
        <w:t>The</w:t>
      </w:r>
      <w:r w:rsidR="00C21DB7">
        <w:t xml:space="preserve"> </w:t>
      </w:r>
      <w:r w:rsidRPr="00E31BBF">
        <w:t>State</w:t>
      </w:r>
      <w:r w:rsidR="00C21DB7">
        <w:t xml:space="preserve"> </w:t>
      </w:r>
      <w:r w:rsidRPr="00E31BBF">
        <w:t>Electoral</w:t>
      </w:r>
      <w:r w:rsidR="00C21DB7">
        <w:t xml:space="preserve"> </w:t>
      </w:r>
      <w:r w:rsidRPr="00E31BBF">
        <w:t>Office</w:t>
      </w:r>
      <w:r w:rsidR="00C21DB7">
        <w:t xml:space="preserve"> </w:t>
      </w:r>
      <w:r w:rsidRPr="00E31BBF">
        <w:t>provides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its</w:t>
      </w:r>
      <w:r w:rsidR="00C21DB7">
        <w:t xml:space="preserve"> </w:t>
      </w:r>
      <w:r w:rsidRPr="00E31BBF">
        <w:t>website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needs,</w:t>
      </w:r>
      <w:r w:rsidR="00C21DB7">
        <w:t xml:space="preserve"> </w:t>
      </w:r>
      <w:r w:rsidRPr="00E31BBF">
        <w:t>including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polling</w:t>
      </w:r>
      <w:r w:rsidR="00C21DB7">
        <w:t xml:space="preserve"> </w:t>
      </w:r>
      <w:r w:rsidRPr="00E31BBF">
        <w:t>stations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fully</w:t>
      </w:r>
      <w:r w:rsidR="00C21DB7">
        <w:t xml:space="preserve"> </w:t>
      </w:r>
      <w:r w:rsidRPr="00E31BBF">
        <w:t>accessible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wheelchairs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prams.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148.</w:t>
      </w:r>
      <w:r w:rsidRPr="00E31BBF">
        <w:tab/>
        <w:t>In</w:t>
      </w:r>
      <w:r w:rsidR="00C21DB7">
        <w:t xml:space="preserve"> </w:t>
      </w:r>
      <w:r w:rsidRPr="00E31BBF">
        <w:t>Estonia,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right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vote</w:t>
      </w:r>
      <w:r w:rsidR="00C21DB7">
        <w:t xml:space="preserve"> </w:t>
      </w:r>
      <w:r w:rsidRPr="00E31BBF">
        <w:t>electronically,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means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they</w:t>
      </w:r>
      <w:r w:rsidR="00C21DB7">
        <w:t xml:space="preserve"> </w:t>
      </w:r>
      <w:r w:rsidRPr="00E31BBF">
        <w:t>can</w:t>
      </w:r>
      <w:r w:rsidR="00C21DB7">
        <w:t xml:space="preserve"> </w:t>
      </w:r>
      <w:r w:rsidRPr="00E31BBF">
        <w:t>choose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vote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any</w:t>
      </w:r>
      <w:r w:rsidR="00C21DB7">
        <w:t xml:space="preserve"> </w:t>
      </w:r>
      <w:r w:rsidRPr="00E31BBF">
        <w:t>location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internet</w:t>
      </w:r>
      <w:r w:rsidR="00C21DB7">
        <w:t xml:space="preserve"> </w:t>
      </w:r>
      <w:r w:rsidRPr="00E31BBF">
        <w:t>service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they</w:t>
      </w:r>
      <w:r w:rsidR="00C21DB7">
        <w:t xml:space="preserve"> </w:t>
      </w:r>
      <w:r w:rsidRPr="00E31BBF">
        <w:t>choose.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rules</w:t>
      </w:r>
      <w:r w:rsidR="00C21DB7">
        <w:t xml:space="preserve"> </w:t>
      </w:r>
      <w:r w:rsidRPr="00E31BBF">
        <w:t>governing</w:t>
      </w:r>
      <w:r w:rsidR="00C21DB7">
        <w:t xml:space="preserve"> </w:t>
      </w:r>
      <w:r w:rsidRPr="00E31BBF">
        <w:t>electronic</w:t>
      </w:r>
      <w:r w:rsidR="00C21DB7">
        <w:t xml:space="preserve"> </w:t>
      </w:r>
      <w:r w:rsidRPr="00E31BBF">
        <w:t>voting</w:t>
      </w:r>
      <w:r w:rsidR="00C21DB7">
        <w:t xml:space="preserve"> </w:t>
      </w:r>
      <w:r w:rsidRPr="00E31BBF">
        <w:t>(§</w:t>
      </w:r>
      <w:r w:rsidR="00C21DB7">
        <w:t xml:space="preserve"> </w:t>
      </w:r>
      <w:r w:rsidRPr="00E31BBF">
        <w:t>483</w:t>
      </w:r>
      <w:r w:rsidR="00C21DB7">
        <w:t xml:space="preserve"> </w:t>
      </w:r>
      <w:r w:rsidRPr="00E31BBF">
        <w:t>(5)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proofErr w:type="spellStart"/>
      <w:r w:rsidR="00494E7F" w:rsidRPr="00494E7F">
        <w:rPr>
          <w:i/>
          <w:iCs/>
        </w:rPr>
        <w:t>Riigikogu</w:t>
      </w:r>
      <w:proofErr w:type="spellEnd"/>
      <w:r w:rsidR="00C21DB7">
        <w:t xml:space="preserve"> </w:t>
      </w:r>
      <w:r w:rsidRPr="00E31BBF">
        <w:t>Election</w:t>
      </w:r>
      <w:r w:rsidR="00C21DB7">
        <w:t xml:space="preserve"> </w:t>
      </w:r>
      <w:r w:rsidRPr="00E31BBF">
        <w:t>Act)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require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voting</w:t>
      </w:r>
      <w:r w:rsidR="00C21DB7">
        <w:t xml:space="preserve"> </w:t>
      </w:r>
      <w:r w:rsidRPr="00E31BBF">
        <w:t>application</w:t>
      </w:r>
      <w:r w:rsidR="00C21DB7">
        <w:t xml:space="preserve"> </w:t>
      </w:r>
      <w:r w:rsidRPr="00E31BBF">
        <w:t>must</w:t>
      </w:r>
      <w:r w:rsidR="00C21DB7">
        <w:t xml:space="preserve"> </w:t>
      </w:r>
      <w:r w:rsidRPr="00E31BBF">
        <w:t>provide</w:t>
      </w:r>
      <w:r w:rsidR="00C21DB7">
        <w:t xml:space="preserve"> </w:t>
      </w:r>
      <w:r w:rsidRPr="00E31BBF">
        <w:t>support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visually</w:t>
      </w:r>
      <w:r w:rsidR="00C21DB7">
        <w:t xml:space="preserve"> </w:t>
      </w:r>
      <w:r w:rsidRPr="00E31BBF">
        <w:t>impaired</w:t>
      </w:r>
      <w:r w:rsidR="00C21DB7">
        <w:t xml:space="preserve"> </w:t>
      </w:r>
      <w:r w:rsidRPr="00E31BBF">
        <w:t>persons,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requirement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fulfilled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practice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visually</w:t>
      </w:r>
      <w:r w:rsidR="00C21DB7">
        <w:t xml:space="preserve"> </w:t>
      </w:r>
      <w:r w:rsidRPr="00E31BBF">
        <w:t>impaired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can</w:t>
      </w:r>
      <w:r w:rsidR="00C21DB7">
        <w:t xml:space="preserve"> </w:t>
      </w:r>
      <w:r w:rsidRPr="00E31BBF">
        <w:t>exercise</w:t>
      </w:r>
      <w:r w:rsidR="00C21DB7">
        <w:t xml:space="preserve"> </w:t>
      </w:r>
      <w:r w:rsidRPr="00E31BBF">
        <w:t>their</w:t>
      </w:r>
      <w:r w:rsidR="00C21DB7">
        <w:t xml:space="preserve"> </w:t>
      </w:r>
      <w:r w:rsidRPr="00E31BBF">
        <w:t>right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vote</w:t>
      </w:r>
      <w:r w:rsidR="00C21DB7">
        <w:t xml:space="preserve"> </w:t>
      </w:r>
      <w:r w:rsidRPr="00E31BBF">
        <w:t>without</w:t>
      </w:r>
      <w:r w:rsidR="00C21DB7">
        <w:t xml:space="preserve"> </w:t>
      </w:r>
      <w:r w:rsidRPr="00E31BBF">
        <w:t>assistance.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149.</w:t>
      </w:r>
      <w:r w:rsidRPr="00E31BBF">
        <w:tab/>
        <w:t>In</w:t>
      </w:r>
      <w:r w:rsidR="00C21DB7">
        <w:t xml:space="preserve"> </w:t>
      </w:r>
      <w:r w:rsidRPr="00E31BBF">
        <w:t>2019,</w:t>
      </w:r>
      <w:r w:rsidR="00C21DB7">
        <w:t xml:space="preserve"> </w:t>
      </w:r>
      <w:r w:rsidRPr="00E31BBF">
        <w:t>elections</w:t>
      </w:r>
      <w:r w:rsidR="00C21DB7">
        <w:t xml:space="preserve"> </w:t>
      </w:r>
      <w:r w:rsidRPr="00E31BBF">
        <w:t>were</w:t>
      </w:r>
      <w:r w:rsidR="00C21DB7">
        <w:t xml:space="preserve"> </w:t>
      </w:r>
      <w:r w:rsidRPr="00E31BBF">
        <w:t>held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both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national</w:t>
      </w:r>
      <w:r w:rsidR="00C21DB7">
        <w:t xml:space="preserve"> </w:t>
      </w:r>
      <w:r w:rsidRPr="00E31BBF">
        <w:t>parliament</w:t>
      </w:r>
      <w:r w:rsidR="00C21DB7">
        <w:t xml:space="preserve"> </w:t>
      </w:r>
      <w:proofErr w:type="spellStart"/>
      <w:r w:rsidR="00494E7F" w:rsidRPr="00494E7F">
        <w:rPr>
          <w:i/>
          <w:iCs/>
        </w:rPr>
        <w:t>Riigikogu</w:t>
      </w:r>
      <w:proofErr w:type="spellEnd"/>
      <w:r w:rsidR="00C21DB7">
        <w:t xml:space="preserve"> </w:t>
      </w:r>
      <w:proofErr w:type="gramStart"/>
      <w:r w:rsidRPr="00E31BBF">
        <w:t>and</w:t>
      </w:r>
      <w:r w:rsidR="00C21DB7">
        <w:t xml:space="preserve"> </w:t>
      </w:r>
      <w:r w:rsidRPr="00E31BBF">
        <w:t>also</w:t>
      </w:r>
      <w:proofErr w:type="gramEnd"/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European</w:t>
      </w:r>
      <w:r w:rsidR="00C21DB7">
        <w:t xml:space="preserve"> </w:t>
      </w:r>
      <w:r w:rsidRPr="00E31BBF">
        <w:t>Parliament.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lastRenderedPageBreak/>
        <w:t>150.</w:t>
      </w:r>
      <w:r w:rsidRPr="00E31BBF">
        <w:tab/>
        <w:t>After</w:t>
      </w:r>
      <w:r w:rsidR="00C21DB7">
        <w:t xml:space="preserve"> </w:t>
      </w:r>
      <w:r w:rsidRPr="00E31BBF">
        <w:t>both</w:t>
      </w:r>
      <w:r w:rsidR="00C21DB7">
        <w:t xml:space="preserve"> </w:t>
      </w:r>
      <w:r w:rsidRPr="00E31BBF">
        <w:t>elections</w:t>
      </w:r>
      <w:r w:rsidR="00C21DB7">
        <w:t xml:space="preserve"> </w:t>
      </w:r>
      <w:proofErr w:type="gramStart"/>
      <w:r w:rsidRPr="00E31BBF">
        <w:t>had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held</w:t>
      </w:r>
      <w:proofErr w:type="gramEnd"/>
      <w:r w:rsidRPr="00E31BBF">
        <w:t>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Chancellor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Justice</w:t>
      </w:r>
      <w:r w:rsidR="00C21DB7">
        <w:t xml:space="preserve"> </w:t>
      </w:r>
      <w:r w:rsidRPr="00E31BBF">
        <w:t>addressed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Constitutional</w:t>
      </w:r>
      <w:r w:rsidR="00C21DB7">
        <w:t xml:space="preserve"> </w:t>
      </w:r>
      <w:r w:rsidRPr="00E31BBF">
        <w:t>Committee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proofErr w:type="spellStart"/>
      <w:r w:rsidR="00494E7F" w:rsidRPr="00494E7F">
        <w:rPr>
          <w:i/>
          <w:iCs/>
        </w:rPr>
        <w:t>Riigikogu</w:t>
      </w:r>
      <w:proofErr w:type="spellEnd"/>
      <w:r w:rsidRPr="00E31BBF">
        <w:t>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State</w:t>
      </w:r>
      <w:r w:rsidR="00C21DB7">
        <w:t xml:space="preserve"> </w:t>
      </w:r>
      <w:r w:rsidRPr="00E31BBF">
        <w:t>Electoral</w:t>
      </w:r>
      <w:r w:rsidR="00C21DB7">
        <w:t xml:space="preserve"> </w:t>
      </w:r>
      <w:r w:rsidRPr="00E31BBF">
        <w:t>Office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National</w:t>
      </w:r>
      <w:r w:rsidR="00C21DB7">
        <w:t xml:space="preserve"> </w:t>
      </w:r>
      <w:r w:rsidRPr="00E31BBF">
        <w:t>Electoral</w:t>
      </w:r>
      <w:r w:rsidR="00C21DB7">
        <w:t xml:space="preserve"> </w:t>
      </w:r>
      <w:r w:rsidRPr="00E31BBF">
        <w:t>Committee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point</w:t>
      </w:r>
      <w:r w:rsidR="00C21DB7">
        <w:t xml:space="preserve"> </w:t>
      </w:r>
      <w:r w:rsidRPr="00E31BBF">
        <w:t>out</w:t>
      </w:r>
      <w:r w:rsidR="00C21DB7">
        <w:t xml:space="preserve"> </w:t>
      </w:r>
      <w:r w:rsidRPr="00E31BBF">
        <w:t>both</w:t>
      </w:r>
      <w:r w:rsidR="00C21DB7">
        <w:t xml:space="preserve"> </w:t>
      </w:r>
      <w:r w:rsidRPr="00E31BBF">
        <w:t>successful</w:t>
      </w:r>
      <w:r w:rsidR="00C21DB7">
        <w:t xml:space="preserve"> </w:t>
      </w:r>
      <w:r w:rsidRPr="00E31BBF">
        <w:t>examples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well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shortcomings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regard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during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elections.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Chancellor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Justice</w:t>
      </w:r>
      <w:r w:rsidR="00C21DB7">
        <w:t xml:space="preserve"> </w:t>
      </w:r>
      <w:r w:rsidRPr="00E31BBF">
        <w:t>made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number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recommendations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improvements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organisation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elections.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November</w:t>
      </w:r>
      <w:r w:rsidR="00C21DB7">
        <w:t xml:space="preserve"> </w:t>
      </w:r>
      <w:r w:rsidRPr="00E31BBF">
        <w:t>2019,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Constitutional</w:t>
      </w:r>
      <w:r w:rsidR="00C21DB7">
        <w:t xml:space="preserve"> </w:t>
      </w:r>
      <w:r w:rsidRPr="00E31BBF">
        <w:t>Committee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proofErr w:type="spellStart"/>
      <w:r w:rsidR="00494E7F" w:rsidRPr="00494E7F">
        <w:rPr>
          <w:i/>
          <w:iCs/>
        </w:rPr>
        <w:t>Riigikogu</w:t>
      </w:r>
      <w:proofErr w:type="spellEnd"/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State</w:t>
      </w:r>
      <w:r w:rsidR="00C21DB7">
        <w:t xml:space="preserve"> </w:t>
      </w:r>
      <w:r w:rsidRPr="00E31BBF">
        <w:t>Electoral</w:t>
      </w:r>
      <w:r w:rsidR="00C21DB7">
        <w:t xml:space="preserve"> </w:t>
      </w:r>
      <w:r w:rsidRPr="00E31BBF">
        <w:t>Office</w:t>
      </w:r>
      <w:r w:rsidR="00C21DB7">
        <w:t xml:space="preserve"> </w:t>
      </w:r>
      <w:r w:rsidRPr="00E31BBF">
        <w:t>held</w:t>
      </w:r>
      <w:r w:rsidR="00C21DB7">
        <w:t xml:space="preserve"> </w:t>
      </w:r>
      <w:r w:rsidRPr="00E31BBF">
        <w:t>discussions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issue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elections.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151.</w:t>
      </w:r>
      <w:r w:rsidRPr="00E31BBF">
        <w:tab/>
        <w:t>See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answers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6.</w:t>
      </w:r>
      <w:r w:rsidR="00C21DB7">
        <w:t xml:space="preserve"> </w:t>
      </w:r>
    </w:p>
    <w:p w:rsidR="002F001C" w:rsidRPr="00E31BBF" w:rsidRDefault="002F001C" w:rsidP="003E41EF">
      <w:pPr>
        <w:pStyle w:val="HChG"/>
      </w:pPr>
      <w:r w:rsidRPr="00E31BBF">
        <w:tab/>
        <w:t>C.</w:t>
      </w:r>
      <w:r w:rsidRPr="00E31BBF">
        <w:tab/>
        <w:t>Specific</w:t>
      </w:r>
      <w:r w:rsidR="00C21DB7">
        <w:t xml:space="preserve"> </w:t>
      </w:r>
      <w:r w:rsidRPr="00E31BBF">
        <w:t>obligations</w:t>
      </w:r>
      <w:r w:rsidR="00C21DB7">
        <w:t xml:space="preserve"> </w:t>
      </w:r>
      <w:r w:rsidRPr="00E31BBF">
        <w:t>(arts.</w:t>
      </w:r>
      <w:r w:rsidR="00C21DB7">
        <w:t xml:space="preserve"> </w:t>
      </w:r>
      <w:r w:rsidRPr="00E31BBF">
        <w:t>31–33)</w:t>
      </w:r>
    </w:p>
    <w:p w:rsidR="002F001C" w:rsidRPr="00E31BBF" w:rsidRDefault="002F001C" w:rsidP="003E41EF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23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152.</w:t>
      </w:r>
      <w:r w:rsidRPr="00E31BBF">
        <w:tab/>
        <w:t>It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one</w:t>
      </w:r>
      <w:r w:rsidR="00C21DB7">
        <w:t xml:space="preserve"> </w:t>
      </w:r>
      <w:r w:rsidRPr="00E31BBF">
        <w:t>part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Statistics</w:t>
      </w:r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working</w:t>
      </w:r>
      <w:r w:rsidR="00C21DB7">
        <w:t xml:space="preserve"> </w:t>
      </w:r>
      <w:r w:rsidRPr="00E31BBF">
        <w:t>program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collect</w:t>
      </w:r>
      <w:r w:rsidR="00C21DB7">
        <w:t xml:space="preserve"> </w:t>
      </w:r>
      <w:r w:rsidRPr="00E31BBF">
        <w:t>statistical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situation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disability.</w:t>
      </w:r>
      <w:r w:rsidR="00C21DB7">
        <w:t xml:space="preserve"> </w:t>
      </w:r>
      <w:r w:rsidRPr="00E31BBF">
        <w:t>Therefore,</w:t>
      </w:r>
      <w:r w:rsidR="00C21DB7">
        <w:t xml:space="preserve"> </w:t>
      </w:r>
      <w:r w:rsidRPr="00E31BBF">
        <w:t>where</w:t>
      </w:r>
      <w:r w:rsidR="00C21DB7">
        <w:t xml:space="preserve"> </w:t>
      </w:r>
      <w:r w:rsidRPr="00E31BBF">
        <w:t>it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possible,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collected</w:t>
      </w:r>
      <w:r w:rsidR="00C21DB7">
        <w:t xml:space="preserve"> </w:t>
      </w:r>
      <w:r w:rsidRPr="00E31BBF">
        <w:t>data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individuals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linked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disability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where</w:t>
      </w:r>
      <w:r w:rsidR="00C21DB7">
        <w:t xml:space="preserve"> </w:t>
      </w:r>
      <w:r w:rsidRPr="00E31BBF">
        <w:t>it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possible</w:t>
      </w:r>
      <w:r w:rsidR="00C21DB7">
        <w:t xml:space="preserve"> </w:t>
      </w:r>
      <w:r w:rsidRPr="00E31BBF">
        <w:t>(depending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survey</w:t>
      </w:r>
      <w:r w:rsidR="003E41EF">
        <w:t>’</w:t>
      </w:r>
      <w:r w:rsidRPr="00E31BBF">
        <w:t>s</w:t>
      </w:r>
      <w:r w:rsidR="00C21DB7">
        <w:t xml:space="preserve"> </w:t>
      </w:r>
      <w:r w:rsidRPr="00E31BBF">
        <w:t>sample</w:t>
      </w:r>
      <w:r w:rsidR="00C21DB7">
        <w:t xml:space="preserve"> </w:t>
      </w:r>
      <w:r w:rsidRPr="00E31BBF">
        <w:t>size)</w:t>
      </w:r>
      <w:proofErr w:type="gramStart"/>
      <w:r w:rsidRPr="00E31BBF">
        <w:t>,</w:t>
      </w:r>
      <w:proofErr w:type="gramEnd"/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data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published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Statistics</w:t>
      </w:r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database.</w:t>
      </w:r>
    </w:p>
    <w:p w:rsidR="002F001C" w:rsidRPr="00E31BBF" w:rsidRDefault="002F001C" w:rsidP="00732F46">
      <w:pPr>
        <w:pStyle w:val="SingleTxtG"/>
      </w:pPr>
      <w:r w:rsidRPr="00E31BBF">
        <w:t>153.</w:t>
      </w:r>
      <w:r w:rsidRPr="00E31BBF">
        <w:tab/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hand,</w:t>
      </w:r>
      <w:r w:rsidR="00C21DB7">
        <w:t xml:space="preserve"> </w:t>
      </w:r>
      <w:r w:rsidRPr="00E31BBF">
        <w:t>if</w:t>
      </w:r>
      <w:r w:rsidR="00C21DB7">
        <w:t xml:space="preserve"> </w:t>
      </w:r>
      <w:r w:rsidRPr="00E31BBF">
        <w:t>necessary,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Affairs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conducted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specific</w:t>
      </w:r>
      <w:r w:rsidR="00C21DB7">
        <w:t xml:space="preserve"> </w:t>
      </w:r>
      <w:r w:rsidRPr="00E31BBF">
        <w:t>surveys</w:t>
      </w:r>
      <w:r w:rsidR="00C21DB7">
        <w:t xml:space="preserve"> </w:t>
      </w:r>
      <w:r w:rsidRPr="00E31BBF">
        <w:t>by</w:t>
      </w:r>
      <w:r w:rsidR="00C21DB7">
        <w:t xml:space="preserve"> </w:t>
      </w:r>
      <w:r w:rsidRPr="00E31BBF">
        <w:t>focusing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families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child</w:t>
      </w:r>
      <w:r w:rsidR="00C21DB7">
        <w:t xml:space="preserve"> </w:t>
      </w:r>
      <w:r w:rsidRPr="00E31BBF">
        <w:t>or</w:t>
      </w:r>
      <w:r w:rsidR="00C21DB7">
        <w:t xml:space="preserve"> </w:t>
      </w:r>
      <w:r w:rsidRPr="00E31BBF">
        <w:t>adults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disability.</w:t>
      </w:r>
      <w:r w:rsidR="00C21DB7">
        <w:t xml:space="preserve"> </w:t>
      </w:r>
      <w:r w:rsidRPr="00E31BBF">
        <w:t>Those</w:t>
      </w:r>
      <w:r w:rsidR="00C21DB7">
        <w:t xml:space="preserve"> </w:t>
      </w:r>
      <w:r w:rsidRPr="00E31BBF">
        <w:t>surveys</w:t>
      </w:r>
      <w:r w:rsidR="00C21DB7">
        <w:t xml:space="preserve"> </w:t>
      </w:r>
      <w:proofErr w:type="gramStart"/>
      <w:r w:rsidRPr="00E31BBF">
        <w:t>have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carried</w:t>
      </w:r>
      <w:r w:rsidR="00C21DB7">
        <w:t xml:space="preserve"> </w:t>
      </w:r>
      <w:r w:rsidRPr="00E31BBF">
        <w:t>out</w:t>
      </w:r>
      <w:proofErr w:type="gramEnd"/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collect</w:t>
      </w:r>
      <w:r w:rsidR="00C21DB7">
        <w:t xml:space="preserve"> </w:t>
      </w:r>
      <w:r w:rsidRPr="00E31BBF">
        <w:t>specific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about</w:t>
      </w:r>
      <w:r w:rsidR="00C21DB7">
        <w:t xml:space="preserve"> </w:t>
      </w:r>
      <w:r w:rsidRPr="00E31BBF">
        <w:t>usage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services,</w:t>
      </w:r>
      <w:r w:rsidR="00C21DB7">
        <w:t xml:space="preserve"> </w:t>
      </w:r>
      <w:r w:rsidRPr="00E31BBF">
        <w:t>occurring</w:t>
      </w:r>
      <w:r w:rsidR="00C21DB7">
        <w:t xml:space="preserve"> </w:t>
      </w:r>
      <w:r w:rsidRPr="00E31BBF">
        <w:t>problems</w:t>
      </w:r>
      <w:r w:rsidR="00C21DB7">
        <w:t xml:space="preserve"> </w:t>
      </w:r>
      <w:r w:rsidRPr="00E31BBF">
        <w:t>etc.</w:t>
      </w:r>
    </w:p>
    <w:p w:rsidR="002F001C" w:rsidRPr="00E31BBF" w:rsidRDefault="002F001C" w:rsidP="003E41EF">
      <w:pPr>
        <w:pStyle w:val="H1G"/>
      </w:pPr>
      <w:r w:rsidRPr="00E31BBF">
        <w:tab/>
      </w:r>
      <w:r w:rsidRPr="00E31BBF">
        <w:tab/>
        <w:t>National</w:t>
      </w:r>
      <w:r w:rsidR="00C21DB7">
        <w:t xml:space="preserve"> </w:t>
      </w:r>
      <w:r w:rsidRPr="00E31BBF">
        <w:t>implementation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monitoring</w:t>
      </w:r>
      <w:r w:rsidR="00C21DB7">
        <w:t xml:space="preserve"> </w:t>
      </w:r>
      <w:r w:rsidRPr="00E31BBF">
        <w:t>(art.</w:t>
      </w:r>
      <w:r w:rsidR="00C21DB7">
        <w:t xml:space="preserve"> </w:t>
      </w:r>
      <w:r w:rsidRPr="00E31BBF">
        <w:t>33)</w:t>
      </w:r>
    </w:p>
    <w:p w:rsidR="002F001C" w:rsidRPr="00E31BBF" w:rsidRDefault="002F001C" w:rsidP="003E41EF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24</w:t>
      </w:r>
      <w:r w:rsidR="00B10A4D">
        <w:t xml:space="preserve"> </w:t>
      </w:r>
      <w:r w:rsidRPr="00E31BBF">
        <w:t>(a)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154.</w:t>
      </w:r>
      <w:r w:rsidRPr="00E31BBF">
        <w:tab/>
        <w:t>The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Affairs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actively</w:t>
      </w:r>
      <w:r w:rsidR="00C21DB7">
        <w:t xml:space="preserve"> </w:t>
      </w:r>
      <w:r w:rsidRPr="00E31BBF">
        <w:t>involved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promoting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coordinating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through</w:t>
      </w:r>
      <w:r w:rsidR="00C21DB7">
        <w:t xml:space="preserve"> </w:t>
      </w:r>
      <w:r w:rsidRPr="00E31BBF">
        <w:t>supporting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work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Council</w:t>
      </w:r>
      <w:r w:rsidR="00C21DB7">
        <w:t xml:space="preserve"> </w:t>
      </w:r>
      <w:r w:rsidRPr="00E31BBF">
        <w:t>that</w:t>
      </w:r>
      <w:r w:rsidR="00C21DB7">
        <w:t xml:space="preserve"> </w:t>
      </w:r>
      <w:r w:rsidRPr="00E31BBF">
        <w:t>brings</w:t>
      </w:r>
      <w:r w:rsidR="00C21DB7">
        <w:t xml:space="preserve"> </w:t>
      </w:r>
      <w:r w:rsidRPr="00E31BBF">
        <w:t>together</w:t>
      </w:r>
      <w:r w:rsidR="00C21DB7">
        <w:t xml:space="preserve"> </w:t>
      </w:r>
      <w:r w:rsidRPr="00E31BBF">
        <w:t>different</w:t>
      </w:r>
      <w:r w:rsidR="00C21DB7">
        <w:t xml:space="preserve"> </w:t>
      </w:r>
      <w:r w:rsidRPr="00E31BBF">
        <w:t>stakeholders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relevant</w:t>
      </w:r>
      <w:r w:rsidR="00C21DB7">
        <w:t xml:space="preserve"> </w:t>
      </w:r>
      <w:r w:rsidRPr="00E31BBF">
        <w:t>ministries,</w:t>
      </w:r>
      <w:r w:rsidR="00C21DB7">
        <w:t xml:space="preserve"> </w:t>
      </w:r>
      <w:r w:rsidRPr="00E31BBF">
        <w:t>private</w:t>
      </w:r>
      <w:r w:rsidR="00C21DB7">
        <w:t xml:space="preserve"> </w:t>
      </w:r>
      <w:r w:rsidRPr="00E31BBF">
        <w:t>sector</w:t>
      </w:r>
      <w:r w:rsidR="00C21DB7">
        <w:t xml:space="preserve"> </w:t>
      </w:r>
      <w:r w:rsidRPr="00E31BBF">
        <w:t>representatives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representative</w:t>
      </w:r>
      <w:r w:rsidR="00C21DB7">
        <w:t xml:space="preserve"> </w:t>
      </w:r>
      <w:r w:rsidRPr="00E31BBF">
        <w:t>organisations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disabled</w:t>
      </w:r>
      <w:r w:rsidR="00C21DB7">
        <w:t xml:space="preserve"> </w:t>
      </w:r>
      <w:r w:rsidRPr="00E31BBF">
        <w:t>persons.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Affairs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active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furthering</w:t>
      </w:r>
      <w:r w:rsidR="00C21DB7">
        <w:t xml:space="preserve"> </w:t>
      </w:r>
      <w:r w:rsidRPr="00E31BBF">
        <w:t>discussions</w:t>
      </w:r>
      <w:r w:rsidR="00C21DB7">
        <w:t xml:space="preserve"> </w:t>
      </w:r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development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relevant</w:t>
      </w:r>
      <w:r w:rsidR="00C21DB7">
        <w:t xml:space="preserve"> </w:t>
      </w:r>
      <w:r w:rsidRPr="00E31BBF">
        <w:t>legal</w:t>
      </w:r>
      <w:r w:rsidR="00C21DB7">
        <w:t xml:space="preserve"> </w:t>
      </w:r>
      <w:r w:rsidRPr="00E31BBF">
        <w:t>regulation.</w:t>
      </w:r>
      <w:r w:rsidR="00C21DB7">
        <w:t xml:space="preserve"> </w:t>
      </w:r>
      <w:r w:rsidRPr="00E31BBF">
        <w:t>This</w:t>
      </w:r>
      <w:r w:rsidR="00C21DB7">
        <w:t xml:space="preserve"> </w:t>
      </w:r>
      <w:r w:rsidRPr="00E31BBF">
        <w:t>has</w:t>
      </w:r>
      <w:r w:rsidR="00C21DB7">
        <w:t xml:space="preserve"> </w:t>
      </w:r>
      <w:r w:rsidRPr="00E31BBF">
        <w:t>had</w:t>
      </w:r>
      <w:r w:rsidR="00C21DB7">
        <w:t xml:space="preserve"> </w:t>
      </w:r>
      <w:r w:rsidRPr="00E31BBF">
        <w:t>some</w:t>
      </w:r>
      <w:r w:rsidR="00C21DB7">
        <w:t xml:space="preserve"> </w:t>
      </w:r>
      <w:r w:rsidRPr="00E31BBF">
        <w:t>positive</w:t>
      </w:r>
      <w:r w:rsidR="00C21DB7">
        <w:t xml:space="preserve"> </w:t>
      </w:r>
      <w:r w:rsidRPr="00E31BBF">
        <w:t>results</w:t>
      </w:r>
      <w:r w:rsidR="00C21DB7">
        <w:t xml:space="preserve"> </w:t>
      </w:r>
      <w:r w:rsidRPr="00E31BBF">
        <w:t>such</w:t>
      </w:r>
      <w:r w:rsidR="00C21DB7">
        <w:t xml:space="preserve"> </w:t>
      </w:r>
      <w:r w:rsidRPr="00E31BBF">
        <w:t>as</w:t>
      </w:r>
      <w:r w:rsidR="00C21DB7">
        <w:t xml:space="preserve"> </w:t>
      </w:r>
      <w:r w:rsidRPr="00E31BBF">
        <w:t>requirements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buildings</w:t>
      </w:r>
      <w:r w:rsidR="00C21DB7">
        <w:t xml:space="preserve"> </w:t>
      </w:r>
      <w:r w:rsidRPr="00E31BBF">
        <w:t>related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special</w:t>
      </w:r>
      <w:r w:rsidR="00C21DB7">
        <w:t xml:space="preserve"> </w:t>
      </w:r>
      <w:r w:rsidRPr="00E31BBF">
        <w:t>needs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(a</w:t>
      </w:r>
      <w:r w:rsidR="00C21DB7">
        <w:t xml:space="preserve"> </w:t>
      </w:r>
      <w:r w:rsidRPr="00E31BBF">
        <w:t>regulation</w:t>
      </w:r>
      <w:r w:rsidR="00C21DB7">
        <w:t xml:space="preserve"> </w:t>
      </w:r>
      <w:r w:rsidRPr="00E31BBF">
        <w:t>adopted</w:t>
      </w:r>
      <w:r w:rsidR="00C21DB7">
        <w:t xml:space="preserve"> </w:t>
      </w:r>
      <w:r w:rsidRPr="00E31BBF">
        <w:t>i</w:t>
      </w:r>
      <w:bookmarkStart w:id="1" w:name="_GoBack"/>
      <w:bookmarkEnd w:id="1"/>
      <w:r w:rsidRPr="00E31BBF">
        <w:t>n</w:t>
      </w:r>
      <w:r w:rsidR="00C21DB7">
        <w:t xml:space="preserve"> </w:t>
      </w:r>
      <w:r w:rsidRPr="00E31BBF">
        <w:t>2018</w:t>
      </w:r>
      <w:r w:rsidRPr="00060D87">
        <w:rPr>
          <w:rStyle w:val="FootnoteReference"/>
        </w:rPr>
        <w:footnoteReference w:id="9"/>
      </w:r>
      <w:r w:rsidR="00C21DB7" w:rsidRPr="00060D87">
        <w:rPr>
          <w:rStyle w:val="FootnoteReference"/>
        </w:rPr>
        <w:t xml:space="preserve"> </w:t>
      </w:r>
      <w:r w:rsidRPr="00E31BBF">
        <w:t>by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Minister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Entrepreneurship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Information</w:t>
      </w:r>
      <w:r w:rsidR="00C21DB7">
        <w:t xml:space="preserve"> </w:t>
      </w:r>
      <w:r w:rsidRPr="00E31BBF">
        <w:t>Technology).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155.</w:t>
      </w:r>
      <w:r w:rsidRPr="00E31BBF">
        <w:tab/>
        <w:t>Ministry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Social</w:t>
      </w:r>
      <w:r w:rsidR="00C21DB7">
        <w:t xml:space="preserve"> </w:t>
      </w:r>
      <w:r w:rsidRPr="00E31BBF">
        <w:t>Affairs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national</w:t>
      </w:r>
      <w:r w:rsidR="00C21DB7">
        <w:t xml:space="preserve"> </w:t>
      </w:r>
      <w:r w:rsidRPr="00E31BBF">
        <w:t>coordinator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promoter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across</w:t>
      </w:r>
      <w:r w:rsidR="00C21DB7">
        <w:t xml:space="preserve"> </w:t>
      </w:r>
      <w:r w:rsidRPr="00E31BBF">
        <w:t>sectors.</w:t>
      </w:r>
      <w:r w:rsidR="00C21DB7">
        <w:t xml:space="preserve"> </w:t>
      </w:r>
      <w:r w:rsidRPr="00E31BBF">
        <w:t>We</w:t>
      </w:r>
      <w:r w:rsidR="00C21DB7">
        <w:t xml:space="preserve"> </w:t>
      </w:r>
      <w:r w:rsidRPr="00E31BBF">
        <w:t>have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actively</w:t>
      </w:r>
      <w:r w:rsidR="00C21DB7">
        <w:t xml:space="preserve"> </w:t>
      </w:r>
      <w:r w:rsidRPr="00E31BBF">
        <w:t>involved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negotiations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European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Act.</w:t>
      </w:r>
    </w:p>
    <w:p w:rsidR="002F001C" w:rsidRPr="00E31BBF" w:rsidRDefault="002F001C" w:rsidP="00732F46">
      <w:pPr>
        <w:pStyle w:val="SingleTxtG"/>
      </w:pPr>
      <w:r w:rsidRPr="00E31BBF">
        <w:t>156.</w:t>
      </w:r>
      <w:r w:rsidRPr="00E31BBF">
        <w:tab/>
        <w:t>Estonian</w:t>
      </w:r>
      <w:r w:rsidR="00C21DB7">
        <w:t xml:space="preserve"> </w:t>
      </w:r>
      <w:r w:rsidRPr="00E31BBF">
        <w:t>government</w:t>
      </w:r>
      <w:r w:rsidR="00C21DB7">
        <w:t xml:space="preserve"> </w:t>
      </w:r>
      <w:r w:rsidRPr="00E31BBF">
        <w:t>recently</w:t>
      </w:r>
      <w:r w:rsidR="00C21DB7">
        <w:t xml:space="preserve"> </w:t>
      </w:r>
      <w:r w:rsidRPr="00E31BBF">
        <w:t>launched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task</w:t>
      </w:r>
      <w:r w:rsidR="00C21DB7">
        <w:t xml:space="preserve"> </w:t>
      </w:r>
      <w:r w:rsidRPr="00E31BBF">
        <w:t>force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develop</w:t>
      </w:r>
      <w:r w:rsidR="00C21DB7">
        <w:t xml:space="preserve"> </w:t>
      </w:r>
      <w:r w:rsidRPr="00E31BBF">
        <w:t>a</w:t>
      </w:r>
      <w:r w:rsidR="00C21DB7">
        <w:t xml:space="preserve"> </w:t>
      </w:r>
      <w:r w:rsidRPr="00E31BBF">
        <w:t>comprehensive</w:t>
      </w:r>
      <w:r w:rsidR="00C21DB7">
        <w:t xml:space="preserve"> </w:t>
      </w:r>
      <w:r w:rsidRPr="00E31BBF">
        <w:t>accessibility</w:t>
      </w:r>
      <w:r w:rsidR="00C21DB7">
        <w:t xml:space="preserve"> </w:t>
      </w:r>
      <w:r w:rsidRPr="00E31BBF">
        <w:t>policy.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task</w:t>
      </w:r>
      <w:r w:rsidR="00C21DB7">
        <w:t xml:space="preserve"> </w:t>
      </w:r>
      <w:r w:rsidRPr="00E31BBF">
        <w:t>force</w:t>
      </w:r>
      <w:r w:rsidR="00C21DB7">
        <w:t xml:space="preserve"> </w:t>
      </w:r>
      <w:r w:rsidRPr="00E31BBF">
        <w:t>bringing</w:t>
      </w:r>
      <w:r w:rsidR="00C21DB7">
        <w:t xml:space="preserve"> </w:t>
      </w:r>
      <w:r w:rsidRPr="00E31BBF">
        <w:t>together</w:t>
      </w:r>
      <w:r w:rsidR="00C21DB7">
        <w:t xml:space="preserve"> </w:t>
      </w:r>
      <w:r w:rsidRPr="00E31BBF">
        <w:t>all</w:t>
      </w:r>
      <w:r w:rsidR="00C21DB7">
        <w:t xml:space="preserve"> </w:t>
      </w:r>
      <w:r w:rsidRPr="00E31BBF">
        <w:t>relevant</w:t>
      </w:r>
      <w:r w:rsidR="00C21DB7">
        <w:t xml:space="preserve"> </w:t>
      </w:r>
      <w:r w:rsidRPr="00E31BBF">
        <w:t>stakeholders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government,</w:t>
      </w:r>
      <w:r w:rsidR="00C21DB7">
        <w:t xml:space="preserve"> </w:t>
      </w:r>
      <w:r w:rsidRPr="00E31BBF">
        <w:t>NGOs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private</w:t>
      </w:r>
      <w:r w:rsidR="00C21DB7">
        <w:t xml:space="preserve"> </w:t>
      </w:r>
      <w:r w:rsidRPr="00E31BBF">
        <w:t>sector</w:t>
      </w:r>
      <w:r w:rsidR="00C21DB7">
        <w:t xml:space="preserve"> </w:t>
      </w:r>
      <w:r w:rsidRPr="00E31BBF">
        <w:t>had</w:t>
      </w:r>
      <w:r w:rsidR="00C21DB7">
        <w:t xml:space="preserve"> </w:t>
      </w:r>
      <w:r w:rsidRPr="00E31BBF">
        <w:t>its</w:t>
      </w:r>
      <w:r w:rsidR="00C21DB7">
        <w:t xml:space="preserve"> </w:t>
      </w:r>
      <w:r w:rsidRPr="00E31BBF">
        <w:t>first</w:t>
      </w:r>
      <w:r w:rsidR="00C21DB7">
        <w:t xml:space="preserve"> </w:t>
      </w:r>
      <w:r w:rsidRPr="00E31BBF">
        <w:t>meeting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November</w:t>
      </w:r>
      <w:r w:rsidR="00C21DB7">
        <w:t xml:space="preserve"> </w:t>
      </w:r>
      <w:r w:rsidRPr="00E31BBF">
        <w:t>2019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its</w:t>
      </w:r>
      <w:r w:rsidR="00C21DB7">
        <w:t xml:space="preserve"> </w:t>
      </w:r>
      <w:r w:rsidRPr="00E31BBF">
        <w:t>mandate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two</w:t>
      </w:r>
      <w:r w:rsidR="00C21DB7">
        <w:t xml:space="preserve"> </w:t>
      </w:r>
      <w:r w:rsidRPr="00E31BBF">
        <w:t>years.</w:t>
      </w:r>
    </w:p>
    <w:p w:rsidR="002F001C" w:rsidRPr="00E31BBF" w:rsidRDefault="002F001C" w:rsidP="003E41EF">
      <w:pPr>
        <w:pStyle w:val="H23G"/>
      </w:pPr>
      <w:r w:rsidRPr="00E31BBF"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24</w:t>
      </w:r>
      <w:r w:rsidR="00B10A4D">
        <w:t xml:space="preserve"> </w:t>
      </w:r>
      <w:r w:rsidRPr="00E31BBF">
        <w:t>(b)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157.</w:t>
      </w:r>
      <w:r w:rsidRPr="00E31BBF">
        <w:tab/>
        <w:t>On</w:t>
      </w:r>
      <w:r w:rsidR="00C21DB7">
        <w:t xml:space="preserve"> </w:t>
      </w:r>
      <w:r w:rsidRPr="00E31BBF">
        <w:t>13th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June</w:t>
      </w:r>
      <w:r w:rsidR="00C21DB7">
        <w:t xml:space="preserve"> </w:t>
      </w:r>
      <w:r w:rsidRPr="00E31BBF">
        <w:t>2018,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Estonian</w:t>
      </w:r>
      <w:r w:rsidR="00C21DB7">
        <w:t xml:space="preserve"> </w:t>
      </w:r>
      <w:r w:rsidRPr="00E31BBF">
        <w:t>Parliament</w:t>
      </w:r>
      <w:r w:rsidR="00C21DB7">
        <w:t xml:space="preserve"> </w:t>
      </w:r>
      <w:r w:rsidRPr="00E31BBF">
        <w:t>adopted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amendment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Chancellor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Justice</w:t>
      </w:r>
      <w:r w:rsidR="00C21DB7">
        <w:t xml:space="preserve"> </w:t>
      </w:r>
      <w:r w:rsidRPr="00E31BBF">
        <w:t>Act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aim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was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designate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institution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Chancellor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Justice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tasks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framework</w:t>
      </w:r>
      <w:r w:rsidR="00C21DB7">
        <w:t xml:space="preserve"> </w:t>
      </w:r>
      <w:r w:rsidRPr="00E31BBF">
        <w:t>indicated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33</w:t>
      </w:r>
      <w:r w:rsidR="00C21DB7">
        <w:t xml:space="preserve"> </w:t>
      </w:r>
      <w:r w:rsidRPr="00E31BBF">
        <w:t>point</w:t>
      </w:r>
      <w:r w:rsidR="00C21DB7">
        <w:t xml:space="preserve"> </w:t>
      </w:r>
      <w:r w:rsidRPr="00E31BBF">
        <w:t>2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CRPD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promote,</w:t>
      </w:r>
      <w:r w:rsidR="00C21DB7">
        <w:t xml:space="preserve"> </w:t>
      </w:r>
      <w:r w:rsidRPr="00E31BBF">
        <w:t>protect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monitor</w:t>
      </w:r>
      <w:r w:rsidR="00C21DB7">
        <w:t xml:space="preserve"> </w:t>
      </w:r>
      <w:r w:rsidRPr="00E31BBF">
        <w:t>implementation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Convention.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amendment</w:t>
      </w:r>
      <w:r w:rsidR="00C21DB7">
        <w:t xml:space="preserve"> </w:t>
      </w:r>
      <w:r w:rsidRPr="00E31BBF">
        <w:t>came</w:t>
      </w:r>
      <w:r w:rsidR="00C21DB7">
        <w:t xml:space="preserve"> </w:t>
      </w:r>
      <w:r w:rsidRPr="00E31BBF">
        <w:t>into</w:t>
      </w:r>
      <w:r w:rsidR="00C21DB7">
        <w:t xml:space="preserve"> </w:t>
      </w:r>
      <w:r w:rsidRPr="00E31BBF">
        <w:t>force</w:t>
      </w:r>
      <w:r w:rsidR="00C21DB7">
        <w:t xml:space="preserve"> </w:t>
      </w:r>
      <w:r w:rsidRPr="00E31BBF">
        <w:t>from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1st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January</w:t>
      </w:r>
      <w:r w:rsidR="00C21DB7">
        <w:t xml:space="preserve"> </w:t>
      </w:r>
      <w:r w:rsidRPr="00E31BBF">
        <w:t>2019.</w:t>
      </w:r>
    </w:p>
    <w:p w:rsidR="002F001C" w:rsidRPr="00E31BBF" w:rsidRDefault="002F001C" w:rsidP="00732F46">
      <w:pPr>
        <w:pStyle w:val="SingleTxtG"/>
      </w:pPr>
      <w:r w:rsidRPr="00E31BBF">
        <w:t>158.</w:t>
      </w:r>
      <w:r w:rsidRPr="00E31BBF">
        <w:tab/>
        <w:t>The</w:t>
      </w:r>
      <w:r w:rsidR="00C21DB7">
        <w:t xml:space="preserve"> </w:t>
      </w:r>
      <w:r w:rsidRPr="00E31BBF">
        <w:t>Chancellor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Justice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an</w:t>
      </w:r>
      <w:r w:rsidR="00C21DB7">
        <w:t xml:space="preserve"> </w:t>
      </w:r>
      <w:r w:rsidRPr="00E31BBF">
        <w:t>independent</w:t>
      </w:r>
      <w:r w:rsidR="00C21DB7">
        <w:t xml:space="preserve"> </w:t>
      </w:r>
      <w:r w:rsidRPr="00E31BBF">
        <w:t>official</w:t>
      </w:r>
      <w:r w:rsidR="00C21DB7">
        <w:t xml:space="preserve"> </w:t>
      </w:r>
      <w:r w:rsidRPr="00E31BBF">
        <w:t>who</w:t>
      </w:r>
      <w:r w:rsidR="00C21DB7">
        <w:t xml:space="preserve"> </w:t>
      </w:r>
      <w:r w:rsidRPr="00E31BBF">
        <w:t>reviews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legislation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conformity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Constitution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Republic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Estonia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Acts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Republic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Estonia.</w:t>
      </w:r>
      <w:r w:rsidR="00C21DB7">
        <w:t xml:space="preserve"> </w:t>
      </w:r>
      <w:r w:rsidRPr="00E31BBF">
        <w:t>Her</w:t>
      </w:r>
      <w:r w:rsidR="00C21DB7">
        <w:t xml:space="preserve"> </w:t>
      </w:r>
      <w:r w:rsidRPr="00E31BBF">
        <w:t>tasks</w:t>
      </w:r>
      <w:r w:rsidR="00C21DB7">
        <w:t xml:space="preserve"> </w:t>
      </w:r>
      <w:r w:rsidRPr="00E31BBF">
        <w:t>include</w:t>
      </w:r>
      <w:r w:rsidR="00C21DB7">
        <w:t xml:space="preserve"> </w:t>
      </w:r>
      <w:r w:rsidRPr="00E31BBF">
        <w:t>also,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example,</w:t>
      </w:r>
      <w:r w:rsidR="00C21DB7">
        <w:t xml:space="preserve"> </w:t>
      </w:r>
      <w:r w:rsidRPr="00E31BBF">
        <w:t>exercising</w:t>
      </w:r>
      <w:r w:rsidR="00C21DB7">
        <w:t xml:space="preserve"> </w:t>
      </w:r>
      <w:r w:rsidRPr="00E31BBF">
        <w:t>supervision</w:t>
      </w:r>
      <w:r w:rsidR="00C21DB7">
        <w:t xml:space="preserve"> </w:t>
      </w:r>
      <w:r w:rsidRPr="00E31BBF">
        <w:t>over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compliance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legislation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international</w:t>
      </w:r>
      <w:r w:rsidR="00C21DB7">
        <w:t xml:space="preserve"> </w:t>
      </w:r>
      <w:r w:rsidRPr="00E31BBF">
        <w:t>agreements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resolving</w:t>
      </w:r>
      <w:r w:rsidR="00C21DB7">
        <w:t xml:space="preserve"> </w:t>
      </w:r>
      <w:r w:rsidRPr="00E31BBF">
        <w:t>discrimination</w:t>
      </w:r>
      <w:r w:rsidR="00C21DB7">
        <w:t xml:space="preserve"> </w:t>
      </w:r>
      <w:r w:rsidRPr="00E31BBF">
        <w:t>disputes,</w:t>
      </w:r>
      <w:r w:rsidR="00C21DB7">
        <w:t xml:space="preserve"> </w:t>
      </w:r>
      <w:r w:rsidRPr="00E31BBF">
        <w:t>which</w:t>
      </w:r>
      <w:r w:rsidR="00C21DB7">
        <w:t xml:space="preserve"> </w:t>
      </w:r>
      <w:r w:rsidRPr="00E31BBF">
        <w:t>arise</w:t>
      </w:r>
      <w:r w:rsidR="00C21DB7">
        <w:t xml:space="preserve"> </w:t>
      </w:r>
      <w:r w:rsidRPr="00E31BBF">
        <w:t>between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private</w:t>
      </w:r>
      <w:r w:rsidR="00C21DB7">
        <w:t xml:space="preserve"> </w:t>
      </w:r>
      <w:r w:rsidRPr="00E31BBF">
        <w:t>law</w:t>
      </w:r>
      <w:r w:rsidR="00C21DB7">
        <w:t xml:space="preserve"> </w:t>
      </w:r>
      <w:proofErr w:type="gramStart"/>
      <w:r w:rsidRPr="00E31BBF">
        <w:t>on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basis</w:t>
      </w:r>
      <w:r w:rsidR="00C21DB7">
        <w:t xml:space="preserve"> </w:t>
      </w:r>
      <w:r w:rsidRPr="00E31BBF">
        <w:t>of</w:t>
      </w:r>
      <w:proofErr w:type="gramEnd"/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Constitution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other</w:t>
      </w:r>
      <w:r w:rsidR="00C21DB7">
        <w:t xml:space="preserve"> </w:t>
      </w:r>
      <w:r w:rsidRPr="00E31BBF">
        <w:t>Acts.</w:t>
      </w:r>
    </w:p>
    <w:p w:rsidR="002F001C" w:rsidRPr="00E31BBF" w:rsidRDefault="002F001C" w:rsidP="00732F46">
      <w:pPr>
        <w:pStyle w:val="SingleTxtG"/>
      </w:pPr>
      <w:r w:rsidRPr="00E31BBF">
        <w:t>159.</w:t>
      </w:r>
      <w:r w:rsidRPr="00E31BBF">
        <w:tab/>
        <w:t>The</w:t>
      </w:r>
      <w:r w:rsidR="00C21DB7">
        <w:t xml:space="preserve"> </w:t>
      </w:r>
      <w:r w:rsidRPr="00E31BBF">
        <w:t>budget</w:t>
      </w:r>
      <w:r w:rsidR="00C21DB7">
        <w:t xml:space="preserve"> </w:t>
      </w:r>
      <w:r w:rsidRPr="00E31BBF">
        <w:t>allocated</w:t>
      </w:r>
      <w:r w:rsidR="00C21DB7">
        <w:t xml:space="preserve"> </w:t>
      </w:r>
      <w:r w:rsidRPr="00E31BBF">
        <w:t>for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tasks</w:t>
      </w:r>
      <w:r w:rsidR="00C21DB7">
        <w:t xml:space="preserve"> </w:t>
      </w:r>
      <w:r w:rsidRPr="00E31BBF">
        <w:t>related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implementation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Convention</w:t>
      </w:r>
      <w:r w:rsidR="00C21DB7">
        <w:t xml:space="preserve"> </w:t>
      </w:r>
      <w:r w:rsidRPr="00E31BBF">
        <w:t>are</w:t>
      </w:r>
      <w:r w:rsidR="00C21DB7">
        <w:t xml:space="preserve"> </w:t>
      </w:r>
      <w:r w:rsidRPr="00E31BBF">
        <w:t>100</w:t>
      </w:r>
      <w:r w:rsidR="00C21DB7">
        <w:t xml:space="preserve"> </w:t>
      </w:r>
      <w:r w:rsidRPr="00E31BBF">
        <w:t>000</w:t>
      </w:r>
      <w:r w:rsidR="00C21DB7">
        <w:t xml:space="preserve"> </w:t>
      </w:r>
      <w:r w:rsidRPr="00E31BBF">
        <w:t>euros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2019.</w:t>
      </w:r>
      <w:r w:rsidR="00C21DB7">
        <w:t xml:space="preserve"> </w:t>
      </w:r>
    </w:p>
    <w:p w:rsidR="002F001C" w:rsidRPr="00E31BBF" w:rsidRDefault="002F001C" w:rsidP="003E41EF">
      <w:pPr>
        <w:pStyle w:val="H23G"/>
      </w:pPr>
      <w:r w:rsidRPr="00E31BBF">
        <w:lastRenderedPageBreak/>
        <w:tab/>
      </w:r>
      <w:r w:rsidRPr="00E31BBF">
        <w:tab/>
        <w:t>Reply</w:t>
      </w:r>
      <w:r w:rsidR="00C21DB7">
        <w:t xml:space="preserve"> </w:t>
      </w:r>
      <w:r w:rsidRPr="00E31BBF">
        <w:t>to</w:t>
      </w:r>
      <w:r w:rsidR="00C21DB7">
        <w:t xml:space="preserve"> </w:t>
      </w:r>
      <w:r w:rsidRPr="00E31BBF">
        <w:t>paragraph</w:t>
      </w:r>
      <w:r w:rsidR="00C21DB7">
        <w:t xml:space="preserve"> </w:t>
      </w:r>
      <w:r w:rsidRPr="00E31BBF">
        <w:t>24</w:t>
      </w:r>
      <w:r w:rsidR="00B10A4D">
        <w:t xml:space="preserve"> </w:t>
      </w:r>
      <w:r w:rsidRPr="00E31BBF">
        <w:t>(c)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list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issues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160.</w:t>
      </w:r>
      <w:r w:rsidRPr="00E31BBF">
        <w:tab/>
        <w:t>Involving</w:t>
      </w:r>
      <w:r w:rsidR="00C21DB7">
        <w:t xml:space="preserve"> </w:t>
      </w:r>
      <w:r w:rsidRPr="00E31BBF">
        <w:t>civil</w:t>
      </w:r>
      <w:r w:rsidR="00C21DB7">
        <w:t xml:space="preserve"> </w:t>
      </w:r>
      <w:r w:rsidRPr="00E31BBF">
        <w:t>society,</w:t>
      </w:r>
      <w:r w:rsidR="00C21DB7">
        <w:t xml:space="preserve"> </w:t>
      </w:r>
      <w:r w:rsidRPr="00E31BBF">
        <w:t>consulting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representative</w:t>
      </w:r>
      <w:r w:rsidR="00C21DB7">
        <w:t xml:space="preserve"> </w:t>
      </w:r>
      <w:r w:rsidRPr="00E31BBF">
        <w:t>bodies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persons</w:t>
      </w:r>
      <w:r w:rsidR="00C21DB7">
        <w:t xml:space="preserve"> </w:t>
      </w:r>
      <w:r w:rsidRPr="00E31BBF">
        <w:t>with</w:t>
      </w:r>
      <w:r w:rsidR="00C21DB7">
        <w:t xml:space="preserve"> </w:t>
      </w:r>
      <w:r w:rsidRPr="00E31BBF">
        <w:t>disabilities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engaging</w:t>
      </w:r>
      <w:r w:rsidR="00C21DB7">
        <w:t xml:space="preserve"> </w:t>
      </w:r>
      <w:r w:rsidRPr="00E31BBF">
        <w:t>them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policy</w:t>
      </w:r>
      <w:r w:rsidR="00C21DB7">
        <w:t xml:space="preserve"> </w:t>
      </w:r>
      <w:r w:rsidRPr="00E31BBF">
        <w:t>design</w:t>
      </w:r>
      <w:r w:rsidR="00C21DB7">
        <w:t xml:space="preserve"> </w:t>
      </w:r>
      <w:r w:rsidRPr="00E31BBF">
        <w:t>is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responsibility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every</w:t>
      </w:r>
      <w:r w:rsidR="00C21DB7">
        <w:t xml:space="preserve"> </w:t>
      </w:r>
      <w:r w:rsidRPr="00E31BBF">
        <w:t>Ministry</w:t>
      </w:r>
      <w:r w:rsidR="00C21DB7">
        <w:t xml:space="preserve"> </w:t>
      </w:r>
      <w:r w:rsidRPr="00E31BBF">
        <w:t>and</w:t>
      </w:r>
      <w:r w:rsidR="00C21DB7">
        <w:t xml:space="preserve"> </w:t>
      </w:r>
      <w:r w:rsidRPr="00E31BBF">
        <w:t>government</w:t>
      </w:r>
      <w:r w:rsidR="00C21DB7">
        <w:t xml:space="preserve"> </w:t>
      </w:r>
      <w:r w:rsidRPr="00E31BBF">
        <w:t>office</w:t>
      </w:r>
      <w:r w:rsidR="00C21DB7">
        <w:t xml:space="preserve"> </w:t>
      </w:r>
      <w:r w:rsidRPr="00E31BBF">
        <w:t>making</w:t>
      </w:r>
      <w:r w:rsidR="00C21DB7">
        <w:t xml:space="preserve"> </w:t>
      </w:r>
      <w:r w:rsidRPr="00E31BBF">
        <w:t>policy.</w:t>
      </w:r>
      <w:r w:rsidR="00C21DB7">
        <w:t xml:space="preserve"> </w:t>
      </w:r>
    </w:p>
    <w:p w:rsidR="002F001C" w:rsidRPr="00E31BBF" w:rsidRDefault="002F001C" w:rsidP="00732F46">
      <w:pPr>
        <w:pStyle w:val="SingleTxtG"/>
      </w:pPr>
      <w:r w:rsidRPr="00E31BBF">
        <w:t>161.</w:t>
      </w:r>
      <w:r w:rsidRPr="00E31BBF">
        <w:tab/>
        <w:t>Monitoring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implementation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Convention</w:t>
      </w:r>
      <w:r w:rsidR="00C21DB7">
        <w:t xml:space="preserve"> </w:t>
      </w:r>
      <w:proofErr w:type="gramStart"/>
      <w:r w:rsidRPr="00E31BBF">
        <w:t>has</w:t>
      </w:r>
      <w:r w:rsidR="00C21DB7">
        <w:t xml:space="preserve"> </w:t>
      </w:r>
      <w:r w:rsidRPr="00E31BBF">
        <w:t>been</w:t>
      </w:r>
      <w:r w:rsidR="00C21DB7">
        <w:t xml:space="preserve"> </w:t>
      </w:r>
      <w:r w:rsidRPr="00E31BBF">
        <w:t>done</w:t>
      </w:r>
      <w:proofErr w:type="gramEnd"/>
      <w:r w:rsidR="00C21DB7">
        <w:t xml:space="preserve"> </w:t>
      </w:r>
      <w:r w:rsidRPr="00E31BBF">
        <w:t>through</w:t>
      </w:r>
      <w:r w:rsidR="00C21DB7">
        <w:t xml:space="preserve"> </w:t>
      </w:r>
      <w:r w:rsidRPr="00E31BBF">
        <w:t>several</w:t>
      </w:r>
      <w:r w:rsidR="00C21DB7">
        <w:t xml:space="preserve"> </w:t>
      </w:r>
      <w:r w:rsidRPr="00E31BBF">
        <w:t>actions</w:t>
      </w:r>
      <w:r w:rsidR="00C21DB7">
        <w:t xml:space="preserve"> </w:t>
      </w:r>
      <w:r w:rsidRPr="00E31BBF">
        <w:t>mentioned</w:t>
      </w:r>
      <w:r w:rsidR="00C21DB7">
        <w:t xml:space="preserve"> </w:t>
      </w:r>
      <w:r w:rsidRPr="00E31BBF">
        <w:t>in</w:t>
      </w:r>
      <w:r w:rsidR="00C21DB7">
        <w:t xml:space="preserve"> </w:t>
      </w:r>
      <w:r w:rsidRPr="00E31BBF">
        <w:t>many</w:t>
      </w:r>
      <w:r w:rsidR="00C21DB7">
        <w:t xml:space="preserve"> </w:t>
      </w:r>
      <w:r w:rsidRPr="00E31BBF">
        <w:t>of</w:t>
      </w:r>
      <w:r w:rsidR="00C21DB7">
        <w:t xml:space="preserve"> </w:t>
      </w:r>
      <w:r w:rsidRPr="00E31BBF">
        <w:t>the</w:t>
      </w:r>
      <w:r w:rsidR="00C21DB7">
        <w:t xml:space="preserve"> </w:t>
      </w:r>
      <w:r w:rsidRPr="00E31BBF">
        <w:t>answers</w:t>
      </w:r>
      <w:r w:rsidR="00C21DB7">
        <w:t xml:space="preserve"> </w:t>
      </w:r>
      <w:r w:rsidRPr="00E31BBF">
        <w:t>above.</w:t>
      </w:r>
      <w:r w:rsidR="00C21DB7">
        <w:t xml:space="preserve"> </w:t>
      </w:r>
    </w:p>
    <w:p w:rsidR="00AD4E9F" w:rsidRDefault="002F001C" w:rsidP="00732F46">
      <w:pPr>
        <w:pStyle w:val="SingleTxtG"/>
      </w:pPr>
      <w:proofErr w:type="gramStart"/>
      <w:r w:rsidRPr="00E31BBF">
        <w:t>162.</w:t>
      </w:r>
      <w:r w:rsidRPr="00E31BBF">
        <w:tab/>
        <w:t>Please</w:t>
      </w:r>
      <w:proofErr w:type="gramEnd"/>
      <w:r w:rsidR="00C21DB7">
        <w:t xml:space="preserve"> </w:t>
      </w:r>
      <w:r w:rsidRPr="00E31BBF">
        <w:t>see</w:t>
      </w:r>
      <w:r w:rsidR="00C21DB7">
        <w:t xml:space="preserve"> </w:t>
      </w:r>
      <w:r w:rsidRPr="00E31BBF">
        <w:t>also</w:t>
      </w:r>
      <w:r w:rsidR="00C21DB7">
        <w:t xml:space="preserve"> </w:t>
      </w:r>
      <w:r w:rsidRPr="00E31BBF">
        <w:t>answers</w:t>
      </w:r>
      <w:r w:rsidR="00C21DB7">
        <w:t xml:space="preserve"> </w:t>
      </w:r>
      <w:r w:rsidRPr="00E31BBF">
        <w:t>given</w:t>
      </w:r>
      <w:r w:rsidR="00C21DB7">
        <w:t xml:space="preserve"> </w:t>
      </w:r>
      <w:r w:rsidRPr="00E31BBF">
        <w:t>under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15</w:t>
      </w:r>
      <w:r w:rsidR="00C21DB7">
        <w:t xml:space="preserve"> </w:t>
      </w:r>
      <w:r w:rsidRPr="00E31BBF">
        <w:t>point</w:t>
      </w:r>
      <w:r w:rsidR="00C21DB7">
        <w:t xml:space="preserve"> </w:t>
      </w:r>
      <w:r w:rsidRPr="00E31BBF">
        <w:t>12.</w:t>
      </w:r>
      <w:r w:rsidR="00C21DB7">
        <w:t xml:space="preserve"> </w:t>
      </w:r>
      <w:r w:rsidRPr="00E31BBF">
        <w:t>(b),</w:t>
      </w:r>
      <w:r w:rsidR="00C21DB7">
        <w:t xml:space="preserve"> </w:t>
      </w:r>
      <w:r w:rsidRPr="00E31BBF">
        <w:t>article</w:t>
      </w:r>
      <w:r w:rsidR="00C21DB7">
        <w:t xml:space="preserve"> </w:t>
      </w:r>
      <w:r w:rsidRPr="00E31BBF">
        <w:t>29,</w:t>
      </w:r>
      <w:r w:rsidR="00C21DB7">
        <w:t xml:space="preserve"> </w:t>
      </w:r>
      <w:r w:rsidRPr="00E31BBF">
        <w:t>art</w:t>
      </w:r>
      <w:r w:rsidR="001200E5">
        <w:t>.</w:t>
      </w:r>
      <w:r w:rsidR="00C21DB7">
        <w:t xml:space="preserve"> </w:t>
      </w:r>
      <w:proofErr w:type="gramStart"/>
      <w:r w:rsidRPr="00E31BBF">
        <w:t>33</w:t>
      </w:r>
      <w:proofErr w:type="gramEnd"/>
      <w:r w:rsidR="00C21DB7">
        <w:t xml:space="preserve"> </w:t>
      </w:r>
      <w:r w:rsidRPr="00E31BBF">
        <w:t>point</w:t>
      </w:r>
      <w:r w:rsidR="00C21DB7">
        <w:t xml:space="preserve"> </w:t>
      </w:r>
      <w:r w:rsidRPr="00E31BBF">
        <w:t>(a),</w:t>
      </w:r>
      <w:r w:rsidR="00C21DB7">
        <w:t xml:space="preserve"> </w:t>
      </w:r>
      <w:r w:rsidRPr="00E31BBF">
        <w:t>(b)</w:t>
      </w:r>
      <w:r w:rsidR="00C21DB7">
        <w:t xml:space="preserve"> </w:t>
      </w:r>
      <w:r w:rsidRPr="00E31BBF">
        <w:t>etc.</w:t>
      </w:r>
    </w:p>
    <w:p w:rsidR="00AD4E9F" w:rsidRDefault="003E41EF" w:rsidP="003E41EF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4E9F" w:rsidSect="009C753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D8" w:rsidRPr="00317DC1" w:rsidRDefault="00DE65D8" w:rsidP="00317DC1">
      <w:pPr>
        <w:pStyle w:val="Footer"/>
      </w:pPr>
    </w:p>
  </w:endnote>
  <w:endnote w:type="continuationSeparator" w:id="0">
    <w:p w:rsidR="00DE65D8" w:rsidRPr="00317DC1" w:rsidRDefault="00DE65D8" w:rsidP="00317DC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D8" w:rsidRDefault="00DE65D8" w:rsidP="00AD4E9F">
    <w:pPr>
      <w:pStyle w:val="Footer"/>
      <w:tabs>
        <w:tab w:val="right" w:pos="9638"/>
      </w:tabs>
    </w:pPr>
    <w:r w:rsidRPr="00AD4E9F">
      <w:rPr>
        <w:b/>
        <w:bCs/>
        <w:sz w:val="18"/>
      </w:rPr>
      <w:fldChar w:fldCharType="begin"/>
    </w:r>
    <w:r w:rsidRPr="00AD4E9F">
      <w:rPr>
        <w:b/>
        <w:bCs/>
        <w:sz w:val="18"/>
      </w:rPr>
      <w:instrText xml:space="preserve"> PAGE  \* MERGEFORMAT </w:instrText>
    </w:r>
    <w:r w:rsidRPr="00AD4E9F">
      <w:rPr>
        <w:b/>
        <w:bCs/>
        <w:sz w:val="18"/>
      </w:rPr>
      <w:fldChar w:fldCharType="separate"/>
    </w:r>
    <w:r w:rsidR="000F71A0">
      <w:rPr>
        <w:b/>
        <w:bCs/>
        <w:noProof/>
        <w:sz w:val="18"/>
      </w:rPr>
      <w:t>22</w:t>
    </w:r>
    <w:r w:rsidRPr="00AD4E9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D8" w:rsidRDefault="00DE65D8" w:rsidP="00AD4E9F">
    <w:pPr>
      <w:pStyle w:val="Footer"/>
      <w:tabs>
        <w:tab w:val="right" w:pos="9638"/>
      </w:tabs>
    </w:pPr>
    <w:r>
      <w:tab/>
    </w:r>
    <w:r w:rsidRPr="00AD4E9F">
      <w:rPr>
        <w:b/>
        <w:bCs/>
        <w:sz w:val="18"/>
      </w:rPr>
      <w:fldChar w:fldCharType="begin"/>
    </w:r>
    <w:r w:rsidRPr="00AD4E9F">
      <w:rPr>
        <w:b/>
        <w:bCs/>
        <w:sz w:val="18"/>
      </w:rPr>
      <w:instrText xml:space="preserve"> PAGE  \* MERGEFORMAT </w:instrText>
    </w:r>
    <w:r w:rsidRPr="00AD4E9F">
      <w:rPr>
        <w:b/>
        <w:bCs/>
        <w:sz w:val="18"/>
      </w:rPr>
      <w:fldChar w:fldCharType="separate"/>
    </w:r>
    <w:r w:rsidR="000F71A0">
      <w:rPr>
        <w:b/>
        <w:bCs/>
        <w:noProof/>
        <w:sz w:val="18"/>
      </w:rPr>
      <w:t>21</w:t>
    </w:r>
    <w:r w:rsidRPr="00AD4E9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A0" w:rsidRDefault="000F71A0" w:rsidP="000F71A0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71A0" w:rsidRDefault="000F71A0" w:rsidP="000F71A0">
    <w:pPr>
      <w:pStyle w:val="Footer"/>
      <w:ind w:right="1134"/>
      <w:rPr>
        <w:sz w:val="20"/>
      </w:rPr>
    </w:pPr>
    <w:r>
      <w:rPr>
        <w:sz w:val="20"/>
      </w:rPr>
      <w:t>GE.19-21657(E)</w:t>
    </w:r>
  </w:p>
  <w:p w:rsidR="000F71A0" w:rsidRPr="000F71A0" w:rsidRDefault="000F71A0" w:rsidP="000F71A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RPD/C/EST/RQ/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EST/RQ/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D8" w:rsidRPr="00317DC1" w:rsidRDefault="00DE65D8" w:rsidP="00317DC1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:rsidR="00DE65D8" w:rsidRPr="00317DC1" w:rsidRDefault="00DE65D8" w:rsidP="00317DC1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id="1">
    <w:p w:rsidR="00DE65D8" w:rsidRPr="00732F46" w:rsidRDefault="00DE65D8" w:rsidP="006F5AD0">
      <w:pPr>
        <w:pStyle w:val="FootnoteText"/>
      </w:pPr>
      <w:r>
        <w:rPr>
          <w:rStyle w:val="FootnoteReference"/>
        </w:rPr>
        <w:tab/>
      </w:r>
      <w:r w:rsidRPr="00732F4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 xml:space="preserve">The present document </w:t>
      </w:r>
      <w:proofErr w:type="gramStart"/>
      <w:r>
        <w:t>is being issued</w:t>
      </w:r>
      <w:proofErr w:type="gramEnd"/>
      <w:r>
        <w:t xml:space="preserve"> without formal editing.</w:t>
      </w:r>
    </w:p>
  </w:footnote>
  <w:footnote w:id="2">
    <w:p w:rsidR="00DE65D8" w:rsidRPr="00C06790" w:rsidRDefault="00DE65D8" w:rsidP="006F5AD0">
      <w:pPr>
        <w:pStyle w:val="FootnoteText"/>
        <w:rPr>
          <w:lang w:val="et-EE"/>
        </w:rPr>
      </w:pPr>
      <w:r>
        <w:tab/>
      </w:r>
      <w:r w:rsidRPr="00060D87">
        <w:rPr>
          <w:rStyle w:val="FootnoteReference"/>
        </w:rPr>
        <w:footnoteRef/>
      </w:r>
      <w:r w:rsidRPr="00060D87">
        <w:rPr>
          <w:rStyle w:val="FootnoteReference"/>
        </w:rPr>
        <w:t xml:space="preserve"> </w:t>
      </w:r>
      <w:r>
        <w:tab/>
      </w:r>
      <w:r>
        <w:rPr>
          <w:lang w:val="et-EE"/>
        </w:rPr>
        <w:t>Unofficial translation.</w:t>
      </w:r>
    </w:p>
  </w:footnote>
  <w:footnote w:id="3">
    <w:p w:rsidR="00DE65D8" w:rsidRPr="00FC0AA3" w:rsidRDefault="00DE65D8" w:rsidP="006F5AD0">
      <w:pPr>
        <w:pStyle w:val="FootnoteText"/>
        <w:rPr>
          <w:lang w:val="et-EE"/>
        </w:rPr>
      </w:pPr>
      <w:r>
        <w:tab/>
      </w:r>
      <w:r w:rsidRPr="00060D87">
        <w:rPr>
          <w:rStyle w:val="FootnoteReference"/>
        </w:rPr>
        <w:footnoteRef/>
      </w:r>
      <w:r w:rsidRPr="00060D87">
        <w:rPr>
          <w:rStyle w:val="FootnoteReference"/>
        </w:rPr>
        <w:t xml:space="preserve"> </w:t>
      </w:r>
      <w:r>
        <w:tab/>
      </w:r>
      <w:r>
        <w:rPr>
          <w:lang w:val="et-EE"/>
        </w:rPr>
        <w:t xml:space="preserve">Unofficial </w:t>
      </w:r>
      <w:r>
        <w:rPr>
          <w:lang w:val="et-EE"/>
        </w:rPr>
        <w:t>translation.</w:t>
      </w:r>
    </w:p>
  </w:footnote>
  <w:footnote w:id="4">
    <w:p w:rsidR="00DE65D8" w:rsidRPr="00F96F0A" w:rsidRDefault="00DE65D8" w:rsidP="006F5AD0">
      <w:pPr>
        <w:pStyle w:val="FootnoteText"/>
        <w:rPr>
          <w:lang w:val="et-EE"/>
        </w:rPr>
      </w:pPr>
      <w:r>
        <w:tab/>
      </w:r>
      <w:r w:rsidRPr="00060D87">
        <w:rPr>
          <w:rStyle w:val="FootnoteReference"/>
        </w:rPr>
        <w:footnoteRef/>
      </w:r>
      <w:r w:rsidRPr="00060D87">
        <w:rPr>
          <w:rStyle w:val="FootnoteReference"/>
        </w:rPr>
        <w:t xml:space="preserve"> </w:t>
      </w:r>
      <w:r>
        <w:tab/>
      </w:r>
      <w:r>
        <w:rPr>
          <w:lang w:val="et-EE"/>
        </w:rPr>
        <w:t xml:space="preserve">Homepage: </w:t>
      </w:r>
      <w:hyperlink r:id="rId1" w:history="1">
        <w:r>
          <w:t>https://www.tegijad.ee/</w:t>
        </w:r>
      </w:hyperlink>
      <w:r>
        <w:t xml:space="preserve">. </w:t>
      </w:r>
    </w:p>
  </w:footnote>
  <w:footnote w:id="5">
    <w:p w:rsidR="00DE65D8" w:rsidRPr="006733F8" w:rsidRDefault="00DE65D8" w:rsidP="006F5AD0">
      <w:pPr>
        <w:pStyle w:val="FootnoteText"/>
        <w:rPr>
          <w:lang w:val="et-EE"/>
        </w:rPr>
      </w:pPr>
      <w:r>
        <w:rPr>
          <w:lang w:val="et-EE"/>
        </w:rPr>
        <w:tab/>
      </w:r>
      <w:r w:rsidRPr="00060D87">
        <w:rPr>
          <w:rStyle w:val="FootnoteReference"/>
        </w:rPr>
        <w:footnoteRef/>
      </w:r>
      <w:r w:rsidRPr="00060D87">
        <w:rPr>
          <w:rStyle w:val="FootnoteReference"/>
        </w:rPr>
        <w:t xml:space="preserve"> </w:t>
      </w:r>
      <w:r>
        <w:rPr>
          <w:lang w:val="et-EE"/>
        </w:rPr>
        <w:tab/>
      </w:r>
      <w:hyperlink r:id="rId2" w:history="1">
        <w:r w:rsidRPr="00D21967">
          <w:rPr>
            <w:lang w:val="et-EE"/>
          </w:rPr>
          <w:t>https://www.riigiteataja.ee/akt/131052018055</w:t>
        </w:r>
      </w:hyperlink>
      <w:r>
        <w:rPr>
          <w:lang w:val="et-EE"/>
        </w:rPr>
        <w:t>.</w:t>
      </w:r>
      <w:r w:rsidRPr="00D21967">
        <w:rPr>
          <w:lang w:val="et-EE"/>
        </w:rPr>
        <w:t xml:space="preserve"> </w:t>
      </w:r>
    </w:p>
  </w:footnote>
  <w:footnote w:id="6">
    <w:p w:rsidR="00DE65D8" w:rsidRPr="00487979" w:rsidRDefault="00DE65D8" w:rsidP="006F5AD0">
      <w:pPr>
        <w:pStyle w:val="FootnoteText"/>
        <w:rPr>
          <w:lang w:val="et-EE"/>
        </w:rPr>
      </w:pPr>
      <w:r w:rsidRPr="00D21967">
        <w:rPr>
          <w:lang w:val="et-EE"/>
        </w:rPr>
        <w:tab/>
      </w:r>
      <w:r w:rsidRPr="00060D87">
        <w:rPr>
          <w:rStyle w:val="FootnoteReference"/>
        </w:rPr>
        <w:footnoteRef/>
      </w:r>
      <w:r w:rsidRPr="00060D87">
        <w:rPr>
          <w:rStyle w:val="FootnoteReference"/>
        </w:rPr>
        <w:t xml:space="preserve"> </w:t>
      </w:r>
      <w:r>
        <w:tab/>
      </w:r>
      <w:r>
        <w:rPr>
          <w:lang w:val="et-EE"/>
        </w:rPr>
        <w:t>Ministry of the Interior, 2019.</w:t>
      </w:r>
    </w:p>
  </w:footnote>
  <w:footnote w:id="7">
    <w:p w:rsidR="00DE65D8" w:rsidRPr="00DF3911" w:rsidRDefault="00DE65D8" w:rsidP="006F5AD0">
      <w:pPr>
        <w:pStyle w:val="FootnoteText"/>
        <w:rPr>
          <w:lang w:val="et-EE"/>
        </w:rPr>
      </w:pPr>
      <w:r>
        <w:rPr>
          <w:color w:val="000000" w:themeColor="text1"/>
          <w:szCs w:val="18"/>
        </w:rPr>
        <w:tab/>
      </w:r>
      <w:r w:rsidRPr="00060D87">
        <w:rPr>
          <w:rStyle w:val="FootnoteReference"/>
        </w:rPr>
        <w:footnoteRef/>
      </w:r>
      <w:r w:rsidRPr="00060D87">
        <w:rPr>
          <w:rStyle w:val="FootnoteReference"/>
        </w:rPr>
        <w:t xml:space="preserve"> </w:t>
      </w:r>
      <w:r>
        <w:rPr>
          <w:color w:val="000000" w:themeColor="text1"/>
          <w:szCs w:val="18"/>
        </w:rPr>
        <w:tab/>
      </w:r>
      <w:r w:rsidRPr="00DF3911">
        <w:rPr>
          <w:color w:val="000000" w:themeColor="text1"/>
          <w:szCs w:val="18"/>
          <w:lang w:val="en" w:eastAsia="et-EE"/>
        </w:rPr>
        <w:t xml:space="preserve">Special care services </w:t>
      </w:r>
      <w:proofErr w:type="gramStart"/>
      <w:r w:rsidRPr="00DF3911">
        <w:rPr>
          <w:color w:val="000000" w:themeColor="text1"/>
          <w:szCs w:val="18"/>
          <w:lang w:val="en" w:eastAsia="et-EE"/>
        </w:rPr>
        <w:t>are desig</w:t>
      </w:r>
      <w:r>
        <w:rPr>
          <w:color w:val="000000" w:themeColor="text1"/>
          <w:szCs w:val="18"/>
          <w:lang w:val="en" w:eastAsia="et-EE"/>
        </w:rPr>
        <w:t>ned</w:t>
      </w:r>
      <w:proofErr w:type="gramEnd"/>
      <w:r>
        <w:rPr>
          <w:color w:val="000000" w:themeColor="text1"/>
          <w:szCs w:val="18"/>
          <w:lang w:val="en" w:eastAsia="et-EE"/>
        </w:rPr>
        <w:t xml:space="preserve"> for people with severe, profound or persistent mental disorder</w:t>
      </w:r>
      <w:r w:rsidRPr="00DF3911">
        <w:rPr>
          <w:color w:val="000000" w:themeColor="text1"/>
          <w:szCs w:val="18"/>
          <w:lang w:val="en" w:eastAsia="et-EE"/>
        </w:rPr>
        <w:t>.</w:t>
      </w:r>
      <w:r>
        <w:rPr>
          <w:color w:val="000000" w:themeColor="text1"/>
          <w:szCs w:val="18"/>
          <w:lang w:val="en" w:eastAsia="et-EE"/>
        </w:rPr>
        <w:t xml:space="preserve"> Disability is not a basis of having this </w:t>
      </w:r>
      <w:proofErr w:type="gramStart"/>
      <w:r>
        <w:rPr>
          <w:color w:val="000000" w:themeColor="text1"/>
          <w:szCs w:val="18"/>
          <w:lang w:val="en" w:eastAsia="et-EE"/>
        </w:rPr>
        <w:t>service,</w:t>
      </w:r>
      <w:proofErr w:type="gramEnd"/>
      <w:r>
        <w:rPr>
          <w:color w:val="000000" w:themeColor="text1"/>
          <w:szCs w:val="18"/>
          <w:lang w:val="en" w:eastAsia="et-EE"/>
        </w:rPr>
        <w:t xml:space="preserve"> therefore people with no formal disability status are also included here. </w:t>
      </w:r>
    </w:p>
  </w:footnote>
  <w:footnote w:id="8">
    <w:p w:rsidR="00DE65D8" w:rsidRPr="000C03A8" w:rsidRDefault="00DE65D8" w:rsidP="006F5AD0">
      <w:pPr>
        <w:pStyle w:val="FootnoteText"/>
        <w:rPr>
          <w:lang w:val="et-EE"/>
        </w:rPr>
      </w:pPr>
      <w:r>
        <w:tab/>
      </w:r>
      <w:r w:rsidRPr="00060D87">
        <w:rPr>
          <w:rStyle w:val="FootnoteReference"/>
        </w:rPr>
        <w:footnoteRef/>
      </w:r>
      <w:r w:rsidRPr="00060D87">
        <w:rPr>
          <w:rStyle w:val="FootnoteReference"/>
        </w:rPr>
        <w:t xml:space="preserve"> </w:t>
      </w:r>
      <w:r>
        <w:tab/>
      </w:r>
      <w:r>
        <w:rPr>
          <w:lang w:val="et-EE"/>
        </w:rPr>
        <w:t xml:space="preserve">No. 28, adopted </w:t>
      </w:r>
      <w:r w:rsidRPr="00C00D18">
        <w:t>29.05.2018</w:t>
      </w:r>
      <w:r>
        <w:t xml:space="preserve">, </w:t>
      </w:r>
      <w:r w:rsidRPr="00C00D18">
        <w:t>RT I, 31.05.2018, 55</w:t>
      </w:r>
      <w:r>
        <w:t xml:space="preserve">. </w:t>
      </w:r>
    </w:p>
  </w:footnote>
  <w:footnote w:id="9">
    <w:p w:rsidR="00DE65D8" w:rsidRPr="006733F8" w:rsidRDefault="00DE65D8" w:rsidP="006F5AD0">
      <w:pPr>
        <w:pStyle w:val="FootnoteText"/>
        <w:rPr>
          <w:lang w:val="et-EE"/>
        </w:rPr>
      </w:pPr>
      <w:r>
        <w:rPr>
          <w:lang w:val="et-EE"/>
        </w:rPr>
        <w:tab/>
      </w:r>
      <w:r w:rsidRPr="00060D87">
        <w:rPr>
          <w:rStyle w:val="FootnoteReference"/>
        </w:rPr>
        <w:footnoteRef/>
      </w:r>
      <w:r w:rsidRPr="00060D87">
        <w:rPr>
          <w:rStyle w:val="FootnoteReference"/>
        </w:rPr>
        <w:tab/>
      </w:r>
      <w:r w:rsidRPr="00D21967">
        <w:rPr>
          <w:lang w:val="et-EE"/>
        </w:rPr>
        <w:t xml:space="preserve"> </w:t>
      </w:r>
      <w:hyperlink r:id="rId3" w:history="1">
        <w:r w:rsidRPr="00D21967">
          <w:rPr>
            <w:lang w:val="et-EE"/>
          </w:rPr>
          <w:t>https://www.riigiteataja.ee/akt/131052018055</w:t>
        </w:r>
      </w:hyperlink>
      <w:r>
        <w:rPr>
          <w:lang w:val="et-EE"/>
        </w:rPr>
        <w:t>.</w:t>
      </w:r>
      <w:r w:rsidRPr="00D21967">
        <w:rPr>
          <w:lang w:val="et-E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D8" w:rsidRDefault="00DE65D8" w:rsidP="00AD4E9F">
    <w:pPr>
      <w:pStyle w:val="Header"/>
    </w:pPr>
    <w:r>
      <w:t>CRPD/C/EST/RQ/1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D8" w:rsidRDefault="00DE65D8" w:rsidP="00AD4E9F">
    <w:pPr>
      <w:pStyle w:val="Header"/>
      <w:jc w:val="right"/>
    </w:pPr>
    <w:r>
      <w:t>CRPD/C/EST/RQ/1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6"/>
    <w:rsid w:val="000016B1"/>
    <w:rsid w:val="00046E92"/>
    <w:rsid w:val="00051987"/>
    <w:rsid w:val="00060D87"/>
    <w:rsid w:val="0008108D"/>
    <w:rsid w:val="00096C6E"/>
    <w:rsid w:val="000B6E39"/>
    <w:rsid w:val="000C41BC"/>
    <w:rsid w:val="000F71A0"/>
    <w:rsid w:val="001044D9"/>
    <w:rsid w:val="001200E5"/>
    <w:rsid w:val="00154DC7"/>
    <w:rsid w:val="00155B5C"/>
    <w:rsid w:val="00155C52"/>
    <w:rsid w:val="001C2C65"/>
    <w:rsid w:val="00247E2C"/>
    <w:rsid w:val="00247FE3"/>
    <w:rsid w:val="00263EBB"/>
    <w:rsid w:val="00291EB2"/>
    <w:rsid w:val="002945EA"/>
    <w:rsid w:val="002D6C53"/>
    <w:rsid w:val="002E286A"/>
    <w:rsid w:val="002F001C"/>
    <w:rsid w:val="002F238A"/>
    <w:rsid w:val="002F2B7D"/>
    <w:rsid w:val="002F5595"/>
    <w:rsid w:val="00317DC1"/>
    <w:rsid w:val="00321456"/>
    <w:rsid w:val="00334F6A"/>
    <w:rsid w:val="00342AC8"/>
    <w:rsid w:val="00353ED1"/>
    <w:rsid w:val="00356D2C"/>
    <w:rsid w:val="00363315"/>
    <w:rsid w:val="003B09C3"/>
    <w:rsid w:val="003B4550"/>
    <w:rsid w:val="003B5E54"/>
    <w:rsid w:val="003D514D"/>
    <w:rsid w:val="003E41EF"/>
    <w:rsid w:val="00410130"/>
    <w:rsid w:val="00461253"/>
    <w:rsid w:val="00486324"/>
    <w:rsid w:val="00494E7F"/>
    <w:rsid w:val="004A1DC4"/>
    <w:rsid w:val="004D1BE3"/>
    <w:rsid w:val="004F710A"/>
    <w:rsid w:val="00502AC4"/>
    <w:rsid w:val="005042C2"/>
    <w:rsid w:val="005363C6"/>
    <w:rsid w:val="005A430C"/>
    <w:rsid w:val="005E08DF"/>
    <w:rsid w:val="005E3B22"/>
    <w:rsid w:val="00671529"/>
    <w:rsid w:val="00684C05"/>
    <w:rsid w:val="006A0A29"/>
    <w:rsid w:val="006B6980"/>
    <w:rsid w:val="006E2189"/>
    <w:rsid w:val="006E4390"/>
    <w:rsid w:val="006F5AD0"/>
    <w:rsid w:val="007268F9"/>
    <w:rsid w:val="00732F46"/>
    <w:rsid w:val="007A1EDD"/>
    <w:rsid w:val="007C52B0"/>
    <w:rsid w:val="00801A7D"/>
    <w:rsid w:val="00806F35"/>
    <w:rsid w:val="00823919"/>
    <w:rsid w:val="00834EEF"/>
    <w:rsid w:val="0086105F"/>
    <w:rsid w:val="008F07F6"/>
    <w:rsid w:val="009411B4"/>
    <w:rsid w:val="009423F1"/>
    <w:rsid w:val="00951680"/>
    <w:rsid w:val="0095378D"/>
    <w:rsid w:val="009C7535"/>
    <w:rsid w:val="009D0139"/>
    <w:rsid w:val="009F5CDC"/>
    <w:rsid w:val="00A15784"/>
    <w:rsid w:val="00A354BB"/>
    <w:rsid w:val="00A3560D"/>
    <w:rsid w:val="00A73FDF"/>
    <w:rsid w:val="00A775CF"/>
    <w:rsid w:val="00AA3DE6"/>
    <w:rsid w:val="00AA5E96"/>
    <w:rsid w:val="00AD4E9F"/>
    <w:rsid w:val="00B06045"/>
    <w:rsid w:val="00B10A4D"/>
    <w:rsid w:val="00B15275"/>
    <w:rsid w:val="00B304D6"/>
    <w:rsid w:val="00B35435"/>
    <w:rsid w:val="00B55311"/>
    <w:rsid w:val="00B5799E"/>
    <w:rsid w:val="00C21DB7"/>
    <w:rsid w:val="00C263E2"/>
    <w:rsid w:val="00C35A27"/>
    <w:rsid w:val="00C44E89"/>
    <w:rsid w:val="00C9007B"/>
    <w:rsid w:val="00CA0639"/>
    <w:rsid w:val="00CC3AB5"/>
    <w:rsid w:val="00CD3707"/>
    <w:rsid w:val="00CE0A94"/>
    <w:rsid w:val="00CE16E4"/>
    <w:rsid w:val="00CF2127"/>
    <w:rsid w:val="00D3106F"/>
    <w:rsid w:val="00D36218"/>
    <w:rsid w:val="00DC7543"/>
    <w:rsid w:val="00DE65D8"/>
    <w:rsid w:val="00DF6106"/>
    <w:rsid w:val="00E02C2B"/>
    <w:rsid w:val="00E41983"/>
    <w:rsid w:val="00E92A9D"/>
    <w:rsid w:val="00ED6C48"/>
    <w:rsid w:val="00EF7837"/>
    <w:rsid w:val="00F0077F"/>
    <w:rsid w:val="00F22BD6"/>
    <w:rsid w:val="00F65F5D"/>
    <w:rsid w:val="00F72BB3"/>
    <w:rsid w:val="00F86A3A"/>
    <w:rsid w:val="00FA1209"/>
    <w:rsid w:val="00FA2ED7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9B1AC673-D9B1-4E5D-87BB-0FA804B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D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rsid w:val="001044D9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1044D9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1044D9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1044D9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1044D9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1044D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1044D9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1044D9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1044D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1044D9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1044D9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1044D9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1044D9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1044D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1044D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1044D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044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044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044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1044D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044D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044D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044D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044D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1044D9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1044D9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1044D9"/>
    <w:pPr>
      <w:numPr>
        <w:numId w:val="10"/>
      </w:numPr>
    </w:pPr>
  </w:style>
  <w:style w:type="numbering" w:styleId="111111">
    <w:name w:val="Outline List 2"/>
    <w:basedOn w:val="NoList"/>
    <w:semiHidden/>
    <w:rsid w:val="001044D9"/>
    <w:pPr>
      <w:numPr>
        <w:numId w:val="11"/>
      </w:numPr>
    </w:pPr>
  </w:style>
  <w:style w:type="numbering" w:styleId="1ai">
    <w:name w:val="Outline List 1"/>
    <w:basedOn w:val="NoList"/>
    <w:semiHidden/>
    <w:rsid w:val="001044D9"/>
    <w:pPr>
      <w:numPr>
        <w:numId w:val="6"/>
      </w:numPr>
    </w:pPr>
  </w:style>
  <w:style w:type="character" w:styleId="EndnoteReference">
    <w:name w:val="endnote reference"/>
    <w:aliases w:val="1_G"/>
    <w:rsid w:val="001044D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1044D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044D9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1044D9"/>
  </w:style>
  <w:style w:type="character" w:customStyle="1" w:styleId="EndnoteTextChar">
    <w:name w:val="Endnote Text Char"/>
    <w:aliases w:val="2_G Char"/>
    <w:basedOn w:val="DefaultParagraphFont"/>
    <w:link w:val="EndnoteText"/>
    <w:rsid w:val="001044D9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1044D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1044D9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44D9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044D9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044D9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044D9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1044D9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1044D9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1044D9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44D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1044D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044D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D9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basedOn w:val="DefaultParagraphFont"/>
    <w:link w:val="SingleTxtG"/>
    <w:rsid w:val="006E43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igiteataja.ee/akt/131052018055" TargetMode="External"/><Relationship Id="rId2" Type="http://schemas.openxmlformats.org/officeDocument/2006/relationships/hyperlink" Target="https://www.riigiteataja.ee/akt/131052018055" TargetMode="External"/><Relationship Id="rId1" Type="http://schemas.openxmlformats.org/officeDocument/2006/relationships/hyperlink" Target="https://www.tegijad.e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PD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Vihi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Vihi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'Tööhõive määr'!$A$2</c:f>
              <c:strCache>
                <c:ptCount val="1"/>
                <c:pt idx="0">
                  <c:v>Total employment rate (%)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'Tööhõive määr'!$B$1:$L$1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'Tööhõive määr'!$B$2:$L$2</c:f>
              <c:numCache>
                <c:formatCode>General</c:formatCode>
                <c:ptCount val="11"/>
                <c:pt idx="0">
                  <c:v>72.7</c:v>
                </c:pt>
                <c:pt idx="1">
                  <c:v>65.400000000000006</c:v>
                </c:pt>
                <c:pt idx="2">
                  <c:v>63</c:v>
                </c:pt>
                <c:pt idx="3">
                  <c:v>67.2</c:v>
                </c:pt>
                <c:pt idx="4">
                  <c:v>69.099999999999994</c:v>
                </c:pt>
                <c:pt idx="5">
                  <c:v>70.400000000000006</c:v>
                </c:pt>
                <c:pt idx="6">
                  <c:v>71.2</c:v>
                </c:pt>
                <c:pt idx="7">
                  <c:v>73.5</c:v>
                </c:pt>
                <c:pt idx="8">
                  <c:v>73.599999999999994</c:v>
                </c:pt>
                <c:pt idx="9">
                  <c:v>75.8</c:v>
                </c:pt>
                <c:pt idx="10">
                  <c:v>76.599999999999994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1C-4B36-A36B-8DC5640DE780}"/>
            </c:ext>
          </c:extLst>
        </c:ser>
        <c:ser>
          <c:idx val="1"/>
          <c:order val="1"/>
          <c:tx>
            <c:strRef>
              <c:f>'Tööhõive määr'!$A$3</c:f>
              <c:strCache>
                <c:ptCount val="1"/>
                <c:pt idx="0">
                  <c:v>Employment rate for people with reduced ability for work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'Tööhõive määr'!$B$1:$L$1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'Tööhõive määr'!$B$3:$L$3</c:f>
              <c:numCache>
                <c:formatCode>General</c:formatCode>
                <c:ptCount val="11"/>
                <c:pt idx="0">
                  <c:v>39.299999999999997</c:v>
                </c:pt>
                <c:pt idx="1">
                  <c:v>33.1</c:v>
                </c:pt>
                <c:pt idx="2">
                  <c:v>32.700000000000003</c:v>
                </c:pt>
                <c:pt idx="3">
                  <c:v>37.799999999999997</c:v>
                </c:pt>
                <c:pt idx="4">
                  <c:v>40.700000000000003</c:v>
                </c:pt>
                <c:pt idx="5">
                  <c:v>43.4</c:v>
                </c:pt>
                <c:pt idx="6">
                  <c:v>45.7</c:v>
                </c:pt>
                <c:pt idx="7">
                  <c:v>48.8</c:v>
                </c:pt>
                <c:pt idx="8">
                  <c:v>50.5</c:v>
                </c:pt>
                <c:pt idx="9">
                  <c:v>50.9</c:v>
                </c:pt>
                <c:pt idx="10">
                  <c:v>51.5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1C-4B36-A36B-8DC5640DE780}"/>
            </c:ext>
          </c:extLst>
        </c:ser>
        <c:ser>
          <c:idx val="2"/>
          <c:order val="2"/>
          <c:tx>
            <c:strRef>
              <c:f>'Tööhõive määr'!$A$4</c:f>
              <c:strCache>
                <c:ptCount val="1"/>
                <c:pt idx="0">
                  <c:v>Employment rate for people with disabilities (%)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'Tööhõive määr'!$B$1:$L$1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'Tööhõive määr'!$B$4:$L$4</c:f>
              <c:numCache>
                <c:formatCode>General</c:formatCode>
                <c:ptCount val="11"/>
                <c:pt idx="0">
                  <c:v>26.6</c:v>
                </c:pt>
                <c:pt idx="1">
                  <c:v>20.7</c:v>
                </c:pt>
                <c:pt idx="2">
                  <c:v>18.5</c:v>
                </c:pt>
                <c:pt idx="3">
                  <c:v>20.100000000000001</c:v>
                </c:pt>
                <c:pt idx="4">
                  <c:v>21.6</c:v>
                </c:pt>
                <c:pt idx="5">
                  <c:v>23.2</c:v>
                </c:pt>
                <c:pt idx="6">
                  <c:v>24.8</c:v>
                </c:pt>
                <c:pt idx="7">
                  <c:v>32.9</c:v>
                </c:pt>
                <c:pt idx="8">
                  <c:v>36.299999999999997</c:v>
                </c:pt>
                <c:pt idx="9">
                  <c:v>36.200000000000003</c:v>
                </c:pt>
                <c:pt idx="10">
                  <c:v>40.4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91C-4B36-A36B-8DC5640DE78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3725232"/>
        <c:axId val="543724056"/>
      </c:lineChart>
      <c:catAx>
        <c:axId val="54372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3724056"/>
        <c:crosses val="autoZero"/>
        <c:auto val="1"/>
        <c:lblAlgn val="ctr"/>
        <c:lblOffset val="100"/>
        <c:noMultiLvlLbl val="0"/>
      </c:catAx>
      <c:valAx>
        <c:axId val="543724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372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'Töötuse määr'!$A$2</c:f>
              <c:strCache>
                <c:ptCount val="1"/>
                <c:pt idx="0">
                  <c:v>Total unemployment rate (%)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'Töötuse määr'!$B$1:$L$1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'Töötuse määr'!$B$2:$L$2</c:f>
              <c:numCache>
                <c:formatCode>General</c:formatCode>
                <c:ptCount val="11"/>
                <c:pt idx="0">
                  <c:v>5.6</c:v>
                </c:pt>
                <c:pt idx="1">
                  <c:v>14.1</c:v>
                </c:pt>
                <c:pt idx="2">
                  <c:v>17.399999999999999</c:v>
                </c:pt>
                <c:pt idx="3">
                  <c:v>12.8</c:v>
                </c:pt>
                <c:pt idx="4">
                  <c:v>10.4</c:v>
                </c:pt>
                <c:pt idx="5" formatCode="0.0">
                  <c:v>9</c:v>
                </c:pt>
                <c:pt idx="6">
                  <c:v>7.7</c:v>
                </c:pt>
                <c:pt idx="7">
                  <c:v>6.4</c:v>
                </c:pt>
                <c:pt idx="8">
                  <c:v>7.1</c:v>
                </c:pt>
                <c:pt idx="9" formatCode="0.0">
                  <c:v>6</c:v>
                </c:pt>
                <c:pt idx="10">
                  <c:v>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0E-46AE-9C02-143C33C21315}"/>
            </c:ext>
          </c:extLst>
        </c:ser>
        <c:ser>
          <c:idx val="1"/>
          <c:order val="1"/>
          <c:tx>
            <c:strRef>
              <c:f>'Töötuse määr'!$A$3</c:f>
              <c:strCache>
                <c:ptCount val="1"/>
                <c:pt idx="0">
                  <c:v>Unemployment rate for people with reduced ability for work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6062554680664914E-2"/>
                  <c:y val="-3.9386482939632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90E-46AE-9C02-143C33C21315}"/>
                </c:ext>
              </c:extLst>
            </c:dLbl>
            <c:dLbl>
              <c:idx val="4"/>
              <c:layout>
                <c:manualLayout>
                  <c:x val="-5.1284776902887137E-2"/>
                  <c:y val="3.4687591134441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90E-46AE-9C02-143C33C21315}"/>
                </c:ext>
              </c:extLst>
            </c:dLbl>
            <c:dLbl>
              <c:idx val="5"/>
              <c:layout>
                <c:manualLayout>
                  <c:x val="-5.1284776902887241E-2"/>
                  <c:y val="3.9317220764071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90E-46AE-9C02-143C33C21315}"/>
                </c:ext>
              </c:extLst>
            </c:dLbl>
            <c:dLbl>
              <c:idx val="6"/>
              <c:layout>
                <c:manualLayout>
                  <c:x val="-4.5729221347331581E-2"/>
                  <c:y val="3.931722076407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90E-46AE-9C02-143C33C21315}"/>
                </c:ext>
              </c:extLst>
            </c:dLbl>
            <c:dLbl>
              <c:idx val="7"/>
              <c:layout>
                <c:manualLayout>
                  <c:x val="-4.5729221347331685E-2"/>
                  <c:y val="-5.7905001458151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90E-46AE-9C02-143C33C21315}"/>
                </c:ext>
              </c:extLst>
            </c:dLbl>
            <c:dLbl>
              <c:idx val="8"/>
              <c:layout>
                <c:manualLayout>
                  <c:x val="-4.5729221347331685E-2"/>
                  <c:y val="4.394685039370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90E-46AE-9C02-143C33C21315}"/>
                </c:ext>
              </c:extLst>
            </c:dLbl>
            <c:dLbl>
              <c:idx val="9"/>
              <c:layout>
                <c:manualLayout>
                  <c:x val="-5.1284776902887137E-2"/>
                  <c:y val="3.9317220764071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90E-46AE-9C02-143C33C21315}"/>
                </c:ext>
              </c:extLst>
            </c:dLbl>
            <c:dLbl>
              <c:idx val="10"/>
              <c:layout>
                <c:manualLayout>
                  <c:x val="-3.5587926509186352E-2"/>
                  <c:y val="-3.4756853310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90E-46AE-9C02-143C33C213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'Töötuse määr'!$B$1:$L$1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'Töötuse määr'!$B$3:$L$3</c:f>
              <c:numCache>
                <c:formatCode>General</c:formatCode>
                <c:ptCount val="11"/>
                <c:pt idx="0">
                  <c:v>9.4</c:v>
                </c:pt>
                <c:pt idx="1">
                  <c:v>26</c:v>
                </c:pt>
                <c:pt idx="2">
                  <c:v>32.5</c:v>
                </c:pt>
                <c:pt idx="3">
                  <c:v>24</c:v>
                </c:pt>
                <c:pt idx="4">
                  <c:v>17.399999999999999</c:v>
                </c:pt>
                <c:pt idx="5">
                  <c:v>15.6</c:v>
                </c:pt>
                <c:pt idx="6">
                  <c:v>12.8</c:v>
                </c:pt>
                <c:pt idx="7">
                  <c:v>11.3</c:v>
                </c:pt>
                <c:pt idx="8">
                  <c:v>12.9</c:v>
                </c:pt>
                <c:pt idx="9">
                  <c:v>13.4</c:v>
                </c:pt>
                <c:pt idx="10">
                  <c:v>12.5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A90E-46AE-9C02-143C33C21315}"/>
            </c:ext>
          </c:extLst>
        </c:ser>
        <c:ser>
          <c:idx val="2"/>
          <c:order val="2"/>
          <c:tx>
            <c:strRef>
              <c:f>'Töötuse määr'!$A$4</c:f>
              <c:strCache>
                <c:ptCount val="1"/>
                <c:pt idx="0">
                  <c:v>Unemployment rate for people with disabilities (%)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7"/>
              <c:layout>
                <c:manualLayout>
                  <c:x val="-4.5729221347331685E-2"/>
                  <c:y val="2.549759405074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90E-46AE-9C02-143C33C21315}"/>
                </c:ext>
              </c:extLst>
            </c:dLbl>
            <c:dLbl>
              <c:idx val="10"/>
              <c:layout>
                <c:manualLayout>
                  <c:x val="-1.9611111111111315E-2"/>
                  <c:y val="3.0127223680373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90E-46AE-9C02-143C33C213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'Töötuse määr'!$B$1:$L$1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'Töötuse määr'!$B$4:$L$4</c:f>
              <c:numCache>
                <c:formatCode>General</c:formatCode>
                <c:ptCount val="11"/>
                <c:pt idx="1">
                  <c:v>27.8</c:v>
                </c:pt>
                <c:pt idx="2">
                  <c:v>35.9</c:v>
                </c:pt>
                <c:pt idx="3">
                  <c:v>27.9</c:v>
                </c:pt>
                <c:pt idx="4">
                  <c:v>26.2</c:v>
                </c:pt>
                <c:pt idx="5">
                  <c:v>21.1</c:v>
                </c:pt>
                <c:pt idx="6">
                  <c:v>17.600000000000001</c:v>
                </c:pt>
                <c:pt idx="7">
                  <c:v>10.3</c:v>
                </c:pt>
                <c:pt idx="8">
                  <c:v>14.6</c:v>
                </c:pt>
                <c:pt idx="9">
                  <c:v>15.7</c:v>
                </c:pt>
                <c:pt idx="10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A90E-46AE-9C02-143C33C2131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3726016"/>
        <c:axId val="178252520"/>
      </c:lineChart>
      <c:catAx>
        <c:axId val="54372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252520"/>
        <c:crosses val="autoZero"/>
        <c:auto val="1"/>
        <c:lblAlgn val="ctr"/>
        <c:lblOffset val="100"/>
        <c:noMultiLvlLbl val="0"/>
      </c:catAx>
      <c:valAx>
        <c:axId val="178252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372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F95D-A505-49B4-AE0A-8101EDE6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22</Pages>
  <Words>10670</Words>
  <Characters>56351</Characters>
  <Application>Microsoft Office Word</Application>
  <DocSecurity>0</DocSecurity>
  <Lines>1133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CRPD/C/EST/RQ/1</vt:lpstr>
    </vt:vector>
  </TitlesOfParts>
  <Company>DCM</Company>
  <LinksUpToDate>false</LinksUpToDate>
  <CharactersWithSpaces>66850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CRPD/C/EST/RQ/1</dc:title>
  <dc:subject>1921657</dc:subject>
  <dc:creator>ROLLAND</dc:creator>
  <cp:keywords/>
  <dc:description/>
  <cp:lastModifiedBy>Generic Desk Anglais</cp:lastModifiedBy>
  <cp:revision>2</cp:revision>
  <cp:lastPrinted>2019-12-13T18:45:00Z</cp:lastPrinted>
  <dcterms:created xsi:type="dcterms:W3CDTF">2019-12-16T12:38:00Z</dcterms:created>
  <dcterms:modified xsi:type="dcterms:W3CDTF">2019-12-16T12:38:00Z</dcterms:modified>
</cp:coreProperties>
</file>