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2E0D40" w:rsidRPr="00DB58B5" w:rsidTr="0078670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E0D40" w:rsidRPr="00DB58B5" w:rsidRDefault="002E0D40" w:rsidP="005936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0D40" w:rsidRPr="00DB58B5" w:rsidRDefault="002E0D40" w:rsidP="0059365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E0D40" w:rsidRPr="00DB58B5" w:rsidRDefault="008D3469" w:rsidP="008D3469">
            <w:pPr>
              <w:jc w:val="right"/>
            </w:pPr>
            <w:r w:rsidRPr="008D3469">
              <w:rPr>
                <w:sz w:val="40"/>
              </w:rPr>
              <w:t>CERD</w:t>
            </w:r>
            <w:r>
              <w:t>/C/CHE/Q/7-9</w:t>
            </w:r>
          </w:p>
        </w:tc>
      </w:tr>
      <w:tr w:rsidR="002E0D40" w:rsidRPr="00DB58B5" w:rsidTr="0059365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E0D40" w:rsidRPr="00DB58B5" w:rsidRDefault="002E0D40" w:rsidP="0059365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E0D40" w:rsidRPr="00740562" w:rsidRDefault="002E0D40" w:rsidP="00593658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4806F6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D3469" w:rsidRDefault="008D3469" w:rsidP="00593658">
            <w:pPr>
              <w:spacing w:before="240"/>
            </w:pPr>
            <w:r>
              <w:t>Distr. générale</w:t>
            </w:r>
          </w:p>
          <w:p w:rsidR="008D3469" w:rsidRDefault="008D3469" w:rsidP="008D3469">
            <w:pPr>
              <w:spacing w:line="240" w:lineRule="exact"/>
            </w:pPr>
            <w:r>
              <w:t>12 décembre 2013</w:t>
            </w:r>
          </w:p>
          <w:p w:rsidR="008D3469" w:rsidRDefault="008D3469" w:rsidP="008D3469">
            <w:pPr>
              <w:spacing w:line="240" w:lineRule="exact"/>
            </w:pPr>
            <w:r>
              <w:t>Français</w:t>
            </w:r>
          </w:p>
          <w:p w:rsidR="002E0D40" w:rsidRPr="00DB58B5" w:rsidRDefault="008D3469" w:rsidP="008D3469">
            <w:pPr>
              <w:spacing w:line="240" w:lineRule="exact"/>
            </w:pPr>
            <w:r>
              <w:t>Original: anglais</w:t>
            </w:r>
          </w:p>
        </w:tc>
      </w:tr>
    </w:tbl>
    <w:p w:rsidR="004806F6" w:rsidRDefault="0078670C" w:rsidP="008D3469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</w:t>
      </w:r>
      <w:r w:rsidR="004806F6">
        <w:rPr>
          <w:b/>
          <w:sz w:val="24"/>
          <w:szCs w:val="24"/>
        </w:rPr>
        <w:t>’</w:t>
      </w:r>
      <w:r w:rsidRPr="00C56102">
        <w:rPr>
          <w:b/>
          <w:sz w:val="24"/>
          <w:szCs w:val="24"/>
        </w:rPr>
        <w:t>éliminati</w:t>
      </w:r>
      <w:r w:rsidR="008D3469">
        <w:rPr>
          <w:b/>
          <w:sz w:val="24"/>
          <w:szCs w:val="24"/>
        </w:rPr>
        <w:t>on de la discrimination raciale</w:t>
      </w:r>
    </w:p>
    <w:p w:rsidR="004806F6" w:rsidRPr="00D50178" w:rsidRDefault="004806F6" w:rsidP="004806F6">
      <w:pPr>
        <w:rPr>
          <w:b/>
        </w:rPr>
      </w:pPr>
      <w:r w:rsidRPr="00D50178">
        <w:rPr>
          <w:b/>
        </w:rPr>
        <w:t>Quatre-vingt-quatrième session</w:t>
      </w:r>
    </w:p>
    <w:p w:rsidR="004806F6" w:rsidRPr="00D50178" w:rsidRDefault="004806F6" w:rsidP="004806F6">
      <w:r w:rsidRPr="00D50178">
        <w:t>3-21 février 2014</w:t>
      </w:r>
    </w:p>
    <w:p w:rsidR="004806F6" w:rsidRPr="00D50178" w:rsidRDefault="004806F6" w:rsidP="004806F6">
      <w:r w:rsidRPr="00D50178">
        <w:t>Point 6 de l</w:t>
      </w:r>
      <w:r>
        <w:t>’</w:t>
      </w:r>
      <w:r w:rsidRPr="00D50178">
        <w:t>ordre du jour provisoire</w:t>
      </w:r>
    </w:p>
    <w:p w:rsidR="004806F6" w:rsidRPr="00D50178" w:rsidRDefault="004806F6" w:rsidP="004806F6">
      <w:pPr>
        <w:rPr>
          <w:b/>
        </w:rPr>
      </w:pPr>
      <w:r w:rsidRPr="00D50178">
        <w:rPr>
          <w:b/>
        </w:rPr>
        <w:t xml:space="preserve">Examen des rapports, observations et renseignements soumis </w:t>
      </w:r>
      <w:r w:rsidRPr="00D50178">
        <w:rPr>
          <w:b/>
        </w:rPr>
        <w:br/>
        <w:t>par les États parties en application de l</w:t>
      </w:r>
      <w:r>
        <w:rPr>
          <w:b/>
        </w:rPr>
        <w:t>’</w:t>
      </w:r>
      <w:r w:rsidRPr="00D50178">
        <w:rPr>
          <w:b/>
        </w:rPr>
        <w:t>article 9 de la Convention</w:t>
      </w:r>
    </w:p>
    <w:p w:rsidR="004806F6" w:rsidRPr="00D50178" w:rsidRDefault="004806F6" w:rsidP="004806F6">
      <w:pPr>
        <w:pStyle w:val="HChG"/>
      </w:pPr>
      <w:r w:rsidRPr="00D50178">
        <w:tab/>
      </w:r>
      <w:r w:rsidRPr="00D50178">
        <w:tab/>
        <w:t xml:space="preserve">Liste de thèmes concernant les </w:t>
      </w:r>
      <w:r w:rsidR="00233A74">
        <w:t>septième à</w:t>
      </w:r>
      <w:r w:rsidRPr="00D50178">
        <w:t xml:space="preserve"> neuvième rapports périodiques, présentés en un seul document</w:t>
      </w:r>
      <w:r w:rsidR="000501C5">
        <w:t xml:space="preserve"> </w:t>
      </w:r>
      <w:r w:rsidRPr="00D50178">
        <w:t>de la Suisse (CERD/C/CHE/7-9)</w:t>
      </w:r>
    </w:p>
    <w:p w:rsidR="004806F6" w:rsidRDefault="004806F6" w:rsidP="004806F6">
      <w:pPr>
        <w:pStyle w:val="H1G"/>
      </w:pPr>
      <w:r w:rsidRPr="00D50178">
        <w:tab/>
      </w:r>
      <w:r w:rsidRPr="00D50178">
        <w:tab/>
        <w:t>Note du Rapporteur pour la Suisse</w:t>
      </w:r>
    </w:p>
    <w:tbl>
      <w:tblPr>
        <w:tblStyle w:val="TableGrid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1E0"/>
      </w:tblPr>
      <w:tblGrid>
        <w:gridCol w:w="7653"/>
      </w:tblGrid>
      <w:tr w:rsidR="004806F6" w:rsidTr="004806F6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6F6" w:rsidRDefault="004806F6" w:rsidP="004806F6"/>
        </w:tc>
      </w:tr>
      <w:tr w:rsidR="004806F6" w:rsidTr="004806F6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6F6" w:rsidRDefault="004806F6" w:rsidP="004806F6">
            <w:pPr>
              <w:spacing w:after="120"/>
              <w:ind w:firstLine="567"/>
              <w:jc w:val="both"/>
            </w:pPr>
            <w:r w:rsidRPr="003A4BD4">
              <w:t>À sa soixante-seizième session, le Comité pour l</w:t>
            </w:r>
            <w:r>
              <w:t>’</w:t>
            </w:r>
            <w:r w:rsidRPr="003A4BD4">
              <w:t xml:space="preserve">élimination de la discrimination raciale a décidé </w:t>
            </w:r>
            <w:r>
              <w:t>(A/65/18, par. </w:t>
            </w:r>
            <w:r w:rsidRPr="003A4BD4">
              <w:t>85) que le Rapporteur pour le pays ferait parvenir à l</w:t>
            </w:r>
            <w:r>
              <w:t>’</w:t>
            </w:r>
            <w:r w:rsidRPr="003A4BD4">
              <w:t>État partie concerné une courte liste de thèmes en vue de guider et de structurer le dialogue entre la délégation de l</w:t>
            </w:r>
            <w:r>
              <w:t>’</w:t>
            </w:r>
            <w:r w:rsidRPr="003A4BD4">
              <w:t>État partie et le Comité pendant l</w:t>
            </w:r>
            <w:r>
              <w:t>’</w:t>
            </w:r>
            <w:r w:rsidRPr="003A4BD4">
              <w:t>examen du rapport de l</w:t>
            </w:r>
            <w:r>
              <w:t>’État partie. On </w:t>
            </w:r>
            <w:r w:rsidRPr="003A4BD4">
              <w:t>trouvera ci-après une liste de thèmes non exhaustive, d</w:t>
            </w:r>
            <w:r>
              <w:t>’</w:t>
            </w:r>
            <w:r w:rsidRPr="003A4BD4">
              <w:t>autres questions pouvant être traitées au cours du dialogue. Cette liste n</w:t>
            </w:r>
            <w:r>
              <w:t>’</w:t>
            </w:r>
            <w:r w:rsidRPr="003A4BD4">
              <w:t>appelle pas de réponses écrites</w:t>
            </w:r>
            <w:r>
              <w:t>.</w:t>
            </w:r>
          </w:p>
        </w:tc>
      </w:tr>
      <w:tr w:rsidR="004806F6" w:rsidTr="004806F6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F6" w:rsidRDefault="004806F6" w:rsidP="004806F6"/>
        </w:tc>
      </w:tr>
    </w:tbl>
    <w:p w:rsidR="004806F6" w:rsidRPr="009F04EA" w:rsidRDefault="004806F6" w:rsidP="008B0081">
      <w:pPr>
        <w:pStyle w:val="H23G"/>
      </w:pPr>
      <w:r>
        <w:tab/>
      </w:r>
      <w:r w:rsidRPr="009F04EA">
        <w:t>1.</w:t>
      </w:r>
      <w:r w:rsidRPr="009F04EA">
        <w:tab/>
      </w:r>
      <w:r w:rsidRPr="00831D35">
        <w:t>La Convention dans le droit interne; cadre institu</w:t>
      </w:r>
      <w:r>
        <w:t xml:space="preserve">tionnel et politique </w:t>
      </w:r>
      <w:r w:rsidR="008B0081">
        <w:br/>
      </w:r>
      <w:r>
        <w:t xml:space="preserve">de sa mise </w:t>
      </w:r>
      <w:r w:rsidRPr="00831D35">
        <w:t>en œuvre (art.</w:t>
      </w:r>
      <w:r>
        <w:t> </w:t>
      </w:r>
      <w:r w:rsidRPr="00831D35">
        <w:t>2, 4, 6 et</w:t>
      </w:r>
      <w:r>
        <w:t> </w:t>
      </w:r>
      <w:r w:rsidRPr="00831D35">
        <w:t xml:space="preserve">7) </w:t>
      </w:r>
    </w:p>
    <w:p w:rsidR="004806F6" w:rsidRPr="0081393A" w:rsidRDefault="004806F6" w:rsidP="008B0081">
      <w:pPr>
        <w:pStyle w:val="SingleTxtG"/>
        <w:ind w:firstLine="567"/>
      </w:pPr>
      <w:r>
        <w:t>a)</w:t>
      </w:r>
      <w:r>
        <w:tab/>
        <w:t xml:space="preserve">Progrès accomplis en vue de normaliser et de renforcer la protection juridique contre la discrimination dans l’État partie, notamment </w:t>
      </w:r>
      <w:r w:rsidR="00374C4D">
        <w:t xml:space="preserve">par </w:t>
      </w:r>
      <w:r>
        <w:t xml:space="preserve">l’adoption d’une législation complète au niveau </w:t>
      </w:r>
      <w:r w:rsidRPr="0081393A">
        <w:t xml:space="preserve">fédéral </w:t>
      </w:r>
      <w:r w:rsidR="00374C4D">
        <w:t xml:space="preserve">comportant </w:t>
      </w:r>
      <w:r w:rsidRPr="0081393A">
        <w:t>une définition claire de la discrimination raciale conforme à l</w:t>
      </w:r>
      <w:r>
        <w:t>’</w:t>
      </w:r>
      <w:r w:rsidRPr="0081393A">
        <w:t>article premier de la Convention (CERD/C/CHE/7-9, par.</w:t>
      </w:r>
      <w:r w:rsidR="00374C4D">
        <w:t> </w:t>
      </w:r>
      <w:r w:rsidRPr="0081393A">
        <w:t>141</w:t>
      </w:r>
      <w:r>
        <w:t>,</w:t>
      </w:r>
      <w:r w:rsidRPr="0081393A">
        <w:t xml:space="preserve"> 266</w:t>
      </w:r>
      <w:r>
        <w:t xml:space="preserve"> et </w:t>
      </w:r>
      <w:r w:rsidRPr="0081393A">
        <w:t>267) et l</w:t>
      </w:r>
      <w:r>
        <w:t>’</w:t>
      </w:r>
      <w:r w:rsidR="008964C1">
        <w:t>adoption de lois anti</w:t>
      </w:r>
      <w:r w:rsidRPr="0081393A">
        <w:t xml:space="preserve">discrimination dans </w:t>
      </w:r>
      <w:r>
        <w:t>les autres cantons</w:t>
      </w:r>
      <w:r w:rsidRPr="0081393A">
        <w:t xml:space="preserve"> (CERD/C/CHE/CO/6, pa</w:t>
      </w:r>
      <w:r>
        <w:t>r</w:t>
      </w:r>
      <w:r w:rsidRPr="0081393A">
        <w:t>. 9);</w:t>
      </w:r>
    </w:p>
    <w:p w:rsidR="004806F6" w:rsidRDefault="004806F6" w:rsidP="008B0081">
      <w:pPr>
        <w:pStyle w:val="SingleTxtG"/>
        <w:ind w:firstLine="567"/>
      </w:pPr>
      <w:r w:rsidRPr="0081393A">
        <w:t>b)</w:t>
      </w:r>
      <w:r w:rsidRPr="0081393A">
        <w:tab/>
      </w:r>
      <w:r w:rsidRPr="00377DAF">
        <w:rPr>
          <w:spacing w:val="-2"/>
        </w:rPr>
        <w:t xml:space="preserve">Renseignements à jour sur les affaires de discrimination raciale examinées par les tribunaux, dont les actes </w:t>
      </w:r>
      <w:r w:rsidR="00374C4D" w:rsidRPr="00377DAF">
        <w:rPr>
          <w:spacing w:val="-2"/>
        </w:rPr>
        <w:t xml:space="preserve">de violence à caractère racial </w:t>
      </w:r>
      <w:r w:rsidRPr="00377DAF">
        <w:rPr>
          <w:spacing w:val="-2"/>
          <w:lang w:val="en-NZ"/>
        </w:rPr>
        <w:t>(</w:t>
      </w:r>
      <w:r w:rsidRPr="00377DAF">
        <w:rPr>
          <w:spacing w:val="-2"/>
        </w:rPr>
        <w:t>CERD/C/CHE/7-9, par.</w:t>
      </w:r>
      <w:r w:rsidR="00374C4D" w:rsidRPr="00377DAF">
        <w:rPr>
          <w:spacing w:val="-2"/>
        </w:rPr>
        <w:t> </w:t>
      </w:r>
      <w:r w:rsidRPr="00377DAF">
        <w:rPr>
          <w:spacing w:val="-2"/>
        </w:rPr>
        <w:t xml:space="preserve">136) et les effets des mesures prises pour promouvoir la connaissance des voies de recours </w:t>
      </w:r>
      <w:r w:rsidR="00374C4D" w:rsidRPr="00377DAF">
        <w:rPr>
          <w:spacing w:val="-2"/>
        </w:rPr>
        <w:t xml:space="preserve">disponibles </w:t>
      </w:r>
      <w:r w:rsidRPr="00377DAF">
        <w:rPr>
          <w:spacing w:val="-2"/>
        </w:rPr>
        <w:t>sur le nombre d’affaires portées devant les tribunaux (CERD/C/CHE/7-9, par. 268);</w:t>
      </w:r>
    </w:p>
    <w:p w:rsidR="004806F6" w:rsidRDefault="004806F6" w:rsidP="008B0081">
      <w:pPr>
        <w:pStyle w:val="SingleTxtG"/>
        <w:ind w:firstLine="567"/>
      </w:pPr>
      <w:r>
        <w:t>c)</w:t>
      </w:r>
      <w:r>
        <w:tab/>
        <w:t>Compatibilité des initiatives populaires avec les obligations incombant à l’État partie en vertu du droit international des droits de l’homme (CERD/C/CHE/7-9, par.</w:t>
      </w:r>
      <w:r w:rsidR="00374C4D">
        <w:t> </w:t>
      </w:r>
      <w:r>
        <w:t>26 à 30);</w:t>
      </w:r>
    </w:p>
    <w:p w:rsidR="004806F6" w:rsidRDefault="008B0081" w:rsidP="008B0081">
      <w:pPr>
        <w:pStyle w:val="SingleTxtG"/>
        <w:ind w:firstLine="567"/>
      </w:pPr>
      <w:r>
        <w:t>d)</w:t>
      </w:r>
      <w:r w:rsidR="004806F6">
        <w:tab/>
        <w:t xml:space="preserve">Mesures prises pour renforcer le mandat de la Commission fédérale contre le racisme, notamment en </w:t>
      </w:r>
      <w:r w:rsidR="006C6A4D">
        <w:t>le dotant d’</w:t>
      </w:r>
      <w:r w:rsidR="004806F6">
        <w:t>un financement adéquat (CERD/C/CHE/CO/6, par.</w:t>
      </w:r>
      <w:r w:rsidR="00436DCC">
        <w:t> </w:t>
      </w:r>
      <w:r w:rsidR="004806F6">
        <w:t xml:space="preserve">10); </w:t>
      </w:r>
    </w:p>
    <w:p w:rsidR="004806F6" w:rsidRDefault="004806F6" w:rsidP="008B0081">
      <w:pPr>
        <w:pStyle w:val="SingleTxtG"/>
        <w:ind w:firstLine="567"/>
      </w:pPr>
      <w:r>
        <w:t>e)</w:t>
      </w:r>
      <w:r>
        <w:tab/>
        <w:t>Renseignements à jour sur la protection juridique contre la discrimination sur le lieu de travail (</w:t>
      </w:r>
      <w:r w:rsidRPr="00D1044B">
        <w:t>CERD/C/</w:t>
      </w:r>
      <w:r>
        <w:t>CHE</w:t>
      </w:r>
      <w:r w:rsidRPr="00D1044B">
        <w:t>/</w:t>
      </w:r>
      <w:r>
        <w:t>7-9</w:t>
      </w:r>
      <w:r w:rsidRPr="00D1044B">
        <w:t>, par.</w:t>
      </w:r>
      <w:r w:rsidR="00436DCC">
        <w:t> </w:t>
      </w:r>
      <w:r>
        <w:t>175);</w:t>
      </w:r>
    </w:p>
    <w:p w:rsidR="004806F6" w:rsidRDefault="004806F6" w:rsidP="008B0081">
      <w:pPr>
        <w:pStyle w:val="SingleTxtG"/>
        <w:ind w:firstLine="567"/>
      </w:pPr>
      <w:r>
        <w:t>f)</w:t>
      </w:r>
      <w:r>
        <w:tab/>
      </w:r>
      <w:r w:rsidR="00436DCC">
        <w:t xml:space="preserve">Racisme </w:t>
      </w:r>
      <w:r>
        <w:t xml:space="preserve">et xénophobie dans les campagnes politiques et mesures spécifiques prises pour faire face à ce problème, notamment les mesures d’ordre juridique ou administratif prises contre </w:t>
      </w:r>
      <w:r w:rsidR="00436DCC">
        <w:t>des</w:t>
      </w:r>
      <w:r>
        <w:t xml:space="preserve"> dirigeants politiques, </w:t>
      </w:r>
      <w:r w:rsidR="00436DCC">
        <w:t>des</w:t>
      </w:r>
      <w:r>
        <w:t xml:space="preserve"> associations et </w:t>
      </w:r>
      <w:r w:rsidR="00436DCC">
        <w:t>des</w:t>
      </w:r>
      <w:r>
        <w:t xml:space="preserve"> partis;</w:t>
      </w:r>
    </w:p>
    <w:p w:rsidR="004806F6" w:rsidRDefault="004806F6" w:rsidP="008B0081">
      <w:pPr>
        <w:pStyle w:val="SingleTxtG"/>
        <w:ind w:firstLine="567"/>
        <w:rPr>
          <w:lang w:val="en-NZ"/>
        </w:rPr>
      </w:pPr>
      <w:r>
        <w:t>g)</w:t>
      </w:r>
      <w:r>
        <w:tab/>
        <w:t>Renseignements sur les stratégies adoptées pour lutter contre l’extrémisme de droite aux niveaux national, cantonal et communal et sur l’effet de ces mesures (</w:t>
      </w:r>
      <w:r w:rsidRPr="006B5F7B">
        <w:rPr>
          <w:lang w:val="en-NZ"/>
        </w:rPr>
        <w:t>CERD/C/</w:t>
      </w:r>
      <w:r>
        <w:rPr>
          <w:lang w:val="en-NZ"/>
        </w:rPr>
        <w:t>CHE</w:t>
      </w:r>
      <w:r w:rsidRPr="006B5F7B">
        <w:rPr>
          <w:lang w:val="en-NZ"/>
        </w:rPr>
        <w:t>/</w:t>
      </w:r>
      <w:r>
        <w:rPr>
          <w:lang w:val="en-NZ"/>
        </w:rPr>
        <w:t>7-9, par</w:t>
      </w:r>
      <w:r w:rsidRPr="006B5F7B">
        <w:rPr>
          <w:lang w:val="en-NZ"/>
        </w:rPr>
        <w:t>.</w:t>
      </w:r>
      <w:r w:rsidR="00FE4719">
        <w:rPr>
          <w:lang w:val="en-NZ"/>
        </w:rPr>
        <w:t> </w:t>
      </w:r>
      <w:r w:rsidRPr="006B5F7B">
        <w:rPr>
          <w:lang w:val="en-NZ"/>
        </w:rPr>
        <w:t>2</w:t>
      </w:r>
      <w:r>
        <w:rPr>
          <w:lang w:val="en-NZ"/>
        </w:rPr>
        <w:t>54</w:t>
      </w:r>
      <w:r w:rsidRPr="006B5F7B">
        <w:rPr>
          <w:lang w:val="en-NZ"/>
        </w:rPr>
        <w:t>)</w:t>
      </w:r>
      <w:r>
        <w:rPr>
          <w:lang w:val="en-NZ"/>
        </w:rPr>
        <w:t>;</w:t>
      </w:r>
    </w:p>
    <w:p w:rsidR="004806F6" w:rsidRPr="00EF0D69" w:rsidRDefault="004806F6" w:rsidP="008B0081">
      <w:pPr>
        <w:pStyle w:val="SingleTxtG"/>
        <w:ind w:firstLine="567"/>
      </w:pPr>
      <w:r>
        <w:rPr>
          <w:lang w:val="en-NZ"/>
        </w:rPr>
        <w:t>h)</w:t>
      </w:r>
      <w:r>
        <w:rPr>
          <w:lang w:val="en-NZ"/>
        </w:rPr>
        <w:tab/>
      </w:r>
      <w:r w:rsidRPr="00EF0D69">
        <w:t>Renseignements sur l</w:t>
      </w:r>
      <w:r>
        <w:t>’</w:t>
      </w:r>
      <w:r w:rsidRPr="00EF0D69">
        <w:t>utilisation du profilage racial et mesures prises dans les cantons autres que le canton de Z</w:t>
      </w:r>
      <w:r>
        <w:t>urich (CERD/C/CHE/7-9, par.</w:t>
      </w:r>
      <w:r w:rsidR="00FE4719">
        <w:t> </w:t>
      </w:r>
      <w:r>
        <w:t xml:space="preserve">292 à </w:t>
      </w:r>
      <w:r w:rsidRPr="00EF0D69">
        <w:t>296);</w:t>
      </w:r>
    </w:p>
    <w:p w:rsidR="004806F6" w:rsidRDefault="004806F6" w:rsidP="008B0081">
      <w:pPr>
        <w:pStyle w:val="SingleTxtG"/>
        <w:ind w:firstLine="567"/>
      </w:pPr>
      <w:r w:rsidRPr="00EF0D69">
        <w:t>i)</w:t>
      </w:r>
      <w:r w:rsidRPr="00EF0D69">
        <w:tab/>
        <w:t>Progrès réalisés s</w:t>
      </w:r>
      <w:r>
        <w:t>’</w:t>
      </w:r>
      <w:r w:rsidRPr="00EF0D69">
        <w:t>agissant d</w:t>
      </w:r>
      <w:r>
        <w:t>’</w:t>
      </w:r>
      <w:r w:rsidRPr="00EF0D69">
        <w:t xml:space="preserve">interdire et de </w:t>
      </w:r>
      <w:r>
        <w:t>sanctionner</w:t>
      </w:r>
      <w:r w:rsidRPr="00EF0D69">
        <w:t xml:space="preserve"> l</w:t>
      </w:r>
      <w:r>
        <w:t>’</w:t>
      </w:r>
      <w:r w:rsidRPr="00EF0D69">
        <w:t>utilisation de symbol</w:t>
      </w:r>
      <w:r>
        <w:t>e</w:t>
      </w:r>
      <w:r w:rsidRPr="00EF0D69">
        <w:t xml:space="preserve">s </w:t>
      </w:r>
      <w:r>
        <w:t>de promotion des mouvements extrémistes prônant la violence et la discrimination raciale (CERD/C/CHE/7-9, par.</w:t>
      </w:r>
      <w:r w:rsidR="00FE4719">
        <w:t> </w:t>
      </w:r>
      <w:r>
        <w:t>140).</w:t>
      </w:r>
    </w:p>
    <w:p w:rsidR="004806F6" w:rsidRPr="00FD32E7" w:rsidRDefault="008B0081" w:rsidP="008B0081">
      <w:pPr>
        <w:pStyle w:val="H23G"/>
      </w:pPr>
      <w:r>
        <w:tab/>
      </w:r>
      <w:r w:rsidR="004806F6" w:rsidRPr="00FD32E7">
        <w:t>2.</w:t>
      </w:r>
      <w:r w:rsidR="004806F6" w:rsidRPr="00FD32E7">
        <w:tab/>
        <w:t>Situation des communautés ethn</w:t>
      </w:r>
      <w:r w:rsidR="004806F6">
        <w:t xml:space="preserve">iques et minoritaires (art. 2 </w:t>
      </w:r>
      <w:r w:rsidR="004806F6" w:rsidRPr="00B303BB">
        <w:t>à</w:t>
      </w:r>
      <w:r w:rsidR="00FE4719">
        <w:t xml:space="preserve"> </w:t>
      </w:r>
      <w:r w:rsidR="004806F6" w:rsidRPr="00B303BB">
        <w:t>7</w:t>
      </w:r>
      <w:r w:rsidR="004806F6" w:rsidRPr="00FD32E7">
        <w:t>)</w:t>
      </w:r>
    </w:p>
    <w:p w:rsidR="004806F6" w:rsidRDefault="004806F6" w:rsidP="008B0081">
      <w:pPr>
        <w:pStyle w:val="SingleTxtG"/>
        <w:ind w:firstLine="567"/>
      </w:pPr>
      <w:r>
        <w:t>a)</w:t>
      </w:r>
      <w:r>
        <w:tab/>
        <w:t xml:space="preserve">Informations actualisées sur la situation des Roms, y compris ceux qui sont migrants, notamment en matière d’emploi, de logement et d’éducation, et mesures prises pour faire face aux stéréotypes négatifs et à leurs </w:t>
      </w:r>
      <w:r w:rsidR="00FE4719">
        <w:t>conséquences</w:t>
      </w:r>
      <w:r>
        <w:t xml:space="preserve"> (CERD/C/CHE/7-9, par.</w:t>
      </w:r>
      <w:r w:rsidR="00FE4719">
        <w:t> </w:t>
      </w:r>
      <w:r>
        <w:t>343 à 350);</w:t>
      </w:r>
    </w:p>
    <w:p w:rsidR="004806F6" w:rsidRDefault="004806F6" w:rsidP="008B0081">
      <w:pPr>
        <w:pStyle w:val="SingleTxtG"/>
        <w:ind w:firstLine="567"/>
      </w:pPr>
      <w:r>
        <w:t>b)</w:t>
      </w:r>
      <w:r>
        <w:tab/>
        <w:t>Informations actualisées sur l’approbation de l’interdiction de la dissimulation du visage dans les lieux publics au Tessin;</w:t>
      </w:r>
    </w:p>
    <w:p w:rsidR="004806F6" w:rsidRDefault="004806F6" w:rsidP="008B0081">
      <w:pPr>
        <w:pStyle w:val="SingleTxtG"/>
        <w:ind w:firstLine="567"/>
      </w:pPr>
      <w:r>
        <w:t>c)</w:t>
      </w:r>
      <w:r>
        <w:tab/>
        <w:t>Renseignements sur les obstacles à l’exercice de leurs droits par les groupes ethniques yéniches, manouches et shintis devenus sédentaires (CERD/C/CHE/7-9, par.</w:t>
      </w:r>
      <w:r w:rsidR="0027784B">
        <w:t> </w:t>
      </w:r>
      <w:r>
        <w:t>344 et 345).</w:t>
      </w:r>
    </w:p>
    <w:p w:rsidR="004806F6" w:rsidRPr="009B5CF9" w:rsidRDefault="004806F6" w:rsidP="008B0081">
      <w:pPr>
        <w:pStyle w:val="H23G"/>
      </w:pPr>
      <w:r>
        <w:tab/>
      </w:r>
      <w:r w:rsidRPr="009B5CF9">
        <w:t>3.</w:t>
      </w:r>
      <w:r w:rsidRPr="009B5CF9">
        <w:tab/>
        <w:t xml:space="preserve">Accès à la justice, </w:t>
      </w:r>
      <w:r w:rsidRPr="00831D35">
        <w:t>discrimination à l</w:t>
      </w:r>
      <w:r>
        <w:t>’</w:t>
      </w:r>
      <w:r w:rsidRPr="00831D35">
        <w:t>égard des non-ressortissants,</w:t>
      </w:r>
      <w:r w:rsidR="008B0081">
        <w:t xml:space="preserve"> notamment </w:t>
      </w:r>
      <w:r w:rsidR="008B0081">
        <w:br/>
        <w:t xml:space="preserve">des </w:t>
      </w:r>
      <w:r w:rsidRPr="00831D35">
        <w:t>migrants, des refugiés et des demandeurs d</w:t>
      </w:r>
      <w:r>
        <w:t>’</w:t>
      </w:r>
      <w:r w:rsidRPr="00831D35">
        <w:t>asile (art.</w:t>
      </w:r>
      <w:r>
        <w:t> </w:t>
      </w:r>
      <w:r w:rsidRPr="00831D35">
        <w:t>5, 6 et</w:t>
      </w:r>
      <w:r>
        <w:t xml:space="preserve"> </w:t>
      </w:r>
      <w:r w:rsidRPr="00831D35">
        <w:t>7)</w:t>
      </w:r>
    </w:p>
    <w:p w:rsidR="004806F6" w:rsidRDefault="004806F6" w:rsidP="008B0081">
      <w:pPr>
        <w:pStyle w:val="SingleTxtG"/>
        <w:ind w:firstLine="567"/>
      </w:pPr>
      <w:r>
        <w:t>a)</w:t>
      </w:r>
      <w:r>
        <w:tab/>
      </w:r>
      <w:r w:rsidRPr="00377DAF">
        <w:rPr>
          <w:spacing w:val="-2"/>
        </w:rPr>
        <w:t>Conséquences de la modification de la loi relative à l’</w:t>
      </w:r>
      <w:r w:rsidR="00E14318">
        <w:rPr>
          <w:spacing w:val="-2"/>
        </w:rPr>
        <w:t>a</w:t>
      </w:r>
      <w:r w:rsidRPr="00377DAF">
        <w:rPr>
          <w:spacing w:val="-2"/>
        </w:rPr>
        <w:t>sile sur les droits des demandeurs d’asile, y compris le droit à la liberté de mouvement et l’accès aux lieux publics;</w:t>
      </w:r>
    </w:p>
    <w:p w:rsidR="004806F6" w:rsidRDefault="004806F6" w:rsidP="008B0081">
      <w:pPr>
        <w:pStyle w:val="SingleTxtG"/>
        <w:ind w:firstLine="567"/>
      </w:pPr>
      <w:r>
        <w:t>b)</w:t>
      </w:r>
      <w:r>
        <w:tab/>
        <w:t>Renseignements sur les allégations concernant le recours excessif à la force de la part de la police lors de l’arrestation, du placement en rétention et de l’expulsion de demandeurs d’asile et d’immigrants, enquêtes menées et aboutissement de ces enquêtes (CERD/C/CHE/7-9, par.</w:t>
      </w:r>
      <w:r w:rsidR="0027784B">
        <w:t> </w:t>
      </w:r>
      <w:r>
        <w:t>302);</w:t>
      </w:r>
    </w:p>
    <w:p w:rsidR="004806F6" w:rsidRDefault="004806F6" w:rsidP="008B0081">
      <w:pPr>
        <w:pStyle w:val="SingleTxtG"/>
        <w:ind w:firstLine="567"/>
      </w:pPr>
      <w:r>
        <w:t>c)</w:t>
      </w:r>
      <w:r>
        <w:tab/>
        <w:t>Situation des personnes qui dépendent du régime de l’aide d’urgence, dont les enfants qui vivent dans un logement d’urgence; droit à l’éducation de ces enfants (CERD/C/CHE/7-9, par.</w:t>
      </w:r>
      <w:r w:rsidR="0027784B">
        <w:t> </w:t>
      </w:r>
      <w:r>
        <w:t>215);</w:t>
      </w:r>
    </w:p>
    <w:p w:rsidR="004806F6" w:rsidRDefault="004806F6" w:rsidP="008B0081">
      <w:pPr>
        <w:pStyle w:val="SingleTxtG"/>
        <w:ind w:firstLine="567"/>
      </w:pPr>
      <w:r>
        <w:t>d)</w:t>
      </w:r>
      <w:r>
        <w:tab/>
        <w:t>Procédure de naturalisation et absence de critères normalisés et de procédure</w:t>
      </w:r>
      <w:r w:rsidR="0027784B">
        <w:t>s</w:t>
      </w:r>
      <w:r>
        <w:t xml:space="preserve"> d’appel au niveau des cantons (CERD/C/CHE/7-9, par.</w:t>
      </w:r>
      <w:r w:rsidR="0027784B">
        <w:t> </w:t>
      </w:r>
      <w:r>
        <w:t>336 à 342).</w:t>
      </w:r>
    </w:p>
    <w:p w:rsidR="00FE039B" w:rsidRPr="00FE039B" w:rsidRDefault="00FE039B" w:rsidP="00FE039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E039B" w:rsidRPr="00FE039B" w:rsidSect="008D346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4B" w:rsidRDefault="002F2D4B"/>
  </w:endnote>
  <w:endnote w:type="continuationSeparator" w:id="0">
    <w:p w:rsidR="002F2D4B" w:rsidRDefault="002F2D4B"/>
  </w:endnote>
  <w:endnote w:type="continuationNotice" w:id="1">
    <w:p w:rsidR="002F2D4B" w:rsidRPr="00201F68" w:rsidRDefault="002F2D4B" w:rsidP="00201F68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69" w:rsidRPr="008D3469" w:rsidRDefault="008D3469" w:rsidP="008D3469">
    <w:pPr>
      <w:pStyle w:val="Footer"/>
      <w:tabs>
        <w:tab w:val="right" w:pos="9638"/>
      </w:tabs>
    </w:pPr>
    <w:r w:rsidRPr="008D3469">
      <w:rPr>
        <w:b/>
        <w:sz w:val="18"/>
      </w:rPr>
      <w:fldChar w:fldCharType="begin"/>
    </w:r>
    <w:r w:rsidRPr="008D3469">
      <w:rPr>
        <w:b/>
        <w:sz w:val="18"/>
      </w:rPr>
      <w:instrText xml:space="preserve"> PAGE  \* MERGEFORMAT </w:instrText>
    </w:r>
    <w:r w:rsidRPr="008D3469">
      <w:rPr>
        <w:b/>
        <w:sz w:val="18"/>
      </w:rPr>
      <w:fldChar w:fldCharType="separate"/>
    </w:r>
    <w:r w:rsidR="008652B7">
      <w:rPr>
        <w:b/>
        <w:noProof/>
        <w:sz w:val="18"/>
      </w:rPr>
      <w:t>2</w:t>
    </w:r>
    <w:r w:rsidRPr="008D3469">
      <w:rPr>
        <w:b/>
        <w:sz w:val="18"/>
      </w:rPr>
      <w:fldChar w:fldCharType="end"/>
    </w:r>
    <w:r>
      <w:rPr>
        <w:b/>
        <w:sz w:val="18"/>
      </w:rPr>
      <w:tab/>
    </w:r>
    <w:r>
      <w:t>GE.13-49599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69" w:rsidRPr="008D3469" w:rsidRDefault="008D3469" w:rsidP="008D3469">
    <w:pPr>
      <w:pStyle w:val="Footer"/>
      <w:tabs>
        <w:tab w:val="right" w:pos="9638"/>
      </w:tabs>
      <w:rPr>
        <w:b/>
        <w:sz w:val="18"/>
      </w:rPr>
    </w:pPr>
    <w:r>
      <w:t>GE.13-49599</w:t>
    </w:r>
    <w:r>
      <w:tab/>
    </w:r>
    <w:r w:rsidRPr="008D3469">
      <w:rPr>
        <w:b/>
        <w:sz w:val="18"/>
      </w:rPr>
      <w:fldChar w:fldCharType="begin"/>
    </w:r>
    <w:r w:rsidRPr="008D3469">
      <w:rPr>
        <w:b/>
        <w:sz w:val="18"/>
      </w:rPr>
      <w:instrText xml:space="preserve"> PAGE  \* MERGEFORMAT </w:instrText>
    </w:r>
    <w:r w:rsidRPr="008D3469">
      <w:rPr>
        <w:b/>
        <w:sz w:val="18"/>
      </w:rPr>
      <w:fldChar w:fldCharType="separate"/>
    </w:r>
    <w:r w:rsidR="008B0081">
      <w:rPr>
        <w:b/>
        <w:noProof/>
        <w:sz w:val="18"/>
      </w:rPr>
      <w:t>3</w:t>
    </w:r>
    <w:r w:rsidRPr="008D3469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0D" w:rsidRPr="008D3469" w:rsidRDefault="008D3469" w:rsidP="008D3469">
    <w:pPr>
      <w:pStyle w:val="Footer"/>
      <w:spacing w:before="120"/>
      <w:rPr>
        <w:sz w:val="20"/>
      </w:rPr>
    </w:pPr>
    <w:r>
      <w:rPr>
        <w:sz w:val="20"/>
      </w:rPr>
      <w:t>GE.</w:t>
    </w:r>
    <w:r w:rsidR="0013200D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6.95pt;height:18.35pt;z-index:1;mso-position-horizontal-relative:margin;mso-position-vertical-relative:margin">
          <v:imagedata r:id="rId1" o:title="recycle_French"/>
          <w10:wrap anchorx="margin" anchory="margin"/>
        </v:shape>
      </w:pict>
    </w:r>
    <w:r>
      <w:rPr>
        <w:sz w:val="20"/>
      </w:rPr>
      <w:t>13-49599  (F)    191213    201213</w:t>
    </w:r>
    <w:r>
      <w:rPr>
        <w:sz w:val="20"/>
      </w:rPr>
      <w:br/>
    </w:r>
    <w:r w:rsidRPr="008D3469">
      <w:rPr>
        <w:rFonts w:ascii="C39T30Lfz" w:hAnsi="C39T30Lfz"/>
        <w:sz w:val="56"/>
      </w:rPr>
      <w:t></w:t>
    </w:r>
    <w:r w:rsidRPr="008D3469">
      <w:rPr>
        <w:rFonts w:ascii="C39T30Lfz" w:hAnsi="C39T30Lfz"/>
        <w:sz w:val="56"/>
      </w:rPr>
      <w:t></w:t>
    </w:r>
    <w:r w:rsidRPr="008D3469">
      <w:rPr>
        <w:rFonts w:ascii="C39T30Lfz" w:hAnsi="C39T30Lfz"/>
        <w:sz w:val="56"/>
      </w:rPr>
      <w:t></w:t>
    </w:r>
    <w:r w:rsidRPr="008D3469">
      <w:rPr>
        <w:rFonts w:ascii="C39T30Lfz" w:hAnsi="C39T30Lfz"/>
        <w:sz w:val="56"/>
      </w:rPr>
      <w:t></w:t>
    </w:r>
    <w:r w:rsidRPr="008D3469">
      <w:rPr>
        <w:rFonts w:ascii="C39T30Lfz" w:hAnsi="C39T30Lfz"/>
        <w:sz w:val="56"/>
      </w:rPr>
      <w:t></w:t>
    </w:r>
    <w:r w:rsidRPr="008D3469">
      <w:rPr>
        <w:rFonts w:ascii="C39T30Lfz" w:hAnsi="C39T30Lfz"/>
        <w:sz w:val="56"/>
      </w:rPr>
      <w:t></w:t>
    </w:r>
    <w:r w:rsidRPr="008D3469">
      <w:rPr>
        <w:rFonts w:ascii="C39T30Lfz" w:hAnsi="C39T30Lfz"/>
        <w:sz w:val="56"/>
      </w:rPr>
      <w:t></w:t>
    </w:r>
    <w:r w:rsidRPr="008D3469">
      <w:rPr>
        <w:rFonts w:ascii="C39T30Lfz" w:hAnsi="C39T30Lfz"/>
        <w:sz w:val="56"/>
      </w:rPr>
      <w:t></w:t>
    </w:r>
    <w:r w:rsidRPr="008D3469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7-9&amp;Size=2&amp;Lang=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4B" w:rsidRPr="00D27D5E" w:rsidRDefault="002F2D4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2D4B" w:rsidRPr="00AA7FE7" w:rsidRDefault="002F2D4B" w:rsidP="00AA7FE7">
      <w:pPr>
        <w:tabs>
          <w:tab w:val="right" w:pos="2155"/>
        </w:tabs>
        <w:spacing w:after="80"/>
        <w:ind w:left="680"/>
        <w:rPr>
          <w:u w:val="single"/>
        </w:rPr>
      </w:pPr>
      <w:r w:rsidRPr="00AA7FE7">
        <w:rPr>
          <w:u w:val="single"/>
        </w:rPr>
        <w:tab/>
      </w:r>
    </w:p>
  </w:footnote>
  <w:footnote w:type="continuationNotice" w:id="1">
    <w:p w:rsidR="002F2D4B" w:rsidRPr="00201F68" w:rsidRDefault="002F2D4B" w:rsidP="00201F6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69" w:rsidRPr="008D3469" w:rsidRDefault="008D3469">
    <w:pPr>
      <w:pStyle w:val="Header"/>
    </w:pPr>
    <w:r>
      <w:t>CERD/C/CHE/Q/7-9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69" w:rsidRPr="008D3469" w:rsidRDefault="008D3469" w:rsidP="008D3469">
    <w:pPr>
      <w:pStyle w:val="Header"/>
      <w:jc w:val="right"/>
    </w:pPr>
    <w:r>
      <w:t>CERD/C/CHE/Q/7-9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C8D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FCF4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E6C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1CE1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44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B0E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AA3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C2D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46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C65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NZ" w:vendorID="64" w:dllVersion="131078" w:nlCheck="1" w:checkStyle="1"/>
  <w:attachedTemplate r:id="rId1"/>
  <w:stylePaneFormatFilter w:val="0004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00D"/>
    <w:rsid w:val="00016AC5"/>
    <w:rsid w:val="000501C5"/>
    <w:rsid w:val="00054609"/>
    <w:rsid w:val="000A6F55"/>
    <w:rsid w:val="000E7579"/>
    <w:rsid w:val="000F41F2"/>
    <w:rsid w:val="001231AD"/>
    <w:rsid w:val="0013200D"/>
    <w:rsid w:val="001450E6"/>
    <w:rsid w:val="00150465"/>
    <w:rsid w:val="00160540"/>
    <w:rsid w:val="00192EEB"/>
    <w:rsid w:val="00197832"/>
    <w:rsid w:val="001A20FB"/>
    <w:rsid w:val="001B3867"/>
    <w:rsid w:val="001D647C"/>
    <w:rsid w:val="001D72C5"/>
    <w:rsid w:val="001D7F8A"/>
    <w:rsid w:val="001E3FEB"/>
    <w:rsid w:val="001E4A02"/>
    <w:rsid w:val="00201F68"/>
    <w:rsid w:val="00225A8C"/>
    <w:rsid w:val="00233A74"/>
    <w:rsid w:val="002626D4"/>
    <w:rsid w:val="002659F1"/>
    <w:rsid w:val="00265CD7"/>
    <w:rsid w:val="0027784B"/>
    <w:rsid w:val="00287E79"/>
    <w:rsid w:val="002928F9"/>
    <w:rsid w:val="002A5D07"/>
    <w:rsid w:val="002D3F03"/>
    <w:rsid w:val="002E0D40"/>
    <w:rsid w:val="002E5B0C"/>
    <w:rsid w:val="002F2D4B"/>
    <w:rsid w:val="00300D06"/>
    <w:rsid w:val="003016B7"/>
    <w:rsid w:val="003515AA"/>
    <w:rsid w:val="00374106"/>
    <w:rsid w:val="00374C4D"/>
    <w:rsid w:val="00377DAF"/>
    <w:rsid w:val="003976D5"/>
    <w:rsid w:val="003D6C68"/>
    <w:rsid w:val="004159D0"/>
    <w:rsid w:val="00436DCC"/>
    <w:rsid w:val="00472145"/>
    <w:rsid w:val="004806F6"/>
    <w:rsid w:val="00540389"/>
    <w:rsid w:val="00543D5E"/>
    <w:rsid w:val="00571F41"/>
    <w:rsid w:val="00593658"/>
    <w:rsid w:val="005E5D1F"/>
    <w:rsid w:val="006034FC"/>
    <w:rsid w:val="00611D43"/>
    <w:rsid w:val="00612D48"/>
    <w:rsid w:val="00616B45"/>
    <w:rsid w:val="00630D9B"/>
    <w:rsid w:val="00631953"/>
    <w:rsid w:val="006347C4"/>
    <w:rsid w:val="006439EC"/>
    <w:rsid w:val="0065167E"/>
    <w:rsid w:val="00657120"/>
    <w:rsid w:val="006930BE"/>
    <w:rsid w:val="00693E16"/>
    <w:rsid w:val="006B4590"/>
    <w:rsid w:val="006C340C"/>
    <w:rsid w:val="006C6A4D"/>
    <w:rsid w:val="006D7B0B"/>
    <w:rsid w:val="006E6AE5"/>
    <w:rsid w:val="006F39E4"/>
    <w:rsid w:val="0070347C"/>
    <w:rsid w:val="007176C1"/>
    <w:rsid w:val="007231EF"/>
    <w:rsid w:val="00737C7C"/>
    <w:rsid w:val="0078670C"/>
    <w:rsid w:val="007F55CB"/>
    <w:rsid w:val="00844750"/>
    <w:rsid w:val="008652B7"/>
    <w:rsid w:val="008964C1"/>
    <w:rsid w:val="008B0081"/>
    <w:rsid w:val="008B44C4"/>
    <w:rsid w:val="008D2259"/>
    <w:rsid w:val="008D3469"/>
    <w:rsid w:val="008E7FAE"/>
    <w:rsid w:val="00911BF7"/>
    <w:rsid w:val="00977EC8"/>
    <w:rsid w:val="009C17F5"/>
    <w:rsid w:val="009D3A8C"/>
    <w:rsid w:val="009D6F78"/>
    <w:rsid w:val="009E7956"/>
    <w:rsid w:val="00A2492E"/>
    <w:rsid w:val="00A82B6C"/>
    <w:rsid w:val="00AA7FE7"/>
    <w:rsid w:val="00AB3173"/>
    <w:rsid w:val="00AC01AA"/>
    <w:rsid w:val="00AC67A1"/>
    <w:rsid w:val="00AC7977"/>
    <w:rsid w:val="00AE352C"/>
    <w:rsid w:val="00B32E2D"/>
    <w:rsid w:val="00B61990"/>
    <w:rsid w:val="00BF0556"/>
    <w:rsid w:val="00C03431"/>
    <w:rsid w:val="00C261F8"/>
    <w:rsid w:val="00C33100"/>
    <w:rsid w:val="00CD1A71"/>
    <w:rsid w:val="00CD1FBB"/>
    <w:rsid w:val="00D016B5"/>
    <w:rsid w:val="00D034F1"/>
    <w:rsid w:val="00D27D5E"/>
    <w:rsid w:val="00D37345"/>
    <w:rsid w:val="00DC156C"/>
    <w:rsid w:val="00DE6D90"/>
    <w:rsid w:val="00DF002F"/>
    <w:rsid w:val="00E0244D"/>
    <w:rsid w:val="00E14318"/>
    <w:rsid w:val="00E1753A"/>
    <w:rsid w:val="00E42D5E"/>
    <w:rsid w:val="00E81E94"/>
    <w:rsid w:val="00E82607"/>
    <w:rsid w:val="00EC5A42"/>
    <w:rsid w:val="00EF7CA3"/>
    <w:rsid w:val="00F63BC6"/>
    <w:rsid w:val="00FA5A79"/>
    <w:rsid w:val="00FB0BFE"/>
    <w:rsid w:val="00FB4C51"/>
    <w:rsid w:val="00FE039B"/>
    <w:rsid w:val="00FE4719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7F5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D37345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9C17F5"/>
    <w:pPr>
      <w:outlineLvl w:val="1"/>
    </w:pPr>
  </w:style>
  <w:style w:type="paragraph" w:styleId="Heading3">
    <w:name w:val="heading 3"/>
    <w:basedOn w:val="Normal"/>
    <w:next w:val="Normal"/>
    <w:qFormat/>
    <w:rsid w:val="009C17F5"/>
    <w:pPr>
      <w:outlineLvl w:val="2"/>
    </w:pPr>
  </w:style>
  <w:style w:type="paragraph" w:styleId="Heading4">
    <w:name w:val="heading 4"/>
    <w:basedOn w:val="Normal"/>
    <w:next w:val="Normal"/>
    <w:qFormat/>
    <w:rsid w:val="009C17F5"/>
    <w:pPr>
      <w:outlineLvl w:val="3"/>
    </w:pPr>
  </w:style>
  <w:style w:type="paragraph" w:styleId="Heading5">
    <w:name w:val="heading 5"/>
    <w:basedOn w:val="Normal"/>
    <w:next w:val="Normal"/>
    <w:qFormat/>
    <w:rsid w:val="009C17F5"/>
    <w:pPr>
      <w:outlineLvl w:val="4"/>
    </w:pPr>
  </w:style>
  <w:style w:type="paragraph" w:styleId="Heading6">
    <w:name w:val="heading 6"/>
    <w:basedOn w:val="Normal"/>
    <w:next w:val="Normal"/>
    <w:qFormat/>
    <w:rsid w:val="009C17F5"/>
    <w:pPr>
      <w:outlineLvl w:val="5"/>
    </w:pPr>
  </w:style>
  <w:style w:type="paragraph" w:styleId="Heading7">
    <w:name w:val="heading 7"/>
    <w:basedOn w:val="Normal"/>
    <w:next w:val="Normal"/>
    <w:qFormat/>
    <w:rsid w:val="009C17F5"/>
    <w:pPr>
      <w:outlineLvl w:val="6"/>
    </w:pPr>
  </w:style>
  <w:style w:type="paragraph" w:styleId="Heading8">
    <w:name w:val="heading 8"/>
    <w:basedOn w:val="Normal"/>
    <w:next w:val="Normal"/>
    <w:qFormat/>
    <w:rsid w:val="009C17F5"/>
    <w:pPr>
      <w:outlineLvl w:val="7"/>
    </w:pPr>
  </w:style>
  <w:style w:type="paragraph" w:styleId="Heading9">
    <w:name w:val="heading 9"/>
    <w:basedOn w:val="Normal"/>
    <w:next w:val="Normal"/>
    <w:qFormat/>
    <w:rsid w:val="009C17F5"/>
    <w:pPr>
      <w:outlineLvl w:val="8"/>
    </w:pPr>
  </w:style>
  <w:style w:type="character" w:default="1" w:styleId="DefaultParagraphFont">
    <w:name w:val="Default Paragraph Font"/>
    <w:semiHidden/>
    <w:rsid w:val="009C17F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17F5"/>
  </w:style>
  <w:style w:type="paragraph" w:customStyle="1" w:styleId="HMG">
    <w:name w:val="_ H __M_G"/>
    <w:basedOn w:val="Normal"/>
    <w:next w:val="Normal"/>
    <w:rsid w:val="009C17F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C17F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C17F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C17F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C17F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C17F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C17F5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C17F5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9C17F5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9C17F5"/>
  </w:style>
  <w:style w:type="paragraph" w:styleId="Header">
    <w:name w:val="header"/>
    <w:aliases w:val="6_G"/>
    <w:basedOn w:val="Normal"/>
    <w:next w:val="Normal"/>
    <w:rsid w:val="009C17F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5460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54609"/>
  </w:style>
  <w:style w:type="character" w:styleId="PageNumber">
    <w:name w:val="page number"/>
    <w:aliases w:val="7_G"/>
    <w:basedOn w:val="DefaultParagraphFont"/>
    <w:rsid w:val="009C17F5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9C17F5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540389"/>
    <w:rPr>
      <w:color w:val="auto"/>
      <w:u w:val="none"/>
    </w:rPr>
  </w:style>
  <w:style w:type="character" w:styleId="FollowedHyperlink">
    <w:name w:val="FollowedHyperlink"/>
    <w:basedOn w:val="DefaultParagraphFont"/>
    <w:rsid w:val="00540389"/>
    <w:rPr>
      <w:color w:val="auto"/>
      <w:u w:val="none"/>
    </w:rPr>
  </w:style>
  <w:style w:type="paragraph" w:customStyle="1" w:styleId="ParNoG">
    <w:name w:val="_ParNo_G"/>
    <w:basedOn w:val="SingleTxtG"/>
    <w:rsid w:val="009D6F78"/>
    <w:pPr>
      <w:numPr>
        <w:numId w:val="3"/>
      </w:numPr>
    </w:pPr>
  </w:style>
  <w:style w:type="table" w:styleId="TableGrid">
    <w:name w:val="Table Grid"/>
    <w:basedOn w:val="TableNormal"/>
    <w:semiHidden/>
    <w:rsid w:val="004806F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2</Pages>
  <Words>758</Words>
  <Characters>4170</Characters>
  <Application>Microsoft Office Outlook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CERD/C/CHE/Q/7-9</vt:lpstr>
    </vt:vector>
  </TitlesOfParts>
  <Company>CSD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CERD/C/CHE/Q/7-9</dc:title>
  <dc:subject/>
  <dc:creator>CHAUTAGNAT</dc:creator>
  <cp:keywords/>
  <dc:description/>
  <cp:lastModifiedBy>CHAUTAGNAT</cp:lastModifiedBy>
  <cp:revision>2</cp:revision>
  <cp:lastPrinted>2013-12-20T09:51:00Z</cp:lastPrinted>
  <dcterms:created xsi:type="dcterms:W3CDTF">2013-12-20T14:13:00Z</dcterms:created>
  <dcterms:modified xsi:type="dcterms:W3CDTF">2013-12-20T14:13:00Z</dcterms:modified>
</cp:coreProperties>
</file>