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7636FE">
                <w:t>С/CHL/19</w:t>
              </w:r>
              <w:r w:rsidR="007D6C19">
                <w:t>−</w:t>
              </w:r>
              <w:r w:rsidR="007636FE">
                <w:t>21</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A3446D" w:rsidP="002B43B0">
            <w:pPr>
              <w:spacing w:before="0" w:after="0"/>
              <w:rPr>
                <w:sz w:val="20"/>
                <w:lang w:val="en-US"/>
              </w:rPr>
            </w:pPr>
            <w:r>
              <w:rPr>
                <w:sz w:val="20"/>
                <w:lang w:val="en-US"/>
              </w:rPr>
              <w:t>19 April 2013</w:t>
            </w:r>
            <w:fldSimple w:instr=" FILLIN  &quot;Введите дату документа&quot; \* MERGEFORMAT "/>
          </w:p>
          <w:p w:rsidR="007511D7" w:rsidRPr="00D65A62" w:rsidRDefault="007511D7" w:rsidP="002B43B0">
            <w:pPr>
              <w:spacing w:before="0" w:after="0"/>
              <w:rPr>
                <w:sz w:val="20"/>
              </w:rPr>
            </w:pPr>
            <w:r w:rsidRPr="00D65A62">
              <w:rPr>
                <w:sz w:val="20"/>
                <w:lang w:val="en-US"/>
              </w:rPr>
              <w:t>Russian</w:t>
            </w:r>
          </w:p>
          <w:p w:rsidR="007511D7" w:rsidRPr="00A3446D" w:rsidRDefault="007511D7" w:rsidP="002B43B0">
            <w:pPr>
              <w:spacing w:before="0" w:after="0"/>
              <w:rPr>
                <w:sz w:val="20"/>
                <w:lang w:val="en-US"/>
              </w:rPr>
            </w:pPr>
            <w:r w:rsidRPr="00D65A62">
              <w:rPr>
                <w:sz w:val="20"/>
                <w:lang w:val="en-US"/>
              </w:rPr>
              <w:t>Original</w:t>
            </w:r>
            <w:r w:rsidRPr="00D65A62">
              <w:rPr>
                <w:sz w:val="20"/>
              </w:rPr>
              <w:t xml:space="preserve">: </w:t>
            </w:r>
            <w:r w:rsidR="00A3446D">
              <w:rPr>
                <w:sz w:val="20"/>
                <w:lang w:val="en-US"/>
              </w:rPr>
              <w:t>Spanish</w:t>
            </w:r>
          </w:p>
          <w:p w:rsidR="007511D7" w:rsidRPr="00635870" w:rsidRDefault="007511D7" w:rsidP="002B43B0"/>
        </w:tc>
      </w:tr>
    </w:tbl>
    <w:p w:rsidR="007636FE" w:rsidRPr="007636FE" w:rsidRDefault="007636FE" w:rsidP="007636FE">
      <w:pPr>
        <w:spacing w:before="120"/>
        <w:rPr>
          <w:b/>
          <w:sz w:val="24"/>
          <w:szCs w:val="24"/>
          <w:lang w:val="en-US"/>
        </w:rPr>
      </w:pPr>
      <w:r w:rsidRPr="00991299">
        <w:rPr>
          <w:b/>
          <w:sz w:val="24"/>
          <w:szCs w:val="24"/>
        </w:rPr>
        <w:t>К</w:t>
      </w:r>
      <w:r w:rsidRPr="007636FE">
        <w:rPr>
          <w:b/>
          <w:sz w:val="24"/>
          <w:szCs w:val="24"/>
        </w:rPr>
        <w:t>омитет по ликвидации расовой дискриминации</w:t>
      </w:r>
    </w:p>
    <w:p w:rsidR="007636FE" w:rsidRPr="007636FE" w:rsidRDefault="005D6461" w:rsidP="005D6461">
      <w:pPr>
        <w:pStyle w:val="HMGR"/>
        <w:spacing w:before="360"/>
      </w:pPr>
      <w:r>
        <w:rPr>
          <w:lang w:val="en-US"/>
        </w:rPr>
        <w:tab/>
      </w:r>
      <w:r>
        <w:rPr>
          <w:lang w:val="en-US"/>
        </w:rPr>
        <w:tab/>
      </w:r>
      <w:r w:rsidR="007636FE" w:rsidRPr="007636FE">
        <w:t>Д</w:t>
      </w:r>
      <w:r w:rsidR="00A3446D" w:rsidRPr="007636FE">
        <w:t xml:space="preserve">оклады, представленные </w:t>
      </w:r>
      <w:r w:rsidR="00616E30">
        <w:br/>
      </w:r>
      <w:r w:rsidR="00A3446D" w:rsidRPr="007636FE">
        <w:t xml:space="preserve">государствами-участниками </w:t>
      </w:r>
      <w:r w:rsidR="00616E30">
        <w:br/>
      </w:r>
      <w:r w:rsidR="00A3446D" w:rsidRPr="007636FE">
        <w:t>в соответствии со статьей 9 Конвенции</w:t>
      </w:r>
    </w:p>
    <w:p w:rsidR="007636FE" w:rsidRPr="007636FE" w:rsidRDefault="005D6461" w:rsidP="005D6461">
      <w:pPr>
        <w:pStyle w:val="HChGR"/>
      </w:pPr>
      <w:r w:rsidRPr="00616E30">
        <w:tab/>
      </w:r>
      <w:r w:rsidRPr="00616E30">
        <w:tab/>
      </w:r>
      <w:r w:rsidR="007636FE" w:rsidRPr="007636FE">
        <w:t>Девятнадцатый</w:t>
      </w:r>
      <w:r w:rsidRPr="005D6461">
        <w:t>−</w:t>
      </w:r>
      <w:r w:rsidR="007636FE" w:rsidRPr="007636FE">
        <w:t>двадцать первый</w:t>
      </w:r>
      <w:r w:rsidR="007636FE">
        <w:t xml:space="preserve"> </w:t>
      </w:r>
      <w:r w:rsidR="007636FE" w:rsidRPr="007636FE">
        <w:t>периодические доклады государств-участников, которые должны были быть представлены в 2012 году</w:t>
      </w:r>
    </w:p>
    <w:p w:rsidR="007636FE" w:rsidRPr="007636FE" w:rsidRDefault="005D6461" w:rsidP="005D6461">
      <w:pPr>
        <w:pStyle w:val="HMGR"/>
      </w:pPr>
      <w:r>
        <w:rPr>
          <w:lang w:val="en-US"/>
        </w:rPr>
        <w:tab/>
      </w:r>
      <w:r>
        <w:rPr>
          <w:lang w:val="en-US"/>
        </w:rPr>
        <w:tab/>
      </w:r>
      <w:r w:rsidR="007636FE" w:rsidRPr="007636FE">
        <w:t>Чили</w:t>
      </w:r>
      <w:r w:rsidRPr="005D6461">
        <w:rPr>
          <w:rStyle w:val="FootnoteReference"/>
          <w:b w:val="0"/>
          <w:szCs w:val="18"/>
          <w:vertAlign w:val="baseline"/>
        </w:rPr>
        <w:footnoteReference w:customMarkFollows="1" w:id="1"/>
        <w:t>*</w:t>
      </w:r>
      <w:r w:rsidRPr="005D6461">
        <w:rPr>
          <w:b w:val="0"/>
          <w:sz w:val="18"/>
          <w:szCs w:val="18"/>
          <w:vertAlign w:val="superscript"/>
        </w:rPr>
        <w:t>,</w:t>
      </w:r>
      <w:r w:rsidRPr="005D6461">
        <w:rPr>
          <w:b w:val="0"/>
          <w:sz w:val="18"/>
          <w:szCs w:val="18"/>
        </w:rPr>
        <w:t xml:space="preserve"> </w:t>
      </w:r>
      <w:r w:rsidRPr="005D6461">
        <w:rPr>
          <w:rStyle w:val="FootnoteReference"/>
          <w:b w:val="0"/>
          <w:szCs w:val="18"/>
          <w:vertAlign w:val="baseline"/>
        </w:rPr>
        <w:footnoteReference w:customMarkFollows="1" w:id="2"/>
        <w:t>**</w:t>
      </w:r>
    </w:p>
    <w:p w:rsidR="007636FE" w:rsidRPr="007636FE" w:rsidRDefault="007636FE" w:rsidP="005D6461">
      <w:pPr>
        <w:pStyle w:val="SingleTxtGR"/>
        <w:jc w:val="right"/>
      </w:pPr>
      <w:r w:rsidRPr="007636FE">
        <w:t>[28 сентября 2012 года]</w:t>
      </w:r>
    </w:p>
    <w:p w:rsidR="002F3766" w:rsidRDefault="007636FE" w:rsidP="002F3766">
      <w:pPr>
        <w:suppressAutoHyphens/>
        <w:spacing w:after="120"/>
        <w:rPr>
          <w:sz w:val="28"/>
          <w:lang w:val="es-ES"/>
        </w:rPr>
      </w:pPr>
      <w:r w:rsidRPr="007636FE">
        <w:rPr>
          <w:lang w:val="es-ES"/>
        </w:rPr>
        <w:br w:type="page"/>
      </w:r>
      <w:r w:rsidR="002F3766">
        <w:rPr>
          <w:sz w:val="28"/>
          <w:lang w:val="es-ES"/>
        </w:rPr>
        <w:t>Содержание</w:t>
      </w:r>
    </w:p>
    <w:p w:rsidR="002F3766" w:rsidRDefault="002F3766" w:rsidP="002F3766">
      <w:pPr>
        <w:tabs>
          <w:tab w:val="right" w:pos="8929"/>
          <w:tab w:val="right" w:pos="9638"/>
        </w:tabs>
        <w:suppressAutoHyphens/>
        <w:spacing w:after="120"/>
        <w:ind w:left="283"/>
        <w:rPr>
          <w:lang w:val="es-ES"/>
        </w:rPr>
      </w:pPr>
      <w:r>
        <w:rPr>
          <w:i/>
          <w:sz w:val="18"/>
          <w:lang w:val="es-ES"/>
        </w:rPr>
        <w:tab/>
        <w:t>Пункты</w:t>
      </w:r>
      <w:r>
        <w:rPr>
          <w:i/>
          <w:sz w:val="18"/>
          <w:lang w:val="es-ES"/>
        </w:rPr>
        <w:tab/>
        <w:t>Стр.</w:t>
      </w:r>
    </w:p>
    <w:p w:rsidR="002F3766" w:rsidRDefault="00D11629" w:rsidP="002F3766">
      <w:pPr>
        <w:tabs>
          <w:tab w:val="right" w:pos="850"/>
          <w:tab w:val="left" w:pos="1134"/>
          <w:tab w:val="left" w:pos="1559"/>
          <w:tab w:val="left" w:pos="1984"/>
          <w:tab w:val="left" w:leader="dot" w:pos="7654"/>
          <w:tab w:val="right" w:pos="8929"/>
          <w:tab w:val="right" w:pos="9638"/>
        </w:tabs>
        <w:suppressAutoHyphens/>
        <w:spacing w:after="120"/>
      </w:pPr>
      <w:r>
        <w:tab/>
      </w:r>
      <w:r>
        <w:tab/>
      </w:r>
      <w:r w:rsidR="00616E30" w:rsidRPr="00616E30">
        <w:t>Сокращения и аббревиатуры</w:t>
      </w:r>
      <w:r w:rsidR="00616E30">
        <w:tab/>
      </w:r>
      <w:r w:rsidR="00616E30">
        <w:tab/>
      </w:r>
      <w:r w:rsidR="00616E30">
        <w:tab/>
        <w:t>4</w:t>
      </w:r>
    </w:p>
    <w:p w:rsidR="00D11629" w:rsidRDefault="00D11629" w:rsidP="002F3766">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t>.</w:t>
      </w:r>
      <w:r>
        <w:tab/>
      </w:r>
      <w:r w:rsidRPr="00D11629">
        <w:t>Введение</w:t>
      </w:r>
      <w:r>
        <w:tab/>
      </w:r>
      <w:r>
        <w:tab/>
        <w:t>1−7</w:t>
      </w:r>
      <w:r>
        <w:tab/>
      </w:r>
      <w:r w:rsidR="00616E30">
        <w:t>5</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tab/>
      </w:r>
      <w:r w:rsidRPr="00D11629">
        <w:t>II.</w:t>
      </w:r>
      <w:r w:rsidRPr="00D11629">
        <w:tab/>
        <w:t>Общая ситуация в области дискриминации в Чили</w:t>
      </w:r>
      <w:r w:rsidRPr="00D11629">
        <w:tab/>
      </w:r>
      <w:r w:rsidRPr="00D11629">
        <w:tab/>
        <w:t>8–22</w:t>
      </w:r>
      <w:r w:rsidRPr="00D11629">
        <w:tab/>
        <w:t>6</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Положение этнических или рас</w:t>
      </w:r>
      <w:r w:rsidR="00821909">
        <w:t>овых меньшинств</w:t>
      </w:r>
      <w:r w:rsidR="00821909">
        <w:tab/>
      </w:r>
      <w:r w:rsidR="00821909">
        <w:tab/>
        <w:t>12–22</w:t>
      </w:r>
      <w:r w:rsidR="00821909">
        <w:tab/>
        <w:t>7</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rPr>
          <w:webHidden/>
        </w:rPr>
      </w:pPr>
      <w:r w:rsidRPr="00D11629">
        <w:tab/>
        <w:t>III.</w:t>
      </w:r>
      <w:r w:rsidRPr="00D11629">
        <w:tab/>
        <w:t>Информация, касающаяся статей Конвенции</w:t>
      </w:r>
      <w:r w:rsidRPr="00D11629">
        <w:rPr>
          <w:webHidden/>
        </w:rPr>
        <w:tab/>
      </w:r>
      <w:r w:rsidRPr="00D11629">
        <w:rPr>
          <w:webHidden/>
        </w:rPr>
        <w:tab/>
        <w:t>23–151</w:t>
      </w:r>
      <w:r w:rsidRPr="00D11629">
        <w:rPr>
          <w:webHidden/>
        </w:rPr>
        <w:tab/>
        <w:t>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Статья 1</w:t>
      </w:r>
      <w:r w:rsidRPr="00D11629">
        <w:rPr>
          <w:webHidden/>
        </w:rPr>
        <w:tab/>
      </w:r>
      <w:r w:rsidRPr="00D11629">
        <w:rPr>
          <w:webHidden/>
        </w:rPr>
        <w:tab/>
      </w:r>
      <w:r>
        <w:rPr>
          <w:webHidden/>
        </w:rPr>
        <w:tab/>
      </w:r>
      <w:r w:rsidRPr="00D11629">
        <w:rPr>
          <w:webHidden/>
        </w:rPr>
        <w:t>23–32</w:t>
      </w:r>
      <w:r w:rsidRPr="00D11629">
        <w:rPr>
          <w:webHidden/>
        </w:rPr>
        <w:tab/>
        <w:t>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Статья 2</w:t>
      </w:r>
      <w:r w:rsidRPr="00D11629">
        <w:rPr>
          <w:webHidden/>
        </w:rPr>
        <w:tab/>
      </w:r>
      <w:r w:rsidRPr="00D11629">
        <w:rPr>
          <w:webHidden/>
        </w:rPr>
        <w:tab/>
      </w:r>
      <w:r>
        <w:rPr>
          <w:webHidden/>
        </w:rPr>
        <w:tab/>
      </w:r>
      <w:r w:rsidR="00821909">
        <w:rPr>
          <w:webHidden/>
        </w:rPr>
        <w:t>33–58</w:t>
      </w:r>
      <w:r w:rsidR="00821909">
        <w:rPr>
          <w:webHidden/>
        </w:rPr>
        <w:tab/>
        <w:t>11</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Статья 3</w:t>
      </w:r>
      <w:r w:rsidRPr="00D11629">
        <w:rPr>
          <w:webHidden/>
        </w:rPr>
        <w:tab/>
      </w:r>
      <w:r w:rsidRPr="00D11629">
        <w:rPr>
          <w:webHidden/>
        </w:rPr>
        <w:tab/>
      </w:r>
      <w:r>
        <w:rPr>
          <w:webHidden/>
        </w:rPr>
        <w:tab/>
      </w:r>
      <w:r w:rsidRPr="00D11629">
        <w:rPr>
          <w:webHidden/>
        </w:rPr>
        <w:t>59</w:t>
      </w:r>
      <w:r w:rsidRPr="00D11629">
        <w:t>–60</w:t>
      </w:r>
      <w:r w:rsidR="008C57C6">
        <w:rPr>
          <w:webHidden/>
        </w:rPr>
        <w:tab/>
        <w:t>18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Статья 4</w:t>
      </w:r>
      <w:r w:rsidRPr="00D11629">
        <w:rPr>
          <w:webHidden/>
        </w:rPr>
        <w:tab/>
      </w:r>
      <w:r w:rsidRPr="00D11629">
        <w:rPr>
          <w:webHidden/>
        </w:rPr>
        <w:tab/>
      </w:r>
      <w:r>
        <w:rPr>
          <w:webHidden/>
        </w:rPr>
        <w:tab/>
      </w:r>
      <w:r w:rsidR="00754034">
        <w:rPr>
          <w:webHidden/>
        </w:rPr>
        <w:t>61–84</w:t>
      </w:r>
      <w:r w:rsidR="00754034">
        <w:rPr>
          <w:webHidden/>
        </w:rPr>
        <w:tab/>
        <w:t>18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Статья 5</w:t>
      </w:r>
      <w:r w:rsidRPr="00D11629">
        <w:rPr>
          <w:webHidden/>
        </w:rPr>
        <w:tab/>
      </w:r>
      <w:r w:rsidRPr="00D11629">
        <w:rPr>
          <w:webHidden/>
        </w:rPr>
        <w:tab/>
      </w:r>
      <w:r>
        <w:rPr>
          <w:webHidden/>
        </w:rPr>
        <w:tab/>
      </w:r>
      <w:r w:rsidR="00754034">
        <w:rPr>
          <w:webHidden/>
        </w:rPr>
        <w:t>85–143</w:t>
      </w:r>
      <w:r w:rsidR="00754034">
        <w:rPr>
          <w:webHidden/>
        </w:rPr>
        <w:tab/>
        <w:t>23</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r>
      <w:hyperlink w:anchor="_Toc315863902" w:history="1">
        <w:r w:rsidRPr="00D11629">
          <w:rPr>
            <w:rStyle w:val="Hyperlink"/>
            <w:u w:val="none"/>
          </w:rPr>
          <w:t>Статья 6</w:t>
        </w:r>
        <w:r w:rsidRPr="00D11629">
          <w:rPr>
            <w:rStyle w:val="Hyperlink"/>
            <w:webHidden/>
            <w:u w:val="none"/>
          </w:rPr>
          <w:tab/>
        </w:r>
        <w:r w:rsidRPr="00D11629">
          <w:rPr>
            <w:rStyle w:val="Hyperlink"/>
            <w:webHidden/>
            <w:u w:val="none"/>
          </w:rPr>
          <w:tab/>
        </w:r>
        <w:r>
          <w:rPr>
            <w:rStyle w:val="Hyperlink"/>
            <w:webHidden/>
            <w:u w:val="none"/>
          </w:rPr>
          <w:tab/>
        </w:r>
        <w:r w:rsidRPr="00D11629">
          <w:rPr>
            <w:rStyle w:val="Hyperlink"/>
            <w:webHidden/>
            <w:u w:val="none"/>
          </w:rPr>
          <w:t>144–147</w:t>
        </w:r>
        <w:r w:rsidRPr="00D11629">
          <w:rPr>
            <w:rStyle w:val="Hyperlink"/>
            <w:webHidden/>
            <w:u w:val="none"/>
          </w:rPr>
          <w:tab/>
        </w:r>
      </w:hyperlink>
      <w:r w:rsidR="00754034">
        <w:t>35</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rPr>
          <w:webHidden/>
        </w:rPr>
      </w:pPr>
      <w:r w:rsidRPr="00D11629">
        <w:tab/>
      </w:r>
      <w:r w:rsidRPr="00D11629">
        <w:tab/>
        <w:t>Статья 7</w:t>
      </w:r>
      <w:r w:rsidRPr="00D11629">
        <w:rPr>
          <w:webHidden/>
        </w:rPr>
        <w:tab/>
      </w:r>
      <w:r w:rsidRPr="00D11629">
        <w:rPr>
          <w:webHidden/>
        </w:rPr>
        <w:tab/>
      </w:r>
      <w:r>
        <w:rPr>
          <w:webHidden/>
        </w:rPr>
        <w:tab/>
      </w:r>
      <w:r w:rsidR="00754034">
        <w:rPr>
          <w:webHidden/>
        </w:rPr>
        <w:t>148–151</w:t>
      </w:r>
      <w:r w:rsidR="00754034">
        <w:rPr>
          <w:webHidden/>
        </w:rPr>
        <w:tab/>
        <w:t>35</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rPr>
          <w:webHidden/>
        </w:rPr>
        <w:tab/>
        <w:t>IV.</w:t>
      </w:r>
      <w:r w:rsidRPr="00D11629">
        <w:rPr>
          <w:webHidden/>
        </w:rPr>
        <w:tab/>
        <w:t xml:space="preserve">Последующая деятельность в связи с заключительными </w:t>
      </w:r>
      <w:r>
        <w:rPr>
          <w:webHidden/>
        </w:rPr>
        <w:br/>
      </w:r>
      <w:r>
        <w:rPr>
          <w:webHidden/>
        </w:rPr>
        <w:tab/>
      </w:r>
      <w:r>
        <w:rPr>
          <w:webHidden/>
        </w:rPr>
        <w:tab/>
      </w:r>
      <w:r w:rsidRPr="00D11629">
        <w:rPr>
          <w:webHidden/>
        </w:rPr>
        <w:t>замечаниями Комитета</w:t>
      </w:r>
      <w:r w:rsidR="00754034">
        <w:tab/>
      </w:r>
      <w:r w:rsidR="00754034">
        <w:tab/>
        <w:t>152–205</w:t>
      </w:r>
      <w:r w:rsidR="00754034">
        <w:tab/>
        <w:t>36</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 xml:space="preserve">Пункт </w:t>
      </w:r>
      <w:r>
        <w:t>12 заключительных замечаний</w:t>
      </w:r>
      <w:r w:rsidR="00754034">
        <w:tab/>
      </w:r>
      <w:r w:rsidR="00754034">
        <w:tab/>
        <w:t>152</w:t>
      </w:r>
      <w:r w:rsidR="00754034">
        <w:tab/>
        <w:t>36</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13 закл</w:t>
      </w:r>
      <w:r w:rsidR="00754034">
        <w:t>ючительных замечаний</w:t>
      </w:r>
      <w:r w:rsidR="00754034">
        <w:tab/>
      </w:r>
      <w:r w:rsidR="00754034">
        <w:tab/>
        <w:t>153–156</w:t>
      </w:r>
      <w:r w:rsidR="00754034">
        <w:tab/>
        <w:t>36</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 xml:space="preserve">Пункт 14 </w:t>
      </w:r>
      <w:r w:rsidR="00754034">
        <w:t>заключительных замечаний</w:t>
      </w:r>
      <w:r w:rsidR="00754034">
        <w:tab/>
      </w:r>
      <w:r w:rsidR="00754034">
        <w:tab/>
        <w:t>157</w:t>
      </w:r>
      <w:r w:rsidR="00754034">
        <w:tab/>
        <w:t>37</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15 закл</w:t>
      </w:r>
      <w:r w:rsidR="00754034">
        <w:t>ючительных замечаний</w:t>
      </w:r>
      <w:r w:rsidR="00754034">
        <w:tab/>
      </w:r>
      <w:r w:rsidR="00754034">
        <w:tab/>
        <w:t>158–162</w:t>
      </w:r>
      <w:r w:rsidR="00754034">
        <w:tab/>
        <w:t>37</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16 закл</w:t>
      </w:r>
      <w:r w:rsidR="005A4835">
        <w:t>ючительных замечаний</w:t>
      </w:r>
      <w:r w:rsidR="005A4835">
        <w:tab/>
      </w:r>
      <w:r w:rsidR="005A4835">
        <w:tab/>
        <w:t>163–172</w:t>
      </w:r>
      <w:r w:rsidR="005A4835">
        <w:tab/>
        <w:t>38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17 закл</w:t>
      </w:r>
      <w:r w:rsidR="005A4835">
        <w:t>ючительных замечаний</w:t>
      </w:r>
      <w:r w:rsidR="005A4835">
        <w:tab/>
      </w:r>
      <w:r w:rsidR="005A4835">
        <w:tab/>
        <w:t>173–178</w:t>
      </w:r>
      <w:r w:rsidR="005A4835">
        <w:tab/>
        <w:t>41</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 xml:space="preserve">Пункт 18 </w:t>
      </w:r>
      <w:r w:rsidR="005A4835">
        <w:t>заключительных замечаний</w:t>
      </w:r>
      <w:r w:rsidR="005A4835">
        <w:tab/>
      </w:r>
      <w:r w:rsidR="005A4835">
        <w:tab/>
        <w:t>179</w:t>
      </w:r>
      <w:r w:rsidR="005A4835">
        <w:tab/>
        <w:t>43</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 xml:space="preserve">Пункт 19 </w:t>
      </w:r>
      <w:r w:rsidR="005A4835">
        <w:t>заключительных замечаний</w:t>
      </w:r>
      <w:r w:rsidR="005A4835">
        <w:tab/>
      </w:r>
      <w:r w:rsidR="005A4835">
        <w:tab/>
        <w:t>180</w:t>
      </w:r>
      <w:r w:rsidR="005A4835">
        <w:tab/>
        <w:t>43</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20 заключительных замечани</w:t>
      </w:r>
      <w:r w:rsidR="005A4835">
        <w:t>й</w:t>
      </w:r>
      <w:r w:rsidR="005A4835">
        <w:tab/>
      </w:r>
      <w:r w:rsidR="005A4835">
        <w:tab/>
        <w:t>181–184</w:t>
      </w:r>
      <w:r w:rsidR="005A4835">
        <w:tab/>
        <w:t>43</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21 закл</w:t>
      </w:r>
      <w:r w:rsidR="005A4835">
        <w:t>ючительных замечаний</w:t>
      </w:r>
      <w:r w:rsidR="005A4835">
        <w:tab/>
      </w:r>
      <w:r w:rsidR="005A4835">
        <w:tab/>
        <w:t>185–191</w:t>
      </w:r>
      <w:r w:rsidR="005A4835">
        <w:tab/>
        <w:t>44</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22 закл</w:t>
      </w:r>
      <w:r w:rsidR="005A4835">
        <w:t>ючительных замечаний</w:t>
      </w:r>
      <w:r w:rsidR="005A4835">
        <w:tab/>
      </w:r>
      <w:r w:rsidR="005A4835">
        <w:tab/>
        <w:t>192–195</w:t>
      </w:r>
      <w:r w:rsidR="005A4835">
        <w:tab/>
        <w:t>46</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23 закл</w:t>
      </w:r>
      <w:r w:rsidR="005A4835">
        <w:t>ючительных замечаний</w:t>
      </w:r>
      <w:r w:rsidR="005A4835">
        <w:tab/>
      </w:r>
      <w:r w:rsidR="005A4835">
        <w:tab/>
        <w:t>196–197</w:t>
      </w:r>
      <w:r w:rsidR="005A4835">
        <w:tab/>
        <w:t>47</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24 закл</w:t>
      </w:r>
      <w:r w:rsidR="005A4835">
        <w:t>ючительных замечаний</w:t>
      </w:r>
      <w:r w:rsidR="005A4835">
        <w:tab/>
      </w:r>
      <w:r w:rsidR="005A4835">
        <w:tab/>
        <w:t>198–202</w:t>
      </w:r>
      <w:r w:rsidR="005A4835">
        <w:tab/>
        <w:t>48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 xml:space="preserve">Пункт 25 </w:t>
      </w:r>
      <w:r w:rsidR="005A4835">
        <w:t>заключительных замечаний</w:t>
      </w:r>
      <w:r w:rsidR="005A4835">
        <w:tab/>
      </w:r>
      <w:r w:rsidR="005A4835">
        <w:tab/>
        <w:t>203</w:t>
      </w:r>
      <w:r w:rsidR="005A4835">
        <w:tab/>
        <w:t>48</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 26</w:t>
      </w:r>
      <w:r>
        <w:t xml:space="preserve"> заключительных замечаний</w:t>
      </w:r>
      <w:r w:rsidR="005A4835">
        <w:tab/>
      </w:r>
      <w:r w:rsidR="005A4835">
        <w:tab/>
        <w:t>204</w:t>
      </w:r>
      <w:r w:rsidR="005A4835">
        <w:tab/>
        <w:t>49</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tab/>
      </w:r>
      <w:r w:rsidRPr="00D11629">
        <w:tab/>
        <w:t>Пункты 2</w:t>
      </w:r>
      <w:r>
        <w:t>7−35 заключительных замечаний</w:t>
      </w:r>
      <w:r w:rsidR="005A4835">
        <w:tab/>
      </w:r>
      <w:r w:rsidR="005A4835">
        <w:tab/>
        <w:t>205</w:t>
      </w:r>
      <w:r w:rsidR="005A4835">
        <w:tab/>
        <w:t>49</w:t>
      </w:r>
    </w:p>
    <w:p w:rsidR="00D11629" w:rsidRPr="00D11629"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br w:type="page"/>
        <w:t>Приложения</w:t>
      </w:r>
      <w:r w:rsidR="003B31BF" w:rsidRPr="003B31BF">
        <w:rPr>
          <w:rStyle w:val="FootnoteReference"/>
          <w:szCs w:val="18"/>
          <w:vertAlign w:val="baseline"/>
        </w:rPr>
        <w:footnoteReference w:customMarkFollows="1" w:id="3"/>
        <w:t>*</w:t>
      </w:r>
    </w:p>
    <w:p w:rsidR="00D11629" w:rsidRPr="005A4835"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65758A">
        <w:rPr>
          <w:lang w:val="fr-FR"/>
        </w:rPr>
        <w:tab/>
      </w:r>
      <w:r w:rsidRPr="00D11629">
        <w:rPr>
          <w:lang w:val="fr-FR"/>
        </w:rPr>
        <w:t>I.</w:t>
      </w:r>
      <w:r w:rsidRPr="00D11629">
        <w:rPr>
          <w:lang w:val="fr-FR"/>
        </w:rPr>
        <w:tab/>
        <w:t xml:space="preserve">Actividades realizadas por la DOS en materia de prevención de la </w:t>
      </w:r>
      <w:r w:rsidRPr="00D11629">
        <w:rPr>
          <w:lang w:val="fr-FR"/>
        </w:rPr>
        <w:br/>
      </w:r>
      <w:r w:rsidRPr="00D11629">
        <w:rPr>
          <w:lang w:val="fr-FR"/>
        </w:rPr>
        <w:tab/>
      </w:r>
      <w:r w:rsidRPr="00D11629">
        <w:rPr>
          <w:lang w:val="fr-FR"/>
        </w:rPr>
        <w:tab/>
        <w:t>discriminación</w:t>
      </w:r>
      <w:r w:rsidRPr="00D11629" w:rsidDel="0083315D">
        <w:rPr>
          <w:lang w:val="fr-FR"/>
        </w:rPr>
        <w:t xml:space="preserve"> </w:t>
      </w:r>
      <w:r w:rsidRPr="00D11629">
        <w:rPr>
          <w:lang w:val="fr-FR"/>
        </w:rPr>
        <w:tab/>
      </w:r>
      <w:r w:rsidRPr="00D11629">
        <w:rPr>
          <w:lang w:val="fr-FR"/>
        </w:rPr>
        <w:tab/>
      </w:r>
      <w:r w:rsidR="0065758A" w:rsidRPr="0065758A">
        <w:rPr>
          <w:lang w:val="fr-FR"/>
        </w:rPr>
        <w:tab/>
      </w:r>
      <w:r w:rsidR="005A4835" w:rsidRPr="005A4835">
        <w:rPr>
          <w:lang w:val="fr-FR"/>
        </w:rPr>
        <w:t>50</w:t>
      </w:r>
    </w:p>
    <w:p w:rsidR="00D11629" w:rsidRPr="005A4835"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II.</w:t>
      </w:r>
      <w:r w:rsidRPr="00D11629">
        <w:rPr>
          <w:lang w:val="fr-FR"/>
        </w:rPr>
        <w:tab/>
        <w:t>Estudio sobre oferta pública en materia de diversidad y no discriminación</w:t>
      </w:r>
      <w:r w:rsidRPr="00D11629">
        <w:rPr>
          <w:lang w:val="fr-FR"/>
        </w:rPr>
        <w:tab/>
      </w:r>
      <w:r w:rsidRPr="00D11629">
        <w:rPr>
          <w:lang w:val="fr-FR"/>
        </w:rPr>
        <w:tab/>
      </w:r>
      <w:r w:rsidR="0065758A" w:rsidRPr="0065758A">
        <w:rPr>
          <w:lang w:val="fr-FR"/>
        </w:rPr>
        <w:tab/>
      </w:r>
      <w:r w:rsidR="005A4835" w:rsidRPr="005A4835">
        <w:rPr>
          <w:lang w:val="fr-FR"/>
        </w:rPr>
        <w:t>53</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III.</w:t>
      </w:r>
      <w:r w:rsidRPr="00D11629">
        <w:rPr>
          <w:lang w:val="fr-FR"/>
        </w:rPr>
        <w:tab/>
        <w:t>Población indígena nacional 1996-2009 (porcentaje)</w:t>
      </w:r>
      <w:r w:rsidRPr="00D11629">
        <w:rPr>
          <w:lang w:val="fr-FR"/>
        </w:rPr>
        <w:tab/>
      </w:r>
      <w:r w:rsidR="0065758A" w:rsidRPr="00DC48AC">
        <w:rPr>
          <w:lang w:val="fr-FR"/>
        </w:rPr>
        <w:tab/>
      </w:r>
      <w:r w:rsidR="00DC48AC">
        <w:rPr>
          <w:lang w:val="fr-FR"/>
        </w:rPr>
        <w:tab/>
      </w:r>
      <w:r w:rsidR="00DC48AC" w:rsidRPr="00DC48AC">
        <w:rPr>
          <w:lang w:val="fr-FR"/>
        </w:rPr>
        <w:t>57</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IV</w:t>
      </w:r>
      <w:r w:rsidRPr="00D11629">
        <w:rPr>
          <w:lang w:val="fr-FR"/>
        </w:rPr>
        <w:tab/>
        <w:t>Tierras inscritas en el Registro Público de Tierras de CONADI</w:t>
      </w:r>
      <w:r w:rsidRPr="00D11629">
        <w:rPr>
          <w:lang w:val="fr-FR"/>
        </w:rPr>
        <w:tab/>
      </w:r>
      <w:r w:rsidR="0065758A" w:rsidRPr="00DC48AC">
        <w:rPr>
          <w:lang w:val="fr-FR"/>
        </w:rPr>
        <w:tab/>
      </w:r>
      <w:r w:rsidR="00DC48AC">
        <w:rPr>
          <w:lang w:val="fr-FR"/>
        </w:rPr>
        <w:tab/>
      </w:r>
      <w:r w:rsidR="00DC48AC" w:rsidRPr="00DC48AC">
        <w:rPr>
          <w:lang w:val="fr-FR"/>
        </w:rPr>
        <w:t>57</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V.</w:t>
      </w:r>
      <w:r w:rsidRPr="00D11629">
        <w:rPr>
          <w:lang w:val="fr-FR"/>
        </w:rPr>
        <w:tab/>
        <w:t>Tierras adquiridas, traspasadas y/o saneadas, años 1994 a 2010</w:t>
      </w:r>
      <w:r w:rsidRPr="00D11629">
        <w:rPr>
          <w:lang w:val="fr-FR"/>
        </w:rPr>
        <w:tab/>
      </w:r>
      <w:r w:rsidR="0065758A" w:rsidRPr="00DC48AC">
        <w:rPr>
          <w:lang w:val="fr-FR"/>
        </w:rPr>
        <w:tab/>
      </w:r>
      <w:r w:rsidR="00DC48AC">
        <w:rPr>
          <w:lang w:val="fr-FR"/>
        </w:rPr>
        <w:tab/>
      </w:r>
      <w:r w:rsidR="00DC48AC" w:rsidRPr="00DC48AC">
        <w:rPr>
          <w:lang w:val="fr-FR"/>
        </w:rPr>
        <w:t>58</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en-US"/>
        </w:rPr>
      </w:pPr>
      <w:r w:rsidRPr="00D11629">
        <w:rPr>
          <w:lang w:val="fr-FR"/>
        </w:rPr>
        <w:tab/>
      </w:r>
      <w:r w:rsidRPr="00D11629">
        <w:rPr>
          <w:lang w:val="en-US"/>
        </w:rPr>
        <w:t>VI.</w:t>
      </w:r>
      <w:r w:rsidRPr="00D11629">
        <w:rPr>
          <w:lang w:val="en-US"/>
        </w:rPr>
        <w:tab/>
        <w:t>Resumen ejecución art. 20 letra b), año 2011, por región</w:t>
      </w:r>
      <w:r w:rsidRPr="00D11629">
        <w:rPr>
          <w:lang w:val="en-US"/>
        </w:rPr>
        <w:tab/>
      </w:r>
      <w:r w:rsidR="0065758A" w:rsidRPr="00DC48AC">
        <w:rPr>
          <w:lang w:val="en-US"/>
        </w:rPr>
        <w:tab/>
      </w:r>
      <w:r w:rsidR="00DC48AC">
        <w:rPr>
          <w:lang w:val="en-US"/>
        </w:rPr>
        <w:tab/>
      </w:r>
      <w:r w:rsidR="00DC48AC" w:rsidRPr="00DC48AC">
        <w:rPr>
          <w:lang w:val="en-US"/>
        </w:rPr>
        <w:t>58</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en-US"/>
        </w:rPr>
      </w:pPr>
      <w:r w:rsidRPr="00D11629">
        <w:rPr>
          <w:lang w:val="en-US"/>
        </w:rPr>
        <w:tab/>
        <w:t>VII.</w:t>
      </w:r>
      <w:r w:rsidRPr="00D11629">
        <w:rPr>
          <w:lang w:val="en-US"/>
        </w:rPr>
        <w:tab/>
        <w:t>Resumen ejecución art. 20 letra b), año 2011, por unidad operativa</w:t>
      </w:r>
      <w:r w:rsidRPr="00D11629">
        <w:rPr>
          <w:lang w:val="en-US"/>
        </w:rPr>
        <w:tab/>
      </w:r>
      <w:r w:rsidR="0065758A" w:rsidRPr="00DC48AC">
        <w:rPr>
          <w:lang w:val="en-US"/>
        </w:rPr>
        <w:tab/>
      </w:r>
      <w:r w:rsidR="00DC48AC">
        <w:rPr>
          <w:lang w:val="en-US"/>
        </w:rPr>
        <w:tab/>
      </w:r>
      <w:r w:rsidR="00DC48AC" w:rsidRPr="00DC48AC">
        <w:rPr>
          <w:lang w:val="en-US"/>
        </w:rPr>
        <w:t>58</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en-US"/>
        </w:rPr>
        <w:tab/>
      </w:r>
      <w:r w:rsidRPr="00D11629">
        <w:rPr>
          <w:lang w:val="fr-FR"/>
        </w:rPr>
        <w:t>VIII.</w:t>
      </w:r>
      <w:r w:rsidRPr="00D11629">
        <w:rPr>
          <w:lang w:val="fr-FR"/>
        </w:rPr>
        <w:tab/>
        <w:t xml:space="preserve">Modelo desarrollado por el Departamento de Estudios de la </w:t>
      </w:r>
      <w:r w:rsidRPr="00D11629">
        <w:rPr>
          <w:lang w:val="fr-FR"/>
        </w:rPr>
        <w:br/>
      </w:r>
      <w:r w:rsidRPr="00D11629">
        <w:rPr>
          <w:lang w:val="fr-FR"/>
        </w:rPr>
        <w:tab/>
      </w:r>
      <w:r w:rsidRPr="00D11629">
        <w:rPr>
          <w:lang w:val="fr-FR"/>
        </w:rPr>
        <w:tab/>
        <w:t>Defensoría Nacional</w:t>
      </w:r>
      <w:r w:rsidRPr="00D11629">
        <w:rPr>
          <w:lang w:val="fr-FR"/>
        </w:rPr>
        <w:tab/>
      </w:r>
      <w:r w:rsidRPr="00D11629">
        <w:rPr>
          <w:lang w:val="fr-FR"/>
        </w:rPr>
        <w:tab/>
      </w:r>
      <w:r w:rsidR="0065758A" w:rsidRPr="0065758A">
        <w:rPr>
          <w:lang w:val="fr-FR"/>
        </w:rPr>
        <w:tab/>
      </w:r>
      <w:r w:rsidR="00DC48AC" w:rsidRPr="00DC48AC">
        <w:rPr>
          <w:lang w:val="fr-FR"/>
        </w:rPr>
        <w:t>58</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IX.</w:t>
      </w:r>
      <w:r w:rsidRPr="00D11629">
        <w:rPr>
          <w:lang w:val="fr-FR"/>
        </w:rPr>
        <w:tab/>
        <w:t>Imputados indígenas representados por un defensor especializado</w:t>
      </w:r>
      <w:r w:rsidRPr="00D11629">
        <w:rPr>
          <w:lang w:val="fr-FR"/>
        </w:rPr>
        <w:tab/>
      </w:r>
      <w:r w:rsidRPr="00D11629">
        <w:rPr>
          <w:lang w:val="fr-FR"/>
        </w:rPr>
        <w:tab/>
      </w:r>
      <w:r w:rsidR="0065758A" w:rsidRPr="0065758A">
        <w:rPr>
          <w:lang w:val="fr-FR"/>
        </w:rPr>
        <w:tab/>
      </w:r>
      <w:r w:rsidR="00DC48AC" w:rsidRPr="00DC48AC">
        <w:rPr>
          <w:lang w:val="fr-FR"/>
        </w:rPr>
        <w:t>60</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X.</w:t>
      </w:r>
      <w:r w:rsidRPr="00D11629">
        <w:rPr>
          <w:lang w:val="fr-FR"/>
        </w:rPr>
        <w:tab/>
        <w:t>Modificaciones a la Ley antiterrorista</w:t>
      </w:r>
      <w:r w:rsidRPr="00D11629">
        <w:rPr>
          <w:lang w:val="fr-FR"/>
        </w:rPr>
        <w:tab/>
      </w:r>
      <w:r w:rsidRPr="00D11629">
        <w:rPr>
          <w:lang w:val="fr-FR"/>
        </w:rPr>
        <w:tab/>
      </w:r>
      <w:r w:rsidR="0065758A" w:rsidRPr="0065758A">
        <w:rPr>
          <w:lang w:val="fr-FR"/>
        </w:rPr>
        <w:tab/>
      </w:r>
      <w:r w:rsidR="00DC48AC">
        <w:rPr>
          <w:lang w:val="fr-FR"/>
        </w:rPr>
        <w:t>60</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XI.</w:t>
      </w:r>
      <w:r w:rsidRPr="00D11629">
        <w:rPr>
          <w:lang w:val="fr-FR"/>
        </w:rPr>
        <w:tab/>
        <w:t>Temas de interés indígena, según Mesas de Diálogo</w:t>
      </w:r>
      <w:r w:rsidRPr="00D11629">
        <w:rPr>
          <w:lang w:val="fr-FR"/>
        </w:rPr>
        <w:tab/>
      </w:r>
      <w:r w:rsidRPr="00D11629">
        <w:rPr>
          <w:lang w:val="fr-FR"/>
        </w:rPr>
        <w:tab/>
      </w:r>
      <w:r w:rsidR="0065758A" w:rsidRPr="0065758A">
        <w:rPr>
          <w:lang w:val="fr-FR"/>
        </w:rPr>
        <w:tab/>
      </w:r>
      <w:r w:rsidR="00DC48AC" w:rsidRPr="00DC48AC">
        <w:rPr>
          <w:lang w:val="fr-FR"/>
        </w:rPr>
        <w:t>62</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XII.</w:t>
      </w:r>
      <w:r w:rsidRPr="00D11629">
        <w:rPr>
          <w:lang w:val="fr-FR"/>
        </w:rPr>
        <w:tab/>
        <w:t>Política de compra de tierras para indígenas</w:t>
      </w:r>
      <w:r w:rsidRPr="00D11629">
        <w:rPr>
          <w:lang w:val="fr-FR"/>
        </w:rPr>
        <w:tab/>
      </w:r>
      <w:r w:rsidRPr="00D11629">
        <w:rPr>
          <w:lang w:val="fr-FR"/>
        </w:rPr>
        <w:tab/>
      </w:r>
      <w:r w:rsidR="0065758A" w:rsidRPr="0065758A">
        <w:rPr>
          <w:lang w:val="fr-FR"/>
        </w:rPr>
        <w:tab/>
      </w:r>
      <w:r w:rsidR="00DC48AC" w:rsidRPr="00DC48AC">
        <w:rPr>
          <w:lang w:val="fr-FR"/>
        </w:rPr>
        <w:t>62</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rPr>
          <w:lang w:val="fr-FR"/>
        </w:rPr>
      </w:pPr>
      <w:r w:rsidRPr="00D11629">
        <w:rPr>
          <w:lang w:val="fr-FR"/>
        </w:rPr>
        <w:tab/>
        <w:t>XIII.</w:t>
      </w:r>
      <w:r w:rsidRPr="00D11629">
        <w:rPr>
          <w:lang w:val="fr-FR"/>
        </w:rPr>
        <w:tab/>
        <w:t xml:space="preserve">Cambios reglamentarios propuestos por el Servicio de Evaluación </w:t>
      </w:r>
      <w:r w:rsidR="00581A9D">
        <w:rPr>
          <w:lang w:val="fr-FR"/>
        </w:rPr>
        <w:br/>
      </w:r>
      <w:r w:rsidR="00581A9D">
        <w:rPr>
          <w:lang w:val="fr-FR"/>
        </w:rPr>
        <w:tab/>
      </w:r>
      <w:r w:rsidR="00581A9D">
        <w:rPr>
          <w:lang w:val="fr-FR"/>
        </w:rPr>
        <w:tab/>
      </w:r>
      <w:r w:rsidRPr="00D11629">
        <w:rPr>
          <w:lang w:val="fr-FR"/>
        </w:rPr>
        <w:t>Ambiental y que han sido sometidos a consulta indígena</w:t>
      </w:r>
      <w:r w:rsidRPr="00D11629">
        <w:rPr>
          <w:lang w:val="fr-FR"/>
        </w:rPr>
        <w:tab/>
      </w:r>
      <w:r w:rsidRPr="00D11629">
        <w:rPr>
          <w:lang w:val="fr-FR"/>
        </w:rPr>
        <w:tab/>
      </w:r>
      <w:r w:rsidR="0065758A" w:rsidRPr="0065758A">
        <w:rPr>
          <w:lang w:val="fr-FR"/>
        </w:rPr>
        <w:tab/>
      </w:r>
      <w:r w:rsidR="00DC48AC" w:rsidRPr="00DC48AC">
        <w:rPr>
          <w:lang w:val="fr-FR"/>
        </w:rPr>
        <w:t>62</w:t>
      </w:r>
    </w:p>
    <w:p w:rsidR="00D11629" w:rsidRPr="00DC48AC" w:rsidRDefault="00D11629" w:rsidP="00D11629">
      <w:pPr>
        <w:tabs>
          <w:tab w:val="right" w:pos="850"/>
          <w:tab w:val="left" w:pos="1134"/>
          <w:tab w:val="left" w:pos="1559"/>
          <w:tab w:val="left" w:pos="1984"/>
          <w:tab w:val="left" w:leader="dot" w:pos="7654"/>
          <w:tab w:val="right" w:pos="8929"/>
          <w:tab w:val="right" w:pos="9638"/>
        </w:tabs>
        <w:suppressAutoHyphens/>
        <w:spacing w:after="120"/>
      </w:pPr>
      <w:r w:rsidRPr="00D11629">
        <w:rPr>
          <w:lang w:val="fr-FR"/>
        </w:rPr>
        <w:tab/>
        <w:t>XIV.</w:t>
      </w:r>
      <w:r w:rsidRPr="00D11629">
        <w:rPr>
          <w:lang w:val="fr-FR"/>
        </w:rPr>
        <w:tab/>
        <w:t>Medidas específicas para el desarrollo indígena</w:t>
      </w:r>
      <w:r w:rsidRPr="00D11629">
        <w:rPr>
          <w:lang w:val="fr-FR"/>
        </w:rPr>
        <w:tab/>
      </w:r>
      <w:r w:rsidRPr="00D11629">
        <w:rPr>
          <w:lang w:val="fr-FR"/>
        </w:rPr>
        <w:tab/>
      </w:r>
      <w:r w:rsidR="0065758A" w:rsidRPr="0065758A">
        <w:rPr>
          <w:lang w:val="fr-FR"/>
        </w:rPr>
        <w:tab/>
      </w:r>
      <w:r w:rsidR="00DC48AC">
        <w:t>63</w:t>
      </w:r>
    </w:p>
    <w:p w:rsidR="007636FE" w:rsidRDefault="007636FE" w:rsidP="005C6B8E">
      <w:pPr>
        <w:pStyle w:val="H1GR"/>
      </w:pPr>
      <w:r w:rsidRPr="0065758A">
        <w:br w:type="page"/>
      </w:r>
      <w:r w:rsidR="0065758A">
        <w:tab/>
      </w:r>
      <w:r w:rsidR="0065758A">
        <w:tab/>
      </w:r>
      <w:r w:rsidRPr="007636FE">
        <w:t>Сокращения</w:t>
      </w:r>
      <w:r w:rsidRPr="0065758A">
        <w:t xml:space="preserve"> </w:t>
      </w:r>
      <w:r w:rsidRPr="007636FE">
        <w:t>и</w:t>
      </w:r>
      <w:r w:rsidRPr="0065758A">
        <w:t xml:space="preserve"> </w:t>
      </w:r>
      <w:r w:rsidRPr="007636FE">
        <w:t>аббревиатуры</w:t>
      </w:r>
    </w:p>
    <w:tbl>
      <w:tblPr>
        <w:tblStyle w:val="TableGrid"/>
        <w:tblW w:w="7251" w:type="dxa"/>
        <w:tblInd w:w="1134" w:type="dxa"/>
        <w:tblBorders>
          <w:top w:val="none" w:sz="0" w:space="0" w:color="auto"/>
          <w:bottom w:val="none" w:sz="0" w:space="0" w:color="auto"/>
        </w:tblBorders>
        <w:tblLayout w:type="fixed"/>
        <w:tblCellMar>
          <w:left w:w="0" w:type="dxa"/>
        </w:tblCellMar>
        <w:tblLook w:val="01E0"/>
      </w:tblPr>
      <w:tblGrid>
        <w:gridCol w:w="1792"/>
        <w:gridCol w:w="5459"/>
      </w:tblGrid>
      <w:tr w:rsidR="00DA5A9E" w:rsidRPr="00DA5A9E" w:rsidTr="00C22E8C">
        <w:trPr>
          <w:cnfStyle w:val="100000000000"/>
        </w:trPr>
        <w:tc>
          <w:tcPr>
            <w:tcW w:w="1792" w:type="dxa"/>
            <w:tcBorders>
              <w:bottom w:val="none" w:sz="0" w:space="0" w:color="auto"/>
            </w:tcBorders>
            <w:shd w:val="clear" w:color="auto" w:fill="auto"/>
          </w:tcPr>
          <w:p w:rsidR="00DA5A9E" w:rsidRPr="00DA5A9E" w:rsidRDefault="00DA5A9E" w:rsidP="00DA5A9E">
            <w:pPr>
              <w:spacing w:before="0" w:after="120"/>
              <w:rPr>
                <w:sz w:val="20"/>
              </w:rPr>
            </w:pPr>
            <w:r w:rsidRPr="00DA5A9E">
              <w:rPr>
                <w:sz w:val="20"/>
              </w:rPr>
              <w:t>ВОЗ</w:t>
            </w:r>
          </w:p>
        </w:tc>
        <w:tc>
          <w:tcPr>
            <w:tcW w:w="5459" w:type="dxa"/>
            <w:tcBorders>
              <w:bottom w:val="none" w:sz="0" w:space="0" w:color="auto"/>
            </w:tcBorders>
            <w:shd w:val="clear" w:color="auto" w:fill="auto"/>
          </w:tcPr>
          <w:p w:rsidR="00DA5A9E" w:rsidRPr="00DA5A9E" w:rsidRDefault="00DA5A9E" w:rsidP="00DA5A9E">
            <w:pPr>
              <w:spacing w:before="0" w:after="120"/>
              <w:rPr>
                <w:sz w:val="20"/>
              </w:rPr>
            </w:pPr>
            <w:r w:rsidRPr="00DA5A9E">
              <w:rPr>
                <w:sz w:val="20"/>
              </w:rPr>
              <w:t>Всемирная организация здравоохранения</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ДO</w:t>
            </w:r>
          </w:p>
        </w:tc>
        <w:tc>
          <w:tcPr>
            <w:tcW w:w="5459" w:type="dxa"/>
            <w:shd w:val="clear" w:color="auto" w:fill="auto"/>
          </w:tcPr>
          <w:p w:rsidR="00DA5A9E" w:rsidRPr="00DA5A9E" w:rsidRDefault="00DA5A9E" w:rsidP="00DA5A9E">
            <w:pPr>
              <w:spacing w:before="0" w:after="120"/>
              <w:rPr>
                <w:sz w:val="20"/>
              </w:rPr>
            </w:pPr>
            <w:r w:rsidRPr="00DA5A9E">
              <w:rPr>
                <w:sz w:val="20"/>
              </w:rPr>
              <w:t>"Диарио офисиаль"</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ДОС</w:t>
            </w:r>
          </w:p>
        </w:tc>
        <w:tc>
          <w:tcPr>
            <w:tcW w:w="5459" w:type="dxa"/>
            <w:shd w:val="clear" w:color="auto" w:fill="auto"/>
          </w:tcPr>
          <w:p w:rsidR="00DA5A9E" w:rsidRPr="00DA5A9E" w:rsidRDefault="00DA5A9E" w:rsidP="00DA5A9E">
            <w:pPr>
              <w:spacing w:before="0" w:after="120"/>
              <w:rPr>
                <w:sz w:val="20"/>
              </w:rPr>
            </w:pPr>
            <w:r w:rsidRPr="00DA5A9E">
              <w:rPr>
                <w:sz w:val="20"/>
              </w:rPr>
              <w:t xml:space="preserve">Управление социальных организаций Генерального </w:t>
            </w:r>
            <w:r w:rsidR="00C22E8C">
              <w:rPr>
                <w:sz w:val="20"/>
              </w:rPr>
              <w:br/>
            </w:r>
            <w:r w:rsidRPr="00DA5A9E">
              <w:rPr>
                <w:sz w:val="20"/>
              </w:rPr>
              <w:t>секретариата пр</w:t>
            </w:r>
            <w:r w:rsidRPr="00DA5A9E">
              <w:rPr>
                <w:sz w:val="20"/>
              </w:rPr>
              <w:t>а</w:t>
            </w:r>
            <w:r w:rsidRPr="00DA5A9E">
              <w:rPr>
                <w:sz w:val="20"/>
              </w:rPr>
              <w:t>вительства</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ДС</w:t>
            </w:r>
          </w:p>
        </w:tc>
        <w:tc>
          <w:tcPr>
            <w:tcW w:w="5459" w:type="dxa"/>
            <w:shd w:val="clear" w:color="auto" w:fill="auto"/>
          </w:tcPr>
          <w:p w:rsidR="00DA5A9E" w:rsidRPr="00DA5A9E" w:rsidRDefault="00DA5A9E" w:rsidP="00DA5A9E">
            <w:pPr>
              <w:spacing w:before="0" w:after="120"/>
              <w:rPr>
                <w:sz w:val="20"/>
              </w:rPr>
            </w:pPr>
            <w:r w:rsidRPr="00DA5A9E">
              <w:rPr>
                <w:sz w:val="20"/>
              </w:rPr>
              <w:t>декрет Верховной власти</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КОНАДИ</w:t>
            </w:r>
          </w:p>
        </w:tc>
        <w:tc>
          <w:tcPr>
            <w:tcW w:w="5459" w:type="dxa"/>
            <w:shd w:val="clear" w:color="auto" w:fill="auto"/>
          </w:tcPr>
          <w:p w:rsidR="00DA5A9E" w:rsidRPr="00DA5A9E" w:rsidRDefault="00DA5A9E" w:rsidP="00DA5A9E">
            <w:pPr>
              <w:spacing w:before="0" w:after="120"/>
              <w:rPr>
                <w:sz w:val="20"/>
              </w:rPr>
            </w:pPr>
            <w:r w:rsidRPr="00DA5A9E">
              <w:rPr>
                <w:sz w:val="20"/>
              </w:rPr>
              <w:t>Национальная корпорация развития коре</w:t>
            </w:r>
            <w:r w:rsidRPr="00DA5A9E">
              <w:rPr>
                <w:sz w:val="20"/>
              </w:rPr>
              <w:t>н</w:t>
            </w:r>
            <w:r w:rsidRPr="00DA5A9E">
              <w:rPr>
                <w:sz w:val="20"/>
              </w:rPr>
              <w:t>ных народов</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МИНВУ</w:t>
            </w:r>
          </w:p>
        </w:tc>
        <w:tc>
          <w:tcPr>
            <w:tcW w:w="5459" w:type="dxa"/>
            <w:shd w:val="clear" w:color="auto" w:fill="auto"/>
          </w:tcPr>
          <w:p w:rsidR="00DA5A9E" w:rsidRPr="00DA5A9E" w:rsidRDefault="00DA5A9E" w:rsidP="00DA5A9E">
            <w:pPr>
              <w:spacing w:before="0" w:after="120"/>
              <w:rPr>
                <w:sz w:val="20"/>
              </w:rPr>
            </w:pPr>
            <w:r w:rsidRPr="00DA5A9E">
              <w:rPr>
                <w:sz w:val="20"/>
              </w:rPr>
              <w:t xml:space="preserve">Министерство по вопросам жилищного строительства </w:t>
            </w:r>
            <w:r w:rsidR="00C22E8C">
              <w:rPr>
                <w:sz w:val="20"/>
              </w:rPr>
              <w:br/>
            </w:r>
            <w:r w:rsidRPr="00DA5A9E">
              <w:rPr>
                <w:sz w:val="20"/>
              </w:rPr>
              <w:t>и городских п</w:t>
            </w:r>
            <w:r w:rsidRPr="00DA5A9E">
              <w:rPr>
                <w:sz w:val="20"/>
              </w:rPr>
              <w:t>о</w:t>
            </w:r>
            <w:r w:rsidRPr="00DA5A9E">
              <w:rPr>
                <w:sz w:val="20"/>
              </w:rPr>
              <w:t>селений</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МИНСАЛ</w:t>
            </w:r>
          </w:p>
        </w:tc>
        <w:tc>
          <w:tcPr>
            <w:tcW w:w="5459" w:type="dxa"/>
            <w:shd w:val="clear" w:color="auto" w:fill="auto"/>
          </w:tcPr>
          <w:p w:rsidR="00DA5A9E" w:rsidRPr="00DA5A9E" w:rsidRDefault="00DA5A9E" w:rsidP="00DA5A9E">
            <w:pPr>
              <w:spacing w:before="0" w:after="120"/>
              <w:rPr>
                <w:sz w:val="20"/>
              </w:rPr>
            </w:pPr>
            <w:r w:rsidRPr="00DA5A9E">
              <w:rPr>
                <w:sz w:val="20"/>
              </w:rPr>
              <w:t>Министерство здравоохранения</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МИНСЕХПРЕС</w:t>
            </w:r>
          </w:p>
        </w:tc>
        <w:tc>
          <w:tcPr>
            <w:tcW w:w="5459" w:type="dxa"/>
            <w:shd w:val="clear" w:color="auto" w:fill="auto"/>
          </w:tcPr>
          <w:p w:rsidR="00DA5A9E" w:rsidRPr="00DA5A9E" w:rsidRDefault="00DA5A9E" w:rsidP="00DA5A9E">
            <w:pPr>
              <w:spacing w:before="0" w:after="120"/>
              <w:rPr>
                <w:sz w:val="20"/>
              </w:rPr>
            </w:pPr>
            <w:r w:rsidRPr="00DA5A9E">
              <w:rPr>
                <w:sz w:val="20"/>
              </w:rPr>
              <w:t>Генеральный секретариат Администрации през</w:t>
            </w:r>
            <w:r w:rsidRPr="00DA5A9E">
              <w:rPr>
                <w:sz w:val="20"/>
              </w:rPr>
              <w:t>и</w:t>
            </w:r>
            <w:r w:rsidRPr="00DA5A9E">
              <w:rPr>
                <w:sz w:val="20"/>
              </w:rPr>
              <w:t>дента</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МИНЭДУК</w:t>
            </w:r>
          </w:p>
        </w:tc>
        <w:tc>
          <w:tcPr>
            <w:tcW w:w="5459" w:type="dxa"/>
            <w:shd w:val="clear" w:color="auto" w:fill="auto"/>
          </w:tcPr>
          <w:p w:rsidR="00DA5A9E" w:rsidRPr="00DA5A9E" w:rsidRDefault="00DA5A9E" w:rsidP="00DA5A9E">
            <w:pPr>
              <w:spacing w:before="0" w:after="120"/>
              <w:rPr>
                <w:sz w:val="20"/>
              </w:rPr>
            </w:pPr>
            <w:r w:rsidRPr="00DA5A9E">
              <w:rPr>
                <w:sz w:val="20"/>
              </w:rPr>
              <w:t>Министерство образования</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МОТ</w:t>
            </w:r>
          </w:p>
        </w:tc>
        <w:tc>
          <w:tcPr>
            <w:tcW w:w="5459" w:type="dxa"/>
            <w:shd w:val="clear" w:color="auto" w:fill="auto"/>
          </w:tcPr>
          <w:p w:rsidR="00DA5A9E" w:rsidRPr="00DA5A9E" w:rsidRDefault="00DA5A9E" w:rsidP="00DA5A9E">
            <w:pPr>
              <w:spacing w:before="0" w:after="120"/>
              <w:rPr>
                <w:sz w:val="20"/>
              </w:rPr>
            </w:pPr>
            <w:r w:rsidRPr="00DA5A9E">
              <w:rPr>
                <w:sz w:val="20"/>
              </w:rPr>
              <w:t>Международная организация труда</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МСР</w:t>
            </w:r>
          </w:p>
        </w:tc>
        <w:tc>
          <w:tcPr>
            <w:tcW w:w="5459" w:type="dxa"/>
            <w:shd w:val="clear" w:color="auto" w:fill="auto"/>
          </w:tcPr>
          <w:p w:rsidR="00DA5A9E" w:rsidRPr="00DA5A9E" w:rsidRDefault="00DA5A9E" w:rsidP="00DA5A9E">
            <w:pPr>
              <w:spacing w:before="0" w:after="120"/>
              <w:rPr>
                <w:sz w:val="20"/>
              </w:rPr>
            </w:pPr>
            <w:r w:rsidRPr="00DA5A9E">
              <w:rPr>
                <w:sz w:val="20"/>
              </w:rPr>
              <w:t>Министерство социального развития</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НОСЭП</w:t>
            </w:r>
          </w:p>
        </w:tc>
        <w:tc>
          <w:tcPr>
            <w:tcW w:w="5459" w:type="dxa"/>
            <w:shd w:val="clear" w:color="auto" w:fill="auto"/>
          </w:tcPr>
          <w:p w:rsidR="00DA5A9E" w:rsidRPr="00DA5A9E" w:rsidRDefault="00DA5A9E" w:rsidP="00DA5A9E">
            <w:pPr>
              <w:spacing w:before="0" w:after="120"/>
              <w:rPr>
                <w:sz w:val="20"/>
              </w:rPr>
            </w:pPr>
            <w:r w:rsidRPr="00DA5A9E">
              <w:rPr>
                <w:sz w:val="20"/>
              </w:rPr>
              <w:t xml:space="preserve">Национальный обзор социально-экономического </w:t>
            </w:r>
            <w:r w:rsidR="00C22E8C">
              <w:rPr>
                <w:sz w:val="20"/>
              </w:rPr>
              <w:br/>
            </w:r>
            <w:r w:rsidRPr="00DA5A9E">
              <w:rPr>
                <w:sz w:val="20"/>
              </w:rPr>
              <w:t>полож</w:t>
            </w:r>
            <w:r w:rsidRPr="00DA5A9E">
              <w:rPr>
                <w:sz w:val="20"/>
              </w:rPr>
              <w:t>е</w:t>
            </w:r>
            <w:r w:rsidRPr="00DA5A9E">
              <w:rPr>
                <w:sz w:val="20"/>
              </w:rPr>
              <w:t xml:space="preserve">ния </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ПДИ</w:t>
            </w:r>
          </w:p>
        </w:tc>
        <w:tc>
          <w:tcPr>
            <w:tcW w:w="5459" w:type="dxa"/>
            <w:shd w:val="clear" w:color="auto" w:fill="auto"/>
          </w:tcPr>
          <w:p w:rsidR="00DA5A9E" w:rsidRPr="00DA5A9E" w:rsidRDefault="00DA5A9E" w:rsidP="00DA5A9E">
            <w:pPr>
              <w:spacing w:before="0" w:after="120"/>
              <w:rPr>
                <w:sz w:val="20"/>
              </w:rPr>
            </w:pPr>
            <w:r w:rsidRPr="00DA5A9E">
              <w:rPr>
                <w:sz w:val="20"/>
              </w:rPr>
              <w:t>Криминальная полиция Чили</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СЕИА</w:t>
            </w:r>
          </w:p>
        </w:tc>
        <w:tc>
          <w:tcPr>
            <w:tcW w:w="5459" w:type="dxa"/>
            <w:shd w:val="clear" w:color="auto" w:fill="auto"/>
          </w:tcPr>
          <w:p w:rsidR="00DA5A9E" w:rsidRPr="00DA5A9E" w:rsidRDefault="00DA5A9E" w:rsidP="00DA5A9E">
            <w:pPr>
              <w:spacing w:before="0" w:after="120"/>
              <w:rPr>
                <w:sz w:val="20"/>
              </w:rPr>
            </w:pPr>
            <w:r w:rsidRPr="00DA5A9E">
              <w:rPr>
                <w:sz w:val="20"/>
              </w:rPr>
              <w:t>Система оценки воздействия на окружа</w:t>
            </w:r>
            <w:r w:rsidRPr="00DA5A9E">
              <w:rPr>
                <w:sz w:val="20"/>
              </w:rPr>
              <w:t>ю</w:t>
            </w:r>
            <w:r w:rsidRPr="00DA5A9E">
              <w:rPr>
                <w:sz w:val="20"/>
              </w:rPr>
              <w:t xml:space="preserve">щую среду </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СЕХЕГОБ</w:t>
            </w:r>
          </w:p>
        </w:tc>
        <w:tc>
          <w:tcPr>
            <w:tcW w:w="5459" w:type="dxa"/>
            <w:shd w:val="clear" w:color="auto" w:fill="auto"/>
          </w:tcPr>
          <w:p w:rsidR="00DA5A9E" w:rsidRPr="00DA5A9E" w:rsidRDefault="00DA5A9E" w:rsidP="00DA5A9E">
            <w:pPr>
              <w:spacing w:before="0" w:after="120"/>
              <w:rPr>
                <w:sz w:val="20"/>
              </w:rPr>
            </w:pPr>
            <w:r w:rsidRPr="00DA5A9E">
              <w:rPr>
                <w:sz w:val="20"/>
              </w:rPr>
              <w:t>Генеральный секретариат правительства</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СПСМО</w:t>
            </w:r>
          </w:p>
        </w:tc>
        <w:tc>
          <w:tcPr>
            <w:tcW w:w="5459" w:type="dxa"/>
            <w:shd w:val="clear" w:color="auto" w:fill="auto"/>
          </w:tcPr>
          <w:p w:rsidR="00DA5A9E" w:rsidRPr="00DA5A9E" w:rsidRDefault="00DA5A9E" w:rsidP="00DA5A9E">
            <w:pPr>
              <w:spacing w:before="0" w:after="120"/>
              <w:rPr>
                <w:sz w:val="20"/>
              </w:rPr>
            </w:pPr>
            <w:r w:rsidRPr="00DA5A9E">
              <w:rPr>
                <w:sz w:val="20"/>
              </w:rPr>
              <w:t>Совет по вопросам помощи и стипендий Министерс</w:t>
            </w:r>
            <w:r w:rsidRPr="00DA5A9E">
              <w:rPr>
                <w:sz w:val="20"/>
              </w:rPr>
              <w:t>т</w:t>
            </w:r>
            <w:r w:rsidRPr="00DA5A9E">
              <w:rPr>
                <w:sz w:val="20"/>
              </w:rPr>
              <w:t>ва образования для школьников</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УПЧ/МИД</w:t>
            </w:r>
          </w:p>
        </w:tc>
        <w:tc>
          <w:tcPr>
            <w:tcW w:w="5459" w:type="dxa"/>
            <w:shd w:val="clear" w:color="auto" w:fill="auto"/>
          </w:tcPr>
          <w:p w:rsidR="00DA5A9E" w:rsidRPr="00DA5A9E" w:rsidRDefault="00DA5A9E" w:rsidP="00DA5A9E">
            <w:pPr>
              <w:spacing w:before="0" w:after="120"/>
              <w:rPr>
                <w:sz w:val="20"/>
              </w:rPr>
            </w:pPr>
            <w:r w:rsidRPr="00DA5A9E">
              <w:rPr>
                <w:sz w:val="20"/>
              </w:rPr>
              <w:t xml:space="preserve">Управление по правам человека Министерства </w:t>
            </w:r>
            <w:r w:rsidR="00C22E8C">
              <w:rPr>
                <w:sz w:val="20"/>
              </w:rPr>
              <w:br/>
            </w:r>
            <w:r w:rsidRPr="00DA5A9E">
              <w:rPr>
                <w:sz w:val="20"/>
              </w:rPr>
              <w:t>иностра</w:t>
            </w:r>
            <w:r w:rsidRPr="00DA5A9E">
              <w:rPr>
                <w:sz w:val="20"/>
              </w:rPr>
              <w:t>н</w:t>
            </w:r>
            <w:r w:rsidRPr="00DA5A9E">
              <w:rPr>
                <w:sz w:val="20"/>
              </w:rPr>
              <w:t xml:space="preserve">ных дел </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УПЧСМИД</w:t>
            </w:r>
          </w:p>
        </w:tc>
        <w:tc>
          <w:tcPr>
            <w:tcW w:w="5459" w:type="dxa"/>
            <w:shd w:val="clear" w:color="auto" w:fill="auto"/>
          </w:tcPr>
          <w:p w:rsidR="00DA5A9E" w:rsidRPr="00DA5A9E" w:rsidRDefault="00DA5A9E" w:rsidP="00DA5A9E">
            <w:pPr>
              <w:spacing w:before="0" w:after="120"/>
              <w:rPr>
                <w:sz w:val="20"/>
              </w:rPr>
            </w:pPr>
            <w:r w:rsidRPr="00DA5A9E">
              <w:rPr>
                <w:sz w:val="20"/>
              </w:rPr>
              <w:t xml:space="preserve">Управление по делам чилийских граждан за границей Министерства иностранных дел </w:t>
            </w:r>
          </w:p>
        </w:tc>
      </w:tr>
      <w:tr w:rsidR="00DA5A9E" w:rsidRPr="00DA5A9E" w:rsidTr="00C22E8C">
        <w:tc>
          <w:tcPr>
            <w:tcW w:w="1792" w:type="dxa"/>
            <w:shd w:val="clear" w:color="auto" w:fill="auto"/>
          </w:tcPr>
          <w:p w:rsidR="00DA5A9E" w:rsidRPr="00DA5A9E" w:rsidRDefault="00DA5A9E" w:rsidP="00DA5A9E">
            <w:pPr>
              <w:spacing w:before="0" w:after="120"/>
              <w:rPr>
                <w:sz w:val="20"/>
              </w:rPr>
            </w:pPr>
            <w:r w:rsidRPr="00DA5A9E">
              <w:rPr>
                <w:sz w:val="20"/>
              </w:rPr>
              <w:t>ХЕНАЭКС</w:t>
            </w:r>
          </w:p>
        </w:tc>
        <w:tc>
          <w:tcPr>
            <w:tcW w:w="5459" w:type="dxa"/>
            <w:shd w:val="clear" w:color="auto" w:fill="auto"/>
          </w:tcPr>
          <w:p w:rsidR="00DA5A9E" w:rsidRPr="00DA5A9E" w:rsidRDefault="00DA5A9E" w:rsidP="00DA5A9E">
            <w:pPr>
              <w:spacing w:before="0" w:after="120"/>
              <w:rPr>
                <w:sz w:val="20"/>
              </w:rPr>
            </w:pPr>
            <w:r w:rsidRPr="00DA5A9E">
              <w:rPr>
                <w:sz w:val="20"/>
              </w:rPr>
              <w:t>Национальное управление криминальной полиции Чили по делам иностранцев и международного с</w:t>
            </w:r>
            <w:r w:rsidRPr="00DA5A9E">
              <w:rPr>
                <w:sz w:val="20"/>
              </w:rPr>
              <w:t>о</w:t>
            </w:r>
            <w:r w:rsidRPr="00DA5A9E">
              <w:rPr>
                <w:sz w:val="20"/>
              </w:rPr>
              <w:t xml:space="preserve">трудничества полиции </w:t>
            </w:r>
          </w:p>
        </w:tc>
      </w:tr>
    </w:tbl>
    <w:p w:rsidR="007636FE" w:rsidRPr="00660E39" w:rsidRDefault="00660E39" w:rsidP="00C22E8C">
      <w:pPr>
        <w:pStyle w:val="HChGR"/>
      </w:pPr>
      <w:r>
        <w:br w:type="page"/>
      </w:r>
      <w:r>
        <w:tab/>
      </w:r>
      <w:r w:rsidR="007636FE" w:rsidRPr="00660E39">
        <w:t>I.</w:t>
      </w:r>
      <w:r w:rsidR="007636FE" w:rsidRPr="00660E39">
        <w:tab/>
        <w:t>Введение</w:t>
      </w:r>
    </w:p>
    <w:p w:rsidR="007636FE" w:rsidRPr="00660E39" w:rsidRDefault="007636FE" w:rsidP="00660E39">
      <w:pPr>
        <w:pStyle w:val="SingleTxtGR"/>
      </w:pPr>
      <w:r w:rsidRPr="00660E39">
        <w:t>1.</w:t>
      </w:r>
      <w:r w:rsidRPr="00660E39">
        <w:tab/>
        <w:t>Данный объединенный документ, в который вошли девятнадцатый, дв</w:t>
      </w:r>
      <w:r w:rsidRPr="00660E39">
        <w:t>а</w:t>
      </w:r>
      <w:r w:rsidRPr="00660E39">
        <w:t>дцатый и двадцать первый периодические доклады о выполнении положений Международной конвенции о ликвидации всех форм расовой дискриминации (Конвенция)</w:t>
      </w:r>
      <w:r w:rsidR="005C6B8E">
        <w:rPr>
          <w:rStyle w:val="FootnoteReference"/>
        </w:rPr>
        <w:footnoteReference w:id="4"/>
      </w:r>
      <w:r w:rsidRPr="00660E39">
        <w:t>, подготовлен в соответствии с пунктом 1 статьи 9 Конвенции и с учетом согласованных руководящих принципов в отношении формы и содерж</w:t>
      </w:r>
      <w:r w:rsidRPr="00660E39">
        <w:t>а</w:t>
      </w:r>
      <w:r w:rsidRPr="00660E39">
        <w:t>ния периодических докладов</w:t>
      </w:r>
      <w:r w:rsidR="005C6B8E">
        <w:rPr>
          <w:rStyle w:val="FootnoteReference"/>
        </w:rPr>
        <w:footnoteReference w:id="5"/>
      </w:r>
      <w:r w:rsidRPr="00660E39">
        <w:t>, представляемых государствами-участниками, а также в соответствии с рекомендациями Комитета по ликвидации расовой ди</w:t>
      </w:r>
      <w:r w:rsidRPr="00660E39">
        <w:t>с</w:t>
      </w:r>
      <w:r w:rsidRPr="00660E39">
        <w:t>криминации (Комитет)</w:t>
      </w:r>
      <w:r w:rsidR="005C6B8E">
        <w:rPr>
          <w:rStyle w:val="FootnoteReference"/>
        </w:rPr>
        <w:footnoteReference w:id="6"/>
      </w:r>
      <w:r w:rsidRPr="00660E39">
        <w:t>. В документе содержится подробная конкретная и</w:t>
      </w:r>
      <w:r w:rsidRPr="00660E39">
        <w:t>н</w:t>
      </w:r>
      <w:r w:rsidRPr="00660E39">
        <w:t>формация о законодательных и других мерах, принятых правительством Чили для обеспечения полного практического осуществления прав, признанных в Конвенции. Доклад охватывает период с 13</w:t>
      </w:r>
      <w:r w:rsidR="000F633B">
        <w:t>−</w:t>
      </w:r>
      <w:r w:rsidRPr="00660E39">
        <w:t>14 августа 2009 года (когда Ком</w:t>
      </w:r>
      <w:r w:rsidRPr="00660E39">
        <w:t>и</w:t>
      </w:r>
      <w:r w:rsidRPr="00660E39">
        <w:t xml:space="preserve">тет рассматривал </w:t>
      </w:r>
      <w:r w:rsidR="000F633B">
        <w:t>пятнадцатый−восемнадцатый</w:t>
      </w:r>
      <w:r w:rsidRPr="00660E39">
        <w:t xml:space="preserve"> периодические доклады Чили) по 31 августа 2012 года.</w:t>
      </w:r>
    </w:p>
    <w:p w:rsidR="007636FE" w:rsidRPr="00660E39" w:rsidRDefault="007636FE" w:rsidP="00660E39">
      <w:pPr>
        <w:pStyle w:val="SingleTxtGR"/>
      </w:pPr>
      <w:r w:rsidRPr="00660E39">
        <w:t>2.</w:t>
      </w:r>
      <w:r w:rsidRPr="00660E39">
        <w:tab/>
        <w:t>С информацией о политической структуре Чили и общих нормативных рамках правозащитной деятельности в стране можно ознакомиться в базовом документе Чили (HRI/CORE/1/Add.103). С обновленной версией этого док</w:t>
      </w:r>
      <w:r w:rsidRPr="00660E39">
        <w:t>у</w:t>
      </w:r>
      <w:r w:rsidRPr="00660E39">
        <w:t>мента можно будет ознакомиться во второй половине 2012 года. Оба докуме</w:t>
      </w:r>
      <w:r w:rsidRPr="00660E39">
        <w:t>н</w:t>
      </w:r>
      <w:r w:rsidR="005C6B8E">
        <w:t>та </w:t>
      </w:r>
      <w:r w:rsidRPr="00660E39">
        <w:t>– базовый и содержащий подробную конкретную информацию о законод</w:t>
      </w:r>
      <w:r w:rsidRPr="00660E39">
        <w:t>а</w:t>
      </w:r>
      <w:r w:rsidRPr="00660E39">
        <w:t>тельных и други</w:t>
      </w:r>
      <w:r w:rsidR="005C6B8E">
        <w:t>х мерах – представляют собой девятнадцатый−двадцать пе</w:t>
      </w:r>
      <w:r w:rsidR="005C6B8E">
        <w:t>р</w:t>
      </w:r>
      <w:r w:rsidR="005C6B8E">
        <w:t>вый</w:t>
      </w:r>
      <w:r w:rsidRPr="00660E39">
        <w:t xml:space="preserve"> периодические доклады о выполнении Конвенции, представляемые правител</w:t>
      </w:r>
      <w:r w:rsidRPr="00660E39">
        <w:t>ь</w:t>
      </w:r>
      <w:r w:rsidRPr="00660E39">
        <w:t>ством Чили на рассмотрение Комитету.</w:t>
      </w:r>
    </w:p>
    <w:p w:rsidR="007636FE" w:rsidRPr="00660E39" w:rsidRDefault="007636FE" w:rsidP="00660E39">
      <w:pPr>
        <w:pStyle w:val="SingleTxtGR"/>
      </w:pPr>
      <w:r w:rsidRPr="00660E39">
        <w:t>3.</w:t>
      </w:r>
      <w:r w:rsidRPr="00660E39">
        <w:tab/>
        <w:t>В базовом документе содержится информация об общей ситуации в о</w:t>
      </w:r>
      <w:r w:rsidRPr="00660E39">
        <w:t>б</w:t>
      </w:r>
      <w:r w:rsidRPr="00660E39">
        <w:t>ласти дискриминации в Чили, в том числе информация о демографическом и социально-экономическом положении коренных н</w:t>
      </w:r>
      <w:r w:rsidRPr="00660E39">
        <w:t>а</w:t>
      </w:r>
      <w:r w:rsidRPr="00660E39">
        <w:t xml:space="preserve">родов и мигрантов. </w:t>
      </w:r>
    </w:p>
    <w:p w:rsidR="007636FE" w:rsidRPr="00660E39" w:rsidRDefault="007636FE" w:rsidP="00660E39">
      <w:pPr>
        <w:pStyle w:val="SingleTxtGR"/>
      </w:pPr>
      <w:r w:rsidRPr="00660E39">
        <w:t>4.</w:t>
      </w:r>
      <w:r w:rsidRPr="00660E39">
        <w:tab/>
        <w:t>Что касается документа, содержащего подробную конкретную информ</w:t>
      </w:r>
      <w:r w:rsidRPr="00660E39">
        <w:t>а</w:t>
      </w:r>
      <w:r w:rsidRPr="00660E39">
        <w:t>цию о законодательных и других мерах, то в нем приведена информация, к</w:t>
      </w:r>
      <w:r w:rsidRPr="00660E39">
        <w:t>а</w:t>
      </w:r>
      <w:r w:rsidRPr="00660E39">
        <w:t>сающаяся выполнения положений каждой статьи Конвенции, и ответы на зам</w:t>
      </w:r>
      <w:r w:rsidRPr="00660E39">
        <w:t>е</w:t>
      </w:r>
      <w:r w:rsidRPr="00660E39">
        <w:t>чания и рекомендации, высказанные Комитетом в рамках рассмотрения пятн</w:t>
      </w:r>
      <w:r w:rsidRPr="00660E39">
        <w:t>а</w:t>
      </w:r>
      <w:r w:rsidRPr="00660E39">
        <w:t>дцатого, шестнадцатого, семнадцатого и восемнадцатого периодических докл</w:t>
      </w:r>
      <w:r w:rsidRPr="00660E39">
        <w:t>а</w:t>
      </w:r>
      <w:r w:rsidRPr="00660E39">
        <w:t>дов Чили (CERD/C/CHL/15-18).</w:t>
      </w:r>
    </w:p>
    <w:p w:rsidR="007636FE" w:rsidRPr="00660E39" w:rsidRDefault="007636FE" w:rsidP="00660E39">
      <w:pPr>
        <w:pStyle w:val="SingleTxtGR"/>
      </w:pPr>
      <w:r w:rsidRPr="00660E39">
        <w:t>5.</w:t>
      </w:r>
      <w:r w:rsidRPr="00660E39">
        <w:tab/>
        <w:t>Настоящий документ подготовлен Генеральным секретариатом Админ</w:t>
      </w:r>
      <w:r w:rsidRPr="00660E39">
        <w:t>и</w:t>
      </w:r>
      <w:r w:rsidRPr="00660E39">
        <w:t>страции президента (МИНСЕХПРЕС) при содействии Управления по правам человека (УПЧ) Министерства иностранных дел (МИД)</w:t>
      </w:r>
      <w:r w:rsidR="00E26E1C">
        <w:rPr>
          <w:rStyle w:val="FootnoteReference"/>
        </w:rPr>
        <w:footnoteReference w:id="7"/>
      </w:r>
      <w:r w:rsidRPr="00660E39">
        <w:t>, Министерства вну</w:t>
      </w:r>
      <w:r w:rsidRPr="00660E39">
        <w:t>т</w:t>
      </w:r>
      <w:r w:rsidRPr="00660E39">
        <w:t>ренних дел и общественной безопасности, Министерства юстиции и Управл</w:t>
      </w:r>
      <w:r w:rsidRPr="00660E39">
        <w:t>е</w:t>
      </w:r>
      <w:r w:rsidRPr="00660E39">
        <w:t xml:space="preserve">ния социальных организаций (ДОС) Генерального секретариата правительства (СЕХЕГОБ). </w:t>
      </w:r>
    </w:p>
    <w:p w:rsidR="007636FE" w:rsidRPr="00660E39" w:rsidRDefault="007636FE" w:rsidP="00660E39">
      <w:pPr>
        <w:pStyle w:val="SingleTxtGR"/>
      </w:pPr>
      <w:r w:rsidRPr="00660E39">
        <w:t>6.</w:t>
      </w:r>
      <w:r w:rsidRPr="00660E39">
        <w:tab/>
        <w:t>В соответствии с рекомендациями Ко</w:t>
      </w:r>
      <w:r w:rsidR="00E26E1C">
        <w:t>митета, содержащимися в пун</w:t>
      </w:r>
      <w:r w:rsidR="00E26E1C">
        <w:t>к</w:t>
      </w:r>
      <w:r w:rsidR="00E26E1C">
        <w:t>тах </w:t>
      </w:r>
      <w:r w:rsidRPr="00660E39">
        <w:t>30 и 31 его заключительных замечаний, при подготовке настоящего доклада были проведены широкие консультации с неправительственными организаци</w:t>
      </w:r>
      <w:r w:rsidRPr="00660E39">
        <w:t>я</w:t>
      </w:r>
      <w:r w:rsidRPr="00660E39">
        <w:t>ми гражданского общества в рамках семинара, организованного в Министерс</w:t>
      </w:r>
      <w:r w:rsidRPr="00660E39">
        <w:t>т</w:t>
      </w:r>
      <w:r w:rsidRPr="00660E39">
        <w:t>ве иностранных дел 3 августа 2012 года. Участники семинара были проинфо</w:t>
      </w:r>
      <w:r w:rsidRPr="00660E39">
        <w:t>р</w:t>
      </w:r>
      <w:r w:rsidRPr="00660E39">
        <w:t>мированы об основных мероприятиях, планах и политике правительства в о</w:t>
      </w:r>
      <w:r w:rsidRPr="00660E39">
        <w:t>б</w:t>
      </w:r>
      <w:r w:rsidRPr="00660E39">
        <w:t>ласти прав человека, о борьбе против дискриминации в целом и против расовой дискриминации в частности, о политике по вопросам миграции и коренных н</w:t>
      </w:r>
      <w:r w:rsidRPr="00660E39">
        <w:t>а</w:t>
      </w:r>
      <w:r w:rsidRPr="00660E39">
        <w:t>родов; проведение семинара позволило ознакомиться с предложениями, крит</w:t>
      </w:r>
      <w:r w:rsidRPr="00660E39">
        <w:t>и</w:t>
      </w:r>
      <w:r w:rsidRPr="00660E39">
        <w:t>ческими з</w:t>
      </w:r>
      <w:r w:rsidRPr="00660E39">
        <w:t>а</w:t>
      </w:r>
      <w:r w:rsidRPr="00660E39">
        <w:t xml:space="preserve">мечаниями и возражениями представителей гражданского общества по обсуждавшимся вопросам. </w:t>
      </w:r>
    </w:p>
    <w:p w:rsidR="007636FE" w:rsidRPr="00660E39" w:rsidRDefault="007636FE" w:rsidP="00660E39">
      <w:pPr>
        <w:pStyle w:val="SingleTxtGR"/>
      </w:pPr>
      <w:r w:rsidRPr="00660E39">
        <w:t>7.</w:t>
      </w:r>
      <w:r w:rsidRPr="00660E39">
        <w:tab/>
        <w:t>Кроме того, данный доклад на дату его представления в секретариат К</w:t>
      </w:r>
      <w:r w:rsidRPr="00660E39">
        <w:t>о</w:t>
      </w:r>
      <w:r w:rsidRPr="00660E39">
        <w:t>митета будет опубликован на веб-сайте УПЧ (МИД). В этой связи следует отм</w:t>
      </w:r>
      <w:r w:rsidRPr="00660E39">
        <w:t>е</w:t>
      </w:r>
      <w:r w:rsidRPr="00660E39">
        <w:t>тить, что правительство Чили широко распространяет все свои периодические доклады, направляемые в договорные органы, а также информацию, каса</w:t>
      </w:r>
      <w:r w:rsidRPr="00660E39">
        <w:t>ю</w:t>
      </w:r>
      <w:r w:rsidRPr="00660E39">
        <w:t>щуюся соответствующих процессов, в том числе заключительные замечания комитетов; эти материалы размещаются на веб-сайтах соответствующих учре</w:t>
      </w:r>
      <w:r w:rsidRPr="00660E39">
        <w:t>ж</w:t>
      </w:r>
      <w:r w:rsidRPr="00660E39">
        <w:t>дений и распространяются на информацио</w:t>
      </w:r>
      <w:r w:rsidRPr="00660E39">
        <w:t>н</w:t>
      </w:r>
      <w:r w:rsidRPr="00660E39">
        <w:t xml:space="preserve">ных совещаниях с представителями гражданского общества. </w:t>
      </w:r>
    </w:p>
    <w:p w:rsidR="007636FE" w:rsidRPr="00660E39" w:rsidRDefault="00C22E8C" w:rsidP="00C22E8C">
      <w:pPr>
        <w:pStyle w:val="HChGR"/>
      </w:pPr>
      <w:r>
        <w:tab/>
        <w:t>II.</w:t>
      </w:r>
      <w:r>
        <w:tab/>
      </w:r>
      <w:r w:rsidR="007636FE" w:rsidRPr="00660E39">
        <w:t>Общая ситуация в области дискриминации в Чили</w:t>
      </w:r>
    </w:p>
    <w:p w:rsidR="007636FE" w:rsidRPr="00660E39" w:rsidRDefault="007636FE" w:rsidP="00660E39">
      <w:pPr>
        <w:pStyle w:val="SingleTxtGR"/>
      </w:pPr>
      <w:r w:rsidRPr="00660E39">
        <w:t>8.</w:t>
      </w:r>
      <w:r w:rsidRPr="00660E39">
        <w:tab/>
        <w:t xml:space="preserve">В программе правительства действующего Президента Республики </w:t>
      </w:r>
      <w:r w:rsidR="00846735" w:rsidRPr="00846735">
        <w:br/>
      </w:r>
      <w:r w:rsidRPr="00660E39">
        <w:t>г-на Себастьяна Пиньеры содержится четкое заявление о том, что одной из ц</w:t>
      </w:r>
      <w:r w:rsidRPr="00660E39">
        <w:t>е</w:t>
      </w:r>
      <w:r w:rsidRPr="00660E39">
        <w:t>лей его деятельности является "проведение политики уважительного отнош</w:t>
      </w:r>
      <w:r w:rsidRPr="00660E39">
        <w:t>е</w:t>
      </w:r>
      <w:r w:rsidRPr="00660E39">
        <w:t>ния ко всем людям, независимо от их религии, политических убеждений, пола, этнического или расового происхождения, не допускающей никакой произвол</w:t>
      </w:r>
      <w:r w:rsidRPr="00660E39">
        <w:t>ь</w:t>
      </w:r>
      <w:r w:rsidRPr="00660E39">
        <w:t xml:space="preserve">ной дискриминации в отношении меньшинств". </w:t>
      </w:r>
    </w:p>
    <w:p w:rsidR="007636FE" w:rsidRPr="00660E39" w:rsidRDefault="007636FE" w:rsidP="00660E39">
      <w:pPr>
        <w:pStyle w:val="SingleTxtGR"/>
      </w:pPr>
      <w:r w:rsidRPr="00660E39">
        <w:t>9.</w:t>
      </w:r>
      <w:r w:rsidRPr="00660E39">
        <w:tab/>
        <w:t>В целях проведения политического курса, направленного на недопущение дискриминации и на защиту культуры инклюзивного общества в соответствии с международными обязательствами страны, правительство Чили, убежденное в важности обеспечения провозглашенного в Конституции тезиса о том, что все люди рождаются свободными и равными в своем достоинстве и правах, и з</w:t>
      </w:r>
      <w:r w:rsidRPr="00660E39">
        <w:t>а</w:t>
      </w:r>
      <w:r w:rsidRPr="00660E39">
        <w:t>прещения любой произвольной дискриминации, предприняло ряд соответс</w:t>
      </w:r>
      <w:r w:rsidRPr="00660E39">
        <w:t>т</w:t>
      </w:r>
      <w:r w:rsidRPr="00660E39">
        <w:t>вующих законодательных и администр</w:t>
      </w:r>
      <w:r w:rsidRPr="00660E39">
        <w:t>а</w:t>
      </w:r>
      <w:r w:rsidRPr="00660E39">
        <w:t>тивных мер.</w:t>
      </w:r>
    </w:p>
    <w:p w:rsidR="007636FE" w:rsidRPr="00660E39" w:rsidRDefault="007636FE" w:rsidP="00660E39">
      <w:pPr>
        <w:pStyle w:val="SingleTxtGR"/>
      </w:pPr>
      <w:r w:rsidRPr="00660E39">
        <w:t>10.</w:t>
      </w:r>
      <w:r w:rsidRPr="00660E39">
        <w:tab/>
        <w:t>Помимо различных государственных учреждений, ответственных за ра</w:t>
      </w:r>
      <w:r w:rsidRPr="00660E39">
        <w:t>з</w:t>
      </w:r>
      <w:r w:rsidRPr="00660E39">
        <w:t>работку мер политики и программ в областях здравоохранения, образования, занятости, борьбы с нищетой и т.</w:t>
      </w:r>
      <w:r w:rsidR="006450A8">
        <w:t>д.</w:t>
      </w:r>
      <w:r w:rsidRPr="00660E39">
        <w:t>, ориентированных на конкретные группы населения и меньшинства, в Управлении социальных организаций (ДОС) Ген</w:t>
      </w:r>
      <w:r w:rsidRPr="00660E39">
        <w:t>е</w:t>
      </w:r>
      <w:r w:rsidRPr="00660E39">
        <w:t>рального секретариата правительства (СЕХЕГОБ) функционирует Департамент по вопросам разнообразия и недискриминации, который осуществляет коорд</w:t>
      </w:r>
      <w:r w:rsidRPr="00660E39">
        <w:t>и</w:t>
      </w:r>
      <w:r w:rsidRPr="00660E39">
        <w:t>нацию мероприятий и распространяет установки, касающиеся поощрения ме</w:t>
      </w:r>
      <w:r w:rsidRPr="00660E39">
        <w:t>ж</w:t>
      </w:r>
      <w:r w:rsidRPr="00660E39">
        <w:t xml:space="preserve">культурного общения и равенства в разнообразии. </w:t>
      </w:r>
    </w:p>
    <w:p w:rsidR="007636FE" w:rsidRPr="00660E39" w:rsidRDefault="007636FE" w:rsidP="00660E39">
      <w:pPr>
        <w:pStyle w:val="SingleTxtGR"/>
      </w:pPr>
      <w:r w:rsidRPr="00660E39">
        <w:t>11.</w:t>
      </w:r>
      <w:r w:rsidRPr="00660E39">
        <w:tab/>
        <w:t>В частности, деятельность государства, касающаяся этнических или р</w:t>
      </w:r>
      <w:r w:rsidRPr="00660E39">
        <w:t>а</w:t>
      </w:r>
      <w:r w:rsidRPr="00660E39">
        <w:t>совых меньшинств, проводится по четырем основным направлениям: расшир</w:t>
      </w:r>
      <w:r w:rsidRPr="00660E39">
        <w:t>е</w:t>
      </w:r>
      <w:r w:rsidRPr="00660E39">
        <w:t>ние консультаций с коренными народами и вовл</w:t>
      </w:r>
      <w:r w:rsidRPr="00660E39">
        <w:t>е</w:t>
      </w:r>
      <w:r w:rsidRPr="00660E39">
        <w:t>чение их в решение вопросов, которые могут непосредственно их касаться, в соответствии с положениями р</w:t>
      </w:r>
      <w:r w:rsidRPr="00660E39">
        <w:t>а</w:t>
      </w:r>
      <w:r w:rsidRPr="00660E39">
        <w:t xml:space="preserve">тифицированой и действующей в Чили Конвенции № 169 </w:t>
      </w:r>
      <w:r w:rsidR="00846735">
        <w:t xml:space="preserve">(1989) </w:t>
      </w:r>
      <w:r w:rsidRPr="00660E39">
        <w:t>Междунаро</w:t>
      </w:r>
      <w:r w:rsidRPr="00660E39">
        <w:t>д</w:t>
      </w:r>
      <w:r w:rsidRPr="00660E39">
        <w:t>ной организации труда (МОТ) о коренных народах и народах, ведущих племе</w:t>
      </w:r>
      <w:r w:rsidRPr="00660E39">
        <w:t>н</w:t>
      </w:r>
      <w:r w:rsidRPr="00660E39">
        <w:t>ной образ жизни в независимых странах; динамичное комплексное развитие производственных возможностей коренных народов; обеспечение качественн</w:t>
      </w:r>
      <w:r w:rsidRPr="00660E39">
        <w:t>о</w:t>
      </w:r>
      <w:r w:rsidRPr="00660E39">
        <w:t>го образования для всех детей коренных народов; и постоянная защита и ув</w:t>
      </w:r>
      <w:r w:rsidRPr="00660E39">
        <w:t>а</w:t>
      </w:r>
      <w:r w:rsidRPr="00660E39">
        <w:t>жение культуры и с</w:t>
      </w:r>
      <w:r w:rsidRPr="00660E39">
        <w:t>а</w:t>
      </w:r>
      <w:r w:rsidRPr="00660E39">
        <w:t xml:space="preserve">мобытности коренных народов. </w:t>
      </w:r>
    </w:p>
    <w:p w:rsidR="007636FE" w:rsidRPr="00660E39" w:rsidRDefault="007636FE" w:rsidP="00C22E8C">
      <w:pPr>
        <w:pStyle w:val="H1GR"/>
      </w:pPr>
      <w:r w:rsidRPr="00660E39">
        <w:tab/>
      </w:r>
      <w:r w:rsidRPr="00660E39">
        <w:tab/>
        <w:t>Положение этнических или расовых меньшинств</w:t>
      </w:r>
    </w:p>
    <w:p w:rsidR="007636FE" w:rsidRPr="00660E39" w:rsidRDefault="007636FE" w:rsidP="00C22E8C">
      <w:pPr>
        <w:pStyle w:val="H23GR"/>
      </w:pPr>
      <w:r w:rsidRPr="00660E39">
        <w:tab/>
        <w:t>1.</w:t>
      </w:r>
      <w:r w:rsidRPr="00660E39">
        <w:tab/>
        <w:t>Коренное население</w:t>
      </w:r>
    </w:p>
    <w:p w:rsidR="007636FE" w:rsidRPr="00660E39" w:rsidRDefault="007636FE" w:rsidP="00C22E8C">
      <w:pPr>
        <w:pStyle w:val="H4GR"/>
      </w:pPr>
      <w:r w:rsidRPr="00660E39">
        <w:tab/>
        <w:t>a)</w:t>
      </w:r>
      <w:r w:rsidRPr="00660E39">
        <w:tab/>
        <w:t>Демографическая ситуация</w:t>
      </w:r>
    </w:p>
    <w:p w:rsidR="007636FE" w:rsidRPr="00660E39" w:rsidRDefault="007636FE" w:rsidP="00660E39">
      <w:pPr>
        <w:pStyle w:val="SingleTxtGR"/>
      </w:pPr>
      <w:r w:rsidRPr="00660E39">
        <w:t>12.</w:t>
      </w:r>
      <w:r w:rsidR="00C22E8C">
        <w:tab/>
      </w:r>
      <w:r w:rsidRPr="00660E39">
        <w:t>По данным проведенного в 2009 году Национального обзора социально-экономического положения (НОСЭП), численность населения, относящего себя к категории коренных народов, составляет примерно 1 188 340 человек, т</w:t>
      </w:r>
      <w:r w:rsidR="006450A8">
        <w:t>.</w:t>
      </w:r>
      <w:r w:rsidRPr="00660E39">
        <w:t>е</w:t>
      </w:r>
      <w:r w:rsidR="006450A8">
        <w:t>.</w:t>
      </w:r>
      <w:r w:rsidRPr="00660E39">
        <w:t xml:space="preserve"> ок</w:t>
      </w:r>
      <w:r w:rsidRPr="00660E39">
        <w:t>о</w:t>
      </w:r>
      <w:r w:rsidRPr="00660E39">
        <w:t>ло 7% всего населения страны; это означает, что за период с 2006 года числе</w:t>
      </w:r>
      <w:r w:rsidRPr="00660E39">
        <w:t>н</w:t>
      </w:r>
      <w:r w:rsidRPr="00660E39">
        <w:t>ность этой группы населения увеличилась, что видно на графике, приведе</w:t>
      </w:r>
      <w:r w:rsidRPr="00660E39">
        <w:t>н</w:t>
      </w:r>
      <w:r w:rsidRPr="00660E39">
        <w:t>ном в приложении III. В ходе обзора идентифицированы следующие девять этнич</w:t>
      </w:r>
      <w:r w:rsidRPr="00660E39">
        <w:t>е</w:t>
      </w:r>
      <w:r w:rsidRPr="00660E39">
        <w:t>ских групп: аймара, алакалуфе, атакаменьо, колья, диагиты, мапуче, кечуа, р</w:t>
      </w:r>
      <w:r w:rsidRPr="00660E39">
        <w:t>а</w:t>
      </w:r>
      <w:r w:rsidRPr="00660E39">
        <w:t xml:space="preserve">па-нуи и яган. </w:t>
      </w:r>
    </w:p>
    <w:p w:rsidR="007636FE" w:rsidRPr="00660E39" w:rsidRDefault="007636FE" w:rsidP="00660E39">
      <w:pPr>
        <w:pStyle w:val="SingleTxtGR"/>
      </w:pPr>
      <w:r w:rsidRPr="00660E39">
        <w:t>13.</w:t>
      </w:r>
      <w:r w:rsidRPr="00660E39">
        <w:tab/>
        <w:t>Как отмечалось в предыдущем докладе, основная часть коренного нас</w:t>
      </w:r>
      <w:r w:rsidRPr="00660E39">
        <w:t>е</w:t>
      </w:r>
      <w:r w:rsidRPr="00660E39">
        <w:t>лени</w:t>
      </w:r>
      <w:r w:rsidR="005D3EBC">
        <w:t>я проживает в городах, а именно</w:t>
      </w:r>
      <w:r w:rsidRPr="00660E39">
        <w:t xml:space="preserve"> в городских районах проживает 68,9% этого населения.</w:t>
      </w:r>
    </w:p>
    <w:p w:rsidR="007636FE" w:rsidRPr="00660E39" w:rsidRDefault="00C22E8C" w:rsidP="00C22E8C">
      <w:pPr>
        <w:pStyle w:val="H4GR"/>
      </w:pPr>
      <w:r>
        <w:tab/>
        <w:t>b)</w:t>
      </w:r>
      <w:r w:rsidR="007636FE" w:rsidRPr="00660E39">
        <w:tab/>
        <w:t>Социально-экономическое положение</w:t>
      </w:r>
    </w:p>
    <w:p w:rsidR="007636FE" w:rsidRPr="00660E39" w:rsidRDefault="007636FE" w:rsidP="00660E39">
      <w:pPr>
        <w:pStyle w:val="SingleTxtGR"/>
      </w:pPr>
      <w:r w:rsidRPr="00660E39">
        <w:t>14.</w:t>
      </w:r>
      <w:r w:rsidRPr="00660E39">
        <w:tab/>
        <w:t>Согласно данным Национального обзора (НОСЭП) за 2009 год, в Чили за период с 2006 года доля бедного населения в целом по стране увеличилась с 13,3% до 14,8%. Доля бедного населения среди к</w:t>
      </w:r>
      <w:r w:rsidRPr="00660E39">
        <w:t>о</w:t>
      </w:r>
      <w:r w:rsidRPr="00660E39">
        <w:t>ренных народов еще выше, и она увеличилась за указанный период с 19,0% до 19,9%.</w:t>
      </w:r>
    </w:p>
    <w:p w:rsidR="007636FE" w:rsidRPr="00660E39" w:rsidRDefault="007636FE" w:rsidP="00C22E8C">
      <w:pPr>
        <w:pStyle w:val="H23GR"/>
      </w:pPr>
      <w:r w:rsidRPr="00660E39">
        <w:tab/>
        <w:t>2.</w:t>
      </w:r>
      <w:r w:rsidR="00C22E8C">
        <w:tab/>
      </w:r>
      <w:r w:rsidRPr="00660E39">
        <w:t>Мигранты</w:t>
      </w:r>
    </w:p>
    <w:p w:rsidR="007636FE" w:rsidRPr="00660E39" w:rsidRDefault="00C22E8C" w:rsidP="00C22E8C">
      <w:pPr>
        <w:pStyle w:val="H4GR"/>
      </w:pPr>
      <w:r>
        <w:tab/>
      </w:r>
      <w:r w:rsidR="007636FE" w:rsidRPr="00660E39">
        <w:t>a)</w:t>
      </w:r>
      <w:r>
        <w:tab/>
      </w:r>
      <w:r w:rsidR="007636FE" w:rsidRPr="00660E39">
        <w:t>Демографическая ситуация</w:t>
      </w:r>
    </w:p>
    <w:p w:rsidR="007636FE" w:rsidRPr="00660E39" w:rsidRDefault="007636FE" w:rsidP="00660E39">
      <w:pPr>
        <w:pStyle w:val="SingleTxtGR"/>
      </w:pPr>
      <w:r w:rsidRPr="00660E39">
        <w:t>15.</w:t>
      </w:r>
      <w:r w:rsidRPr="00660E39">
        <w:tab/>
        <w:t>Согласно расчетам на основе регистрационных данных по месту жител</w:t>
      </w:r>
      <w:r w:rsidRPr="00660E39">
        <w:t>ь</w:t>
      </w:r>
      <w:r w:rsidRPr="00660E39">
        <w:t xml:space="preserve">ства, которые составляются на ежегодной основе и в которых за базу </w:t>
      </w:r>
      <w:r w:rsidR="005D3EBC">
        <w:t>при</w:t>
      </w:r>
      <w:r w:rsidRPr="00660E39">
        <w:t>нята информация переписи населения 2002 года, чи</w:t>
      </w:r>
      <w:r w:rsidRPr="00660E39">
        <w:t>с</w:t>
      </w:r>
      <w:r w:rsidRPr="00660E39">
        <w:t>ленность проживающих в Чили иммигрантов составляет примерно 369 436 человек. Около 82% всех иммигра</w:t>
      </w:r>
      <w:r w:rsidRPr="00660E39">
        <w:t>н</w:t>
      </w:r>
      <w:r w:rsidRPr="00660E39">
        <w:t xml:space="preserve">тов прибыли из десяти стран и 61% </w:t>
      </w:r>
      <w:r w:rsidR="006D6246">
        <w:t>−</w:t>
      </w:r>
      <w:r w:rsidRPr="00660E39">
        <w:t xml:space="preserve"> из соседних с Чили стран (Перу, Арге</w:t>
      </w:r>
      <w:r w:rsidRPr="00660E39">
        <w:t>н</w:t>
      </w:r>
      <w:r w:rsidRPr="00660E39">
        <w:t xml:space="preserve">тина и Боливия). </w:t>
      </w:r>
    </w:p>
    <w:p w:rsidR="007636FE" w:rsidRPr="00660E39" w:rsidRDefault="007636FE" w:rsidP="00660E39">
      <w:pPr>
        <w:pStyle w:val="SingleTxtGR"/>
      </w:pPr>
      <w:r w:rsidRPr="00660E39">
        <w:t>16.</w:t>
      </w:r>
      <w:r w:rsidRPr="00660E39">
        <w:tab/>
        <w:t>Одним из наиболее заметных признаков общины иммигрантов в Чили я</w:t>
      </w:r>
      <w:r w:rsidRPr="00660E39">
        <w:t>в</w:t>
      </w:r>
      <w:r w:rsidRPr="00660E39">
        <w:t xml:space="preserve">ляется то, что она состоит в основном из выходцев из стран Южной Америки; наиболее многочисленные группы составляют перуанцы (37%), аргентинцы (16,9%), боливийцы (6,1%), эквадорцы (5,4%) и колумбийцы (3,9%). </w:t>
      </w:r>
    </w:p>
    <w:p w:rsidR="007636FE" w:rsidRPr="00660E39" w:rsidRDefault="007636FE" w:rsidP="00660E39">
      <w:pPr>
        <w:pStyle w:val="SingleTxtGR"/>
      </w:pPr>
      <w:r w:rsidRPr="00660E39">
        <w:t>17.</w:t>
      </w:r>
      <w:r w:rsidRPr="00660E39">
        <w:tab/>
        <w:t>Значительную часть общины иммигрантов составляют женщины</w:t>
      </w:r>
      <w:r w:rsidR="00E26E1C">
        <w:rPr>
          <w:rStyle w:val="FootnoteReference"/>
        </w:rPr>
        <w:footnoteReference w:id="8"/>
      </w:r>
      <w:r w:rsidRPr="00660E39">
        <w:t xml:space="preserve"> и мол</w:t>
      </w:r>
      <w:r w:rsidRPr="00660E39">
        <w:t>о</w:t>
      </w:r>
      <w:r w:rsidRPr="00660E39">
        <w:t>дежь; это объясняется тем, что мотивы миграции связаны в основном с поиск</w:t>
      </w:r>
      <w:r w:rsidRPr="00660E39">
        <w:t>а</w:t>
      </w:r>
      <w:r w:rsidRPr="00660E39">
        <w:t>ми работы. В среднем дети в возрасте до 15 составляют около 15% всех зарег</w:t>
      </w:r>
      <w:r w:rsidRPr="00660E39">
        <w:t>и</w:t>
      </w:r>
      <w:r w:rsidRPr="00660E39">
        <w:t xml:space="preserve">стрированных иммигрантов. </w:t>
      </w:r>
    </w:p>
    <w:p w:rsidR="007636FE" w:rsidRPr="00660E39" w:rsidRDefault="007636FE" w:rsidP="00660E39">
      <w:pPr>
        <w:pStyle w:val="SingleTxtGR"/>
      </w:pPr>
      <w:r w:rsidRPr="00660E39">
        <w:t>18.</w:t>
      </w:r>
      <w:r w:rsidRPr="00660E39">
        <w:tab/>
        <w:t>При сравнении информации, полученной в хо</w:t>
      </w:r>
      <w:r w:rsidR="00E26E1C">
        <w:t>де переписей 1992 и 2002 </w:t>
      </w:r>
      <w:r w:rsidRPr="00660E39">
        <w:t>годов, виден факт увеличения численности экономически активного нас</w:t>
      </w:r>
      <w:r w:rsidRPr="00660E39">
        <w:t>е</w:t>
      </w:r>
      <w:r w:rsidRPr="00660E39">
        <w:t>ления (среди иммигрантов доля экономически активного населения увелич</w:t>
      </w:r>
      <w:r w:rsidRPr="00660E39">
        <w:t>и</w:t>
      </w:r>
      <w:r w:rsidRPr="00660E39">
        <w:t>лась с 31% в 1992 году до 48% в 2002 году). Одновременно среди этой катег</w:t>
      </w:r>
      <w:r w:rsidRPr="00660E39">
        <w:t>о</w:t>
      </w:r>
      <w:r w:rsidRPr="00660E39">
        <w:t>рии населения произошло снижение доли технических специалистов: если в 1992 году 64% иммигрантов сообщили, что являются техническими специал</w:t>
      </w:r>
      <w:r w:rsidRPr="00660E39">
        <w:t>и</w:t>
      </w:r>
      <w:r w:rsidRPr="00660E39">
        <w:t>стами, то в 2002 году доля таких специалистов сокр</w:t>
      </w:r>
      <w:r w:rsidRPr="00660E39">
        <w:t>а</w:t>
      </w:r>
      <w:r w:rsidRPr="00660E39">
        <w:t>тилась до 45%.</w:t>
      </w:r>
    </w:p>
    <w:p w:rsidR="007636FE" w:rsidRPr="00660E39" w:rsidRDefault="007636FE" w:rsidP="00660E39">
      <w:pPr>
        <w:pStyle w:val="SingleTxtGR"/>
      </w:pPr>
      <w:r w:rsidRPr="00660E39">
        <w:t>19.</w:t>
      </w:r>
      <w:r w:rsidRPr="00660E39">
        <w:tab/>
        <w:t>Что касается территориального распределения иммигрантов по регионам страны, то наблюдается заметная концентрация общин проживающих в Чили иммигрантов в столичном регионе; в указанном регионе проживают 64,94% всех прибывших в Чили иммигрантов. Крупные общины иммигрантов им</w:t>
      </w:r>
      <w:r w:rsidRPr="00660E39">
        <w:t>е</w:t>
      </w:r>
      <w:r w:rsidRPr="00660E39">
        <w:t>ются также в регионах</w:t>
      </w:r>
      <w:r w:rsidR="005D3EBC">
        <w:t xml:space="preserve"> Арика-и-Паринакота, Тарапака и с недавнего времени</w:t>
      </w:r>
      <w:r w:rsidRPr="00660E39">
        <w:t xml:space="preserve"> в р</w:t>
      </w:r>
      <w:r w:rsidRPr="00660E39">
        <w:t>е</w:t>
      </w:r>
      <w:r w:rsidRPr="00660E39">
        <w:t xml:space="preserve">гионе Антофагаста. </w:t>
      </w:r>
    </w:p>
    <w:p w:rsidR="007636FE" w:rsidRPr="00660E39" w:rsidRDefault="007636FE" w:rsidP="00C22E8C">
      <w:pPr>
        <w:pStyle w:val="H4GR"/>
      </w:pPr>
      <w:r w:rsidRPr="00660E39">
        <w:tab/>
        <w:t>b)</w:t>
      </w:r>
      <w:r w:rsidRPr="00660E39">
        <w:tab/>
        <w:t>Социально-экономическое положение</w:t>
      </w:r>
      <w:r w:rsidR="00E26E1C" w:rsidRPr="00E26E1C">
        <w:rPr>
          <w:rStyle w:val="FootnoteReference"/>
          <w:i w:val="0"/>
        </w:rPr>
        <w:footnoteReference w:id="9"/>
      </w:r>
    </w:p>
    <w:p w:rsidR="007636FE" w:rsidRPr="00660E39" w:rsidRDefault="007636FE" w:rsidP="00660E39">
      <w:pPr>
        <w:pStyle w:val="SingleTxtGR"/>
      </w:pPr>
      <w:r w:rsidRPr="00660E39">
        <w:t>20.</w:t>
      </w:r>
      <w:r w:rsidRPr="00660E39">
        <w:tab/>
        <w:t>Среди проживающих в стране иностранцев уровень образования в сре</w:t>
      </w:r>
      <w:r w:rsidRPr="00660E39">
        <w:t>д</w:t>
      </w:r>
      <w:r w:rsidRPr="00660E39">
        <w:t>нем примерно на два академических года выше, чем уровень образования мес</w:t>
      </w:r>
      <w:r w:rsidRPr="00660E39">
        <w:t>т</w:t>
      </w:r>
      <w:r w:rsidRPr="00660E39">
        <w:t>ного населения. С другой стороны, уровень безр</w:t>
      </w:r>
      <w:r w:rsidRPr="00660E39">
        <w:t>а</w:t>
      </w:r>
      <w:r w:rsidR="00E26E1C">
        <w:t>ботицы, составлявший в 2006 </w:t>
      </w:r>
      <w:r w:rsidRPr="00660E39">
        <w:t xml:space="preserve">году 5%, к 2009 году вырос до 7,9%. </w:t>
      </w:r>
    </w:p>
    <w:p w:rsidR="007636FE" w:rsidRPr="00660E39" w:rsidRDefault="007636FE" w:rsidP="00660E39">
      <w:pPr>
        <w:pStyle w:val="SingleTxtGR"/>
      </w:pPr>
      <w:r w:rsidRPr="00660E39">
        <w:t>21.</w:t>
      </w:r>
      <w:r w:rsidRPr="00660E39">
        <w:tab/>
        <w:t xml:space="preserve">Что касается оплаты труда работников, то, по данным обзора социально-экономического положения, доходы иностранных граждан выше, чем доходы чилийцев. </w:t>
      </w:r>
    </w:p>
    <w:p w:rsidR="007636FE" w:rsidRPr="00660E39" w:rsidRDefault="007636FE" w:rsidP="00660E39">
      <w:pPr>
        <w:pStyle w:val="SingleTxtGR"/>
      </w:pPr>
      <w:r w:rsidRPr="00660E39">
        <w:t>22.</w:t>
      </w:r>
      <w:r w:rsidRPr="00660E39">
        <w:tab/>
        <w:t>Что касается масштабов бедности, то, согласно данным обзора социал</w:t>
      </w:r>
      <w:r w:rsidRPr="00660E39">
        <w:t>ь</w:t>
      </w:r>
      <w:r w:rsidRPr="00660E39">
        <w:t>но-экономического пол</w:t>
      </w:r>
      <w:r w:rsidRPr="00660E39">
        <w:t>о</w:t>
      </w:r>
      <w:r w:rsidRPr="00660E39">
        <w:t xml:space="preserve">жения, доля бедного населения среди иностранных граждан ниже, чем среди чилийцев (соответственно 10,65% и 15,12%). Следует также иметь в виду, что за период с 2006 по 2009 год доля бедствующих среди иммигрантов увеличилась в два раза (с 2,13% до 4,84%). </w:t>
      </w:r>
    </w:p>
    <w:p w:rsidR="007636FE" w:rsidRPr="00660E39" w:rsidRDefault="00C22E8C" w:rsidP="00C22E8C">
      <w:pPr>
        <w:pStyle w:val="HChGR"/>
      </w:pPr>
      <w:r>
        <w:tab/>
      </w:r>
      <w:r w:rsidR="007636FE" w:rsidRPr="00660E39">
        <w:t>III.</w:t>
      </w:r>
      <w:r w:rsidR="007636FE" w:rsidRPr="00660E39">
        <w:tab/>
        <w:t>Информация, касающаяся статей Конвенции</w:t>
      </w:r>
    </w:p>
    <w:p w:rsidR="007636FE" w:rsidRPr="00660E39" w:rsidRDefault="007636FE" w:rsidP="00C22E8C">
      <w:pPr>
        <w:pStyle w:val="H1GR"/>
      </w:pPr>
      <w:r w:rsidRPr="00660E39">
        <w:tab/>
      </w:r>
      <w:r w:rsidRPr="00660E39">
        <w:tab/>
        <w:t>Статья 1</w:t>
      </w:r>
    </w:p>
    <w:p w:rsidR="007636FE" w:rsidRPr="00660E39" w:rsidRDefault="00C22E8C" w:rsidP="00C22E8C">
      <w:pPr>
        <w:pStyle w:val="H23GR"/>
      </w:pPr>
      <w:r>
        <w:tab/>
      </w:r>
      <w:r w:rsidR="007636FE" w:rsidRPr="00660E39">
        <w:t>1.</w:t>
      </w:r>
      <w:r w:rsidR="007636FE" w:rsidRPr="00660E39">
        <w:tab/>
        <w:t>Правовой режим государственной политики недискриминации</w:t>
      </w:r>
    </w:p>
    <w:p w:rsidR="007636FE" w:rsidRPr="00660E39" w:rsidRDefault="007636FE" w:rsidP="00660E39">
      <w:pPr>
        <w:pStyle w:val="SingleTxtGR"/>
      </w:pPr>
      <w:r w:rsidRPr="00660E39">
        <w:t>23.</w:t>
      </w:r>
      <w:r w:rsidRPr="00660E39">
        <w:tab/>
        <w:t>В Политической конституции Чили четко закреплены принципы равенс</w:t>
      </w:r>
      <w:r w:rsidRPr="00660E39">
        <w:t>т</w:t>
      </w:r>
      <w:r w:rsidRPr="00660E39">
        <w:t>ва и недискриминации: в пункте 1 статьи 1 говорится, что</w:t>
      </w:r>
      <w:r w:rsidR="005D3EBC">
        <w:t xml:space="preserve"> </w:t>
      </w:r>
      <w:r w:rsidR="006D6246">
        <w:t>"</w:t>
      </w:r>
      <w:r w:rsidRPr="00660E39">
        <w:t>все люди рождаются свободными и равными в своем достоинстве и права</w:t>
      </w:r>
      <w:r w:rsidR="005D3EBC">
        <w:t>х</w:t>
      </w:r>
      <w:r w:rsidR="006D6246">
        <w:t>"</w:t>
      </w:r>
      <w:r w:rsidRPr="00660E39">
        <w:t>. Это положение подкр</w:t>
      </w:r>
      <w:r w:rsidRPr="00660E39">
        <w:t>е</w:t>
      </w:r>
      <w:r w:rsidRPr="00660E39">
        <w:t xml:space="preserve">пляют конституционные гарантии, изложенные в статье 19, где, в частности, в пункте 2 указывается, что </w:t>
      </w:r>
      <w:r w:rsidR="006450A8">
        <w:t>"</w:t>
      </w:r>
      <w:r w:rsidRPr="00660E39">
        <w:t>в Чили нет привилегированных лиц или групп" и "ни закон, ни какой-либо орган власти не могут вводить произвольные различия между людьми</w:t>
      </w:r>
      <w:r w:rsidR="006450A8">
        <w:t>"</w:t>
      </w:r>
      <w:r w:rsidRPr="00660E39">
        <w:t>. Кроме того, во втором абзаце пункта 16 той же статьи 19, в к</w:t>
      </w:r>
      <w:r w:rsidRPr="00660E39">
        <w:t>о</w:t>
      </w:r>
      <w:r w:rsidRPr="00660E39">
        <w:t>тором закрепляется право на свободный труд и гарантируется его защита, гов</w:t>
      </w:r>
      <w:r w:rsidRPr="00660E39">
        <w:t>о</w:t>
      </w:r>
      <w:r w:rsidRPr="00660E39">
        <w:t>рится, что "запрещается любая дискриминация, не основанная на признании личных пр</w:t>
      </w:r>
      <w:r w:rsidRPr="00660E39">
        <w:t>о</w:t>
      </w:r>
      <w:r w:rsidRPr="00660E39">
        <w:t>фессиона</w:t>
      </w:r>
      <w:r w:rsidR="005D3EBC">
        <w:t xml:space="preserve">льных навыков или способностей </w:t>
      </w:r>
      <w:r w:rsidR="005D3EBC" w:rsidRPr="005D3EBC">
        <w:t>[</w:t>
      </w:r>
      <w:r w:rsidRPr="00660E39">
        <w:t>...</w:t>
      </w:r>
      <w:r w:rsidR="005D3EBC" w:rsidRPr="005D3EBC">
        <w:t>]</w:t>
      </w:r>
      <w:r w:rsidRPr="00660E39">
        <w:t>".</w:t>
      </w:r>
    </w:p>
    <w:p w:rsidR="007636FE" w:rsidRPr="00660E39" w:rsidRDefault="007636FE" w:rsidP="00660E39">
      <w:pPr>
        <w:pStyle w:val="SingleTxtGR"/>
      </w:pPr>
      <w:r w:rsidRPr="00660E39">
        <w:t>24.</w:t>
      </w:r>
      <w:r w:rsidRPr="00660E39">
        <w:tab/>
        <w:t>В вопросах труда статья 2 Трудового кодекса усиливает указанное пол</w:t>
      </w:r>
      <w:r w:rsidRPr="00660E39">
        <w:t>о</w:t>
      </w:r>
      <w:r w:rsidRPr="00660E39">
        <w:t>жение Конституции; в частности, согласно положениям</w:t>
      </w:r>
      <w:r w:rsidR="006D6246">
        <w:t xml:space="preserve"> абзацев 3</w:t>
      </w:r>
      <w:r w:rsidR="006450A8">
        <w:t>−</w:t>
      </w:r>
      <w:r w:rsidR="006D6246">
        <w:t>6 указанной статьи, "</w:t>
      </w:r>
      <w:r w:rsidRPr="00660E39">
        <w:t>акты дискриминации противоречат принципам трудового законод</w:t>
      </w:r>
      <w:r w:rsidRPr="00660E39">
        <w:t>а</w:t>
      </w:r>
      <w:r w:rsidRPr="00660E39">
        <w:t>тельств</w:t>
      </w:r>
      <w:r w:rsidR="005D3EBC">
        <w:t>а</w:t>
      </w:r>
      <w:r w:rsidR="006D6246">
        <w:t>"</w:t>
      </w:r>
      <w:r w:rsidRPr="00660E39">
        <w:t>.</w:t>
      </w:r>
      <w:r w:rsidR="005D3EBC">
        <w:t xml:space="preserve"> Актами дискриминации являются "</w:t>
      </w:r>
      <w:r w:rsidRPr="00660E39">
        <w:t>различия, исключения или пре</w:t>
      </w:r>
      <w:r w:rsidRPr="00660E39">
        <w:t>д</w:t>
      </w:r>
      <w:r w:rsidRPr="00660E39">
        <w:t>почтения, основанные на признаках расы, цвета кожи, пола, возраста, семейн</w:t>
      </w:r>
      <w:r w:rsidRPr="00660E39">
        <w:t>о</w:t>
      </w:r>
      <w:r w:rsidRPr="00660E39">
        <w:t>го положения, членства в профсоюзе, религии, политических убеждений, гра</w:t>
      </w:r>
      <w:r w:rsidRPr="00660E39">
        <w:t>ж</w:t>
      </w:r>
      <w:r w:rsidRPr="00660E39">
        <w:t>данства, национального происхождения или социальной принадлежности, пр</w:t>
      </w:r>
      <w:r w:rsidRPr="00660E39">
        <w:t>и</w:t>
      </w:r>
      <w:r w:rsidRPr="00660E39">
        <w:t>водящие к уничтожению или нарушению равенства возможностей или обращ</w:t>
      </w:r>
      <w:r w:rsidRPr="00660E39">
        <w:t>е</w:t>
      </w:r>
      <w:r w:rsidRPr="00660E39">
        <w:t>ния в области труда и занятий</w:t>
      </w:r>
      <w:r w:rsidR="006D6246">
        <w:t>"</w:t>
      </w:r>
      <w:r w:rsidRPr="00660E39">
        <w:t xml:space="preserve">. Несмотря на это, различия, исключения или предпочтения, основанные на </w:t>
      </w:r>
      <w:r w:rsidR="006D6246">
        <w:t>"</w:t>
      </w:r>
      <w:r w:rsidRPr="00660E39">
        <w:t>специфических требованиях определенной р</w:t>
      </w:r>
      <w:r w:rsidRPr="00660E39">
        <w:t>а</w:t>
      </w:r>
      <w:r w:rsidRPr="00660E39">
        <w:t>боты, не считаются дискриминацией…</w:t>
      </w:r>
      <w:r w:rsidR="006D6246">
        <w:t>". Вместе с тем уточняется, что "</w:t>
      </w:r>
      <w:r w:rsidRPr="00660E39">
        <w:t>ко</w:t>
      </w:r>
      <w:r w:rsidRPr="00660E39">
        <w:t>н</w:t>
      </w:r>
      <w:r w:rsidRPr="00660E39">
        <w:t>кретные предложения работы, в которых работодатели указывают требования к кандидатам, основанные на любых указанных выше различиях, исключениях или предпо</w:t>
      </w:r>
      <w:r w:rsidRPr="00660E39">
        <w:t>ч</w:t>
      </w:r>
      <w:r w:rsidRPr="00660E39">
        <w:t>тениях, являются дискриминационными</w:t>
      </w:r>
      <w:r w:rsidR="005D3EBC">
        <w:t xml:space="preserve"> </w:t>
      </w:r>
      <w:r w:rsidR="005D3EBC" w:rsidRPr="005D3EBC">
        <w:t>[</w:t>
      </w:r>
      <w:r w:rsidR="005D3EBC">
        <w:t>...</w:t>
      </w:r>
      <w:r w:rsidR="005D3EBC" w:rsidRPr="005D3EBC">
        <w:t>]</w:t>
      </w:r>
      <w:r w:rsidR="006D6246">
        <w:t>".</w:t>
      </w:r>
    </w:p>
    <w:p w:rsidR="007636FE" w:rsidRPr="00660E39" w:rsidRDefault="007636FE" w:rsidP="00660E39">
      <w:pPr>
        <w:pStyle w:val="SingleTxtGR"/>
      </w:pPr>
      <w:r w:rsidRPr="00660E39">
        <w:t>25.</w:t>
      </w:r>
      <w:r w:rsidRPr="00660E39">
        <w:tab/>
        <w:t>Чили подтверждает, что она уважала, уважает и будет уважать впредь права всех людей, проживающих на ее территории, независимо от их статуса или этнического происхождения, расы, политич</w:t>
      </w:r>
      <w:r w:rsidRPr="00660E39">
        <w:t>е</w:t>
      </w:r>
      <w:r w:rsidRPr="00660E39">
        <w:t>ских, религиозных или каких-либо других признаков и предпочтений. Чили решительно проводит четкую п</w:t>
      </w:r>
      <w:r w:rsidRPr="00660E39">
        <w:t>о</w:t>
      </w:r>
      <w:r w:rsidRPr="00660E39">
        <w:t>литику борьбы против любой дискриминации, в том числе против дискримин</w:t>
      </w:r>
      <w:r w:rsidRPr="00660E39">
        <w:t>а</w:t>
      </w:r>
      <w:r w:rsidRPr="00660E39">
        <w:t>ции населения а</w:t>
      </w:r>
      <w:r w:rsidRPr="00660E39">
        <w:t>ф</w:t>
      </w:r>
      <w:r w:rsidRPr="00660E39">
        <w:t>риканского происхождения, численность которого составляет примерно 3</w:t>
      </w:r>
      <w:r w:rsidR="006450A8">
        <w:t> </w:t>
      </w:r>
      <w:r w:rsidRPr="00660E39">
        <w:t xml:space="preserve">000 человек, проживающих в основном в долине Асапа, в регионе Арика-и-Паринакота. </w:t>
      </w:r>
    </w:p>
    <w:p w:rsidR="007636FE" w:rsidRPr="00660E39" w:rsidRDefault="007636FE" w:rsidP="00660E39">
      <w:pPr>
        <w:pStyle w:val="SingleTxtGR"/>
      </w:pPr>
      <w:r w:rsidRPr="00660E39">
        <w:t>26.</w:t>
      </w:r>
      <w:r w:rsidRPr="00660E39">
        <w:tab/>
        <w:t>Следует также отметить, что отличительной особенностью девяти коре</w:t>
      </w:r>
      <w:r w:rsidRPr="00660E39">
        <w:t>н</w:t>
      </w:r>
      <w:r w:rsidRPr="00660E39">
        <w:t>ных или местных народов, признанных согласно Закону № 19253</w:t>
      </w:r>
      <w:r w:rsidR="00E26E1C">
        <w:rPr>
          <w:rStyle w:val="FootnoteReference"/>
        </w:rPr>
        <w:footnoteReference w:id="10"/>
      </w:r>
      <w:r w:rsidRPr="00660E39">
        <w:t xml:space="preserve"> (далее </w:t>
      </w:r>
      <w:r w:rsidR="00E26E1C">
        <w:t>−</w:t>
      </w:r>
      <w:r w:rsidRPr="00660E39">
        <w:t xml:space="preserve"> З</w:t>
      </w:r>
      <w:r w:rsidRPr="00660E39">
        <w:t>а</w:t>
      </w:r>
      <w:r w:rsidRPr="00660E39">
        <w:t>кон о коренных народах), является то, что предки соответствующих групп л</w:t>
      </w:r>
      <w:r w:rsidRPr="00660E39">
        <w:t>ю</w:t>
      </w:r>
      <w:r w:rsidRPr="00660E39">
        <w:t>дей проживали на территории страны еще д</w:t>
      </w:r>
      <w:r w:rsidR="00E26E1C">
        <w:t xml:space="preserve">о ее колонизации европейцами. </w:t>
      </w:r>
      <w:r w:rsidR="005D3EBC">
        <w:rPr>
          <w:lang w:val="en-US"/>
        </w:rPr>
        <w:br/>
      </w:r>
      <w:r w:rsidR="00E26E1C">
        <w:t>В </w:t>
      </w:r>
      <w:r w:rsidRPr="00660E39">
        <w:t>э</w:t>
      </w:r>
      <w:r w:rsidRPr="00660E39">
        <w:t>том смысле коренными народами страны признаны народы, перечисленные во втором абзаце статьи первой указанного закона, который гласит: "Государс</w:t>
      </w:r>
      <w:r w:rsidRPr="00660E39">
        <w:t>т</w:t>
      </w:r>
      <w:r w:rsidRPr="00660E39">
        <w:t>во признает в качестве основных этнических групп коренного населения Чили следующие группы: мапуче, аймара, рапа-нуи (или коренные жители острова Пасхи), общины атакаменьо, кечуа, колья и диагитов в северных районах стр</w:t>
      </w:r>
      <w:r w:rsidRPr="00660E39">
        <w:t>а</w:t>
      </w:r>
      <w:r w:rsidRPr="00660E39">
        <w:t>ны и общины каваскар, или алакалуфе, и ямана, или яган, обитающие вдоль к</w:t>
      </w:r>
      <w:r w:rsidRPr="00660E39">
        <w:t>а</w:t>
      </w:r>
      <w:r w:rsidRPr="00660E39">
        <w:t>налов в южной части страны. Государство ценит эти народы как неотъемлемую часть исторических корней чилийского народа и уважает их целостность и ра</w:t>
      </w:r>
      <w:r w:rsidRPr="00660E39">
        <w:t>з</w:t>
      </w:r>
      <w:r w:rsidRPr="00660E39">
        <w:t>витие в соответствии с их обычаями и ценностями".</w:t>
      </w:r>
    </w:p>
    <w:p w:rsidR="007636FE" w:rsidRPr="00660E39" w:rsidRDefault="007636FE" w:rsidP="00C22E8C">
      <w:pPr>
        <w:pStyle w:val="H23GR"/>
      </w:pPr>
      <w:r w:rsidRPr="00660E39">
        <w:tab/>
        <w:t>2.</w:t>
      </w:r>
      <w:r w:rsidRPr="00660E39">
        <w:tab/>
        <w:t>Закон о мерах борьбы против дискриминации</w:t>
      </w:r>
    </w:p>
    <w:p w:rsidR="007636FE" w:rsidRPr="00660E39" w:rsidRDefault="007636FE" w:rsidP="00660E39">
      <w:pPr>
        <w:pStyle w:val="SingleTxtGR"/>
      </w:pPr>
      <w:r w:rsidRPr="00660E39">
        <w:t>27.</w:t>
      </w:r>
      <w:r w:rsidRPr="00660E39">
        <w:tab/>
        <w:t xml:space="preserve">Закон о мерах борьбы против дискриминации под </w:t>
      </w:r>
      <w:r w:rsidR="006450A8">
        <w:t>№</w:t>
      </w:r>
      <w:r w:rsidRPr="00660E39">
        <w:t xml:space="preserve"> 20609 был опубл</w:t>
      </w:r>
      <w:r w:rsidRPr="00660E39">
        <w:t>и</w:t>
      </w:r>
      <w:r w:rsidRPr="00660E39">
        <w:t xml:space="preserve">кован 24 июля </w:t>
      </w:r>
      <w:r w:rsidR="005D3EBC">
        <w:t>2012</w:t>
      </w:r>
      <w:r w:rsidRPr="00660E39">
        <w:t xml:space="preserve"> года. Проект закона, устанавливающего меры борьбы с дискриминацией, был впервые представлен в соответствии с конституцио</w:t>
      </w:r>
      <w:r w:rsidRPr="00660E39">
        <w:t>н</w:t>
      </w:r>
      <w:r w:rsidRPr="00660E39">
        <w:t>ной процедурой на рассмотрение Палаты депутатов 22 марта 2005 года в п</w:t>
      </w:r>
      <w:r w:rsidRPr="00660E39">
        <w:t>о</w:t>
      </w:r>
      <w:r w:rsidRPr="00660E39">
        <w:t>слании действовавшего в то время Президента Республики. Этот законопроект явился результатом совместной работы правительства того времени и организ</w:t>
      </w:r>
      <w:r w:rsidRPr="00660E39">
        <w:t>а</w:t>
      </w:r>
      <w:r w:rsidRPr="00660E39">
        <w:t>ций гражданского общества. Спустя семь лет убийство в 2012 году молодого гом</w:t>
      </w:r>
      <w:r w:rsidRPr="00660E39">
        <w:t>о</w:t>
      </w:r>
      <w:r w:rsidRPr="00660E39">
        <w:t>сексуалиста Даниэля Самудио всколыхнуло общественное мнение Чили, вызв</w:t>
      </w:r>
      <w:r w:rsidRPr="00660E39">
        <w:t>а</w:t>
      </w:r>
      <w:r w:rsidRPr="00660E39">
        <w:t>ло повышение политической чувствительности всех органов власти и у</w:t>
      </w:r>
      <w:r w:rsidRPr="00660E39">
        <w:t>с</w:t>
      </w:r>
      <w:r w:rsidRPr="00660E39">
        <w:t>корило утверждение упомянутого законопроекта.</w:t>
      </w:r>
    </w:p>
    <w:p w:rsidR="007636FE" w:rsidRPr="00660E39" w:rsidRDefault="007636FE" w:rsidP="00660E39">
      <w:pPr>
        <w:pStyle w:val="SingleTxtGR"/>
      </w:pPr>
      <w:r w:rsidRPr="00660E39">
        <w:t>28.</w:t>
      </w:r>
      <w:r w:rsidRPr="00660E39">
        <w:tab/>
        <w:t>В статье 1 закона говорится, что он направлен в первую очередь на созд</w:t>
      </w:r>
      <w:r w:rsidRPr="00660E39">
        <w:t>а</w:t>
      </w:r>
      <w:r w:rsidRPr="00660E39">
        <w:t>ние правового механизма, позволяющего эффективно восстанавливать верх</w:t>
      </w:r>
      <w:r w:rsidRPr="00660E39">
        <w:t>о</w:t>
      </w:r>
      <w:r w:rsidRPr="00660E39">
        <w:t>венство закона во всех случаях, когда совершается акт произвольной дискр</w:t>
      </w:r>
      <w:r w:rsidRPr="00660E39">
        <w:t>и</w:t>
      </w:r>
      <w:r w:rsidRPr="00660E39">
        <w:t>минации. В этом контексте каждый орган государственного управления должен, действуя в рамках своей компетенции, разрабатывать и претворять в жизнь м</w:t>
      </w:r>
      <w:r w:rsidRPr="00660E39">
        <w:t>е</w:t>
      </w:r>
      <w:r w:rsidRPr="00660E39">
        <w:t>ры политики, обеспечивающие каждому человеку, без произвольной дискрим</w:t>
      </w:r>
      <w:r w:rsidRPr="00660E39">
        <w:t>и</w:t>
      </w:r>
      <w:r w:rsidRPr="00660E39">
        <w:t xml:space="preserve">нации, возможности реализации прав и свобод, признаваемых Политической конституцией Республики, законами страны и международными договорами, ратифицированными Чили и уже вступившими в силу. </w:t>
      </w:r>
    </w:p>
    <w:p w:rsidR="007636FE" w:rsidRPr="00660E39" w:rsidRDefault="007636FE" w:rsidP="00660E39">
      <w:pPr>
        <w:pStyle w:val="SingleTxtGR"/>
      </w:pPr>
      <w:r w:rsidRPr="00660E39">
        <w:t>29.</w:t>
      </w:r>
      <w:r w:rsidRPr="00660E39">
        <w:tab/>
        <w:t xml:space="preserve">Кроме того, в статье 2 содержится определение понятия </w:t>
      </w:r>
      <w:r w:rsidR="006D6246">
        <w:t>"</w:t>
      </w:r>
      <w:r w:rsidRPr="00660E39">
        <w:t>произвольная дискриминация</w:t>
      </w:r>
      <w:r w:rsidR="006D6246">
        <w:t>"</w:t>
      </w:r>
      <w:r w:rsidRPr="00660E39">
        <w:t xml:space="preserve">, согласно которому это </w:t>
      </w:r>
      <w:r w:rsidR="006D6246">
        <w:t>− "</w:t>
      </w:r>
      <w:r w:rsidRPr="00660E39">
        <w:t>любое не имеющее рационального обоснования различие, исключение или ограничение со стороны представит</w:t>
      </w:r>
      <w:r w:rsidRPr="00660E39">
        <w:t>е</w:t>
      </w:r>
      <w:r w:rsidRPr="00660E39">
        <w:t>лей государственных структур или частных лиц, следствием которого являются лишение, ограничение возможности или угроза лишения возможности законн</w:t>
      </w:r>
      <w:r w:rsidRPr="00660E39">
        <w:t>о</w:t>
      </w:r>
      <w:r w:rsidRPr="00660E39">
        <w:t>го осуществления основных прав человека, закрепленных в Конституции Ре</w:t>
      </w:r>
      <w:r w:rsidRPr="00660E39">
        <w:t>с</w:t>
      </w:r>
      <w:r w:rsidRPr="00660E39">
        <w:t>публики либо в ратифицированных Чили и вст</w:t>
      </w:r>
      <w:r w:rsidRPr="00660E39">
        <w:t>у</w:t>
      </w:r>
      <w:r w:rsidRPr="00660E39">
        <w:t>пивших в силу международных договорах в области прав человека, в частности, когда это основывается на м</w:t>
      </w:r>
      <w:r w:rsidRPr="00660E39">
        <w:t>о</w:t>
      </w:r>
      <w:r w:rsidRPr="00660E39">
        <w:t>тивах расовой или этнической принадлежности, национальности, социально-экономического статуса, языка, идеологии или политических убеждений, рел</w:t>
      </w:r>
      <w:r w:rsidRPr="00660E39">
        <w:t>и</w:t>
      </w:r>
      <w:r w:rsidRPr="00660E39">
        <w:t>гии или вероисповедания, участия или неучастия в профсоюзах или профе</w:t>
      </w:r>
      <w:r w:rsidRPr="00660E39">
        <w:t>с</w:t>
      </w:r>
      <w:r w:rsidRPr="00660E39">
        <w:t>сиональных ассоциациях, пола, сексуальной ориентации, гендерной иденти</w:t>
      </w:r>
      <w:r w:rsidRPr="00660E39">
        <w:t>ч</w:t>
      </w:r>
      <w:r w:rsidRPr="00660E39">
        <w:t>ности, семейного положения, возраста, происхождения, внешности и болезни или инвалидн</w:t>
      </w:r>
      <w:r w:rsidRPr="00660E39">
        <w:t>о</w:t>
      </w:r>
      <w:r w:rsidRPr="00660E39">
        <w:t>сти</w:t>
      </w:r>
      <w:r w:rsidR="006D6246">
        <w:t>"</w:t>
      </w:r>
      <w:r w:rsidRPr="00660E39">
        <w:t>.</w:t>
      </w:r>
    </w:p>
    <w:p w:rsidR="007636FE" w:rsidRPr="00660E39" w:rsidRDefault="007636FE" w:rsidP="00660E39">
      <w:pPr>
        <w:pStyle w:val="SingleTxtGR"/>
      </w:pPr>
      <w:r w:rsidRPr="00660E39">
        <w:t>30.</w:t>
      </w:r>
      <w:r w:rsidRPr="00660E39">
        <w:tab/>
        <w:t>В главе II упомянутого закона указаны меры, которые могут применяться для борьбы с прои</w:t>
      </w:r>
      <w:r w:rsidRPr="00660E39">
        <w:t>з</w:t>
      </w:r>
      <w:r w:rsidRPr="00660E39">
        <w:t>вольной дискриминацией; в частности, предусмотрено, что лица, непосредственно пострадавшие от действий или бездействия, предста</w:t>
      </w:r>
      <w:r w:rsidRPr="00660E39">
        <w:t>в</w:t>
      </w:r>
      <w:r w:rsidRPr="00660E39">
        <w:t>ляющих собой акты произвольной дискриминации, имеют право обратиться с иском по поводу таких актов в суд как лично, так и через своего законного представителя или через лицо, ответственное за уход за пострадавшим или за его образование. В тех случаях, когда пострадавшее лицо не в состоянии подать указанный иск ни самостоятельно, ни через своих представ</w:t>
      </w:r>
      <w:r w:rsidRPr="00660E39">
        <w:t>и</w:t>
      </w:r>
      <w:r w:rsidRPr="00660E39">
        <w:t xml:space="preserve">телей, такой иск в интересах пострадавшего может быть подан любым лицом. </w:t>
      </w:r>
    </w:p>
    <w:p w:rsidR="007636FE" w:rsidRPr="00660E39" w:rsidRDefault="007636FE" w:rsidP="00660E39">
      <w:pPr>
        <w:pStyle w:val="SingleTxtGR"/>
      </w:pPr>
      <w:r w:rsidRPr="00660E39">
        <w:t>31.</w:t>
      </w:r>
      <w:r w:rsidRPr="00660E39">
        <w:tab/>
        <w:t>В своем решении по такому иску суд должен определить, имела ли место произвольная дискриминация, и в случае, если такая дискриминация имела м</w:t>
      </w:r>
      <w:r w:rsidRPr="00660E39">
        <w:t>е</w:t>
      </w:r>
      <w:r w:rsidRPr="00660E39">
        <w:t>сто, отменить дискриминационное решение, предупредить о недопустимости повторения таких актов или распорядиться о совершении невыполненного де</w:t>
      </w:r>
      <w:r w:rsidRPr="00660E39">
        <w:t>й</w:t>
      </w:r>
      <w:r w:rsidRPr="00660E39">
        <w:t>ствия. Возможно также принятие других мер, необходимых, по мнению суда, для восстановл</w:t>
      </w:r>
      <w:r w:rsidRPr="00660E39">
        <w:t>е</w:t>
      </w:r>
      <w:r w:rsidRPr="00660E39">
        <w:t>ния верховенства закона и обеспечения необходимой правовой защиты пострадав</w:t>
      </w:r>
      <w:r w:rsidR="009B153B">
        <w:t>шего лица. Кроме того, в случае</w:t>
      </w:r>
      <w:r w:rsidRPr="00660E39">
        <w:t xml:space="preserve"> если будет установлен факт произвольной дискриминации, суд вправе наложить на лиц, несущих непосре</w:t>
      </w:r>
      <w:r w:rsidRPr="00660E39">
        <w:t>д</w:t>
      </w:r>
      <w:r w:rsidRPr="00660E39">
        <w:t xml:space="preserve">ственную ответственность за дискриминационные действия или бездействие, штраф в размере от </w:t>
      </w:r>
      <w:r w:rsidR="009B153B">
        <w:t>5</w:t>
      </w:r>
      <w:r w:rsidRPr="00660E39">
        <w:t xml:space="preserve"> до </w:t>
      </w:r>
      <w:r w:rsidR="009B153B">
        <w:t>50</w:t>
      </w:r>
      <w:r w:rsidRPr="00660E39">
        <w:t xml:space="preserve"> единиц месячного налога в пользу государс</w:t>
      </w:r>
      <w:r w:rsidRPr="00660E39">
        <w:t>т</w:t>
      </w:r>
      <w:r w:rsidRPr="00660E39">
        <w:t xml:space="preserve">ва. </w:t>
      </w:r>
    </w:p>
    <w:p w:rsidR="00660E39" w:rsidRDefault="007636FE" w:rsidP="00660E39">
      <w:pPr>
        <w:pStyle w:val="SingleTxtGR"/>
      </w:pPr>
      <w:r w:rsidRPr="00660E39">
        <w:t>32.</w:t>
      </w:r>
      <w:r w:rsidRPr="00660E39">
        <w:tab/>
        <w:t>Наконец, внесены поправки в</w:t>
      </w:r>
      <w:r w:rsidR="009B153B">
        <w:t xml:space="preserve"> другие нормативные акты, такие</w:t>
      </w:r>
      <w:r w:rsidRPr="00660E39">
        <w:t xml:space="preserve"> как Адм</w:t>
      </w:r>
      <w:r w:rsidRPr="00660E39">
        <w:t>и</w:t>
      </w:r>
      <w:r w:rsidRPr="00660E39">
        <w:t>нистративный регламент и Административный кодекс служебного поведения муниципальных служащих, запрещающие этим служащим выполнять любые действия, наносящие ущерб достоинству других служащих и квалифиц</w:t>
      </w:r>
      <w:r w:rsidRPr="00660E39">
        <w:t>и</w:t>
      </w:r>
      <w:r w:rsidRPr="00660E39">
        <w:t>руемые как акты произвольной дискриминации в соответствии с определением, соде</w:t>
      </w:r>
      <w:r w:rsidRPr="00660E39">
        <w:t>р</w:t>
      </w:r>
      <w:r w:rsidRPr="00660E39">
        <w:t>жащимся в статье 2 закона, устанавливающего меры борьбы против дискрим</w:t>
      </w:r>
      <w:r w:rsidRPr="00660E39">
        <w:t>и</w:t>
      </w:r>
      <w:r w:rsidRPr="00660E39">
        <w:t>нации. На совершивших такие действия служащих могут налагаться санкции, вплоть до увольнения со службы. Кроме того, внесены поправки в Уголовный кодекс, устанавливающие, что совершение преступления или участие в сове</w:t>
      </w:r>
      <w:r w:rsidRPr="00660E39">
        <w:t>р</w:t>
      </w:r>
      <w:r w:rsidRPr="00660E39">
        <w:t>шении преступления дискриминации, основанное на мотивах идеологии, пол</w:t>
      </w:r>
      <w:r w:rsidRPr="00660E39">
        <w:t>и</w:t>
      </w:r>
      <w:r w:rsidRPr="00660E39">
        <w:t>тических убеждений, религии или вероисповедания жертвы, ее национальн</w:t>
      </w:r>
      <w:r w:rsidRPr="00660E39">
        <w:t>о</w:t>
      </w:r>
      <w:r w:rsidRPr="00660E39">
        <w:t>сти, расовой или этнической принадлежности и социально-экономического ст</w:t>
      </w:r>
      <w:r w:rsidRPr="00660E39">
        <w:t>а</w:t>
      </w:r>
      <w:r w:rsidRPr="00660E39">
        <w:t>туса, пола, сексуальной ориентации, гендерной идентичности, возраста, прои</w:t>
      </w:r>
      <w:r w:rsidRPr="00660E39">
        <w:t>с</w:t>
      </w:r>
      <w:r w:rsidRPr="00660E39">
        <w:t>хождения, внешности и болезни или инвалидности, является отягчающим о</w:t>
      </w:r>
      <w:r w:rsidRPr="00660E39">
        <w:t>б</w:t>
      </w:r>
      <w:r w:rsidRPr="00660E39">
        <w:t>стоятельством.</w:t>
      </w:r>
    </w:p>
    <w:p w:rsidR="008954F8" w:rsidRPr="00F40BB7" w:rsidRDefault="008954F8" w:rsidP="009F61C6">
      <w:pPr>
        <w:pStyle w:val="H1GR"/>
      </w:pPr>
      <w:r w:rsidRPr="00F40BB7">
        <w:tab/>
      </w:r>
      <w:r w:rsidRPr="00F40BB7">
        <w:tab/>
        <w:t>Статья 2</w:t>
      </w:r>
    </w:p>
    <w:p w:rsidR="008954F8" w:rsidRPr="00F40BB7" w:rsidRDefault="008954F8" w:rsidP="009F61C6">
      <w:pPr>
        <w:pStyle w:val="H23GR"/>
      </w:pPr>
      <w:r w:rsidRPr="00F40BB7">
        <w:tab/>
        <w:t>1.</w:t>
      </w:r>
      <w:r w:rsidRPr="00F40BB7">
        <w:tab/>
        <w:t>Государственная политика борьбы против дискриминации</w:t>
      </w:r>
    </w:p>
    <w:p w:rsidR="008954F8" w:rsidRPr="00F40BB7" w:rsidRDefault="008954F8" w:rsidP="009F61C6">
      <w:pPr>
        <w:pStyle w:val="SingleTxtGR"/>
      </w:pPr>
      <w:r w:rsidRPr="00F40BB7">
        <w:t>33.</w:t>
      </w:r>
      <w:r w:rsidRPr="00F40BB7">
        <w:tab/>
        <w:t>На Департамент по вопросам разнообразия и недискриминации ДОС Г</w:t>
      </w:r>
      <w:r w:rsidRPr="00F40BB7">
        <w:t>е</w:t>
      </w:r>
      <w:r w:rsidRPr="00F40BB7">
        <w:t>нерального секретариата правительства возложены функции поощрения во взаимоотношениях между государственными учреждениями и гражданским обществом атмосферы, способствующей</w:t>
      </w:r>
      <w:r>
        <w:t xml:space="preserve"> </w:t>
      </w:r>
      <w:r w:rsidRPr="00F40BB7">
        <w:t>уважению социального разнообразия, межкультурного взаимодействия и борьбы против любых проявлений дискр</w:t>
      </w:r>
      <w:r w:rsidRPr="00F40BB7">
        <w:t>и</w:t>
      </w:r>
      <w:r w:rsidRPr="00F40BB7">
        <w:t>минации, путем выработки для государственных служащих руководящих при</w:t>
      </w:r>
      <w:r w:rsidRPr="00F40BB7">
        <w:t>н</w:t>
      </w:r>
      <w:r w:rsidRPr="00F40BB7">
        <w:t>ципов и методических пособий, направленных на преодоление произвольной дискриминации.</w:t>
      </w:r>
      <w:r>
        <w:t xml:space="preserve"> </w:t>
      </w:r>
      <w:r w:rsidRPr="00F40BB7">
        <w:t>В практическом плане для этого проводятся учебные мер</w:t>
      </w:r>
      <w:r w:rsidRPr="00F40BB7">
        <w:t>о</w:t>
      </w:r>
      <w:r w:rsidRPr="00F40BB7">
        <w:t>приятия по тематике разнообразия и недискриминации в целях повышения о</w:t>
      </w:r>
      <w:r w:rsidRPr="00F40BB7">
        <w:t>с</w:t>
      </w:r>
      <w:r w:rsidRPr="00F40BB7">
        <w:t>ведомленности государственных служащих секторальных институтов и поо</w:t>
      </w:r>
      <w:r w:rsidRPr="00F40BB7">
        <w:t>щ</w:t>
      </w:r>
      <w:r w:rsidRPr="00F40BB7">
        <w:t>рения практики</w:t>
      </w:r>
      <w:r>
        <w:t xml:space="preserve"> социального включения всех лиц</w:t>
      </w:r>
      <w:r w:rsidRPr="00F40BB7">
        <w:t xml:space="preserve"> независимо от их социально-экономическог</w:t>
      </w:r>
      <w:r>
        <w:t>о положения и расы, в частности</w:t>
      </w:r>
      <w:r w:rsidRPr="00F40BB7">
        <w:t xml:space="preserve"> путем создания площадок для дискуссий и диалога между государственными служащими и гражданским о</w:t>
      </w:r>
      <w:r w:rsidRPr="00F40BB7">
        <w:t>б</w:t>
      </w:r>
      <w:r w:rsidRPr="00F40BB7">
        <w:t xml:space="preserve">ществом. </w:t>
      </w:r>
    </w:p>
    <w:p w:rsidR="008954F8" w:rsidRPr="00F40BB7" w:rsidRDefault="008954F8" w:rsidP="009F61C6">
      <w:pPr>
        <w:pStyle w:val="SingleTxtGR"/>
      </w:pPr>
      <w:r w:rsidRPr="00F40BB7">
        <w:t>34.</w:t>
      </w:r>
      <w:r w:rsidRPr="00F40BB7">
        <w:tab/>
        <w:t>В 2010</w:t>
      </w:r>
      <w:r>
        <w:t>−</w:t>
      </w:r>
      <w:r w:rsidRPr="00F40BB7">
        <w:t>2011 годах ДОС по линии своего Департамента по вопросам ра</w:t>
      </w:r>
      <w:r w:rsidRPr="00F40BB7">
        <w:t>з</w:t>
      </w:r>
      <w:r w:rsidRPr="00F40BB7">
        <w:t>нообразия и недискриминации провело общенациональное обследование с</w:t>
      </w:r>
      <w:r w:rsidRPr="00F40BB7">
        <w:t>о</w:t>
      </w:r>
      <w:r w:rsidRPr="00F40BB7">
        <w:t>стояния государственной политики по вопросам разнообразия и недискримин</w:t>
      </w:r>
      <w:r w:rsidRPr="00F40BB7">
        <w:t>а</w:t>
      </w:r>
      <w:r w:rsidRPr="00F40BB7">
        <w:t>ции (результаты этого обследования приведены в приложении II). Это обслед</w:t>
      </w:r>
      <w:r w:rsidRPr="00F40BB7">
        <w:t>о</w:t>
      </w:r>
      <w:r w:rsidRPr="00F40BB7">
        <w:t>вание проводилось в целях определения фактической ситуации в области ра</w:t>
      </w:r>
      <w:r w:rsidRPr="00F40BB7">
        <w:t>з</w:t>
      </w:r>
      <w:r w:rsidRPr="00F40BB7">
        <w:t>нообразия, выявления возможных случаев произвольной дискриминации в г</w:t>
      </w:r>
      <w:r w:rsidRPr="00F40BB7">
        <w:t>о</w:t>
      </w:r>
      <w:r w:rsidRPr="00F40BB7">
        <w:t>сударственных учреждениях и последующего использования полученной и</w:t>
      </w:r>
      <w:r w:rsidRPr="00F40BB7">
        <w:t>н</w:t>
      </w:r>
      <w:r w:rsidRPr="00F40BB7">
        <w:t>формации в качестве основы для разработки пособия по передовой практике по указанным вопросам. Полученная информация была проанализирована, и р</w:t>
      </w:r>
      <w:r w:rsidRPr="00F40BB7">
        <w:t>е</w:t>
      </w:r>
      <w:r w:rsidRPr="00F40BB7">
        <w:t>зультаты анализа разосланы во все регионы страны</w:t>
      </w:r>
      <w:r>
        <w:t xml:space="preserve"> </w:t>
      </w:r>
      <w:r w:rsidRPr="00F40BB7">
        <w:t>для ознакомления и распр</w:t>
      </w:r>
      <w:r w:rsidRPr="00F40BB7">
        <w:t>о</w:t>
      </w:r>
      <w:r w:rsidRPr="00F40BB7">
        <w:t xml:space="preserve">странения. </w:t>
      </w:r>
    </w:p>
    <w:p w:rsidR="008954F8" w:rsidRPr="00F40BB7" w:rsidRDefault="008954F8" w:rsidP="009F61C6">
      <w:pPr>
        <w:pStyle w:val="SingleTxtGR"/>
      </w:pPr>
      <w:r w:rsidRPr="00F40BB7">
        <w:t>35.</w:t>
      </w:r>
      <w:r w:rsidRPr="00F40BB7">
        <w:tab/>
        <w:t>Упомянутый департамент ДОС также обеспечивает координацию ме</w:t>
      </w:r>
      <w:r w:rsidRPr="00F40BB7">
        <w:t>ж</w:t>
      </w:r>
      <w:r w:rsidRPr="00F40BB7">
        <w:t>секторальных проектов и поддержку деятельности по преодолению произвол</w:t>
      </w:r>
      <w:r w:rsidRPr="00F40BB7">
        <w:t>ь</w:t>
      </w:r>
      <w:r w:rsidRPr="00F40BB7">
        <w:t>ной дискриминации и обеспечению уважения разнообразия путем использов</w:t>
      </w:r>
      <w:r w:rsidRPr="00F40BB7">
        <w:t>а</w:t>
      </w:r>
      <w:r>
        <w:t>ния механизма Межсекторального "</w:t>
      </w:r>
      <w:r w:rsidRPr="00F40BB7">
        <w:t>круглого стола</w:t>
      </w:r>
      <w:r>
        <w:t>"</w:t>
      </w:r>
      <w:r w:rsidRPr="00F40BB7">
        <w:t xml:space="preserve"> по вопросам разнообразия и борьбы против произвольной дискриминации (функционирует с сентября 2010</w:t>
      </w:r>
      <w:r>
        <w:t> </w:t>
      </w:r>
      <w:r w:rsidRPr="00F40BB7">
        <w:t>года), в работе которого принимают участие, в частности,</w:t>
      </w:r>
      <w:r>
        <w:t xml:space="preserve"> </w:t>
      </w:r>
      <w:r w:rsidRPr="00F40BB7">
        <w:t>Национальная служба по делам женщин,</w:t>
      </w:r>
      <w:r>
        <w:t xml:space="preserve"> </w:t>
      </w:r>
      <w:r w:rsidRPr="00F40BB7">
        <w:t>Национальная служба по делам несовершенноле</w:t>
      </w:r>
      <w:r w:rsidRPr="00F40BB7">
        <w:t>т</w:t>
      </w:r>
      <w:r w:rsidRPr="00F40BB7">
        <w:t>них, Национальная служба по делам пожилых людей, Национальная служба по делам инвалидов, Министерство образования, Национальный институт по д</w:t>
      </w:r>
      <w:r w:rsidRPr="00F40BB7">
        <w:t>е</w:t>
      </w:r>
      <w:r w:rsidRPr="00F40BB7">
        <w:t>лам молодежи, Национальная корпорация развития коренных народов, Наци</w:t>
      </w:r>
      <w:r w:rsidRPr="00F40BB7">
        <w:t>о</w:t>
      </w:r>
      <w:r w:rsidRPr="00F40BB7">
        <w:t>нальная программа профилактики и лечения ВИЧ/СПИДа и инфекций, пер</w:t>
      </w:r>
      <w:r w:rsidRPr="00F40BB7">
        <w:t>е</w:t>
      </w:r>
      <w:r w:rsidRPr="00F40BB7">
        <w:t>дающихся половым путем (ИППП), Министерства здравоохранения и Управл</w:t>
      </w:r>
      <w:r w:rsidRPr="00F40BB7">
        <w:t>е</w:t>
      </w:r>
      <w:r w:rsidRPr="00F40BB7">
        <w:t>ние по д</w:t>
      </w:r>
      <w:r w:rsidRPr="00F40BB7">
        <w:t>е</w:t>
      </w:r>
      <w:r w:rsidRPr="00F40BB7">
        <w:t xml:space="preserve">лам иностранцев Министерства внутренних дел. </w:t>
      </w:r>
    </w:p>
    <w:p w:rsidR="008954F8" w:rsidRPr="00F40BB7" w:rsidRDefault="008954F8" w:rsidP="009F61C6">
      <w:pPr>
        <w:pStyle w:val="SingleTxtGR"/>
      </w:pPr>
      <w:r w:rsidRPr="00F40BB7">
        <w:t>36.</w:t>
      </w:r>
      <w:r w:rsidRPr="00F40BB7">
        <w:tab/>
        <w:t>Помимо этого ДОС ежегодно приглашает представителей государстве</w:t>
      </w:r>
      <w:r w:rsidRPr="00F40BB7">
        <w:t>н</w:t>
      </w:r>
      <w:r w:rsidRPr="00F40BB7">
        <w:t>ных и частных учреждений и гражданского общества к участию в конкурсах передовой практики,</w:t>
      </w:r>
      <w:r>
        <w:t xml:space="preserve"> </w:t>
      </w:r>
      <w:r w:rsidRPr="00F40BB7">
        <w:t>проводимых в целях выявления эффективных методов практической деятельности по обеспечению разнообразия и борьбе против произвольной дискриминации, т</w:t>
      </w:r>
      <w:r>
        <w:t>.е.</w:t>
      </w:r>
      <w:r w:rsidRPr="00F40BB7">
        <w:t xml:space="preserve"> мероприятий и инициатив, способству</w:t>
      </w:r>
      <w:r w:rsidRPr="00F40BB7">
        <w:t>ю</w:t>
      </w:r>
      <w:r w:rsidRPr="00F40BB7">
        <w:t>щих участию и интеграции уязвимых в плане дискриминации лиц и/или групп нас</w:t>
      </w:r>
      <w:r w:rsidRPr="00F40BB7">
        <w:t>е</w:t>
      </w:r>
      <w:r w:rsidRPr="00F40BB7">
        <w:t xml:space="preserve">ления. В нынешнем году упомянутый конкурс состоится в восьмой раз. </w:t>
      </w:r>
    </w:p>
    <w:p w:rsidR="008954F8" w:rsidRPr="00F40BB7" w:rsidRDefault="008954F8" w:rsidP="009F61C6">
      <w:pPr>
        <w:pStyle w:val="SingleTxtGR"/>
      </w:pPr>
      <w:r w:rsidRPr="00F40BB7">
        <w:t>37.</w:t>
      </w:r>
      <w:r w:rsidRPr="00F40BB7">
        <w:tab/>
        <w:t>В числе наиболее значительных мероприятий по распространению и</w:t>
      </w:r>
      <w:r w:rsidRPr="00F40BB7">
        <w:t>н</w:t>
      </w:r>
      <w:r w:rsidRPr="00F40BB7">
        <w:t>формации по рассматриваемым вопросам можно также отметить следующие:</w:t>
      </w:r>
    </w:p>
    <w:p w:rsidR="008954F8" w:rsidRPr="00F40BB7" w:rsidRDefault="008954F8" w:rsidP="009F61C6">
      <w:pPr>
        <w:pStyle w:val="SingleTxtGR"/>
      </w:pPr>
      <w:r>
        <w:tab/>
      </w:r>
      <w:r w:rsidRPr="00F40BB7">
        <w:t>a)</w:t>
      </w:r>
      <w:r w:rsidRPr="00F40BB7">
        <w:tab/>
        <w:t xml:space="preserve">в 2010 году на веб-сайте </w:t>
      </w:r>
      <w:hyperlink r:id="rId8" w:history="1">
        <w:r w:rsidRPr="00A75FA9">
          <w:rPr>
            <w:rStyle w:val="Hyperlink"/>
            <w:u w:val="none"/>
          </w:rPr>
          <w:t>www.participemos.gob.cl</w:t>
        </w:r>
      </w:hyperlink>
      <w:r w:rsidRPr="00F40BB7">
        <w:t xml:space="preserve"> в числе матери</w:t>
      </w:r>
      <w:r w:rsidRPr="00F40BB7">
        <w:t>а</w:t>
      </w:r>
      <w:r w:rsidRPr="00F40BB7">
        <w:t>лов, касающихся тематики недискриминации, была распространена информ</w:t>
      </w:r>
      <w:r w:rsidRPr="00F40BB7">
        <w:t>а</w:t>
      </w:r>
      <w:r w:rsidRPr="00F40BB7">
        <w:t>ция о Н</w:t>
      </w:r>
      <w:r w:rsidRPr="00F40BB7">
        <w:t>а</w:t>
      </w:r>
      <w:r w:rsidRPr="00F40BB7">
        <w:t>циональном дне коренных народов (24 июня) и о Международном дне мигранта (18 декабря);</w:t>
      </w:r>
    </w:p>
    <w:p w:rsidR="008954F8" w:rsidRPr="00F40BB7" w:rsidRDefault="008954F8" w:rsidP="009F61C6">
      <w:pPr>
        <w:pStyle w:val="SingleTxtGR"/>
      </w:pPr>
      <w:r>
        <w:tab/>
      </w:r>
      <w:r w:rsidRPr="00F40BB7">
        <w:t>b)</w:t>
      </w:r>
      <w:r w:rsidRPr="00F40BB7">
        <w:tab/>
        <w:t xml:space="preserve">в 2011 году по линии ДОС был опубликован целый ряд материалов, касающихся борьбы против дискриминации; для целей настоящего доклада особенно важно отметить распространение информационных материалов о Международном дне мигранта (18 декабря); </w:t>
      </w:r>
    </w:p>
    <w:p w:rsidR="008954F8" w:rsidRPr="00F40BB7" w:rsidRDefault="008954F8" w:rsidP="009F61C6">
      <w:pPr>
        <w:pStyle w:val="SingleTxtGR"/>
      </w:pPr>
      <w:r>
        <w:tab/>
      </w:r>
      <w:r w:rsidRPr="00F40BB7">
        <w:t>c)</w:t>
      </w:r>
      <w:r w:rsidRPr="00F40BB7">
        <w:tab/>
        <w:t>в текущем году продолжается работа по распространению матери</w:t>
      </w:r>
      <w:r w:rsidRPr="00F40BB7">
        <w:t>а</w:t>
      </w:r>
      <w:r w:rsidRPr="00F40BB7">
        <w:t>лов по тематике разнообразия и борьбы против дискриминации. К настоящему времени на веб-сайте ДОС опубликованы материалы, касающиеся Междун</w:t>
      </w:r>
      <w:r w:rsidRPr="00F40BB7">
        <w:t>а</w:t>
      </w:r>
      <w:r w:rsidRPr="00F40BB7">
        <w:t>родного дня борьбы за ликвидацию расовой дискриминации (21 марта), Вс</w:t>
      </w:r>
      <w:r w:rsidRPr="00F40BB7">
        <w:t>е</w:t>
      </w:r>
      <w:r w:rsidRPr="00F40BB7">
        <w:t>мирного дня беженцев (20 июня) и Национального дня коренных народов (24</w:t>
      </w:r>
      <w:r>
        <w:t> июня).</w:t>
      </w:r>
    </w:p>
    <w:p w:rsidR="008954F8" w:rsidRPr="00F40BB7" w:rsidRDefault="008954F8" w:rsidP="009F61C6">
      <w:pPr>
        <w:pStyle w:val="SingleTxtGR"/>
      </w:pPr>
      <w:r w:rsidRPr="00F40BB7">
        <w:t>38.</w:t>
      </w:r>
      <w:r w:rsidRPr="00F40BB7">
        <w:tab/>
        <w:t>Кроме того, в целях укрепления в отношениях между государственными учреждениями и гражданским обществом атмосферы уважения социального разнообразия, межкультурного взаимодействия и борьбы против любых форм произвольной дискриминации в 2010,</w:t>
      </w:r>
      <w:r>
        <w:t xml:space="preserve"> 2011 и 2012 годах был проведен</w:t>
      </w:r>
      <w:r w:rsidRPr="00F40BB7">
        <w:t xml:space="preserve"> ряд м</w:t>
      </w:r>
      <w:r w:rsidRPr="00F40BB7">
        <w:t>е</w:t>
      </w:r>
      <w:r w:rsidRPr="00F40BB7">
        <w:t>роприятий, ориентированных на государственных служащих, представителей гражданского общества, преподавателей и студентов университетов и</w:t>
      </w:r>
      <w:r>
        <w:t xml:space="preserve"> </w:t>
      </w:r>
      <w:r w:rsidRPr="00F40BB7">
        <w:t>других учебных заведений. Подробная информация об этих мероприятиях, проведе</w:t>
      </w:r>
      <w:r w:rsidRPr="00F40BB7">
        <w:t>н</w:t>
      </w:r>
      <w:r w:rsidRPr="00F40BB7">
        <w:t xml:space="preserve">ных в 2010 году, содержится в таблице в приложении I (раздел A). </w:t>
      </w:r>
    </w:p>
    <w:p w:rsidR="008954F8" w:rsidRPr="00F40BB7" w:rsidRDefault="008954F8" w:rsidP="009F61C6">
      <w:pPr>
        <w:pStyle w:val="SingleTxtGR"/>
      </w:pPr>
      <w:r w:rsidRPr="00F40BB7">
        <w:t>39.</w:t>
      </w:r>
      <w:r w:rsidRPr="00F40BB7">
        <w:tab/>
        <w:t>Следует также отметить, что за период с апреля по сентябрь 2011 года было проведено 11 учебных семинаров для государственных служащих; по</w:t>
      </w:r>
      <w:r w:rsidRPr="00F40BB7">
        <w:t>д</w:t>
      </w:r>
      <w:r w:rsidRPr="00F40BB7">
        <w:t>робная информация об этих мероприятиях приведена в таблице в приложении I (раздел В).</w:t>
      </w:r>
    </w:p>
    <w:p w:rsidR="008954F8" w:rsidRPr="00F40BB7" w:rsidRDefault="008954F8" w:rsidP="009F61C6">
      <w:pPr>
        <w:pStyle w:val="H23GR"/>
      </w:pPr>
      <w:r w:rsidRPr="00F40BB7">
        <w:tab/>
        <w:t>2.</w:t>
      </w:r>
      <w:r w:rsidRPr="00F40BB7">
        <w:tab/>
        <w:t>Создание Национального института по правам человека</w:t>
      </w:r>
    </w:p>
    <w:p w:rsidR="008954F8" w:rsidRPr="00F40BB7" w:rsidRDefault="008954F8" w:rsidP="009F61C6">
      <w:pPr>
        <w:pStyle w:val="SingleTxtGR"/>
      </w:pPr>
      <w:r w:rsidRPr="00F40BB7">
        <w:t>40.</w:t>
      </w:r>
      <w:r w:rsidRPr="00F40BB7">
        <w:tab/>
        <w:t>В соответствии с рекомендацией, содержащейся в пункте 14 заключ</w:t>
      </w:r>
      <w:r w:rsidRPr="00F40BB7">
        <w:t>и</w:t>
      </w:r>
      <w:r w:rsidRPr="00F40BB7">
        <w:t>тельных замечаний Комитета, в Чили создан Национальный институт по правам человека (НИПЧ); это учреждение создано в соответствии с Парижскими при</w:t>
      </w:r>
      <w:r w:rsidRPr="00F40BB7">
        <w:t>н</w:t>
      </w:r>
      <w:r w:rsidRPr="00F40BB7">
        <w:t>ципами как автономная корпорация п</w:t>
      </w:r>
      <w:r w:rsidR="00DF4B64">
        <w:t>убличного права согласно Зак</w:t>
      </w:r>
      <w:r w:rsidR="00DF4B64">
        <w:t>о</w:t>
      </w:r>
      <w:r w:rsidR="00DF4B64">
        <w:t>ну </w:t>
      </w:r>
      <w:r w:rsidRPr="00F40BB7">
        <w:t>№</w:t>
      </w:r>
      <w:r>
        <w:t> </w:t>
      </w:r>
      <w:r w:rsidRPr="00F40BB7">
        <w:t xml:space="preserve">20405, опубликованному в информационном бюллетене </w:t>
      </w:r>
      <w:r>
        <w:t>"</w:t>
      </w:r>
      <w:r w:rsidRPr="00F40BB7">
        <w:t>Диарио офис</w:t>
      </w:r>
      <w:r w:rsidRPr="00F40BB7">
        <w:t>и</w:t>
      </w:r>
      <w:r w:rsidRPr="00F40BB7">
        <w:t>аль</w:t>
      </w:r>
      <w:r>
        <w:t>"</w:t>
      </w:r>
      <w:r w:rsidRPr="00F40BB7">
        <w:t xml:space="preserve"> от 10 д</w:t>
      </w:r>
      <w:r w:rsidRPr="00F40BB7">
        <w:t>е</w:t>
      </w:r>
      <w:r w:rsidRPr="00F40BB7">
        <w:t xml:space="preserve">кабря 2009 года. Институт функционирует с 20 июля 2011 года. </w:t>
      </w:r>
    </w:p>
    <w:p w:rsidR="008954F8" w:rsidRPr="00F40BB7" w:rsidRDefault="008954F8" w:rsidP="009F61C6">
      <w:pPr>
        <w:pStyle w:val="SingleTxtGR"/>
      </w:pPr>
      <w:r w:rsidRPr="00F40BB7">
        <w:t>41.</w:t>
      </w:r>
      <w:r w:rsidRPr="00F40BB7">
        <w:tab/>
        <w:t>Целями деятельности НИПЧ являются поощрение и защита прав челов</w:t>
      </w:r>
      <w:r w:rsidRPr="00F40BB7">
        <w:t>е</w:t>
      </w:r>
      <w:r w:rsidRPr="00F40BB7">
        <w:t>ка всех чилийцев, закрепленных в Конституции, в национальном законодател</w:t>
      </w:r>
      <w:r w:rsidRPr="00F40BB7">
        <w:t>ь</w:t>
      </w:r>
      <w:r w:rsidRPr="00F40BB7">
        <w:t>стве и в международных договорах, подписанных и ратифицированных Чили, а также прав человека, вытекающих из общих принципов права, признаваемых международным сообществом. К числу наиболее важных функций НИПЧ отн</w:t>
      </w:r>
      <w:r w:rsidRPr="00F40BB7">
        <w:t>о</w:t>
      </w:r>
      <w:r w:rsidRPr="00F40BB7">
        <w:t>сятся, в частности,</w:t>
      </w:r>
      <w:r>
        <w:t xml:space="preserve"> </w:t>
      </w:r>
      <w:r w:rsidRPr="00F40BB7">
        <w:t>составление ежегодных докладов о ситуации в области прав человека в Чили, обеспечение соответствия национального законодательства положениям</w:t>
      </w:r>
      <w:r>
        <w:t xml:space="preserve"> </w:t>
      </w:r>
      <w:r w:rsidRPr="00F40BB7">
        <w:t>подписанных Чили</w:t>
      </w:r>
      <w:r>
        <w:t xml:space="preserve"> </w:t>
      </w:r>
      <w:r w:rsidRPr="00F40BB7">
        <w:t>международных договоров в целях их эффе</w:t>
      </w:r>
      <w:r w:rsidRPr="00F40BB7">
        <w:t>к</w:t>
      </w:r>
      <w:r w:rsidRPr="00F40BB7">
        <w:t>тивного осуществления и инициирование в судах – в сфере своей компете</w:t>
      </w:r>
      <w:r w:rsidRPr="00F40BB7">
        <w:t>н</w:t>
      </w:r>
      <w:r w:rsidRPr="00F40BB7">
        <w:t>ции</w:t>
      </w:r>
      <w:r>
        <w:t> </w:t>
      </w:r>
      <w:r w:rsidRPr="00F40BB7">
        <w:t>– юридических процедур в связи с жалобами по таким вопросам, как пр</w:t>
      </w:r>
      <w:r w:rsidRPr="00F40BB7">
        <w:t>е</w:t>
      </w:r>
      <w:r w:rsidRPr="00F40BB7">
        <w:t xml:space="preserve">ступления против человечности, пытки, насильственные исчезновения людей и </w:t>
      </w:r>
      <w:r w:rsidR="00DF4B64">
        <w:t>т.</w:t>
      </w:r>
      <w:r w:rsidRPr="00F40BB7">
        <w:t>д.</w:t>
      </w:r>
      <w:r>
        <w:t xml:space="preserve"> </w:t>
      </w:r>
      <w:r w:rsidRPr="00F40BB7">
        <w:t>НИПЧ представил два ежегодных доклада о ситуации в области прав чел</w:t>
      </w:r>
      <w:r w:rsidRPr="00F40BB7">
        <w:t>о</w:t>
      </w:r>
      <w:r w:rsidRPr="00F40BB7">
        <w:t xml:space="preserve">века </w:t>
      </w:r>
      <w:r>
        <w:t>−</w:t>
      </w:r>
      <w:r w:rsidRPr="00F40BB7">
        <w:t xml:space="preserve"> за 2010 и 2011 годы</w:t>
      </w:r>
      <w:r>
        <w:rPr>
          <w:rStyle w:val="FootnoteReference"/>
        </w:rPr>
        <w:footnoteReference w:id="11"/>
      </w:r>
      <w:r>
        <w:t>.</w:t>
      </w:r>
    </w:p>
    <w:p w:rsidR="008954F8" w:rsidRPr="00F40BB7" w:rsidRDefault="008954F8" w:rsidP="009F61C6">
      <w:pPr>
        <w:pStyle w:val="H23GR"/>
      </w:pPr>
      <w:r w:rsidRPr="00F40BB7">
        <w:tab/>
        <w:t>3.</w:t>
      </w:r>
      <w:r w:rsidRPr="00F40BB7">
        <w:tab/>
        <w:t>Включение положений Конвенции и закрепленных в ней прав во</w:t>
      </w:r>
      <w:r>
        <w:t> </w:t>
      </w:r>
      <w:r w:rsidRPr="00F40BB7">
        <w:t>внутреннее законодательство</w:t>
      </w:r>
    </w:p>
    <w:p w:rsidR="008954F8" w:rsidRPr="00F40BB7" w:rsidRDefault="008954F8" w:rsidP="009F61C6">
      <w:pPr>
        <w:pStyle w:val="SingleTxtGR"/>
      </w:pPr>
      <w:r w:rsidRPr="00F40BB7">
        <w:t>42.</w:t>
      </w:r>
      <w:r w:rsidRPr="00F40BB7">
        <w:tab/>
        <w:t xml:space="preserve">По этому вопросу за охватываемый в докладе период правительство Чили подготовило и представило следующие периодические доклады в договорные органы по правам человека: </w:t>
      </w:r>
    </w:p>
    <w:p w:rsidR="008954F8" w:rsidRPr="00F40BB7" w:rsidRDefault="008954F8" w:rsidP="009F61C6">
      <w:pPr>
        <w:pStyle w:val="SingleTxtGR"/>
      </w:pPr>
      <w:r>
        <w:tab/>
      </w:r>
      <w:r w:rsidRPr="00F40BB7">
        <w:t>a)</w:t>
      </w:r>
      <w:r w:rsidRPr="00F40BB7">
        <w:tab/>
        <w:t>в Комитет по правам человека: шестой периодический доклад о выполн</w:t>
      </w:r>
      <w:r w:rsidRPr="00F40BB7">
        <w:t>е</w:t>
      </w:r>
      <w:r w:rsidRPr="00F40BB7">
        <w:t>нии</w:t>
      </w:r>
      <w:r>
        <w:t xml:space="preserve"> </w:t>
      </w:r>
      <w:r w:rsidRPr="00F40BB7">
        <w:t>Международного пакта о гражданских и политических правах (CCPR/C/CHL/6), представленный</w:t>
      </w:r>
      <w:r>
        <w:t xml:space="preserve"> </w:t>
      </w:r>
      <w:r w:rsidRPr="00F40BB7">
        <w:t>25 мая 2012 года;</w:t>
      </w:r>
    </w:p>
    <w:p w:rsidR="008954F8" w:rsidRPr="00F40BB7" w:rsidRDefault="008954F8" w:rsidP="009F61C6">
      <w:pPr>
        <w:pStyle w:val="SingleTxtGR"/>
      </w:pPr>
      <w:r>
        <w:tab/>
      </w:r>
      <w:r w:rsidRPr="00F40BB7">
        <w:t>b)</w:t>
      </w:r>
      <w:r w:rsidRPr="00F40BB7">
        <w:tab/>
        <w:t>в Комитет по экономическим, социальным и культурным правам: четвертый периодический доклад о выполнении Международного пакта об эк</w:t>
      </w:r>
      <w:r w:rsidRPr="00F40BB7">
        <w:t>о</w:t>
      </w:r>
      <w:r w:rsidRPr="00F40BB7">
        <w:t>номических, социальных и культурных правах (E/C.12/CHL/4) от 9 августа 2011</w:t>
      </w:r>
      <w:r>
        <w:t> </w:t>
      </w:r>
      <w:r w:rsidRPr="00F40BB7">
        <w:t>г</w:t>
      </w:r>
      <w:r w:rsidRPr="00F40BB7">
        <w:t>о</w:t>
      </w:r>
      <w:r w:rsidRPr="00F40BB7">
        <w:t>да;</w:t>
      </w:r>
    </w:p>
    <w:p w:rsidR="008954F8" w:rsidRPr="00F40BB7" w:rsidRDefault="008954F8" w:rsidP="009F61C6">
      <w:pPr>
        <w:pStyle w:val="SingleTxtGR"/>
      </w:pPr>
      <w:r>
        <w:tab/>
      </w:r>
      <w:r w:rsidRPr="00F40BB7">
        <w:t>c)</w:t>
      </w:r>
      <w:r w:rsidRPr="00F40BB7">
        <w:tab/>
        <w:t>в Комитет по ликвидации дискриминации в отношении женщин: представленные в одном документе пятый и шестой периодические доклады о выполнении Конвенции о ликвидации всех форм дискриминации в отношении женщин (CEDAW/C/CHL/5-6) от 6 января 2011 года и ответы на вопросы в св</w:t>
      </w:r>
      <w:r w:rsidRPr="00F40BB7">
        <w:t>я</w:t>
      </w:r>
      <w:r w:rsidRPr="00F40BB7">
        <w:t>зи с подготовкой доклада, представленные 23 мая 2012 года. По состоянию на дату представления настоящего доклада рассмотрение упомянутых периодич</w:t>
      </w:r>
      <w:r w:rsidRPr="00F40BB7">
        <w:t>е</w:t>
      </w:r>
      <w:r w:rsidRPr="00F40BB7">
        <w:t>ских докладов было запланировано на 2</w:t>
      </w:r>
      <w:r>
        <w:t xml:space="preserve"> </w:t>
      </w:r>
      <w:r w:rsidRPr="00F40BB7">
        <w:t xml:space="preserve">октября 2012 года, во время </w:t>
      </w:r>
      <w:r w:rsidR="00DF4B64">
        <w:t xml:space="preserve">пятьдесят третьей </w:t>
      </w:r>
      <w:r w:rsidRPr="00F40BB7">
        <w:t>сессии Комитета по ликвидации дискриминации в отношении же</w:t>
      </w:r>
      <w:r w:rsidRPr="00F40BB7">
        <w:t>н</w:t>
      </w:r>
      <w:r w:rsidRPr="00F40BB7">
        <w:t xml:space="preserve">щин; </w:t>
      </w:r>
    </w:p>
    <w:p w:rsidR="008954F8" w:rsidRPr="00F40BB7" w:rsidRDefault="008954F8" w:rsidP="009F61C6">
      <w:pPr>
        <w:pStyle w:val="SingleTxtGR"/>
      </w:pPr>
      <w:r>
        <w:tab/>
      </w:r>
      <w:r w:rsidRPr="00F40BB7">
        <w:t>d)</w:t>
      </w:r>
      <w:r w:rsidRPr="00F40BB7">
        <w:tab/>
        <w:t>в Комитет по защите прав всех трудящихся-мигрантов и членов их семей: первоначальный доклад о выполнении Международной конвенции</w:t>
      </w:r>
      <w:r>
        <w:t xml:space="preserve"> </w:t>
      </w:r>
      <w:r w:rsidRPr="00F40BB7">
        <w:t>о з</w:t>
      </w:r>
      <w:r w:rsidRPr="00F40BB7">
        <w:t>а</w:t>
      </w:r>
      <w:r w:rsidRPr="00F40BB7">
        <w:t>щите прав всех трудящихся-мигрантов и членов их семей (CMW/C/CHL/1), предста</w:t>
      </w:r>
      <w:r w:rsidRPr="00F40BB7">
        <w:t>в</w:t>
      </w:r>
      <w:r w:rsidRPr="00F40BB7">
        <w:t xml:space="preserve">ленный 9 февраля 2010 года. Рассмотрение этого доклада состоялось в сентябре 2011 года; </w:t>
      </w:r>
    </w:p>
    <w:p w:rsidR="008954F8" w:rsidRPr="00F40BB7" w:rsidRDefault="008954F8" w:rsidP="009F61C6">
      <w:pPr>
        <w:pStyle w:val="SingleTxtGR"/>
      </w:pPr>
      <w:r>
        <w:tab/>
      </w:r>
      <w:r w:rsidRPr="00F40BB7">
        <w:t>e)</w:t>
      </w:r>
      <w:r w:rsidRPr="00F40BB7">
        <w:tab/>
        <w:t>в Комитет по правам инвалидов: первоначальный</w:t>
      </w:r>
      <w:r>
        <w:t xml:space="preserve"> </w:t>
      </w:r>
      <w:r w:rsidRPr="00F40BB7">
        <w:t>доклад о выпо</w:t>
      </w:r>
      <w:r w:rsidRPr="00F40BB7">
        <w:t>л</w:t>
      </w:r>
      <w:r w:rsidRPr="00F40BB7">
        <w:t xml:space="preserve">нении Конвенции о правах инвалидов, представленный 14 августа 2012 года; </w:t>
      </w:r>
    </w:p>
    <w:p w:rsidR="008954F8" w:rsidRPr="00F40BB7" w:rsidRDefault="008954F8" w:rsidP="009F61C6">
      <w:pPr>
        <w:pStyle w:val="SingleTxtGR"/>
      </w:pPr>
      <w:r>
        <w:tab/>
      </w:r>
      <w:r w:rsidRPr="00F40BB7">
        <w:t>f)</w:t>
      </w:r>
      <w:r w:rsidRPr="00F40BB7">
        <w:tab/>
        <w:t>помимо этого были также подготовлены доклад о достигнутом в Чили прогрессе</w:t>
      </w:r>
      <w:r>
        <w:t xml:space="preserve"> </w:t>
      </w:r>
      <w:r w:rsidRPr="00F40BB7">
        <w:t>в контексте универсального периодического обзора, предста</w:t>
      </w:r>
      <w:r w:rsidRPr="00F40BB7">
        <w:t>в</w:t>
      </w:r>
      <w:r w:rsidRPr="00F40BB7">
        <w:t>ленный 27 февраля 2012 года, доклад о выполнении Конвенции № 169 МОТ, представленный 1 сентября 2010 года, и добавление к этому докладу от 10 н</w:t>
      </w:r>
      <w:r w:rsidRPr="00F40BB7">
        <w:t>о</w:t>
      </w:r>
      <w:r w:rsidRPr="00F40BB7">
        <w:t xml:space="preserve">ября 2010 года. </w:t>
      </w:r>
    </w:p>
    <w:p w:rsidR="008954F8" w:rsidRPr="00F40BB7" w:rsidRDefault="008954F8" w:rsidP="009F61C6">
      <w:pPr>
        <w:pStyle w:val="SingleTxtGR"/>
      </w:pPr>
      <w:r w:rsidRPr="00F40BB7">
        <w:t>43.</w:t>
      </w:r>
      <w:r w:rsidRPr="00F40BB7">
        <w:tab/>
        <w:t>Кроме того, в течение текущего года планируется представить следу</w:t>
      </w:r>
      <w:r w:rsidRPr="00F40BB7">
        <w:t>ю</w:t>
      </w:r>
      <w:r w:rsidRPr="00F40BB7">
        <w:t>щие документы: 12 сентября – четвертый периодический доклад о выполнении Конвенции о правах ребенка и 23 декабря – первоначальный доклад о выполн</w:t>
      </w:r>
      <w:r w:rsidRPr="00F40BB7">
        <w:t>е</w:t>
      </w:r>
      <w:r w:rsidRPr="00F40BB7">
        <w:t>нии Международной конвенции для защиты всех лиц от насильственных исче</w:t>
      </w:r>
      <w:r w:rsidRPr="00F40BB7">
        <w:t>з</w:t>
      </w:r>
      <w:r w:rsidRPr="00F40BB7">
        <w:t>новений.</w:t>
      </w:r>
    </w:p>
    <w:p w:rsidR="008954F8" w:rsidRPr="00F40BB7" w:rsidRDefault="008954F8" w:rsidP="009F61C6">
      <w:pPr>
        <w:pStyle w:val="H23GR"/>
      </w:pPr>
      <w:r w:rsidRPr="00F40BB7">
        <w:tab/>
        <w:t>4.</w:t>
      </w:r>
      <w:r w:rsidRPr="00F40BB7">
        <w:tab/>
        <w:t>Государственная политика в отношении коренных народов и правовые основы этой политики</w:t>
      </w:r>
    </w:p>
    <w:p w:rsidR="008954F8" w:rsidRPr="00F40BB7" w:rsidRDefault="008954F8" w:rsidP="009F61C6">
      <w:pPr>
        <w:pStyle w:val="SingleTxtGR"/>
      </w:pPr>
      <w:r w:rsidRPr="00F40BB7">
        <w:t>44.</w:t>
      </w:r>
      <w:r w:rsidRPr="00F40BB7">
        <w:tab/>
        <w:t xml:space="preserve">Государственная политика в отношении коренных народов основана на следующих принципах: </w:t>
      </w:r>
    </w:p>
    <w:p w:rsidR="008954F8" w:rsidRPr="00F40BB7" w:rsidRDefault="008954F8" w:rsidP="009F61C6">
      <w:pPr>
        <w:pStyle w:val="SingleTxtGR"/>
      </w:pPr>
      <w:r>
        <w:tab/>
      </w:r>
      <w:r w:rsidRPr="00F40BB7">
        <w:t>a)</w:t>
      </w:r>
      <w:r w:rsidRPr="00F40BB7">
        <w:tab/>
        <w:t xml:space="preserve">коренные народы – это богатство страны. Необходимо закрепить эту позитивную оценку, принимая меры по сохранению и пропаганде вклада, который коренные народы вносят в жизнь Чили; </w:t>
      </w:r>
    </w:p>
    <w:p w:rsidR="008954F8" w:rsidRPr="00F40BB7" w:rsidRDefault="008954F8" w:rsidP="009F61C6">
      <w:pPr>
        <w:pStyle w:val="SingleTxtGR"/>
      </w:pPr>
      <w:r>
        <w:tab/>
      </w:r>
      <w:r w:rsidRPr="00F40BB7">
        <w:t>b)</w:t>
      </w:r>
      <w:r w:rsidRPr="00F40BB7">
        <w:tab/>
        <w:t>необходимо расширить исторически сложившееся видение пр</w:t>
      </w:r>
      <w:r w:rsidRPr="00F40BB7">
        <w:t>о</w:t>
      </w:r>
      <w:r w:rsidRPr="00F40BB7">
        <w:t>блем, ор</w:t>
      </w:r>
      <w:r w:rsidRPr="00F40BB7">
        <w:t>и</w:t>
      </w:r>
      <w:r w:rsidRPr="00F40BB7">
        <w:t>ентированное главным образом на аспекты сельской жизни и передачи земли, взяв на вооружение комплексный подход;</w:t>
      </w:r>
    </w:p>
    <w:p w:rsidR="008954F8" w:rsidRPr="00F40BB7" w:rsidRDefault="008954F8" w:rsidP="009F61C6">
      <w:pPr>
        <w:pStyle w:val="SingleTxtGR"/>
      </w:pPr>
      <w:r>
        <w:tab/>
      </w:r>
      <w:r w:rsidRPr="00F40BB7">
        <w:t>c)</w:t>
      </w:r>
      <w:r w:rsidRPr="00F40BB7">
        <w:tab/>
        <w:t xml:space="preserve">необходимо отойти от политики </w:t>
      </w:r>
      <w:r>
        <w:t>"</w:t>
      </w:r>
      <w:r w:rsidRPr="00F40BB7">
        <w:t>велферизма</w:t>
      </w:r>
      <w:r>
        <w:t>"</w:t>
      </w:r>
      <w:r w:rsidRPr="00F40BB7">
        <w:t xml:space="preserve"> и разрабатывать ее на основе конкретных программ и инструментов;</w:t>
      </w:r>
    </w:p>
    <w:p w:rsidR="008954F8" w:rsidRPr="00F40BB7" w:rsidRDefault="008954F8" w:rsidP="009F61C6">
      <w:pPr>
        <w:pStyle w:val="SingleTxtGR"/>
      </w:pPr>
      <w:r>
        <w:tab/>
      </w:r>
      <w:r w:rsidRPr="00F40BB7">
        <w:t>d)</w:t>
      </w:r>
      <w:r w:rsidRPr="00F40BB7">
        <w:tab/>
        <w:t>необходима реструктуризация институтов, с тем чтобы они обесп</w:t>
      </w:r>
      <w:r w:rsidRPr="00F40BB7">
        <w:t>е</w:t>
      </w:r>
      <w:r w:rsidRPr="00F40BB7">
        <w:t>чивали эффективное предоставление услуг лицам и общинам</w:t>
      </w:r>
      <w:r>
        <w:t xml:space="preserve"> </w:t>
      </w:r>
      <w:r w:rsidRPr="00F40BB7">
        <w:t>при полном уч</w:t>
      </w:r>
      <w:r w:rsidRPr="00F40BB7">
        <w:t>а</w:t>
      </w:r>
      <w:r w:rsidRPr="00F40BB7">
        <w:t>стии к</w:t>
      </w:r>
      <w:r w:rsidRPr="00F40BB7">
        <w:t>о</w:t>
      </w:r>
      <w:r w:rsidRPr="00F40BB7">
        <w:t>ренных народов;</w:t>
      </w:r>
    </w:p>
    <w:p w:rsidR="008954F8" w:rsidRPr="00F40BB7" w:rsidRDefault="008954F8" w:rsidP="009F61C6">
      <w:pPr>
        <w:pStyle w:val="SingleTxtGR"/>
      </w:pPr>
      <w:r>
        <w:tab/>
      </w:r>
      <w:r w:rsidRPr="00F40BB7">
        <w:t>e)</w:t>
      </w:r>
      <w:r w:rsidRPr="00F40BB7">
        <w:tab/>
        <w:t>деятельность правительства должна способствовать поддержанию мира, общественного порядка и диалога.</w:t>
      </w:r>
    </w:p>
    <w:p w:rsidR="008954F8" w:rsidRPr="00F40BB7" w:rsidRDefault="008954F8" w:rsidP="009F61C6">
      <w:pPr>
        <w:pStyle w:val="SingleTxtGR"/>
      </w:pPr>
      <w:r w:rsidRPr="00F40BB7">
        <w:t>45.</w:t>
      </w:r>
      <w:r w:rsidRPr="00F40BB7">
        <w:tab/>
        <w:t xml:space="preserve">В отношении девяти коренных народов страны, указанных в пункте 12 выше, государство проводит политику диалога, именуемую политикой </w:t>
      </w:r>
      <w:r>
        <w:t>"</w:t>
      </w:r>
      <w:r w:rsidRPr="00F40BB7">
        <w:t>истор</w:t>
      </w:r>
      <w:r w:rsidRPr="00F40BB7">
        <w:t>и</w:t>
      </w:r>
      <w:r w:rsidRPr="00F40BB7">
        <w:t>ческого воссоединения</w:t>
      </w:r>
      <w:r>
        <w:t>"</w:t>
      </w:r>
      <w:r w:rsidRPr="00F40BB7">
        <w:t>. Эта политика направлена на обеспечение для коре</w:t>
      </w:r>
      <w:r w:rsidRPr="00F40BB7">
        <w:t>н</w:t>
      </w:r>
      <w:r w:rsidRPr="00F40BB7">
        <w:t>ных народов доступа к возможностям, позволяющим этим народам развиваться при полном соблюдении их прав, традиций, самобытности и культуры. Це</w:t>
      </w:r>
      <w:r w:rsidRPr="00F40BB7">
        <w:t>н</w:t>
      </w:r>
      <w:r w:rsidRPr="00F40BB7">
        <w:t>тральным элементом этого подхода является позитивное восприятие перспектив социального участия и комплексного решения вопросов, касающихся коренных народов, в целях сохранения и пропаганды ценности, которую представляют для страны коренные народы. Этот новый подход в государственной политике предусматривает работу в пяти следующих областях:</w:t>
      </w:r>
    </w:p>
    <w:p w:rsidR="008954F8" w:rsidRPr="00F40BB7" w:rsidRDefault="008954F8" w:rsidP="009F61C6">
      <w:pPr>
        <w:pStyle w:val="SingleTxtGR"/>
      </w:pPr>
      <w:r>
        <w:tab/>
      </w:r>
      <w:r w:rsidRPr="00F40BB7">
        <w:t>a)</w:t>
      </w:r>
      <w:r w:rsidRPr="00F40BB7">
        <w:tab/>
        <w:t>культура, самобытность и образование: энергичное поощрение культуры и самобытности</w:t>
      </w:r>
      <w:r>
        <w:t xml:space="preserve"> коренных народов</w:t>
      </w:r>
      <w:r w:rsidRPr="00F40BB7">
        <w:t xml:space="preserve"> с уделением особого внимания в</w:t>
      </w:r>
      <w:r w:rsidRPr="00F40BB7">
        <w:t>о</w:t>
      </w:r>
      <w:r w:rsidRPr="00F40BB7">
        <w:t>просам сохранения и поощрения использования их родных языков. В этом ко</w:t>
      </w:r>
      <w:r w:rsidRPr="00F40BB7">
        <w:t>н</w:t>
      </w:r>
      <w:r w:rsidRPr="00F40BB7">
        <w:t>тексте, в частности, издано распоряжение Президента Республики об участии традиционных лидеров коренных народов в официальных церемониальных м</w:t>
      </w:r>
      <w:r w:rsidRPr="00F40BB7">
        <w:t>е</w:t>
      </w:r>
      <w:r w:rsidRPr="00F40BB7">
        <w:t>роприятиях; в 2010</w:t>
      </w:r>
      <w:r>
        <w:t>−</w:t>
      </w:r>
      <w:r w:rsidRPr="00F40BB7">
        <w:t>2011 годах объем государственного финансирования ст</w:t>
      </w:r>
      <w:r w:rsidRPr="00F40BB7">
        <w:t>и</w:t>
      </w:r>
      <w:r w:rsidRPr="00F40BB7">
        <w:t>пендий на обучение лиц из числа коренных народов был увеличен на 34,6% и в 2012 году – еще на 13%; в 2011 году в рамках Программы межкультурного дв</w:t>
      </w:r>
      <w:r w:rsidRPr="00F40BB7">
        <w:t>у</w:t>
      </w:r>
      <w:r w:rsidRPr="00F40BB7">
        <w:t>язычного обучения подготовлено 28 технических специалистов по вопросам межкульту</w:t>
      </w:r>
      <w:r w:rsidRPr="00F40BB7">
        <w:t>р</w:t>
      </w:r>
      <w:r w:rsidRPr="00F40BB7">
        <w:t>ного общения, и в насто</w:t>
      </w:r>
      <w:r w:rsidR="00E04640">
        <w:t>ящее время в стране функционирую</w:t>
      </w:r>
      <w:r w:rsidRPr="00F40BB7">
        <w:t>т 43</w:t>
      </w:r>
      <w:r>
        <w:t> </w:t>
      </w:r>
      <w:r w:rsidRPr="00F40BB7">
        <w:t>межкультурных детских сада; в нынешнем году начата реализация програ</w:t>
      </w:r>
      <w:r w:rsidRPr="00F40BB7">
        <w:t>м</w:t>
      </w:r>
      <w:r w:rsidRPr="00F40BB7">
        <w:t>мы спасения языков</w:t>
      </w:r>
      <w:r>
        <w:t xml:space="preserve"> коренных народов; в 2011 году </w:t>
      </w:r>
      <w:r w:rsidRPr="00F40BB7">
        <w:t>КОНАДИ приобрела 10</w:t>
      </w:r>
      <w:r>
        <w:t> </w:t>
      </w:r>
      <w:r w:rsidRPr="00F40BB7">
        <w:t xml:space="preserve">объектов недвижимости, определяемых как </w:t>
      </w:r>
      <w:r>
        <w:t>"</w:t>
      </w:r>
      <w:r w:rsidRPr="00F40BB7">
        <w:t>места, представляющие кул</w:t>
      </w:r>
      <w:r w:rsidRPr="00F40BB7">
        <w:t>ь</w:t>
      </w:r>
      <w:r w:rsidRPr="00F40BB7">
        <w:t>турную ценность</w:t>
      </w:r>
      <w:r>
        <w:t>"</w:t>
      </w:r>
      <w:r w:rsidRPr="00F40BB7">
        <w:t xml:space="preserve"> для коренных народов; Министерство здравоохранения в своей национальной стратегии уделяет особое внимание межкультурным аспе</w:t>
      </w:r>
      <w:r w:rsidRPr="00F40BB7">
        <w:t>к</w:t>
      </w:r>
      <w:r w:rsidRPr="00F40BB7">
        <w:t>там охраны здоровья;</w:t>
      </w:r>
      <w:r>
        <w:t xml:space="preserve"> </w:t>
      </w:r>
    </w:p>
    <w:p w:rsidR="008954F8" w:rsidRPr="00F40BB7" w:rsidRDefault="008954F8" w:rsidP="009F61C6">
      <w:pPr>
        <w:pStyle w:val="SingleTxtGR"/>
      </w:pPr>
      <w:r>
        <w:tab/>
      </w:r>
      <w:r w:rsidRPr="00F40BB7">
        <w:t>b)</w:t>
      </w:r>
      <w:r w:rsidRPr="00F40BB7">
        <w:tab/>
        <w:t>земли: обеспечение установленных законодательством процедур передачи земель с оказанием технической помощи и поддержки по вопросам проду</w:t>
      </w:r>
      <w:r w:rsidRPr="00F40BB7">
        <w:t>к</w:t>
      </w:r>
      <w:r w:rsidRPr="00F40BB7">
        <w:t>тивного использования и обустройства соответствующих земельных участков. По состоянию на 31 декабря 2011 года расходы на выкуп земель для общин коренных народов составили около 27 407 млн. чилийских песо (пр</w:t>
      </w:r>
      <w:r w:rsidRPr="00F40BB7">
        <w:t>и</w:t>
      </w:r>
      <w:r w:rsidRPr="00F40BB7">
        <w:t>мерно 54 814 000 долл. США). Было</w:t>
      </w:r>
      <w:r>
        <w:t xml:space="preserve"> </w:t>
      </w:r>
      <w:r w:rsidRPr="00F40BB7">
        <w:t>приобретено 54</w:t>
      </w:r>
      <w:r>
        <w:t xml:space="preserve"> </w:t>
      </w:r>
      <w:r w:rsidRPr="00F40BB7">
        <w:t>участка</w:t>
      </w:r>
      <w:r>
        <w:t xml:space="preserve"> </w:t>
      </w:r>
      <w:r w:rsidRPr="00F40BB7">
        <w:t>земли общей пл</w:t>
      </w:r>
      <w:r w:rsidRPr="00F40BB7">
        <w:t>о</w:t>
      </w:r>
      <w:r w:rsidRPr="00F40BB7">
        <w:t>щадью 10 335 г</w:t>
      </w:r>
      <w:r w:rsidR="00E04640">
        <w:t>а</w:t>
      </w:r>
      <w:r w:rsidRPr="00F40BB7">
        <w:t xml:space="preserve"> для 44 общин, в которых насчитывается 1 181 семья из числа коренных народов. Помимо этого был укреплен механизм субсидирования пр</w:t>
      </w:r>
      <w:r w:rsidRPr="00F40BB7">
        <w:t>и</w:t>
      </w:r>
      <w:r w:rsidRPr="00F40BB7">
        <w:t>обретения земельных участков. В 2011 году было приобретено 4 170 г</w:t>
      </w:r>
      <w:r w:rsidR="00E04640">
        <w:t>а</w:t>
      </w:r>
      <w:r w:rsidRPr="00F40BB7">
        <w:t xml:space="preserve"> земли; число бенефициаров этой программы выросло на 50% и составило 608 семей. Ежегодно землю по умеренным рыночным ценам приобретают в среднем 30 общин. Кроме того, передача земель общинам сопровождается оказанием по</w:t>
      </w:r>
      <w:r w:rsidRPr="00F40BB7">
        <w:t>д</w:t>
      </w:r>
      <w:r w:rsidRPr="00F40BB7">
        <w:t>держки по вопросам ее продуктивного использования по линии программ ра</w:t>
      </w:r>
      <w:r w:rsidRPr="00F40BB7">
        <w:t>з</w:t>
      </w:r>
      <w:r w:rsidRPr="00F40BB7">
        <w:t>вития сельскохозяйственного производства и обустройства з</w:t>
      </w:r>
      <w:r w:rsidRPr="00F40BB7">
        <w:t>е</w:t>
      </w:r>
      <w:r w:rsidRPr="00F40BB7">
        <w:t>мельных участков. Наконец, в рамках программ создания производственных партнерств и пр</w:t>
      </w:r>
      <w:r w:rsidRPr="00F40BB7">
        <w:t>о</w:t>
      </w:r>
      <w:r w:rsidRPr="00F40BB7">
        <w:t>грамм обучения семей, получающих землю, расширяется спектр инстр</w:t>
      </w:r>
      <w:r w:rsidRPr="00F40BB7">
        <w:t>у</w:t>
      </w:r>
      <w:r w:rsidRPr="00F40BB7">
        <w:t xml:space="preserve">ментов, которые могут использовать эти семьи; </w:t>
      </w:r>
    </w:p>
    <w:p w:rsidR="008954F8" w:rsidRPr="00F40BB7" w:rsidRDefault="008954F8" w:rsidP="009F61C6">
      <w:pPr>
        <w:pStyle w:val="SingleTxtGR"/>
      </w:pPr>
      <w:r>
        <w:tab/>
      </w:r>
      <w:r w:rsidRPr="00F40BB7">
        <w:t>c)</w:t>
      </w:r>
      <w:r w:rsidRPr="00F40BB7">
        <w:tab/>
        <w:t>институциональные преобразования: проведение работы с коре</w:t>
      </w:r>
      <w:r w:rsidRPr="00F40BB7">
        <w:t>н</w:t>
      </w:r>
      <w:r w:rsidRPr="00F40BB7">
        <w:t>ными народами в рамках новой институциональной структуры и, в случае н</w:t>
      </w:r>
      <w:r w:rsidRPr="00F40BB7">
        <w:t>е</w:t>
      </w:r>
      <w:r w:rsidRPr="00F40BB7">
        <w:t>обходимости, изменение</w:t>
      </w:r>
      <w:r>
        <w:t xml:space="preserve"> и</w:t>
      </w:r>
      <w:r w:rsidRPr="00F40BB7">
        <w:t xml:space="preserve"> </w:t>
      </w:r>
      <w:r>
        <w:t xml:space="preserve">расширение </w:t>
      </w:r>
      <w:r w:rsidRPr="00F40BB7">
        <w:t>инструментов и программ, касающи</w:t>
      </w:r>
      <w:r w:rsidRPr="00F40BB7">
        <w:t>х</w:t>
      </w:r>
      <w:r w:rsidRPr="00F40BB7">
        <w:t>ся коре</w:t>
      </w:r>
      <w:r w:rsidRPr="00F40BB7">
        <w:t>н</w:t>
      </w:r>
      <w:r w:rsidRPr="00F40BB7">
        <w:t xml:space="preserve">ных народов; </w:t>
      </w:r>
    </w:p>
    <w:p w:rsidR="008954F8" w:rsidRPr="00F40BB7" w:rsidRDefault="008954F8" w:rsidP="009F61C6">
      <w:pPr>
        <w:pStyle w:val="SingleTxtGR"/>
      </w:pPr>
      <w:r>
        <w:tab/>
      </w:r>
      <w:r w:rsidRPr="00F40BB7">
        <w:t>d)</w:t>
      </w:r>
      <w:r w:rsidRPr="00F40BB7">
        <w:tab/>
        <w:t xml:space="preserve">участие </w:t>
      </w:r>
      <w:r>
        <w:t>и консультации</w:t>
      </w:r>
      <w:r w:rsidRPr="00F40BB7">
        <w:t>: создание и координация</w:t>
      </w:r>
      <w:r>
        <w:t xml:space="preserve"> </w:t>
      </w:r>
      <w:r w:rsidRPr="00F40BB7">
        <w:t>механизмов уч</w:t>
      </w:r>
      <w:r w:rsidRPr="00F40BB7">
        <w:t>а</w:t>
      </w:r>
      <w:r w:rsidRPr="00F40BB7">
        <w:t>стия к</w:t>
      </w:r>
      <w:r w:rsidRPr="00F40BB7">
        <w:t>о</w:t>
      </w:r>
      <w:r w:rsidRPr="00F40BB7">
        <w:t>ренных народов в соответствии с Конвенцией № 169 МОТ;</w:t>
      </w:r>
    </w:p>
    <w:p w:rsidR="008954F8" w:rsidRPr="00F40BB7" w:rsidRDefault="008954F8" w:rsidP="009F61C6">
      <w:pPr>
        <w:pStyle w:val="SingleTxtGR"/>
      </w:pPr>
      <w:r>
        <w:tab/>
      </w:r>
      <w:r w:rsidRPr="00F40BB7">
        <w:t>e)</w:t>
      </w:r>
      <w:r w:rsidRPr="00F40BB7">
        <w:tab/>
        <w:t>комплексное развитие: разработка планов развития коренных нар</w:t>
      </w:r>
      <w:r w:rsidRPr="00F40BB7">
        <w:t>о</w:t>
      </w:r>
      <w:r w:rsidRPr="00F40BB7">
        <w:t xml:space="preserve">дов в соответствии с их возможностями и потребностями с созданием сетей поддержки </w:t>
      </w:r>
      <w:r>
        <w:t>и обучением кадров</w:t>
      </w:r>
      <w:r w:rsidRPr="00F40BB7">
        <w:t>. В 2011 году бюджет Фонда развития КОНАДИ увеличился на 56,6% по сравнению с 2010 годом. На 2012 год запл</w:t>
      </w:r>
      <w:r w:rsidRPr="00F40BB7">
        <w:t>а</w:t>
      </w:r>
      <w:r w:rsidRPr="00F40BB7">
        <w:t>нирован его рост на 6%.</w:t>
      </w:r>
      <w:r>
        <w:t xml:space="preserve"> </w:t>
      </w:r>
      <w:r w:rsidRPr="00F40BB7">
        <w:t>В соответствии с декретом Верховной власти № 701 внесены изм</w:t>
      </w:r>
      <w:r w:rsidRPr="00F40BB7">
        <w:t>е</w:t>
      </w:r>
      <w:r w:rsidRPr="00F40BB7">
        <w:t>нения в практику ведения лесного хозяйства, и теперь общинам предоставляе</w:t>
      </w:r>
      <w:r w:rsidRPr="00F40BB7">
        <w:t>т</w:t>
      </w:r>
      <w:r w:rsidRPr="00F40BB7">
        <w:t>ся право самим определять, каким образом использовать принадлежащие им земли. В 2011 году в рамках Программы развития территорий коренных нар</w:t>
      </w:r>
      <w:r w:rsidRPr="00F40BB7">
        <w:t>о</w:t>
      </w:r>
      <w:r w:rsidRPr="00F40BB7">
        <w:t>дов (ПДТИ), в которой до недавнего времени участвовало 3 000 семей,</w:t>
      </w:r>
      <w:r>
        <w:t xml:space="preserve"> </w:t>
      </w:r>
      <w:r w:rsidRPr="00F40BB7">
        <w:t>была предоставлена помощь 26 300 семьям.</w:t>
      </w:r>
      <w:r>
        <w:t xml:space="preserve"> </w:t>
      </w:r>
      <w:r w:rsidRPr="00F40BB7">
        <w:t>В 2011 году Корпорация развития (КОРФО) приступила к реализации программы гарантий инвестиций в развитие земель коренных народов. Помимо этого правительство стимулирует создание Фонда инвестиций коренных народов. Для оценки прогресса в развитии коре</w:t>
      </w:r>
      <w:r w:rsidRPr="00F40BB7">
        <w:t>н</w:t>
      </w:r>
      <w:r w:rsidRPr="00F40BB7">
        <w:t>ных народов впервые используются показатели Целей развития тысячелетия (ЦРТ). Наконец, за последние два года в стране построено 1 268,5 к</w:t>
      </w:r>
      <w:r w:rsidR="00E63D42">
        <w:t>м</w:t>
      </w:r>
      <w:r w:rsidRPr="00F40BB7">
        <w:t xml:space="preserve"> дорог в сельских районах, в которых проживают коренные народы, что в три с ли</w:t>
      </w:r>
      <w:r w:rsidRPr="00F40BB7">
        <w:t>ш</w:t>
      </w:r>
      <w:r w:rsidRPr="00F40BB7">
        <w:t xml:space="preserve">ним раза больше, чем их было построено за все предшествующие годы. </w:t>
      </w:r>
    </w:p>
    <w:p w:rsidR="008954F8" w:rsidRPr="00F40BB7" w:rsidRDefault="008954F8" w:rsidP="009F61C6">
      <w:pPr>
        <w:pStyle w:val="SingleTxtGR"/>
      </w:pPr>
      <w:r w:rsidRPr="00F40BB7">
        <w:t>46.</w:t>
      </w:r>
      <w:r w:rsidRPr="00F40BB7">
        <w:tab/>
        <w:t>Что касается прогресса в законодательстве страны по этой тематике, то следует отметить, что 15 сентября 2008 года государство ратифицировало Ко</w:t>
      </w:r>
      <w:r w:rsidRPr="00F40BB7">
        <w:t>н</w:t>
      </w:r>
      <w:r w:rsidRPr="00F40BB7">
        <w:t>венцию № 169 МОТ. За время, прошедшее после вступления этой Конвенции в силу в сентябре 2009 года, страна представила два доклада о прогрессе в в</w:t>
      </w:r>
      <w:r w:rsidRPr="00F40BB7">
        <w:t>ы</w:t>
      </w:r>
      <w:r w:rsidRPr="00F40BB7">
        <w:t>полнении этой Конвенции, в которых содержится информация о ряде форумов, организованных для развития диалога с коренными народами, и о других до</w:t>
      </w:r>
      <w:r w:rsidRPr="00F40BB7">
        <w:t>с</w:t>
      </w:r>
      <w:r w:rsidRPr="00F40BB7">
        <w:t xml:space="preserve">тижениях в деле выполнения положений </w:t>
      </w:r>
      <w:r>
        <w:t>этой</w:t>
      </w:r>
      <w:r w:rsidRPr="00F40BB7">
        <w:t xml:space="preserve"> Конвенции. Кроме того, в 2009</w:t>
      </w:r>
      <w:r>
        <w:t> </w:t>
      </w:r>
      <w:r w:rsidRPr="00F40BB7">
        <w:t xml:space="preserve">году был принят декрет Верховной власти </w:t>
      </w:r>
      <w:r>
        <w:t xml:space="preserve">№ </w:t>
      </w:r>
      <w:r w:rsidRPr="00F40BB7">
        <w:t>124, устанавливающий вр</w:t>
      </w:r>
      <w:r w:rsidRPr="00F40BB7">
        <w:t>е</w:t>
      </w:r>
      <w:r w:rsidRPr="00F40BB7">
        <w:t>менную процедуру реализации прав на проведение консультаций. В настоящее время ведутся консультации с коренными народами относительно содержания нового нормативного документа, в котором будет установлен окончательный текст, регламентирующий</w:t>
      </w:r>
      <w:r>
        <w:t xml:space="preserve"> </w:t>
      </w:r>
      <w:r w:rsidRPr="00F40BB7">
        <w:t xml:space="preserve">этот процесс консультаций. </w:t>
      </w:r>
    </w:p>
    <w:p w:rsidR="008954F8" w:rsidRPr="00F40BB7" w:rsidRDefault="008954F8" w:rsidP="009F61C6">
      <w:pPr>
        <w:pStyle w:val="SingleTxtGR"/>
      </w:pPr>
      <w:r w:rsidRPr="00F40BB7">
        <w:t>47.</w:t>
      </w:r>
      <w:r w:rsidRPr="00F40BB7">
        <w:tab/>
        <w:t>Следует также отметить, что в 2008 году при Генеральном секретариате Администрации Президента была создана Координационная группа по делам коренных народов, которая вскоре будет включена в новое Министерство соц</w:t>
      </w:r>
      <w:r w:rsidRPr="00F40BB7">
        <w:t>и</w:t>
      </w:r>
      <w:r w:rsidRPr="00F40BB7">
        <w:t>ального развития;</w:t>
      </w:r>
      <w:r>
        <w:t xml:space="preserve"> </w:t>
      </w:r>
      <w:r w:rsidRPr="00F40BB7">
        <w:t>кроме того, подразделения по делам коренных народов со</w:t>
      </w:r>
      <w:r w:rsidRPr="00F40BB7">
        <w:t>з</w:t>
      </w:r>
      <w:r w:rsidRPr="00F40BB7">
        <w:t xml:space="preserve">даны во всех министерствах. </w:t>
      </w:r>
    </w:p>
    <w:p w:rsidR="008954F8" w:rsidRPr="00F40BB7" w:rsidRDefault="008954F8" w:rsidP="009F61C6">
      <w:pPr>
        <w:pStyle w:val="SingleTxtGR"/>
      </w:pPr>
      <w:r w:rsidRPr="00F40BB7">
        <w:t>48.</w:t>
      </w:r>
      <w:r w:rsidRPr="00F40BB7">
        <w:tab/>
        <w:t xml:space="preserve">В том же году был принят Закон № 20249, известный как </w:t>
      </w:r>
      <w:r>
        <w:t>"</w:t>
      </w:r>
      <w:r w:rsidRPr="00F40BB7">
        <w:t>Закон лафке</w:t>
      </w:r>
      <w:r w:rsidRPr="00F40BB7">
        <w:t>н</w:t>
      </w:r>
      <w:r w:rsidRPr="00F40BB7">
        <w:t>че</w:t>
      </w:r>
      <w:r>
        <w:t>"</w:t>
      </w:r>
      <w:r w:rsidRPr="00F40BB7">
        <w:t xml:space="preserve">, о создании на морском побережье страны района коренных народов, а в 2009 году </w:t>
      </w:r>
      <w:r>
        <w:t>−</w:t>
      </w:r>
      <w:r w:rsidRPr="00F40BB7">
        <w:t xml:space="preserve"> декрет Верховной власти </w:t>
      </w:r>
      <w:r>
        <w:t>№</w:t>
      </w:r>
      <w:r w:rsidRPr="00F40BB7">
        <w:t xml:space="preserve"> 134, регламентирующий применение указанного закона. В соответствии с Законом № 20249 отдельные общины или группы общин коренных народов могут подавать прошения о предоставлении им в исключительное пользование традиционно используемых ими участков морского побережья в целях сохранения традиций соответствующих</w:t>
      </w:r>
      <w:r>
        <w:t xml:space="preserve"> </w:t>
      </w:r>
      <w:r w:rsidRPr="00F40BB7">
        <w:t xml:space="preserve">общин и использования ими природных ресурсов. </w:t>
      </w:r>
    </w:p>
    <w:p w:rsidR="008954F8" w:rsidRPr="00F40BB7" w:rsidRDefault="008954F8" w:rsidP="009F61C6">
      <w:pPr>
        <w:pStyle w:val="SingleTxtGR"/>
      </w:pPr>
      <w:r w:rsidRPr="00F40BB7">
        <w:t>49.</w:t>
      </w:r>
      <w:r w:rsidRPr="00F40BB7">
        <w:tab/>
        <w:t>Кроме того, в правительстве на уровне министров создан Комитет по д</w:t>
      </w:r>
      <w:r w:rsidRPr="00F40BB7">
        <w:t>е</w:t>
      </w:r>
      <w:r w:rsidRPr="00F40BB7">
        <w:t>лам коренных народов, который периодически проводит совещания для обсу</w:t>
      </w:r>
      <w:r w:rsidRPr="00F40BB7">
        <w:t>ж</w:t>
      </w:r>
      <w:r w:rsidRPr="00F40BB7">
        <w:t>дения проектов развития, которые могут касаться коренных народов и пре</w:t>
      </w:r>
      <w:r w:rsidRPr="00F40BB7">
        <w:t>д</w:t>
      </w:r>
      <w:r w:rsidRPr="00F40BB7">
        <w:t>ставлять для них интерес.</w:t>
      </w:r>
    </w:p>
    <w:p w:rsidR="008954F8" w:rsidRPr="00F40BB7" w:rsidRDefault="008954F8" w:rsidP="009F61C6">
      <w:pPr>
        <w:pStyle w:val="SingleTxtGR"/>
      </w:pPr>
      <w:r w:rsidRPr="00F40BB7">
        <w:t>50.</w:t>
      </w:r>
      <w:r w:rsidRPr="00F40BB7">
        <w:tab/>
        <w:t>Информация по вопросам уголовного законодательства приводится ниже в пунктах 85</w:t>
      </w:r>
      <w:r>
        <w:t>−</w:t>
      </w:r>
      <w:r w:rsidRPr="00F40BB7">
        <w:t xml:space="preserve">143, касающихся выполнения положений статьи 5 Конвенции. </w:t>
      </w:r>
    </w:p>
    <w:p w:rsidR="008954F8" w:rsidRPr="00F40BB7" w:rsidRDefault="008954F8" w:rsidP="009F61C6">
      <w:pPr>
        <w:pStyle w:val="H23GR"/>
      </w:pPr>
      <w:r w:rsidRPr="00F40BB7">
        <w:tab/>
        <w:t>5.</w:t>
      </w:r>
      <w:r w:rsidRPr="00F40BB7">
        <w:tab/>
        <w:t>Правовые реформы, направленные на укрепление юридического статуса коренных народов</w:t>
      </w:r>
    </w:p>
    <w:p w:rsidR="008954F8" w:rsidRPr="00F40BB7" w:rsidRDefault="008954F8" w:rsidP="009F61C6">
      <w:pPr>
        <w:pStyle w:val="SingleTxtGR"/>
      </w:pPr>
      <w:r w:rsidRPr="00F40BB7">
        <w:t>51.</w:t>
      </w:r>
      <w:r w:rsidRPr="00F40BB7">
        <w:tab/>
        <w:t>В стране подготовлен проект закона о внесении в Конституцию поправок, касающихся признания коренных народов; этот законопроект внесен на ра</w:t>
      </w:r>
      <w:r w:rsidRPr="00F40BB7">
        <w:t>с</w:t>
      </w:r>
      <w:r w:rsidRPr="00F40BB7">
        <w:t>смотрение Национального конгресса в 2007 году (бюллетень № 5522-07) и пр</w:t>
      </w:r>
      <w:r w:rsidRPr="00F40BB7">
        <w:t>о</w:t>
      </w:r>
      <w:r w:rsidRPr="00F40BB7">
        <w:t>ходит первый этап конституционной процедуры рассмо</w:t>
      </w:r>
      <w:r>
        <w:t>трения законопроектов в Сенате.</w:t>
      </w:r>
    </w:p>
    <w:p w:rsidR="008954F8" w:rsidRPr="00F40BB7" w:rsidRDefault="008954F8" w:rsidP="009F61C6">
      <w:pPr>
        <w:pStyle w:val="SingleTxtGR"/>
      </w:pPr>
      <w:r w:rsidRPr="00F40BB7">
        <w:t>52.</w:t>
      </w:r>
      <w:r w:rsidRPr="00F40BB7">
        <w:tab/>
        <w:t>Следует отметить, что в 2013 году, по завершении консультаций с коре</w:t>
      </w:r>
      <w:r w:rsidRPr="00F40BB7">
        <w:t>н</w:t>
      </w:r>
      <w:r w:rsidRPr="00F40BB7">
        <w:t>ными народами относительно окончательной редакции регламента консульт</w:t>
      </w:r>
      <w:r w:rsidRPr="00F40BB7">
        <w:t>а</w:t>
      </w:r>
      <w:r w:rsidRPr="00F40BB7">
        <w:t>ций, предусмотренных в Конвенции № 169 МОТ, планируется начать процесс консультаций по ряду вопросов, в том числе по вопросам конституционного признания коренных народов Чили.</w:t>
      </w:r>
    </w:p>
    <w:p w:rsidR="009F61C6" w:rsidRDefault="009F61C6" w:rsidP="009F61C6">
      <w:pPr>
        <w:pStyle w:val="H23GR"/>
      </w:pPr>
      <w:r>
        <w:tab/>
        <w:t>6.</w:t>
      </w:r>
      <w:r>
        <w:tab/>
        <w:t>Политика правительства в отношении иммигрантов</w:t>
      </w:r>
    </w:p>
    <w:p w:rsidR="009F61C6" w:rsidRDefault="009F61C6" w:rsidP="009F61C6">
      <w:pPr>
        <w:pStyle w:val="H4GR"/>
      </w:pPr>
      <w:r>
        <w:tab/>
      </w:r>
      <w:r>
        <w:tab/>
        <w:t>Резюме нормативной базы и национальной политики по вопросам миграции и</w:t>
      </w:r>
      <w:r>
        <w:rPr>
          <w:lang w:val="en-US"/>
        </w:rPr>
        <w:t> </w:t>
      </w:r>
      <w:r>
        <w:br/>
      </w:r>
      <w:r>
        <w:tab/>
      </w:r>
      <w:r>
        <w:tab/>
        <w:t>беженцев</w:t>
      </w:r>
    </w:p>
    <w:p w:rsidR="009F61C6" w:rsidRDefault="009F61C6" w:rsidP="009F61C6">
      <w:pPr>
        <w:pStyle w:val="SingleTxtGR"/>
      </w:pPr>
      <w:r>
        <w:t>53.</w:t>
      </w:r>
      <w:r>
        <w:tab/>
        <w:t>Как это подробно освещено в приложении к настоящему докладу, в стр</w:t>
      </w:r>
      <w:r>
        <w:t>а</w:t>
      </w:r>
      <w:r>
        <w:t>не действует ряд законов и декретов, регулирующих постоянное и временное проживание, принятие гражданства и пребывание иностранных граждан в Чили в качестве туристов; самым важным из этих нормативных документов я</w:t>
      </w:r>
      <w:r>
        <w:t>в</w:t>
      </w:r>
      <w:r>
        <w:t>ляется Декрет-закон № 1094 от 1975 года, известный как Закон об иностранцах, кот</w:t>
      </w:r>
      <w:r>
        <w:t>о</w:t>
      </w:r>
      <w:r>
        <w:t>рый составляет основу правовых норм, регулирующих вопросы миграции в Ч</w:t>
      </w:r>
      <w:r>
        <w:t>и</w:t>
      </w:r>
      <w:r>
        <w:t>ли. В указанный закон внесен целый ряд поправок в целях приведения его в с</w:t>
      </w:r>
      <w:r>
        <w:t>о</w:t>
      </w:r>
      <w:r>
        <w:t>ответствие с внешней политикой страны, тенденциями в развитии миграцио</w:t>
      </w:r>
      <w:r>
        <w:t>н</w:t>
      </w:r>
      <w:r>
        <w:t>ных процессов и реалиями интеграционных процессов, в которых принимает участие Чили.</w:t>
      </w:r>
    </w:p>
    <w:p w:rsidR="009F61C6" w:rsidRDefault="009F61C6" w:rsidP="009F61C6">
      <w:pPr>
        <w:pStyle w:val="SingleTxtGR"/>
      </w:pPr>
      <w:r>
        <w:t>54.</w:t>
      </w:r>
      <w:r>
        <w:tab/>
        <w:t>В основе разработанной правительством политики лежит принцип глуб</w:t>
      </w:r>
      <w:r>
        <w:t>о</w:t>
      </w:r>
      <w:r>
        <w:t>кого уважения прав человека мигрантов, и поэтому оно стремится действовать таким образом, чтобы меры по регуляризации миграционного статуса спосо</w:t>
      </w:r>
      <w:r>
        <w:t>б</w:t>
      </w:r>
      <w:r>
        <w:t>ствовали интеграции иммигрантов в Чили как в принимающую страну; при этом особое внимание уделяется вопросам признания статуса беженцев. В этом контексте правительство Президента Республики Себастьяна Пиньеры в своей программе работы на 2010</w:t>
      </w:r>
      <w:r w:rsidRPr="00E45B50">
        <w:t>−</w:t>
      </w:r>
      <w:r>
        <w:t>2014 годы поставило перед Управлением по делам иностранцев и мигрантов задачу выработать современную политику по вопр</w:t>
      </w:r>
      <w:r>
        <w:t>о</w:t>
      </w:r>
      <w:r>
        <w:t>сам миграции, позволяющую провести в жизнь новый Закон о миграции и ин</w:t>
      </w:r>
      <w:r>
        <w:t>о</w:t>
      </w:r>
      <w:r>
        <w:t>странцах, разработать план модернизации и совершенствования функционир</w:t>
      </w:r>
      <w:r>
        <w:t>о</w:t>
      </w:r>
      <w:r>
        <w:t xml:space="preserve">вания Управления и регулировать статус беженцев с момента их прибытия на территорию страны на основе Закона № 20430 и регламента этого закона. </w:t>
      </w:r>
    </w:p>
    <w:p w:rsidR="009F61C6" w:rsidRDefault="009F61C6" w:rsidP="009F61C6">
      <w:pPr>
        <w:pStyle w:val="SingleTxtGR"/>
      </w:pPr>
      <w:r>
        <w:t>55.</w:t>
      </w:r>
      <w:r>
        <w:tab/>
        <w:t>Вместе с тем следует признать, что у иммигрантов могут возникать с</w:t>
      </w:r>
      <w:r>
        <w:t>и</w:t>
      </w:r>
      <w:r>
        <w:t>туации социального искл</w:t>
      </w:r>
      <w:r>
        <w:t>ю</w:t>
      </w:r>
      <w:r>
        <w:t>чения, особенно остро проявляющиеся в отношении женщин и детей, например, в связи с отсутствием документов и возможностями стать жертвами дискриминации или преступлений, связанных с миграционн</w:t>
      </w:r>
      <w:r>
        <w:t>ы</w:t>
      </w:r>
      <w:r>
        <w:t>ми процессами, или оказаться в нищете. Для решения этих проблем в Чили принято ряд мер, п</w:t>
      </w:r>
      <w:r>
        <w:t>о</w:t>
      </w:r>
      <w:r>
        <w:t>зволяющих ускорить процессы интеграции иммигрантов, с уделением первоочередного внимания наиболее уязвимым группам, таким как дети, подростки и иммигранты-женщины. Цель этих мер – обеспечить для и</w:t>
      </w:r>
      <w:r>
        <w:t>м</w:t>
      </w:r>
      <w:r>
        <w:t>мигрантов механизмы доступа к базовым социальным услугам путем регуляр</w:t>
      </w:r>
      <w:r>
        <w:t>и</w:t>
      </w:r>
      <w:r>
        <w:t>зации их м</w:t>
      </w:r>
      <w:r>
        <w:t>и</w:t>
      </w:r>
      <w:r>
        <w:t>грационного статуса.</w:t>
      </w:r>
    </w:p>
    <w:p w:rsidR="009F61C6" w:rsidRPr="00E45B50" w:rsidRDefault="009F61C6" w:rsidP="009F61C6">
      <w:pPr>
        <w:pStyle w:val="H23GR"/>
      </w:pPr>
      <w:r>
        <w:tab/>
        <w:t>7.</w:t>
      </w:r>
      <w:r>
        <w:tab/>
        <w:t>Проект закона о миграции</w:t>
      </w:r>
    </w:p>
    <w:p w:rsidR="009F61C6" w:rsidRDefault="009F61C6" w:rsidP="009F61C6">
      <w:pPr>
        <w:pStyle w:val="SingleTxtGR"/>
      </w:pPr>
      <w:r>
        <w:t>56.</w:t>
      </w:r>
      <w:r>
        <w:tab/>
        <w:t>В целях модернизации управления миграционными процессами и в соо</w:t>
      </w:r>
      <w:r>
        <w:t>т</w:t>
      </w:r>
      <w:r>
        <w:t>ветствии с международными обязательствами Чили по этим вопросам Мин</w:t>
      </w:r>
      <w:r>
        <w:t>и</w:t>
      </w:r>
      <w:r>
        <w:t>стерство внутренних дел разработало проект закона, который в настоящее вр</w:t>
      </w:r>
      <w:r>
        <w:t>е</w:t>
      </w:r>
      <w:r>
        <w:t>мя проходит анализ в других подразделениях государственного аппарата и к</w:t>
      </w:r>
      <w:r>
        <w:t>о</w:t>
      </w:r>
      <w:r>
        <w:t>торый предполагается в скором времени направить в Национальный конгресс для прохождения уст</w:t>
      </w:r>
      <w:r>
        <w:t>а</w:t>
      </w:r>
      <w:r>
        <w:t>новленной законодательной процедуры.</w:t>
      </w:r>
    </w:p>
    <w:p w:rsidR="009F61C6" w:rsidRDefault="009F61C6" w:rsidP="009F61C6">
      <w:pPr>
        <w:pStyle w:val="SingleTxtGR"/>
      </w:pPr>
      <w:r>
        <w:t>57.</w:t>
      </w:r>
      <w:r>
        <w:tab/>
        <w:t>Указанный проект учитывает основополагающие принципы управления миграционными процессами, касающиеся уважения прав человека, недискр</w:t>
      </w:r>
      <w:r>
        <w:t>и</w:t>
      </w:r>
      <w:r>
        <w:t>минации, воссоединения семей и равенства трудовых прав и обязанностей; он предусматривает модернизацию категорий проживания в стране в соотве</w:t>
      </w:r>
      <w:r>
        <w:t>т</w:t>
      </w:r>
      <w:r>
        <w:t>ствии с международными стандартами, модернизацию систем применения миграц</w:t>
      </w:r>
      <w:r>
        <w:t>и</w:t>
      </w:r>
      <w:r>
        <w:t>онных санкций, приведение оснований для отказа в предоставлении или для аннулирования статуса мигранта и для высы</w:t>
      </w:r>
      <w:r>
        <w:t>л</w:t>
      </w:r>
      <w:r>
        <w:t>ки мигрантов в соответствие с процессуальными нормами, установленными в новом недавно вступившем в силу Уголовно-процессуальном кодексе, систематизацию оснований для в</w:t>
      </w:r>
      <w:r>
        <w:t>ы</w:t>
      </w:r>
      <w:r>
        <w:t>сылки и установление органов, ответственных за практическое исполнение этой меры, создание механизмов административного контроля и систематизацию имеющихся возможностей оспаривания решений властей по вопросам мигр</w:t>
      </w:r>
      <w:r>
        <w:t>а</w:t>
      </w:r>
      <w:r>
        <w:t>ции.</w:t>
      </w:r>
    </w:p>
    <w:p w:rsidR="009F61C6" w:rsidRDefault="009F61C6" w:rsidP="009F61C6">
      <w:pPr>
        <w:pStyle w:val="H4GR"/>
      </w:pPr>
      <w:r>
        <w:tab/>
      </w:r>
      <w:r>
        <w:tab/>
        <w:t xml:space="preserve">Закон № 20430 от 2010 года, касающийся защиты беженцев </w:t>
      </w:r>
    </w:p>
    <w:p w:rsidR="009F61C6" w:rsidRDefault="009F61C6" w:rsidP="009F61C6">
      <w:pPr>
        <w:pStyle w:val="SingleTxtGR"/>
      </w:pPr>
      <w:r>
        <w:t>58.</w:t>
      </w:r>
      <w:r>
        <w:tab/>
        <w:t>Что касается законодательства о беженцах, то в 2010 году был принят указанный новый закон в целях приведения внутреннего законодательства в с</w:t>
      </w:r>
      <w:r>
        <w:t>о</w:t>
      </w:r>
      <w:r>
        <w:t>ответствие с международными обязательствами, которые Чили взяла на себя, в частности, в рамках Конвенции о статусе беженцев и Протокола, касающегося статуса беженцев. Этот закон также предусматривает отделение законодател</w:t>
      </w:r>
      <w:r>
        <w:t>ь</w:t>
      </w:r>
      <w:r>
        <w:t>ства о беженцах от законодательства по вопросам миграции, формализацию существования организационной структуры, уполномоченной признавать ст</w:t>
      </w:r>
      <w:r>
        <w:t>а</w:t>
      </w:r>
      <w:r>
        <w:t>тус беженцев, формулирование исчерпывающего перечня прав беженцев, а та</w:t>
      </w:r>
      <w:r>
        <w:t>к</w:t>
      </w:r>
      <w:r>
        <w:t>же оснований для приостановления и утраты статуса беженца, для отказа в удовлетворении поданных прошений о предоставлении статуса беженца и для аннулирования ранее предоставленного статуса беженца, расширение круга г</w:t>
      </w:r>
      <w:r>
        <w:t>о</w:t>
      </w:r>
      <w:r>
        <w:t>сударственных органов, на которые возлагается ответственность за процесс и</w:t>
      </w:r>
      <w:r>
        <w:t>н</w:t>
      </w:r>
      <w:r>
        <w:t>теграции как лиц, ищущих убежища, так и лиц, получающих статус беженца, с тем чтобы упомянутые органы могли согласованно удовлетворять потребности беженцев, и создание комиссии по вопросам признания статуса беженца.</w:t>
      </w:r>
    </w:p>
    <w:p w:rsidR="009F61C6" w:rsidRDefault="009F61C6" w:rsidP="009F61C6">
      <w:pPr>
        <w:pStyle w:val="H1GR"/>
      </w:pPr>
      <w:r>
        <w:tab/>
      </w:r>
      <w:r>
        <w:tab/>
        <w:t>Статья 3</w:t>
      </w:r>
    </w:p>
    <w:p w:rsidR="009F61C6" w:rsidRDefault="009F61C6" w:rsidP="009F61C6">
      <w:pPr>
        <w:pStyle w:val="SingleTxtGR"/>
      </w:pPr>
      <w:r>
        <w:t>59.</w:t>
      </w:r>
      <w:r>
        <w:tab/>
        <w:t>Правительство Чили проводит четкую политику борьбы против дискр</w:t>
      </w:r>
      <w:r>
        <w:t>и</w:t>
      </w:r>
      <w:r>
        <w:t>минации и поддерживает равное обращение в отношении всех людей в дем</w:t>
      </w:r>
      <w:r>
        <w:t>о</w:t>
      </w:r>
      <w:r>
        <w:t>кратическом обществе. Оно выступает за комплексное решение соответству</w:t>
      </w:r>
      <w:r>
        <w:t>ю</w:t>
      </w:r>
      <w:r>
        <w:t>щих вопросов на основе укрепления и координации всех направлений социал</w:t>
      </w:r>
      <w:r>
        <w:t>ь</w:t>
      </w:r>
      <w:r>
        <w:t>ной политики, имеющих отношение к созданию равных возможностей и к пр</w:t>
      </w:r>
      <w:r>
        <w:t>е</w:t>
      </w:r>
      <w:r>
        <w:t>дупреждению дискриминац</w:t>
      </w:r>
      <w:r>
        <w:t>и</w:t>
      </w:r>
      <w:r>
        <w:t>онных действий. В этой связи особое внимание уделяется категории людей, которых ранее не относили к иммигрантам. В ц</w:t>
      </w:r>
      <w:r>
        <w:t>е</w:t>
      </w:r>
      <w:r>
        <w:t>лом, этот подход ориентирован на социальное включение и на обеспечение р</w:t>
      </w:r>
      <w:r>
        <w:t>а</w:t>
      </w:r>
      <w:r>
        <w:t xml:space="preserve">венства возможностей, а также на недопущение дискриминации в тех областях, где она может проявляться. </w:t>
      </w:r>
    </w:p>
    <w:p w:rsidR="009F61C6" w:rsidRDefault="009F61C6" w:rsidP="009F61C6">
      <w:pPr>
        <w:pStyle w:val="SingleTxtGR"/>
      </w:pPr>
      <w:r>
        <w:t>60.</w:t>
      </w:r>
      <w:r>
        <w:tab/>
        <w:t>В пункте 78 данного доклада подробно описывается соглашение "Об ок</w:t>
      </w:r>
      <w:r>
        <w:t>а</w:t>
      </w:r>
      <w:r>
        <w:t>зании помощи уязвимым мигрантам", предусматривающее, в частности, оказ</w:t>
      </w:r>
      <w:r>
        <w:t>а</w:t>
      </w:r>
      <w:r>
        <w:t>ние нуждающимся иностранцам помощи в вопросах обеспечения жильем и в предоставлении услуг здравоохранения, образования, социальной поддер</w:t>
      </w:r>
      <w:r>
        <w:t>ж</w:t>
      </w:r>
      <w:r>
        <w:t>ки и профессионального обучения в целях избежания сегрегации и маргинал</w:t>
      </w:r>
      <w:r>
        <w:t>и</w:t>
      </w:r>
      <w:r>
        <w:t>зации таких лиц и содействия их полной интеграции в общество Чили при с</w:t>
      </w:r>
      <w:r>
        <w:t>о</w:t>
      </w:r>
      <w:r>
        <w:t xml:space="preserve">хранении своей идентичности. </w:t>
      </w:r>
    </w:p>
    <w:p w:rsidR="009F61C6" w:rsidRDefault="009F61C6" w:rsidP="009F61C6">
      <w:pPr>
        <w:pStyle w:val="H1GR"/>
      </w:pPr>
      <w:r>
        <w:tab/>
      </w:r>
      <w:r>
        <w:tab/>
        <w:t>Статья 4</w:t>
      </w:r>
    </w:p>
    <w:p w:rsidR="009F61C6" w:rsidRDefault="009F61C6" w:rsidP="009F61C6">
      <w:pPr>
        <w:pStyle w:val="SingleTxtGR"/>
      </w:pPr>
      <w:r>
        <w:t>61.</w:t>
      </w:r>
      <w:r>
        <w:tab/>
        <w:t>Закон о мерах борьбы против дискриминации, описанный в пункте 27 и в последующих пунктах данного доклада, устанавливает в качестве нового о</w:t>
      </w:r>
      <w:r>
        <w:t>б</w:t>
      </w:r>
      <w:r>
        <w:t>стоятельства, отягчающего наказания за преступления, признанные дискрим</w:t>
      </w:r>
      <w:r>
        <w:t>и</w:t>
      </w:r>
      <w:r>
        <w:t>нацией, "совершение преступления или участие в совершении преступления дискриминации, основанное на мотивах идеологии, политических убеждений, религии или вероисповедания жертвы, ее национальности, расовой или этнич</w:t>
      </w:r>
      <w:r>
        <w:t>е</w:t>
      </w:r>
      <w:r>
        <w:t xml:space="preserve">ской принадлежности и социально-экономического статуса, пола, сексуальной ориентации, гендерной идентичности, возраста, происхождения, внешности и болезни или инвалидности". </w:t>
      </w:r>
    </w:p>
    <w:p w:rsidR="009F61C6" w:rsidRDefault="009F61C6" w:rsidP="009F61C6">
      <w:pPr>
        <w:pStyle w:val="SingleTxtGR"/>
      </w:pPr>
      <w:r>
        <w:t>62.</w:t>
      </w:r>
      <w:r>
        <w:tab/>
        <w:t>Дискриминация запрещается и в Законе о коренных народах, статья 8 к</w:t>
      </w:r>
      <w:r>
        <w:t>о</w:t>
      </w:r>
      <w:r>
        <w:t>торого гласит: "Явная и преднамеренная дискриминация лиц, относящихся к коренным народам, по мотивам их происхождения или культуры запрещается".</w:t>
      </w:r>
    </w:p>
    <w:p w:rsidR="009F61C6" w:rsidRDefault="009F61C6" w:rsidP="009F61C6">
      <w:pPr>
        <w:pStyle w:val="SingleTxtGR"/>
      </w:pPr>
      <w:r>
        <w:t>63.</w:t>
      </w:r>
      <w:r>
        <w:tab/>
        <w:t>Кроме того, в апреле 2011 года вступил в силу Закон № 20507, вводящий уголовную ответственность за незаконный ввоз мигрантов и за торговлю люд</w:t>
      </w:r>
      <w:r>
        <w:t>ь</w:t>
      </w:r>
      <w:r>
        <w:t>ми и устанавливающий правовые нормы, н</w:t>
      </w:r>
      <w:r>
        <w:t>а</w:t>
      </w:r>
      <w:r>
        <w:t>правленные на предупреждение этих преступлений и более эффективное уголовное преследование за их сове</w:t>
      </w:r>
      <w:r>
        <w:t>р</w:t>
      </w:r>
      <w:r>
        <w:t>шение. Этот закон устанавливает уголовную ответственность за торговлю людьми и за незаконный ввоз мигрантов в соответствии с положениями Ко</w:t>
      </w:r>
      <w:r>
        <w:t>н</w:t>
      </w:r>
      <w:r>
        <w:t>венции Организации Объединенных Наций против транснациональной орган</w:t>
      </w:r>
      <w:r>
        <w:t>и</w:t>
      </w:r>
      <w:r>
        <w:t xml:space="preserve">зованной преступности. </w:t>
      </w:r>
    </w:p>
    <w:p w:rsidR="009F61C6" w:rsidRDefault="009F61C6" w:rsidP="009F61C6">
      <w:pPr>
        <w:pStyle w:val="SingleTxtGR"/>
      </w:pPr>
      <w:r>
        <w:t>64.</w:t>
      </w:r>
      <w:r>
        <w:tab/>
        <w:t>Указанный закон внес коррективы в уголовное законодательство страны, установив различие м</w:t>
      </w:r>
      <w:r>
        <w:t>е</w:t>
      </w:r>
      <w:r>
        <w:t>жду незаконным ввозом мигрантов и торговлей людьми, что соответствует положениям Протокола о предупреждении и пресечении то</w:t>
      </w:r>
      <w:r>
        <w:t>р</w:t>
      </w:r>
      <w:r>
        <w:t>говли людьми, особенно женщинами и детьми, и наказании за нее, дополня</w:t>
      </w:r>
      <w:r>
        <w:t>ю</w:t>
      </w:r>
      <w:r>
        <w:t>щего Конвенцию Организации Объединенных Наций против транснационал</w:t>
      </w:r>
      <w:r>
        <w:t>ь</w:t>
      </w:r>
      <w:r>
        <w:t>ной организованной преступности (Протокол Палермо). В нем также устана</w:t>
      </w:r>
      <w:r>
        <w:t>в</w:t>
      </w:r>
      <w:r>
        <w:t>ливается, что сотрудничество обвиняемых со следствием является смягчающим вину обстоятельством, сформулированы правила использования при расслед</w:t>
      </w:r>
      <w:r>
        <w:t>о</w:t>
      </w:r>
      <w:r>
        <w:t>вании преступлений методов негласного сбора информации с использованием технических средств и агентов полиции, действующих под прикрытием, разр</w:t>
      </w:r>
      <w:r>
        <w:t>е</w:t>
      </w:r>
      <w:r>
        <w:t>шается временное проживание в стране иностранных граждан, ставших жер</w:t>
      </w:r>
      <w:r>
        <w:t>т</w:t>
      </w:r>
      <w:r>
        <w:t>вами преступлений торговли людьми, и предусматривается обеспечение физ</w:t>
      </w:r>
      <w:r>
        <w:t>и</w:t>
      </w:r>
      <w:r>
        <w:t>ческой и психологической неприкосновенности личности незаконно ввезенных в страну мигрантов и жертв торговли людьми. Следует отметить, что, в соо</w:t>
      </w:r>
      <w:r>
        <w:t>т</w:t>
      </w:r>
      <w:r>
        <w:t>ветствии с нормами специальной защиты детей и подростков, ставших жертв</w:t>
      </w:r>
      <w:r>
        <w:t>а</w:t>
      </w:r>
      <w:r>
        <w:t>ми упомянутых преступлений, закон предусматривает специал</w:t>
      </w:r>
      <w:r>
        <w:t>ь</w:t>
      </w:r>
      <w:r>
        <w:t>ные процедуры судопроизводства в отношении несовершеннолетних лиц. По данным крим</w:t>
      </w:r>
      <w:r>
        <w:t>и</w:t>
      </w:r>
      <w:r>
        <w:t>нальной полиции Чили (ПДИ), за период с 2006 года по 2010 год поступило 10 заявлений о преступлениях торговли людьми и было издано 57 распоряж</w:t>
      </w:r>
      <w:r>
        <w:t>е</w:t>
      </w:r>
      <w:r>
        <w:t>ний о проведении расследований таких преступлений.</w:t>
      </w:r>
    </w:p>
    <w:p w:rsidR="009F61C6" w:rsidRDefault="009F61C6" w:rsidP="009F61C6">
      <w:pPr>
        <w:pStyle w:val="SingleTxtGR"/>
      </w:pPr>
      <w:r>
        <w:t>65.</w:t>
      </w:r>
      <w:r>
        <w:tab/>
        <w:t>Что касается двусторонних, региональных или многосторонних соглаш</w:t>
      </w:r>
      <w:r>
        <w:t>е</w:t>
      </w:r>
      <w:r>
        <w:t>ний по вопросам миграции, участником которых является Чили, то следует ос</w:t>
      </w:r>
      <w:r>
        <w:t>о</w:t>
      </w:r>
      <w:r>
        <w:t>бо отметить заключение в рамках Специального форума по вопросам миграции Общего рынка стран Южной Америки (МЕРКОСУР) регионального соглаш</w:t>
      </w:r>
      <w:r>
        <w:t>е</w:t>
      </w:r>
      <w:r>
        <w:t>ния, устанавливающего процедуры верификации документов на выезд детей и на их въезд в страны, являющиеся участниками или ассоциированными член</w:t>
      </w:r>
      <w:r>
        <w:t>а</w:t>
      </w:r>
      <w:r>
        <w:t>ми МЕРКОСУР. Указанное соглашение действует в стране с сентября 2006 г</w:t>
      </w:r>
      <w:r>
        <w:t>о</w:t>
      </w:r>
      <w:r>
        <w:t>да. Это соглашение направлено на усиление защиты детей, которые перемещ</w:t>
      </w:r>
      <w:r>
        <w:t>а</w:t>
      </w:r>
      <w:r>
        <w:t>ются между странами региона, и на предотвращение незаконной торговли детьми.</w:t>
      </w:r>
    </w:p>
    <w:p w:rsidR="009F61C6" w:rsidRDefault="009F61C6" w:rsidP="009F61C6">
      <w:pPr>
        <w:pStyle w:val="SingleTxtGR"/>
      </w:pPr>
      <w:r>
        <w:t>66.</w:t>
      </w:r>
      <w:r>
        <w:tab/>
        <w:t>Относительно процедуры предоставления иностранным гражданам вида на жительство следует отметить, что в Чили с 2003 года действует механизм, позволяющий облегчить процедуру выдачи такого документа гражданам Арге</w:t>
      </w:r>
      <w:r>
        <w:t>н</w:t>
      </w:r>
      <w:r>
        <w:t>тины. Применение этого механизма позволяет гражданам Аргентины пол</w:t>
      </w:r>
      <w:r>
        <w:t>у</w:t>
      </w:r>
      <w:r>
        <w:t>чать разрешение на временное проживание в стране на срок до двух лет на основе факта своего аргентинского гражданства. Этот подход соответствует положен</w:t>
      </w:r>
      <w:r>
        <w:t>и</w:t>
      </w:r>
      <w:r>
        <w:t>ям Соглашения о предоставлении гражданам государств-членов и ассоциир</w:t>
      </w:r>
      <w:r>
        <w:t>о</w:t>
      </w:r>
      <w:r>
        <w:t>ванных членов МЕРКОСУР Боливии и Чили разрешений на проживание на те</w:t>
      </w:r>
      <w:r>
        <w:t>р</w:t>
      </w:r>
      <w:r>
        <w:t>ритории этих стран и Соглашения о регуляризации миграции на территории г</w:t>
      </w:r>
      <w:r>
        <w:t>о</w:t>
      </w:r>
      <w:r>
        <w:t>сударств-членов и ассоциированных членов МЕРКОСУР, которые были подп</w:t>
      </w:r>
      <w:r>
        <w:t>и</w:t>
      </w:r>
      <w:r>
        <w:t>саны в рамках Специального фор</w:t>
      </w:r>
      <w:r>
        <w:t>у</w:t>
      </w:r>
      <w:r>
        <w:t xml:space="preserve">ма МЕРКОСУР по вопросам миграции. </w:t>
      </w:r>
    </w:p>
    <w:p w:rsidR="009F61C6" w:rsidRDefault="009F61C6" w:rsidP="009F61C6">
      <w:pPr>
        <w:pStyle w:val="SingleTxtGR"/>
      </w:pPr>
      <w:r>
        <w:t>67.</w:t>
      </w:r>
      <w:r>
        <w:tab/>
        <w:t>В декабре 2006 года в рамках Совещания министров внутренних дел г</w:t>
      </w:r>
      <w:r>
        <w:t>о</w:t>
      </w:r>
      <w:r>
        <w:t>сударств-членов и ассоциированных членов МЕРКОСУР был подписан План действий по борьбе против торговли людьми, предусматривающий использов</w:t>
      </w:r>
      <w:r>
        <w:t>а</w:t>
      </w:r>
      <w:r>
        <w:t>ние механизмов международного сотрудничества для совместного поиска р</w:t>
      </w:r>
      <w:r>
        <w:t>е</w:t>
      </w:r>
      <w:r>
        <w:t>шений проблем, существующих в указанной области в государствах-членах и ассоциированных членах МЕРКОСУР.</w:t>
      </w:r>
    </w:p>
    <w:p w:rsidR="009F61C6" w:rsidRDefault="009F61C6" w:rsidP="009F61C6">
      <w:pPr>
        <w:pStyle w:val="SingleTxtGR"/>
      </w:pPr>
      <w:r>
        <w:t>68.</w:t>
      </w:r>
      <w:r>
        <w:tab/>
        <w:t>Соглашение о предоставлении гражданам государств-членов и ассоци</w:t>
      </w:r>
      <w:r>
        <w:t>и</w:t>
      </w:r>
      <w:r>
        <w:t>рованных членов МЕРКОСУР Боливии и Чили разрешений на проживание на территории этих стран вступило в силу 2 октября 2009 года в рамках XXVI С</w:t>
      </w:r>
      <w:r>
        <w:t>о</w:t>
      </w:r>
      <w:r>
        <w:t>вещания министров внутренних дел государств-членов и ассоци</w:t>
      </w:r>
      <w:r>
        <w:t>и</w:t>
      </w:r>
      <w:r>
        <w:t xml:space="preserve">рованных членов МЕРКОСУР; в соответствии с указанным Соглашением граждане всех участвующих в нем стран могут получить разрешение на проживание в любой из стран-участниц, если они являются гражданами какой-либо из этих стран. </w:t>
      </w:r>
    </w:p>
    <w:p w:rsidR="009F61C6" w:rsidRDefault="009F61C6" w:rsidP="009F61C6">
      <w:pPr>
        <w:pStyle w:val="SingleTxtGR"/>
      </w:pPr>
      <w:r>
        <w:t>69.</w:t>
      </w:r>
      <w:r>
        <w:tab/>
        <w:t>В ноябре 2007 года в рамках саммита иберо-американских государств Чили подписала Многост</w:t>
      </w:r>
      <w:r>
        <w:t>о</w:t>
      </w:r>
      <w:r>
        <w:t>роннюю конвенцию иберо-американских государств по вопросам социальной защиты, в соответствии с которой трудовые мигранты, проживающие в любой из стран-участниц указанной конвенции, после выхода на пенсию могут переводить свои пенсионные накопления в страну своего пр</w:t>
      </w:r>
      <w:r>
        <w:t>о</w:t>
      </w:r>
      <w:r>
        <w:t>исхождения или места жительства в момент выхода на пенсию. Участниками этой конвенции являются Аргентина, Боливия (Многонациональное Государс</w:t>
      </w:r>
      <w:r>
        <w:t>т</w:t>
      </w:r>
      <w:r>
        <w:t>во), Бразилия, Венесуэла (Боливарианская Республика), Испания, Коста-Рика, Парагвай, Перу, Португалия, Сальвадор, Уругвай и Чили. Республика Чили сд</w:t>
      </w:r>
      <w:r>
        <w:t>а</w:t>
      </w:r>
      <w:r>
        <w:t>ла на хранение ратификационную грамоту этой конвенции во время XIX Са</w:t>
      </w:r>
      <w:r>
        <w:t>м</w:t>
      </w:r>
      <w:r>
        <w:t xml:space="preserve">мита глав государств и правительств, проходившего в Португалии 30 ноября и 1 декабря 2009 года. </w:t>
      </w:r>
    </w:p>
    <w:p w:rsidR="009F61C6" w:rsidRDefault="009F61C6" w:rsidP="009F61C6">
      <w:pPr>
        <w:pStyle w:val="SingleTxtGR"/>
      </w:pPr>
      <w:r>
        <w:t>70.</w:t>
      </w:r>
      <w:r>
        <w:tab/>
        <w:t>Чили на постоянной основе участвует в Южноамериканской конфере</w:t>
      </w:r>
      <w:r>
        <w:t>н</w:t>
      </w:r>
      <w:r>
        <w:t>ции по вопросам миграции, в рамках которой проводится анализ региональной и глобальной ситуации в области миграции и формат которой позволяет выр</w:t>
      </w:r>
      <w:r>
        <w:t>а</w:t>
      </w:r>
      <w:r>
        <w:t xml:space="preserve">батывать общие позиции по конкретным проблемным вопросам миграции, и в частности по вопросам, касающимся соблюдения прав человека мигрантов и взаимосвязей между миграцией и развитием и миграционной политикой стран региона. </w:t>
      </w:r>
    </w:p>
    <w:p w:rsidR="009F61C6" w:rsidRDefault="009F61C6" w:rsidP="009F61C6">
      <w:pPr>
        <w:pStyle w:val="SingleTxtGR"/>
      </w:pPr>
      <w:r>
        <w:t>71.</w:t>
      </w:r>
      <w:r>
        <w:tab/>
        <w:t>Тематика мобильности трудовых ресурсов обсуждалась в ходе перегов</w:t>
      </w:r>
      <w:r>
        <w:t>о</w:t>
      </w:r>
      <w:r>
        <w:t>ров о заключении договоров о свободной торговле и экономическом сотрудн</w:t>
      </w:r>
      <w:r>
        <w:t>и</w:t>
      </w:r>
      <w:r>
        <w:t>честве и нашла отражение в подписанных Чили договорах с Китаем, Австрал</w:t>
      </w:r>
      <w:r>
        <w:t>и</w:t>
      </w:r>
      <w:r>
        <w:t>ей, Перу, Колумбией, Соединенными Штатами Америки, Японией и Мекс</w:t>
      </w:r>
      <w:r>
        <w:t>и</w:t>
      </w:r>
      <w:r>
        <w:t>кой, а также в соглашениях об экономическом сотрудничестве с Европейским со</w:t>
      </w:r>
      <w:r>
        <w:t>ю</w:t>
      </w:r>
      <w:r>
        <w:t>зом (ЕС) и с госуда</w:t>
      </w:r>
      <w:r>
        <w:t>р</w:t>
      </w:r>
      <w:r>
        <w:t>ствами МЕРКОСУР.</w:t>
      </w:r>
    </w:p>
    <w:p w:rsidR="009F61C6" w:rsidRDefault="009F61C6" w:rsidP="009F61C6">
      <w:pPr>
        <w:pStyle w:val="SingleTxtGR"/>
      </w:pPr>
      <w:r>
        <w:t>72.</w:t>
      </w:r>
      <w:r>
        <w:tab/>
        <w:t>В 1999 году правительство Чили подписало с УВКБ Рамочное соглаш</w:t>
      </w:r>
      <w:r>
        <w:t>е</w:t>
      </w:r>
      <w:r>
        <w:t>ние по вопросам переселения, содержащее программу обеспечения защиты б</w:t>
      </w:r>
      <w:r>
        <w:t>е</w:t>
      </w:r>
      <w:r>
        <w:t>женцев, которые по соображениям безопасности не могут оставаться в стране своего убежища. В этом контексте Чили стремится предоставить возможность переселения особенно уязвимым лицам. По состоянию на декабрь 2009 года было реализовано 16 миссий переселения беженцев из ряда стран. Речь идет о переселении лиц различных национальностей; основную часть переселенных лиц составляют колумбийские граждане, но есть и лица других национальн</w:t>
      </w:r>
      <w:r>
        <w:t>о</w:t>
      </w:r>
      <w:r w:rsidR="00564A45">
        <w:t>стей, в частности</w:t>
      </w:r>
      <w:r>
        <w:t xml:space="preserve"> азербайджанцы и пакистанцы.</w:t>
      </w:r>
    </w:p>
    <w:p w:rsidR="009F61C6" w:rsidRDefault="009F61C6" w:rsidP="009F61C6">
      <w:pPr>
        <w:pStyle w:val="SingleTxtGR"/>
      </w:pPr>
      <w:r>
        <w:t>73.</w:t>
      </w:r>
      <w:r>
        <w:tab/>
        <w:t>В контексте этого рамочного соглашения по просьбе УВКБ была реализ</w:t>
      </w:r>
      <w:r>
        <w:t>о</w:t>
      </w:r>
      <w:r>
        <w:t>вана Специальная программа переселения в Чили группы палестинцев; реал</w:t>
      </w:r>
      <w:r>
        <w:t>и</w:t>
      </w:r>
      <w:r>
        <w:t>зация этой программы, с учетом подготовительных мероприятий, связанных с приемом и включением этих беженцев в социально-культурную жизнь страны и в трудовую деятельность, продолжалась два года. Правительство Чили по соо</w:t>
      </w:r>
      <w:r>
        <w:t>б</w:t>
      </w:r>
      <w:r>
        <w:t>ражениям гуманитарного характера согласилось принять 116 палестинских б</w:t>
      </w:r>
      <w:r>
        <w:t>е</w:t>
      </w:r>
      <w:r>
        <w:t xml:space="preserve">женцев из лагеря беженцев Аль-Танф, находящегося на границе между Ираком и Сирией, без ущерба для их права на возвращение в страну происхождения. </w:t>
      </w:r>
    </w:p>
    <w:p w:rsidR="009F61C6" w:rsidRDefault="009F61C6" w:rsidP="009F61C6">
      <w:pPr>
        <w:pStyle w:val="SingleTxtGR"/>
      </w:pPr>
      <w:r>
        <w:t>74.</w:t>
      </w:r>
      <w:r>
        <w:tab/>
        <w:t>В соответствии с правовыми принципами своей миграционной политики Чили ратифицировала Международную конвенцию о защите прав всех труд</w:t>
      </w:r>
      <w:r>
        <w:t>я</w:t>
      </w:r>
      <w:r>
        <w:t>щихся-мигрантов и членов их семей; положения этой конвенции действуют в стране с 2005 года. С того же года в Чили действуют Конвенция Организации Объединенных Наций против организованной транснациональной преступн</w:t>
      </w:r>
      <w:r>
        <w:t>о</w:t>
      </w:r>
      <w:r>
        <w:t>сти и дополняющие эту конвенцию Протокол против незаконного ввоза мигра</w:t>
      </w:r>
      <w:r>
        <w:t>н</w:t>
      </w:r>
      <w:r>
        <w:t>тов по суше, морю и воздуху и Протокол о предупреждении и пресечении то</w:t>
      </w:r>
      <w:r>
        <w:t>р</w:t>
      </w:r>
      <w:r>
        <w:t>говли людьми, особенно женщинами и детьми, и наказании за нее.</w:t>
      </w:r>
    </w:p>
    <w:p w:rsidR="009F61C6" w:rsidRDefault="009F61C6" w:rsidP="009F61C6">
      <w:pPr>
        <w:pStyle w:val="SingleTxtGR"/>
      </w:pPr>
      <w:r>
        <w:t>75.</w:t>
      </w:r>
      <w:r>
        <w:tab/>
        <w:t>В национальную систему органов, занимающихся вопросами иммигр</w:t>
      </w:r>
      <w:r>
        <w:t>а</w:t>
      </w:r>
      <w:r>
        <w:t>ции, входит целый ряд учреждений, работу которых координирует Министерс</w:t>
      </w:r>
      <w:r>
        <w:t>т</w:t>
      </w:r>
      <w:r>
        <w:t>во внутренних дел по линии своего Управления по делам иностранцев и мигр</w:t>
      </w:r>
      <w:r>
        <w:t>а</w:t>
      </w:r>
      <w:r>
        <w:t>ции. Это правительственное учреждение координирует свою работу с орг</w:t>
      </w:r>
      <w:r>
        <w:t>а</w:t>
      </w:r>
      <w:r>
        <w:t>нами администрации регионального и провинциального уровней (возглавляемых р</w:t>
      </w:r>
      <w:r>
        <w:t>е</w:t>
      </w:r>
      <w:r>
        <w:t>гиональными интендантами и руководителями провинциальных администр</w:t>
      </w:r>
      <w:r>
        <w:t>а</w:t>
      </w:r>
      <w:r>
        <w:t>ций), с Национальным управлением по делам иностранцев и международного полицейского сотрудничества и с Министерством иностранных дел; оно также осуществляет контроль за применением нормативных положений, касающихся иностранцев и миграции, которые обязаны соблюдать все иностранные гражд</w:t>
      </w:r>
      <w:r>
        <w:t>а</w:t>
      </w:r>
      <w:r>
        <w:t>не, проживающие в стране, вносит предложения об изменении этих нормати</w:t>
      </w:r>
      <w:r>
        <w:t>в</w:t>
      </w:r>
      <w:r>
        <w:t>ных положений, формулирует и реализует предложения относительно мер п</w:t>
      </w:r>
      <w:r>
        <w:t>о</w:t>
      </w:r>
      <w:r>
        <w:t>литики, касающихся международной миграции трудящихся и членов их семей, в соответствии с мандатом, содержащимся в Распоряжении президента № 9 "О национальной политике по вопросам миграции", координирует деятельность различных государственных органов, направленную на облегчение процесса интеграции иммигрантов в общество Чили, поддерживает контакты с другими государствами в целях обмена информацией и предоставляет информацию и оказывает помощь различным субъектам гражданского общества, занимающи</w:t>
      </w:r>
      <w:r>
        <w:t>м</w:t>
      </w:r>
      <w:r>
        <w:t xml:space="preserve">ся вопросами миграции. </w:t>
      </w:r>
    </w:p>
    <w:p w:rsidR="009F61C6" w:rsidRDefault="009F61C6" w:rsidP="009F61C6">
      <w:pPr>
        <w:pStyle w:val="SingleTxtGR"/>
      </w:pPr>
      <w:r>
        <w:t>76.</w:t>
      </w:r>
      <w:r>
        <w:tab/>
        <w:t>В упомянутом Распоряжении президента № 9 "О национальной политике по вопросам миграции" от 2 сентября 2008 года содержится анализ эволюции феномена миграции в Чили и определены незыблемые принципы, составля</w:t>
      </w:r>
      <w:r>
        <w:t>ю</w:t>
      </w:r>
      <w:r>
        <w:t>щие основу и устанавливающие ориентиры для государственной деятельн</w:t>
      </w:r>
      <w:r>
        <w:t>о</w:t>
      </w:r>
      <w:r>
        <w:t>сти в этой области; в этом документе нашли отражение принципы и положения ме</w:t>
      </w:r>
      <w:r>
        <w:t>ж</w:t>
      </w:r>
      <w:r>
        <w:t>дународных соглашений и конвенций по вопросам миграции, участником кот</w:t>
      </w:r>
      <w:r>
        <w:t>о</w:t>
      </w:r>
      <w:r>
        <w:t>рых является Чили, и установлена орган</w:t>
      </w:r>
      <w:r>
        <w:t>и</w:t>
      </w:r>
      <w:r>
        <w:t>зационная структура, необходимая для практической реализации принятого политического курса по вопросам мигр</w:t>
      </w:r>
      <w:r>
        <w:t>а</w:t>
      </w:r>
      <w:r>
        <w:t>ции. Основу этой организационной структуры составляет Совет по вопросам миграционной политики, на который возложены функции координатора мног</w:t>
      </w:r>
      <w:r>
        <w:t>о</w:t>
      </w:r>
      <w:r>
        <w:t>секторной деятельности по выработке инициативных предложений, касающи</w:t>
      </w:r>
      <w:r>
        <w:t>х</w:t>
      </w:r>
      <w:r>
        <w:t>ся регулирования иммиграции в Чили на основе соблюдения основных прав ч</w:t>
      </w:r>
      <w:r>
        <w:t>е</w:t>
      </w:r>
      <w:r>
        <w:t>ловека. Указанные инициативные предложения должны учитываться при разр</w:t>
      </w:r>
      <w:r>
        <w:t>а</w:t>
      </w:r>
      <w:r>
        <w:t xml:space="preserve">ботке Национальной стратегии по вопросам миграционной политики. </w:t>
      </w:r>
    </w:p>
    <w:p w:rsidR="009F61C6" w:rsidRDefault="009F61C6" w:rsidP="009F61C6">
      <w:pPr>
        <w:pStyle w:val="SingleTxtGR"/>
      </w:pPr>
      <w:r>
        <w:t>77.</w:t>
      </w:r>
      <w:r>
        <w:tab/>
        <w:t>Принципы национальной миграционной политики Чили включают в себя: право на свободу выбора места жительства и на свободу передвижения; право на свободу мысли и совести; право на получение разрешения на проживание в стране в условиях равенства и надлежащей информированности; право на до</w:t>
      </w:r>
      <w:r>
        <w:t>с</w:t>
      </w:r>
      <w:r>
        <w:t>туп к правосудию; право на интеграцию и на социальную защиту мигрантов, а также гарантии их прав на образование, на охрану здоровья и на труд; уважение трудовых прав трудящихся-мигрантов, н</w:t>
      </w:r>
      <w:r>
        <w:t>е</w:t>
      </w:r>
      <w:r>
        <w:t>зависимо от их статуса иностранцев; Чили позиционирует себя как страну, адекватно открытую для миграции, кот</w:t>
      </w:r>
      <w:r>
        <w:t>о</w:t>
      </w:r>
      <w:r>
        <w:t>рая стремится принимать без всякой дискриминации мигрантов, которые хотят проживать в этой стране; в Чили поощряются урегулирование миграционного статуса, воссоединение семей и уч</w:t>
      </w:r>
      <w:r>
        <w:t>а</w:t>
      </w:r>
      <w:r>
        <w:t xml:space="preserve">стие граждан в управлении миграционными процессами. </w:t>
      </w:r>
    </w:p>
    <w:p w:rsidR="009F61C6" w:rsidRDefault="009F61C6" w:rsidP="009F61C6">
      <w:pPr>
        <w:pStyle w:val="SingleTxtGR"/>
      </w:pPr>
      <w:r>
        <w:t>78.</w:t>
      </w:r>
      <w:r>
        <w:tab/>
        <w:t>Следует также отметить, что 7 августа текущего года правительство страны заключило соглаш</w:t>
      </w:r>
      <w:r>
        <w:t>е</w:t>
      </w:r>
      <w:r>
        <w:t>ние с тремя муниципалитетами столичного региона, озаглавленное "Об оказании помощи уязвимым мигрантам", направленное на удовлетворение самых острых потребностей мигрантов, оказавшихся в ситу</w:t>
      </w:r>
      <w:r>
        <w:t>а</w:t>
      </w:r>
      <w:r>
        <w:t>ции уязвимости. В соответствии с этим соглашением Министерство внутренних дел и общественной безопасности предоставит трем муниципиям, в которых проживает 38% находящихся в уязвимом положении мигрантов cтоличного р</w:t>
      </w:r>
      <w:r>
        <w:t>е</w:t>
      </w:r>
      <w:r>
        <w:t>гиона, и Службе помощи мигрантам общины иезуитов 128 млн. чили</w:t>
      </w:r>
      <w:r>
        <w:t>й</w:t>
      </w:r>
      <w:r>
        <w:t>ских песо (примерно 266 300 долл. США) на оказание помощи нуждающимся иностра</w:t>
      </w:r>
      <w:r>
        <w:t>н</w:t>
      </w:r>
      <w:r>
        <w:t>цам в обеспечении жильем, на предоставление им медицинских, образовател</w:t>
      </w:r>
      <w:r>
        <w:t>ь</w:t>
      </w:r>
      <w:r>
        <w:t>ных и социальных услуг и на подготовку их к предпринимательской деятельн</w:t>
      </w:r>
      <w:r>
        <w:t>о</w:t>
      </w:r>
      <w:r>
        <w:t xml:space="preserve">сти. </w:t>
      </w:r>
    </w:p>
    <w:p w:rsidR="009F61C6" w:rsidRDefault="009F61C6" w:rsidP="009F61C6">
      <w:pPr>
        <w:pStyle w:val="SingleTxtGR"/>
      </w:pPr>
      <w:r>
        <w:t>79.</w:t>
      </w:r>
      <w:r>
        <w:tab/>
        <w:t>Что касается обучения в области прав человека карабинеров, сотрудников криминальной полиции и жандармерии, то следует отметить, что эти сотрудн</w:t>
      </w:r>
      <w:r>
        <w:t>и</w:t>
      </w:r>
      <w:r>
        <w:t>ки проходят базовый курс обучения по правам человека, а затем участвуют в процессе непрерывного обучения с постепенным переходом от общих а</w:t>
      </w:r>
      <w:r>
        <w:t>с</w:t>
      </w:r>
      <w:r>
        <w:t>пектов и сведений о правах человека к конкретным вопросам соблюдения прав челов</w:t>
      </w:r>
      <w:r>
        <w:t>е</w:t>
      </w:r>
      <w:r>
        <w:t>ка в работе пол</w:t>
      </w:r>
      <w:r>
        <w:t>и</w:t>
      </w:r>
      <w:r>
        <w:t xml:space="preserve">ции. </w:t>
      </w:r>
    </w:p>
    <w:p w:rsidR="009F61C6" w:rsidRDefault="009F61C6" w:rsidP="009F61C6">
      <w:pPr>
        <w:pStyle w:val="SingleTxtGR"/>
      </w:pPr>
      <w:r>
        <w:t>80.</w:t>
      </w:r>
      <w:r>
        <w:tab/>
        <w:t>При обучении карабинеров Чили по тематике прав человека особое вн</w:t>
      </w:r>
      <w:r>
        <w:t>и</w:t>
      </w:r>
      <w:r>
        <w:t>мание этих сотрудников полиции обращается на знание и обеспечение соотве</w:t>
      </w:r>
      <w:r>
        <w:t>т</w:t>
      </w:r>
      <w:r>
        <w:t>ствующих прав и гарантий. Учебный процесс поддерживает Национальный и</w:t>
      </w:r>
      <w:r>
        <w:t>н</w:t>
      </w:r>
      <w:r>
        <w:t>ститут по правам человека (НИПЧ). В корпусе карабинеров создан Депа</w:t>
      </w:r>
      <w:r>
        <w:t>р</w:t>
      </w:r>
      <w:r>
        <w:t>тамент по правам человека в целях реализации требований граждан и органов госуда</w:t>
      </w:r>
      <w:r>
        <w:t>р</w:t>
      </w:r>
      <w:r>
        <w:t>ственной власти относительно того, чтобы нормативные документы и практ</w:t>
      </w:r>
      <w:r>
        <w:t>и</w:t>
      </w:r>
      <w:r>
        <w:t xml:space="preserve">ческая деятельность полиции не нарушали основные права населения. </w:t>
      </w:r>
    </w:p>
    <w:p w:rsidR="009F61C6" w:rsidRDefault="009F61C6" w:rsidP="009F61C6">
      <w:pPr>
        <w:pStyle w:val="SingleTxtGR"/>
      </w:pPr>
      <w:r>
        <w:t>81.</w:t>
      </w:r>
      <w:r>
        <w:tab/>
        <w:t>Кроме того, в службе криминальной полиции имеется Бригада по правам человека; сотрудники этого подразделения наряду с работой по расследованию преступлений проходят обучение по линии своего Отдела по изучению и ра</w:t>
      </w:r>
      <w:r>
        <w:t>с</w:t>
      </w:r>
      <w:r>
        <w:t>пространению прав человека.</w:t>
      </w:r>
    </w:p>
    <w:p w:rsidR="009F61C6" w:rsidRDefault="009F61C6" w:rsidP="009F61C6">
      <w:pPr>
        <w:pStyle w:val="SingleTxtGR"/>
      </w:pPr>
      <w:r>
        <w:t>82.</w:t>
      </w:r>
      <w:r>
        <w:tab/>
        <w:t>Деятельность сотрудников жандармерии регулируется Регламентом пен</w:t>
      </w:r>
      <w:r>
        <w:t>и</w:t>
      </w:r>
      <w:r>
        <w:t>тенциарных учреждений, согласно которому работа в пенитенциарных учре</w:t>
      </w:r>
      <w:r>
        <w:t>ж</w:t>
      </w:r>
      <w:r>
        <w:t>дениях должна осуществляться при соблюдении гарантий и в рамках, устано</w:t>
      </w:r>
      <w:r>
        <w:t>в</w:t>
      </w:r>
      <w:r>
        <w:t>ленных Конституцией Республики, международными договорами, действу</w:t>
      </w:r>
      <w:r>
        <w:t>ю</w:t>
      </w:r>
      <w:r>
        <w:t>щим законодательством, нормативными служебными документами и решени</w:t>
      </w:r>
      <w:r>
        <w:t>я</w:t>
      </w:r>
      <w:r>
        <w:t>ми судебных органов. На сотрудников жандармерии, нарушающих указанные в Регламенте правила, налагаются соответствующие санкции. В Регламенте четко соблюдается принцип недискриминации, а именно в нем говорится, что нормы Регламента должны применяться беспристрастно, без проведения различий в обращении по признакам происхождения, расы, политических взглядов, рел</w:t>
      </w:r>
      <w:r>
        <w:t>и</w:t>
      </w:r>
      <w:r>
        <w:t>гиозных убеждений, социального положения или любых других обстоятельств. В службе жандармерии имеется специальное учебное пособие по правам чел</w:t>
      </w:r>
      <w:r>
        <w:t>о</w:t>
      </w:r>
      <w:r>
        <w:t>века.</w:t>
      </w:r>
    </w:p>
    <w:p w:rsidR="009F61C6" w:rsidRDefault="009F61C6" w:rsidP="009F61C6">
      <w:pPr>
        <w:pStyle w:val="SingleTxtGR"/>
      </w:pPr>
      <w:r>
        <w:t>83.</w:t>
      </w:r>
      <w:r>
        <w:tab/>
        <w:t>В Регламенте пенитенциарных учреждений, регулирующем деятельность сотрудников жандармерии, имеется отдельное положение, касающееся обращ</w:t>
      </w:r>
      <w:r>
        <w:t>е</w:t>
      </w:r>
      <w:r>
        <w:t>ния с заключенными-иностранцами; в нем речь идет об обращении с осужде</w:t>
      </w:r>
      <w:r>
        <w:t>н</w:t>
      </w:r>
      <w:r>
        <w:t xml:space="preserve">ными иностранными гражданами, в отношении которых приняты решения о депортации. </w:t>
      </w:r>
    </w:p>
    <w:p w:rsidR="009F61C6" w:rsidRDefault="009F61C6" w:rsidP="009F61C6">
      <w:pPr>
        <w:pStyle w:val="SingleTxtGR"/>
      </w:pPr>
      <w:r>
        <w:t>84.</w:t>
      </w:r>
      <w:r>
        <w:tab/>
        <w:t>Следует также отметить, что Конституция Чили гарантирует всем лицам свободу мысли и слова – т.е. свободу высказывать свое мнение и распростр</w:t>
      </w:r>
      <w:r>
        <w:t>а</w:t>
      </w:r>
      <w:r>
        <w:t>нять информацию без какой бы то ни было предварительной цензуры, в любом виде и любыми средствами, при сохранении ответственности за преступления или злоупотребления, совершенные в процессе использования указанной св</w:t>
      </w:r>
      <w:r>
        <w:t>о</w:t>
      </w:r>
      <w:r>
        <w:t>боды. Статья 31 Закона № 19733 о свободе мнений и информации в периодич</w:t>
      </w:r>
      <w:r>
        <w:t>е</w:t>
      </w:r>
      <w:r>
        <w:t>ских изданиях устанавливает, что распространение любыми средствами общ</w:t>
      </w:r>
      <w:r>
        <w:t>е</w:t>
      </w:r>
      <w:r>
        <w:t>ственной информации, в публикациях или в радио- и телепередачах матери</w:t>
      </w:r>
      <w:r>
        <w:t>а</w:t>
      </w:r>
      <w:r>
        <w:t>лов, во</w:t>
      </w:r>
      <w:r>
        <w:t>з</w:t>
      </w:r>
      <w:r>
        <w:t xml:space="preserve">буждающих ненависть или враждебное отношение к любым лицам или группам лиц по мотивам их расы, пола, религии или национальности, подлежит наказанию в виде штрафа в размере от </w:t>
      </w:r>
      <w:r w:rsidR="00564A45">
        <w:t>25</w:t>
      </w:r>
      <w:r>
        <w:t xml:space="preserve"> до </w:t>
      </w:r>
      <w:r w:rsidR="00564A45">
        <w:t>100</w:t>
      </w:r>
      <w:r>
        <w:t xml:space="preserve"> единиц месячного налога, а в случае повторного нарушения размер штрафа может быть увеличен до </w:t>
      </w:r>
      <w:r w:rsidR="00564A45">
        <w:t>200</w:t>
      </w:r>
      <w:r>
        <w:t xml:space="preserve"> ед</w:t>
      </w:r>
      <w:r>
        <w:t>и</w:t>
      </w:r>
      <w:r>
        <w:t>ниц месячного налога</w:t>
      </w:r>
      <w:r>
        <w:rPr>
          <w:rStyle w:val="FootnoteReference"/>
        </w:rPr>
        <w:footnoteReference w:id="12"/>
      </w:r>
      <w:r>
        <w:t>.</w:t>
      </w:r>
    </w:p>
    <w:p w:rsidR="009F61C6" w:rsidRDefault="009F61C6" w:rsidP="009F61C6">
      <w:pPr>
        <w:pStyle w:val="H1GR"/>
      </w:pPr>
      <w:r>
        <w:tab/>
      </w:r>
      <w:r>
        <w:tab/>
        <w:t>Статья 5</w:t>
      </w:r>
    </w:p>
    <w:p w:rsidR="009F61C6" w:rsidRDefault="009F61C6" w:rsidP="009F61C6">
      <w:pPr>
        <w:pStyle w:val="H23GR"/>
      </w:pPr>
      <w:r>
        <w:tab/>
        <w:t>1.</w:t>
      </w:r>
      <w:r>
        <w:tab/>
        <w:t>Права на равенство перед судом и всеми другими органами, отправляющими правосудие</w:t>
      </w:r>
    </w:p>
    <w:p w:rsidR="009F61C6" w:rsidRDefault="009F61C6" w:rsidP="009F61C6">
      <w:pPr>
        <w:pStyle w:val="SingleTxtGR"/>
      </w:pPr>
      <w:r>
        <w:t>85.</w:t>
      </w:r>
      <w:r>
        <w:tab/>
        <w:t>Как отмечалось выше, Политическая конституция Чили в статье 1 пр</w:t>
      </w:r>
      <w:r>
        <w:t>о</w:t>
      </w:r>
      <w:r>
        <w:t>возглашает, что в Республ</w:t>
      </w:r>
      <w:r>
        <w:t>и</w:t>
      </w:r>
      <w:r>
        <w:t>ке Чили все люди рождаются свободными и равными в своем достоинстве и правах, а положения пункта 2 статьи 19 гарантируют р</w:t>
      </w:r>
      <w:r>
        <w:t>а</w:t>
      </w:r>
      <w:r>
        <w:t>венство всех людей перед законом и устанавливают абсолютный запрет на к</w:t>
      </w:r>
      <w:r>
        <w:t>а</w:t>
      </w:r>
      <w:r>
        <w:t>кую бы то ни было произвольную дискриминацию. Помимо этого</w:t>
      </w:r>
      <w:r w:rsidR="00564A45">
        <w:t>,</w:t>
      </w:r>
      <w:r>
        <w:t xml:space="preserve"> в пункте 3 статьи 19 всем лицам гарантируется равная защита при реализации их прав, что означает, что все лица, без каких бы то ни было исключений, имеют право на юридическую защиту, при этом закон должен предусматривать ок</w:t>
      </w:r>
      <w:r>
        <w:t>а</w:t>
      </w:r>
      <w:r>
        <w:t>зание услуг юридической поддержки и защиты для лиц, которые не могут сами оплатить соответствующие услуги. Закон устанавливает предельные сроки конкретных действий защиты обвиняемого лица. В Уголовно-процессуальном кодексе пр</w:t>
      </w:r>
      <w:r>
        <w:t>е</w:t>
      </w:r>
      <w:r>
        <w:t>дусмотрено, что в период с момента начала судебного разбирательства и до в</w:t>
      </w:r>
      <w:r>
        <w:t>ы</w:t>
      </w:r>
      <w:r>
        <w:t>несения решения суда обвиняемый может назначить одного или нескольких своих дов</w:t>
      </w:r>
      <w:r>
        <w:t>е</w:t>
      </w:r>
      <w:r>
        <w:t>ренных защитников.</w:t>
      </w:r>
    </w:p>
    <w:p w:rsidR="009F61C6" w:rsidRDefault="009F61C6" w:rsidP="009F61C6">
      <w:pPr>
        <w:pStyle w:val="SingleTxtGR"/>
      </w:pPr>
      <w:r>
        <w:t>86.</w:t>
      </w:r>
      <w:r w:rsidR="00564A45">
        <w:tab/>
        <w:t>Уголовно-процессуальный кодекс</w:t>
      </w:r>
      <w:r>
        <w:t>, регулирующий права и гарантии обв</w:t>
      </w:r>
      <w:r>
        <w:t>и</w:t>
      </w:r>
      <w:r>
        <w:t>няемого, устанавливает, что обвиняемый имеет право на получение конкре</w:t>
      </w:r>
      <w:r>
        <w:t>т</w:t>
      </w:r>
      <w:r>
        <w:t>ной и четкой информации относительно того, в чем его обвиняют, и о правах, кот</w:t>
      </w:r>
      <w:r>
        <w:t>о</w:t>
      </w:r>
      <w:r>
        <w:t xml:space="preserve">рые он имеет в соответствии с Конституцией и законодательством страны. </w:t>
      </w:r>
    </w:p>
    <w:p w:rsidR="009F61C6" w:rsidRDefault="009F61C6" w:rsidP="009F61C6">
      <w:pPr>
        <w:pStyle w:val="SingleTxtGR"/>
      </w:pPr>
      <w:r>
        <w:t>87.</w:t>
      </w:r>
      <w:r>
        <w:tab/>
        <w:t>Особо оговаривается право обвиняемых получать информацию о выдв</w:t>
      </w:r>
      <w:r>
        <w:t>и</w:t>
      </w:r>
      <w:r>
        <w:t>гаемых против них обв</w:t>
      </w:r>
      <w:r>
        <w:t>и</w:t>
      </w:r>
      <w:r>
        <w:t>нениях на языке, который они понимают; эта гарантия распространяется также на первое появление о</w:t>
      </w:r>
      <w:r>
        <w:t>б</w:t>
      </w:r>
      <w:r>
        <w:t xml:space="preserve">виняемого в суде. </w:t>
      </w:r>
    </w:p>
    <w:p w:rsidR="009F61C6" w:rsidRDefault="009F61C6" w:rsidP="009F61C6">
      <w:pPr>
        <w:pStyle w:val="SingleTxtGR"/>
      </w:pPr>
      <w:r>
        <w:t>88.</w:t>
      </w:r>
      <w:r>
        <w:tab/>
        <w:t>Служба государственной защиты по уголовным делам, являющаяся гос</w:t>
      </w:r>
      <w:r>
        <w:t>у</w:t>
      </w:r>
      <w:r>
        <w:t>дарственным органом, на который в системе чилийского уголовного судопрои</w:t>
      </w:r>
      <w:r>
        <w:t>з</w:t>
      </w:r>
      <w:r>
        <w:t>водства возложены функции защиты обвиняемых по уголовным делам, в 2003 году создала первое в стране специализированное отделение Службы г</w:t>
      </w:r>
      <w:r>
        <w:t>о</w:t>
      </w:r>
      <w:r>
        <w:t>сударственной защиты представителей коренного народа мапуче в регионе Араукания. Эта мера понадобилась в связи с высокой долей лиц из числа к</w:t>
      </w:r>
      <w:r>
        <w:t>о</w:t>
      </w:r>
      <w:r>
        <w:t>ренных народов в населении указанного региона и специфичностью уголовных преступлений с участием таких лиц; стало очевидно, что требуется некий о</w:t>
      </w:r>
      <w:r>
        <w:t>р</w:t>
      </w:r>
      <w:r>
        <w:t>ган, который бы помогал правильно понимать обычаи, язык и традиции нар</w:t>
      </w:r>
      <w:r>
        <w:t>о</w:t>
      </w:r>
      <w:r>
        <w:t>дов, выхо</w:t>
      </w:r>
      <w:r>
        <w:t>д</w:t>
      </w:r>
      <w:r>
        <w:t>цы из которых являются фигурантами уголовных дел.</w:t>
      </w:r>
    </w:p>
    <w:p w:rsidR="009F61C6" w:rsidRDefault="009F61C6" w:rsidP="009F61C6">
      <w:pPr>
        <w:pStyle w:val="SingleTxtGR"/>
      </w:pPr>
      <w:r>
        <w:t>89.</w:t>
      </w:r>
      <w:r>
        <w:tab/>
        <w:t>Служба государственной защиты по уголовным делам наняла посредн</w:t>
      </w:r>
      <w:r>
        <w:t>и</w:t>
      </w:r>
      <w:r>
        <w:t>ков по вопросам межкультурной коммуникации из лиц коренного населения, осведомленных о характере информации, требуемой для защитника по уголо</w:t>
      </w:r>
      <w:r>
        <w:t>в</w:t>
      </w:r>
      <w:r>
        <w:t>ным делам в ситуациях, когда обвиняется лицо из числа коренных народов. В функции этих посредников (первый из которых был нанят в июле 2003 года для работы в первом районе Тарапака, второй – в июле 2005 года для работы в девятом районе региона Араукания и третий – в 2005 году для работы в вос</w:t>
      </w:r>
      <w:r>
        <w:t>ь</w:t>
      </w:r>
      <w:r>
        <w:t>мом районе Био-Био) входят обеспечение устного перевода, координация вза</w:t>
      </w:r>
      <w:r>
        <w:t>и</w:t>
      </w:r>
      <w:r>
        <w:t>модействия с различными органами, предоставляющими помощь лицам из чи</w:t>
      </w:r>
      <w:r>
        <w:t>с</w:t>
      </w:r>
      <w:r>
        <w:t>ла коренных народов, и поддержание диалога между органами отправления правосудия, с тем чтобы им были понятны межкультурные аспекты рассматр</w:t>
      </w:r>
      <w:r>
        <w:t>и</w:t>
      </w:r>
      <w:r>
        <w:t xml:space="preserve">ваемых дел. </w:t>
      </w:r>
    </w:p>
    <w:p w:rsidR="009F61C6" w:rsidRDefault="009F61C6" w:rsidP="009F61C6">
      <w:pPr>
        <w:pStyle w:val="SingleTxtGR"/>
      </w:pPr>
      <w:r>
        <w:t>90.</w:t>
      </w:r>
      <w:r>
        <w:tab/>
        <w:t>В 2008 году Исследовательский отдел Национальной службы государс</w:t>
      </w:r>
      <w:r>
        <w:t>т</w:t>
      </w:r>
      <w:r>
        <w:t>венной защиты в связи с предстоящей ратификацией Конвенции № 169 МОТ провел исследование, касающееся предоставления государственной защиты по уголовным делам, касающимся лиц из числа коренных народов, под назв</w:t>
      </w:r>
      <w:r>
        <w:t>а</w:t>
      </w:r>
      <w:r>
        <w:t>нием "Юридическая защита государственными защитниками обвиняемых по уголо</w:t>
      </w:r>
      <w:r>
        <w:t>в</w:t>
      </w:r>
      <w:r>
        <w:t>ным делам лиц из числа коренных народов"; в рамках этого исследования были проведены консультации по вопросам государственной защиты по уголовным делам со всеми региональными подразделениями государственной юридич</w:t>
      </w:r>
      <w:r>
        <w:t>е</w:t>
      </w:r>
      <w:r>
        <w:t>ской защиты в целях выяснения состояния дел со специализированной защитой по уголовным делам лиц из числа коренных народов.</w:t>
      </w:r>
    </w:p>
    <w:p w:rsidR="009F61C6" w:rsidRDefault="009F61C6" w:rsidP="009F61C6">
      <w:pPr>
        <w:pStyle w:val="SingleTxtGR"/>
      </w:pPr>
      <w:r>
        <w:t>91.</w:t>
      </w:r>
      <w:r>
        <w:tab/>
        <w:t>В целом, новая разработанная Исследовательским отделом Национальной службы государственной защиты Модель организации специализированной з</w:t>
      </w:r>
      <w:r>
        <w:t>а</w:t>
      </w:r>
      <w:r>
        <w:t>щиты по уголовным делам лиц из числа коренных народов, подробно описа</w:t>
      </w:r>
      <w:r>
        <w:t>н</w:t>
      </w:r>
      <w:r>
        <w:t>ная в приложении VIII, закладывает основы такой защиты, устанавливает пр</w:t>
      </w:r>
      <w:r>
        <w:t>а</w:t>
      </w:r>
      <w:r>
        <w:t>вовые и доктринальные критерии защиты лиц из числа коренных народов, пр</w:t>
      </w:r>
      <w:r>
        <w:t>а</w:t>
      </w:r>
      <w:r>
        <w:t>вила общения между защитником и обвиняемым, профессиональный профиль сотрудников защиты (специализированный защитник, посредник по вопросам межкультурной коммуникации, помощник), логическую структуру защиты и показатели, позволяющие оценивать реализацию программы.</w:t>
      </w:r>
    </w:p>
    <w:p w:rsidR="009F61C6" w:rsidRDefault="009F61C6" w:rsidP="009F61C6">
      <w:pPr>
        <w:pStyle w:val="SingleTxtGR"/>
      </w:pPr>
      <w:r>
        <w:t>92.</w:t>
      </w:r>
      <w:r>
        <w:tab/>
        <w:t>Параллельно с разработкой указанной модели в 2011 году правительство выделило средства, позволившие нанять еще семь специалистов по вопросам межкультурной коммуникации. В целях распространения рассматриваемой пр</w:t>
      </w:r>
      <w:r>
        <w:t>о</w:t>
      </w:r>
      <w:r>
        <w:t>граммы на все регионы страны Исследовательский отдел Национальной слу</w:t>
      </w:r>
      <w:r>
        <w:t>ж</w:t>
      </w:r>
      <w:r>
        <w:t xml:space="preserve">бы государственной защиты: </w:t>
      </w:r>
    </w:p>
    <w:p w:rsidR="009F61C6" w:rsidRDefault="009F61C6" w:rsidP="009F61C6">
      <w:pPr>
        <w:pStyle w:val="SingleTxtGR"/>
      </w:pPr>
      <w:r>
        <w:tab/>
        <w:t>a)</w:t>
      </w:r>
      <w:r>
        <w:tab/>
        <w:t>в апреле 2011 года организовал первые курсы подготовки защитн</w:t>
      </w:r>
      <w:r>
        <w:t>и</w:t>
      </w:r>
      <w:r>
        <w:t>ков по уголовным делам, касающимся лиц из числа коренных народов; обуч</w:t>
      </w:r>
      <w:r>
        <w:t>е</w:t>
      </w:r>
      <w:r>
        <w:t>ние прошли 45 специалистов</w:t>
      </w:r>
      <w:r w:rsidR="003B7721">
        <w:t xml:space="preserve"> − </w:t>
      </w:r>
      <w:r>
        <w:t>сотрудников Службы государственной защиты по уголовным делам (адвокаты, помощники адвокатов и специалисты по вопр</w:t>
      </w:r>
      <w:r>
        <w:t>о</w:t>
      </w:r>
      <w:r>
        <w:t>сам межкультурной коммуникации). Курсы были организованы для подготовки сертифицированных профессиональных специализированных защитников в о</w:t>
      </w:r>
      <w:r>
        <w:t>б</w:t>
      </w:r>
      <w:r>
        <w:t>ластях, предусмотренных в упомянутой модели предоставления защиты по уг</w:t>
      </w:r>
      <w:r>
        <w:t>о</w:t>
      </w:r>
      <w:r>
        <w:t>ловным делам, в которых обвиняемыми являются лица из числа коренных н</w:t>
      </w:r>
      <w:r>
        <w:t>а</w:t>
      </w:r>
      <w:r>
        <w:t xml:space="preserve">родов; </w:t>
      </w:r>
    </w:p>
    <w:p w:rsidR="009F61C6" w:rsidRDefault="009F61C6" w:rsidP="009F61C6">
      <w:pPr>
        <w:pStyle w:val="SingleTxtGR"/>
      </w:pPr>
      <w:r>
        <w:tab/>
        <w:t>b)</w:t>
      </w:r>
      <w:r>
        <w:tab/>
        <w:t>в период с 20 июля до 28 октября 2011 года организовал во всех р</w:t>
      </w:r>
      <w:r>
        <w:t>е</w:t>
      </w:r>
      <w:r>
        <w:t>гионах страны на очной основе и путем проведения видеоконференций обуч</w:t>
      </w:r>
      <w:r>
        <w:t>е</w:t>
      </w:r>
      <w:r>
        <w:t>ние профессиональных защитников в качестве инструкторов для продвижения во все регионы практики применения Модели защиты обвиняемых лиц из числа коренных народов, в том числе по вопросам, касающимся критериев идентиф</w:t>
      </w:r>
      <w:r>
        <w:t>и</w:t>
      </w:r>
      <w:r>
        <w:t>кации обвиняемых и дел, касающихся лиц из числа коренных народов, критер</w:t>
      </w:r>
      <w:r>
        <w:t>и</w:t>
      </w:r>
      <w:r>
        <w:t>ев для выработки заключений по делам лиц из числа коренных народов и т.д.;</w:t>
      </w:r>
    </w:p>
    <w:p w:rsidR="009F61C6" w:rsidRDefault="009F61C6" w:rsidP="009F61C6">
      <w:pPr>
        <w:pStyle w:val="SingleTxtGR"/>
      </w:pPr>
      <w:r>
        <w:tab/>
        <w:t>c)</w:t>
      </w:r>
      <w:r>
        <w:tab/>
        <w:t>в 2011 году заключил соглашение с Программой развития Орган</w:t>
      </w:r>
      <w:r>
        <w:t>и</w:t>
      </w:r>
      <w:r>
        <w:t>зации Объединенных Наций (ПРООН) и с юридическим факультетом Чили</w:t>
      </w:r>
      <w:r>
        <w:t>й</w:t>
      </w:r>
      <w:r>
        <w:t>ского университета о сотрудничестве в организации курса дистанционного электронного обучения специалистов по материалам упомянутой модели в ц</w:t>
      </w:r>
      <w:r>
        <w:t>е</w:t>
      </w:r>
      <w:r>
        <w:t>лях распространения практики предоставления государственной юридической защиты по уголовным делам лиц из числа коренных народов на территорию всей страны; по программе этого курса прошли обучение и были сертифицир</w:t>
      </w:r>
      <w:r>
        <w:t>о</w:t>
      </w:r>
      <w:r>
        <w:t>ваны 101 адвокат, 7 специалистов по вопросам межкультурной коммуникации и 9 специалистов Группы поддержки и управления Службы государственной з</w:t>
      </w:r>
      <w:r>
        <w:t>а</w:t>
      </w:r>
      <w:r>
        <w:t>щиты по уголовным делам.</w:t>
      </w:r>
    </w:p>
    <w:p w:rsidR="009F61C6" w:rsidRDefault="009F61C6" w:rsidP="009F61C6">
      <w:pPr>
        <w:pStyle w:val="SingleTxtGR"/>
      </w:pPr>
      <w:r>
        <w:t>93.</w:t>
      </w:r>
      <w:r>
        <w:tab/>
        <w:t>В 2012 году эта программа была усилена за счет включения в нее Наро</w:t>
      </w:r>
      <w:r>
        <w:t>д</w:t>
      </w:r>
      <w:r>
        <w:t>ного защитника Чили, в функции которого на трехлетний срок его полномочий включена специализированная защита по уголовным делам. Начиная с 2012 г</w:t>
      </w:r>
      <w:r>
        <w:t>о</w:t>
      </w:r>
      <w:r>
        <w:t>да весь комплекс мероприятий, предусмотренных в Модели защиты обвиня</w:t>
      </w:r>
      <w:r>
        <w:t>е</w:t>
      </w:r>
      <w:r>
        <w:t>мых по уголовным делам лиц из числа коренных народов, применяется на всей территории страны. К числу первых мероприятий текущего года относится проведение в мае вторых учебных курсов по вопросам защиты обвиняемых по уголовным делам лиц из числа коренных народов; специализированное обуч</w:t>
      </w:r>
      <w:r>
        <w:t>е</w:t>
      </w:r>
      <w:r>
        <w:t>ние прошли 44 новых государственных юридических защитника. К настоящему времени в стране насчитывается в общей сложности примерно 188 получивших специализированную подготовку государственных юридических защитников, адвокатов и других специалистов; такое количество подготовленных специал</w:t>
      </w:r>
      <w:r>
        <w:t>и</w:t>
      </w:r>
      <w:r>
        <w:t>стов позволяет предоставлять услуги специализированной защиты по уголо</w:t>
      </w:r>
      <w:r>
        <w:t>в</w:t>
      </w:r>
      <w:r>
        <w:t xml:space="preserve">ным делам на территории всей страны. </w:t>
      </w:r>
    </w:p>
    <w:p w:rsidR="009F61C6" w:rsidRDefault="009F61C6" w:rsidP="001B42B6">
      <w:pPr>
        <w:pStyle w:val="SingleTxtGR"/>
        <w:spacing w:after="240"/>
      </w:pPr>
      <w:r>
        <w:t>94.</w:t>
      </w:r>
      <w:r>
        <w:tab/>
        <w:t>Как показано в таблице, приведенной в приложении IX, в течение тек</w:t>
      </w:r>
      <w:r>
        <w:t>у</w:t>
      </w:r>
      <w:r>
        <w:t>щего года специализир</w:t>
      </w:r>
      <w:r>
        <w:t>о</w:t>
      </w:r>
      <w:r>
        <w:t>ванные государственные защитники обеспечили защиту примерно 706 обвиняемых по уголовным делам лиц из числа коренных нар</w:t>
      </w:r>
      <w:r>
        <w:t>о</w:t>
      </w:r>
      <w:r>
        <w:t xml:space="preserve">дов, т.е. 26,9% от общего числа таких обвиняемых, пользовавшихся услугами государственных защитников. </w:t>
      </w:r>
    </w:p>
    <w:p w:rsidR="009F61C6" w:rsidRDefault="009F61C6" w:rsidP="001B42B6">
      <w:pPr>
        <w:pStyle w:val="H4GR"/>
        <w:spacing w:before="120"/>
      </w:pPr>
      <w:r>
        <w:tab/>
      </w:r>
      <w:r>
        <w:tab/>
        <w:t>Поправки к Закону о борьбе с терроризмом</w:t>
      </w:r>
    </w:p>
    <w:p w:rsidR="009F61C6" w:rsidRDefault="009F61C6" w:rsidP="009F61C6">
      <w:pPr>
        <w:pStyle w:val="SingleTxtGR"/>
      </w:pPr>
      <w:r>
        <w:t>95.</w:t>
      </w:r>
      <w:r>
        <w:tab/>
        <w:t>Как подробно описано в приложении X, Закон № 20467 вносит серьезные поправки в определение уголовного преступления терроризма, а также ряд др</w:t>
      </w:r>
      <w:r>
        <w:t>у</w:t>
      </w:r>
      <w:r>
        <w:t>гих поправок, направленных на снижение или отмену наказаний за некоторые типы поведения. В соответствии с одной из поправок, в силу расплывчатости формулировки презумпции террористического умысла эта норма была искл</w:t>
      </w:r>
      <w:r>
        <w:t>ю</w:t>
      </w:r>
      <w:r>
        <w:t>чена. Это сделано для того, чтобы защитить презумпцию невиновности посре</w:t>
      </w:r>
      <w:r>
        <w:t>д</w:t>
      </w:r>
      <w:r>
        <w:t>ством нормы, устанавливающей, что любые обвинения в терроризме должны подтверждаться выдвигающим эти обвинения лицом, в то время как до внес</w:t>
      </w:r>
      <w:r>
        <w:t>е</w:t>
      </w:r>
      <w:r>
        <w:t>ния поправок бремя опровержения презумпции наличия в действиях террор</w:t>
      </w:r>
      <w:r>
        <w:t>и</w:t>
      </w:r>
      <w:r>
        <w:t xml:space="preserve">стического умысла возлагалось на обвиняемое лицо. </w:t>
      </w:r>
    </w:p>
    <w:p w:rsidR="009F61C6" w:rsidRDefault="009F61C6" w:rsidP="009F61C6">
      <w:pPr>
        <w:pStyle w:val="SingleTxtGR"/>
      </w:pPr>
      <w:r>
        <w:t>96.</w:t>
      </w:r>
      <w:r>
        <w:tab/>
        <w:t>Поправки, содержащиеся в Законе № 20519, разъясняют одно из полож</w:t>
      </w:r>
      <w:r>
        <w:t>е</w:t>
      </w:r>
      <w:r>
        <w:t xml:space="preserve">ний Закона о борьбе с терроризмом, которое неправильно применялось в судах, и устанавливают, что положения Закона о борьбе с терроризмом в отношении несовершеннолетних лиц не применяются. </w:t>
      </w:r>
    </w:p>
    <w:p w:rsidR="009F61C6" w:rsidRDefault="009F61C6" w:rsidP="009F61C6">
      <w:pPr>
        <w:pStyle w:val="SingleTxtGR"/>
      </w:pPr>
      <w:r>
        <w:t>97.</w:t>
      </w:r>
      <w:r>
        <w:tab/>
        <w:t>Что касается практического применения Закона о борьбе с терроризмом, то следует отметить, что в чилийском уголовном судопроизводстве право н</w:t>
      </w:r>
      <w:r>
        <w:t>а</w:t>
      </w:r>
      <w:r>
        <w:t>значения наказаний – в чем бы они ни заключались − в отношении одного лица или группы лиц принадлежит исключительно суду. В этой связи назначать нак</w:t>
      </w:r>
      <w:r>
        <w:t>а</w:t>
      </w:r>
      <w:r>
        <w:t>зания, предусмотренные в З</w:t>
      </w:r>
      <w:r w:rsidR="003B7721">
        <w:t>аконе о борьбе с терроризмом, и соответственно</w:t>
      </w:r>
      <w:r>
        <w:t xml:space="preserve"> квалифицировать пр</w:t>
      </w:r>
      <w:r>
        <w:t>е</w:t>
      </w:r>
      <w:r>
        <w:t xml:space="preserve">ступление как "террористическое" правомочен только председатель суда. </w:t>
      </w:r>
    </w:p>
    <w:p w:rsidR="009F61C6" w:rsidRDefault="009F61C6" w:rsidP="009F61C6">
      <w:pPr>
        <w:pStyle w:val="SingleTxtGR"/>
      </w:pPr>
      <w:r>
        <w:t>98.</w:t>
      </w:r>
      <w:r>
        <w:tab/>
        <w:t>Уголовные дела по поводу преступлений террористического характера могут возбуждать Госуда</w:t>
      </w:r>
      <w:r>
        <w:t>р</w:t>
      </w:r>
      <w:r>
        <w:t>ственная прокуратура, Министерство внутренних дел и общественной безопасности или соответствующие региональные власти, но во всех случаях только суды обладают компетенцией выносить судебные реш</w:t>
      </w:r>
      <w:r>
        <w:t>е</w:t>
      </w:r>
      <w:r>
        <w:t>ния в отношении того, было ли совершено преступление, носило ли оно терр</w:t>
      </w:r>
      <w:r>
        <w:t>о</w:t>
      </w:r>
      <w:r>
        <w:t>ристический хара</w:t>
      </w:r>
      <w:r>
        <w:t>к</w:t>
      </w:r>
      <w:r>
        <w:t>тер и наказуемо ли участие в нем обвиняемого лица или группы лиц.</w:t>
      </w:r>
    </w:p>
    <w:p w:rsidR="009F61C6" w:rsidRDefault="009F61C6" w:rsidP="009F61C6">
      <w:pPr>
        <w:pStyle w:val="SingleTxtGR"/>
      </w:pPr>
      <w:r>
        <w:t>99.</w:t>
      </w:r>
      <w:r>
        <w:tab/>
        <w:t>В этой связи очень важно иметь точную формулировку концепции "пр</w:t>
      </w:r>
      <w:r>
        <w:t>и</w:t>
      </w:r>
      <w:r>
        <w:t>менения" Закона о борьбе с терроризмом, поскольку, хотя Государственная пр</w:t>
      </w:r>
      <w:r>
        <w:t>о</w:t>
      </w:r>
      <w:r>
        <w:t>куратура и Министерство внутренних дел и общественной безопасности, в</w:t>
      </w:r>
      <w:r>
        <w:t>ы</w:t>
      </w:r>
      <w:r>
        <w:t>ступая в качестве стороны обвинения, могут ссылаться на указанный закон и утверждать, что конкретные действия носят террористический характер, это не влечет применения п</w:t>
      </w:r>
      <w:r>
        <w:t>о</w:t>
      </w:r>
      <w:r>
        <w:t>ложений указанного закона, поскольку решение вопроса о таком применении относится к исключительной компетенции судов. Соответс</w:t>
      </w:r>
      <w:r>
        <w:t>т</w:t>
      </w:r>
      <w:r w:rsidR="003B7721">
        <w:t>венно</w:t>
      </w:r>
      <w:r>
        <w:t xml:space="preserve"> факт ссылки на Закон о борьбе с терроризмом в обвинениях Государс</w:t>
      </w:r>
      <w:r>
        <w:t>т</w:t>
      </w:r>
      <w:r>
        <w:t>венной прокуратуры или Министерства внутренних дел и общественной без</w:t>
      </w:r>
      <w:r>
        <w:t>о</w:t>
      </w:r>
      <w:r>
        <w:t>пасности в ряде дел, касающихся лиц, относящихся к коренному народу мап</w:t>
      </w:r>
      <w:r>
        <w:t>у</w:t>
      </w:r>
      <w:r>
        <w:t>че, − несмотря на то, что истцами выступают представители государства, − не означает, что обвиняемые будут действительно осуждены за преступления те</w:t>
      </w:r>
      <w:r>
        <w:t>р</w:t>
      </w:r>
      <w:r>
        <w:t xml:space="preserve">рористического характера. </w:t>
      </w:r>
    </w:p>
    <w:p w:rsidR="009F61C6" w:rsidRDefault="009F61C6" w:rsidP="009F61C6">
      <w:pPr>
        <w:pStyle w:val="SingleTxtGR"/>
      </w:pPr>
      <w:r>
        <w:t>100.</w:t>
      </w:r>
      <w:r>
        <w:tab/>
        <w:t>В этом контексте правительство заявляет, что Закон о борьбе с террори</w:t>
      </w:r>
      <w:r>
        <w:t>з</w:t>
      </w:r>
      <w:r>
        <w:t>мом не будет применяется в отношении актов и требований социального пр</w:t>
      </w:r>
      <w:r>
        <w:t>о</w:t>
      </w:r>
      <w:r>
        <w:t>теста членов общины коренного народа мапуче, если по определению уголо</w:t>
      </w:r>
      <w:r>
        <w:t>в</w:t>
      </w:r>
      <w:r>
        <w:t>ного суда такие акты не являются преступлениями, подпадающими под опред</w:t>
      </w:r>
      <w:r>
        <w:t>е</w:t>
      </w:r>
      <w:r>
        <w:t>ление террористической деятельности, принятое в Законе о борьбе с террори</w:t>
      </w:r>
      <w:r>
        <w:t>з</w:t>
      </w:r>
      <w:r>
        <w:t xml:space="preserve">мом. </w:t>
      </w:r>
    </w:p>
    <w:p w:rsidR="009F61C6" w:rsidRDefault="009F61C6" w:rsidP="009F61C6">
      <w:pPr>
        <w:pStyle w:val="SingleTxtGR"/>
      </w:pPr>
      <w:r>
        <w:t>101.</w:t>
      </w:r>
      <w:r>
        <w:tab/>
        <w:t>Вышеизложенное подтверждает практика рассмотрения в уголовном суде устного делопроизво</w:t>
      </w:r>
      <w:r>
        <w:t>д</w:t>
      </w:r>
      <w:r>
        <w:t>ства города Каньете уголовного дела против Хектора Льяитуля, Рамона Льанкилео, Хосе Уэнуче и Х</w:t>
      </w:r>
      <w:r>
        <w:t>о</w:t>
      </w:r>
      <w:r>
        <w:t>натана Уильякаля – членов так называемой "Автономной общины мапуче" (КAM). Первоначально суд первой инстанции вынес обвиняемым обвинительный приговор за участие в вооруже</w:t>
      </w:r>
      <w:r>
        <w:t>н</w:t>
      </w:r>
      <w:r>
        <w:t>ном ограблении с причинением серьезных телесных повреждений; затем Ве</w:t>
      </w:r>
      <w:r>
        <w:t>р</w:t>
      </w:r>
      <w:r>
        <w:t>ховный суд отменил это решение суда и изменил квалификацию указанных пр</w:t>
      </w:r>
      <w:r>
        <w:t>е</w:t>
      </w:r>
      <w:r>
        <w:t>ступлений на ряд преступлений, выразившихся в нанесении серьезных теле</w:t>
      </w:r>
      <w:r>
        <w:t>с</w:t>
      </w:r>
      <w:r>
        <w:t>ных повреждений, и одно преступление нанесения легких повреждений. Ни в одном их решений судов обеих инстанций не применялось наказаний, пред</w:t>
      </w:r>
      <w:r>
        <w:t>у</w:t>
      </w:r>
      <w:r>
        <w:t>смотренных в Законе о борьбе с терроризмом, хотя в обвинении Государстве</w:t>
      </w:r>
      <w:r>
        <w:t>н</w:t>
      </w:r>
      <w:r>
        <w:t xml:space="preserve">ной прокуратуры использовалась ссылка на этот закон. </w:t>
      </w:r>
    </w:p>
    <w:p w:rsidR="009F61C6" w:rsidRDefault="009F61C6" w:rsidP="009F61C6">
      <w:pPr>
        <w:pStyle w:val="SingleTxtGR"/>
      </w:pPr>
      <w:r>
        <w:t>102.</w:t>
      </w:r>
      <w:r>
        <w:tab/>
        <w:t>Правительство хотело бы подчеркнуть, что в структуре государственного управления страной нет ни одного органа, в функции которого входило бы пр</w:t>
      </w:r>
      <w:r>
        <w:t>е</w:t>
      </w:r>
      <w:r>
        <w:t>следование и осуждение членов общины мапуче в соответствии с Законом о борьбе с терроризмом в целях признания их требований относительно прав на свои исконные земли уголовно наказуемыми деяниями и подавления соответс</w:t>
      </w:r>
      <w:r>
        <w:t>т</w:t>
      </w:r>
      <w:r>
        <w:t>вующих выступлений. Если бы такой орган существовал, то во всех случаях уголовного преследования, инициируемого в соответствии с указанным зак</w:t>
      </w:r>
      <w:r>
        <w:t>о</w:t>
      </w:r>
      <w:r>
        <w:t>ном, обвиняемые были бы осуждены. Фактически этого не произошло. Благ</w:t>
      </w:r>
      <w:r>
        <w:t>о</w:t>
      </w:r>
      <w:r>
        <w:t>даря наличию демократических институтов и верховенству закона в отношении обвиняемых применяетс</w:t>
      </w:r>
      <w:r w:rsidR="00D9110A">
        <w:t>я надлежащая правовая процедура</w:t>
      </w:r>
      <w:r>
        <w:t xml:space="preserve"> и во многих случ</w:t>
      </w:r>
      <w:r>
        <w:t>а</w:t>
      </w:r>
      <w:r>
        <w:t>ях суды выносят оправдательные приговоры. Кроме того, правительство Чили сл</w:t>
      </w:r>
      <w:r>
        <w:t>е</w:t>
      </w:r>
      <w:r>
        <w:t>дит за тем, чтобы упомянутый закон применялся только на основе тщател</w:t>
      </w:r>
      <w:r>
        <w:t>ь</w:t>
      </w:r>
      <w:r>
        <w:t xml:space="preserve">ного анализа конкретных обстоятельств каждого дела. </w:t>
      </w:r>
    </w:p>
    <w:p w:rsidR="009F61C6" w:rsidRDefault="009F61C6" w:rsidP="009F61C6">
      <w:pPr>
        <w:pStyle w:val="SingleTxtGR"/>
      </w:pPr>
      <w:r>
        <w:t>103.</w:t>
      </w:r>
      <w:r>
        <w:tab/>
        <w:t>Правительство Чили неоднократно заявляло и заявляет о своей ничем не ограниченной и постоянной решимости укреплять защиту прав человека и пр</w:t>
      </w:r>
      <w:r>
        <w:t>о</w:t>
      </w:r>
      <w:r>
        <w:t>двигаться вперед в развитии и поощрении культуры уважения и недискримин</w:t>
      </w:r>
      <w:r>
        <w:t>а</w:t>
      </w:r>
      <w:r>
        <w:t>ции как фактора, составляющего основу эффективной и инклюзивной демокр</w:t>
      </w:r>
      <w:r>
        <w:t>а</w:t>
      </w:r>
      <w:r>
        <w:t>тии. В этом контексте следует отметить, что на территории Республики фун</w:t>
      </w:r>
      <w:r>
        <w:t>к</w:t>
      </w:r>
      <w:r>
        <w:t>ционирует подлинное правовое государство, в котором права человека призн</w:t>
      </w:r>
      <w:r>
        <w:t>а</w:t>
      </w:r>
      <w:r>
        <w:t>ны и гарантированы Политической конституцией Республики и другими юр</w:t>
      </w:r>
      <w:r>
        <w:t>и</w:t>
      </w:r>
      <w:r>
        <w:t>дическими нормами демократического правопорядка, которые гарантируют всем жителям страны одинаковые права и гарантии, без каких бы то ни было различий или дискримин</w:t>
      </w:r>
      <w:r>
        <w:t>а</w:t>
      </w:r>
      <w:r>
        <w:t>ции.</w:t>
      </w:r>
    </w:p>
    <w:p w:rsidR="009F61C6" w:rsidRDefault="009F61C6" w:rsidP="009F61C6">
      <w:pPr>
        <w:pStyle w:val="SingleTxtGR"/>
      </w:pPr>
      <w:r>
        <w:t>104.</w:t>
      </w:r>
      <w:r>
        <w:tab/>
        <w:t>Однако чилийское государство не может уклоняться от выполнения своих обязанностей по обе</w:t>
      </w:r>
      <w:r>
        <w:t>с</w:t>
      </w:r>
      <w:r>
        <w:t>печению и защите конституционных демократических ценностей и основных свобод и по недопущению совершения преступлений, серьезно нарушающих общественный порядок и вызывающих страх у насел</w:t>
      </w:r>
      <w:r>
        <w:t>е</w:t>
      </w:r>
      <w:r>
        <w:t>ния, ибо такое уклонение означало бы невыполнение предписаний Конституции Республики (третий абзац статьи 76). Соо</w:t>
      </w:r>
      <w:r w:rsidR="00D9110A">
        <w:t>тветственно</w:t>
      </w:r>
      <w:r>
        <w:t xml:space="preserve"> государство не имеет права уклоняться от выполнения своих обязанностей по поддержанию общес</w:t>
      </w:r>
      <w:r>
        <w:t>т</w:t>
      </w:r>
      <w:r>
        <w:t>венного порядка и обеспечению безопасности всех жителей страны. При и</w:t>
      </w:r>
      <w:r>
        <w:t>с</w:t>
      </w:r>
      <w:r>
        <w:t>полнении этих обязанностей не допускается никаких предпочтений или нег</w:t>
      </w:r>
      <w:r>
        <w:t>а</w:t>
      </w:r>
      <w:r>
        <w:t>тивного отношения и никакой дискриминации, действием или бездействием, в отнош</w:t>
      </w:r>
      <w:r>
        <w:t>е</w:t>
      </w:r>
      <w:r>
        <w:t xml:space="preserve">нии какой-либо группы людей. </w:t>
      </w:r>
    </w:p>
    <w:p w:rsidR="009F61C6" w:rsidRDefault="009F61C6" w:rsidP="009F61C6">
      <w:pPr>
        <w:pStyle w:val="SingleTxtGR"/>
      </w:pPr>
      <w:r>
        <w:t>105.</w:t>
      </w:r>
      <w:r>
        <w:tab/>
        <w:t>В этой связи полезно отметить, что для выполнения своей обязанности обеспечить в Чили верховенство закона и соблюдение национального законод</w:t>
      </w:r>
      <w:r>
        <w:t>а</w:t>
      </w:r>
      <w:r>
        <w:t>тельства и норм международного права государство должно, с одной стороны, признать особые условия коренных народов, а с другой стороны − пресекать действия, нарушающие уголовное право и наносящие ущерб мирному законн</w:t>
      </w:r>
      <w:r>
        <w:t>о</w:t>
      </w:r>
      <w:r>
        <w:t>му общежитию людей, независимо от того, кто совершает такие действия, и н</w:t>
      </w:r>
      <w:r>
        <w:t>е</w:t>
      </w:r>
      <w:r>
        <w:t>уклонно выполнять обязательные для всех государств юридические обязанн</w:t>
      </w:r>
      <w:r>
        <w:t>о</w:t>
      </w:r>
      <w:r>
        <w:t>сти предупреждать и осуждать все виды деятельности или поведения, испол</w:t>
      </w:r>
      <w:r>
        <w:t>ь</w:t>
      </w:r>
      <w:r>
        <w:t>зующие террор и насилие в качестве орудия для достижения своих пр</w:t>
      </w:r>
      <w:r>
        <w:t>е</w:t>
      </w:r>
      <w:r>
        <w:t>ступных целей; при этом государство исходит из понимания, что в мире существует ко</w:t>
      </w:r>
      <w:r>
        <w:t>н</w:t>
      </w:r>
      <w:r>
        <w:t>сенсус в отношении осуждения методов террора и насилия, независимо от к</w:t>
      </w:r>
      <w:r>
        <w:t>о</w:t>
      </w:r>
      <w:r>
        <w:t xml:space="preserve">нечных политических целей применения этих методов. </w:t>
      </w:r>
    </w:p>
    <w:p w:rsidR="009F61C6" w:rsidRDefault="009F61C6" w:rsidP="009F61C6">
      <w:pPr>
        <w:pStyle w:val="H23GR"/>
      </w:pPr>
      <w:r>
        <w:tab/>
        <w:t>2.</w:t>
      </w:r>
      <w:r>
        <w:tab/>
        <w:t>Права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w:t>
      </w:r>
      <w:r>
        <w:t>п</w:t>
      </w:r>
      <w:r>
        <w:t>пами или учреждениями</w:t>
      </w:r>
    </w:p>
    <w:p w:rsidR="009F61C6" w:rsidRDefault="009F61C6" w:rsidP="009F61C6">
      <w:pPr>
        <w:pStyle w:val="SingleTxtGR"/>
      </w:pPr>
      <w:r>
        <w:t>106.</w:t>
      </w:r>
      <w:r>
        <w:tab/>
        <w:t>В пункте 7 статьи 19 Конституции Республики гарантируется право на личную свободу и на ли</w:t>
      </w:r>
      <w:r>
        <w:t>ч</w:t>
      </w:r>
      <w:r>
        <w:t>ную безопасность всем лицам, независимо от их расы или этническог</w:t>
      </w:r>
      <w:r w:rsidR="007D0B61">
        <w:t>о происхождения. Соответственно</w:t>
      </w:r>
      <w:r>
        <w:t xml:space="preserve"> этими правами могут польз</w:t>
      </w:r>
      <w:r>
        <w:t>о</w:t>
      </w:r>
      <w:r>
        <w:t>ваться все лица, находящиеся на чилийской территории, и в случае фактическ</w:t>
      </w:r>
      <w:r>
        <w:t>о</w:t>
      </w:r>
      <w:r>
        <w:t>го лишения или нарушения этих прав или угрозы их нарушения любое лицо может обратиться в суды или в другие компетентные органы власти с требов</w:t>
      </w:r>
      <w:r>
        <w:t>а</w:t>
      </w:r>
      <w:r>
        <w:t>нием о защите своих прав или о принятии мер против произвольной дискрим</w:t>
      </w:r>
      <w:r>
        <w:t>и</w:t>
      </w:r>
      <w:r>
        <w:t xml:space="preserve">нации. </w:t>
      </w:r>
    </w:p>
    <w:p w:rsidR="009F61C6" w:rsidRDefault="009F61C6" w:rsidP="009F61C6">
      <w:pPr>
        <w:pStyle w:val="SingleTxtGR"/>
      </w:pPr>
      <w:r>
        <w:t>107.</w:t>
      </w:r>
      <w:r>
        <w:tab/>
        <w:t>Кроме того, как об этом говорилось выше (см. пункт 88 и далее), в Слу</w:t>
      </w:r>
      <w:r>
        <w:t>ж</w:t>
      </w:r>
      <w:r>
        <w:t>бе государственной защиты по уголовным делам имеется специальное подра</w:t>
      </w:r>
      <w:r>
        <w:t>з</w:t>
      </w:r>
      <w:r>
        <w:t>деление, обеспечивающее защиту лиц из числа к</w:t>
      </w:r>
      <w:r>
        <w:t>о</w:t>
      </w:r>
      <w:r>
        <w:t>ренных народов.</w:t>
      </w:r>
    </w:p>
    <w:p w:rsidR="009F61C6" w:rsidRDefault="009F61C6" w:rsidP="009F61C6">
      <w:pPr>
        <w:pStyle w:val="SingleTxtGR"/>
      </w:pPr>
      <w:r>
        <w:t>108.</w:t>
      </w:r>
      <w:r>
        <w:tab/>
        <w:t>Следует особо отметить, что, по данным корпуса карабинеров Чили, за период с 2007 года до н</w:t>
      </w:r>
      <w:r>
        <w:t>а</w:t>
      </w:r>
      <w:r>
        <w:t>стоящего времени в стране нет статистических данных о нападениях с применением насилия на лиц, принадлежащих к группам рас</w:t>
      </w:r>
      <w:r>
        <w:t>о</w:t>
      </w:r>
      <w:r>
        <w:t>вых меньшинств.</w:t>
      </w:r>
    </w:p>
    <w:p w:rsidR="009F61C6" w:rsidRDefault="009F61C6" w:rsidP="009F61C6">
      <w:pPr>
        <w:pStyle w:val="SingleTxtGR"/>
      </w:pPr>
      <w:r>
        <w:t>109.</w:t>
      </w:r>
      <w:r>
        <w:tab/>
        <w:t>В целях недопущения случаев применения сотрудниками полиции чре</w:t>
      </w:r>
      <w:r>
        <w:t>з</w:t>
      </w:r>
      <w:r>
        <w:t>мерной силы в отношении каких бы то ни было лиц, и особенно в отношении манифестантов из числа коренных народов, а также в целях усиления обучения сотрудников полиции по тематике прав человека и с учетом необходимости иметь центральный орган, несущий институциональную ответственность за с</w:t>
      </w:r>
      <w:r>
        <w:t>о</w:t>
      </w:r>
      <w:r>
        <w:t xml:space="preserve">ответствующую работу, Главное управление корпуса карабинеров в 2011 году приняло решение о создании Департамента по правам человека. </w:t>
      </w:r>
    </w:p>
    <w:p w:rsidR="009F61C6" w:rsidRDefault="009F61C6" w:rsidP="009F61C6">
      <w:pPr>
        <w:pStyle w:val="SingleTxtGR"/>
      </w:pPr>
      <w:r>
        <w:t>110.</w:t>
      </w:r>
      <w:r>
        <w:tab/>
        <w:t>В функции указанного департамента входит работа по всем вопросам, связанным с соблюдением прав человека в деятельности карабинеров, в частн</w:t>
      </w:r>
      <w:r>
        <w:t>о</w:t>
      </w:r>
      <w:r>
        <w:t>сти: поддержание постоянной связи и координация деятельности со всеми гос</w:t>
      </w:r>
      <w:r>
        <w:t>у</w:t>
      </w:r>
      <w:r>
        <w:t>дарственными органами, занимающимися вопросами прав человека, в том чи</w:t>
      </w:r>
      <w:r>
        <w:t>с</w:t>
      </w:r>
      <w:r>
        <w:t>ле и в первую очередь с НИПЧ, а также со всеми занимающимися соответс</w:t>
      </w:r>
      <w:r>
        <w:t>т</w:t>
      </w:r>
      <w:r>
        <w:t>вующими вопросами физическими и юридическими лицами; осуществление последующей деятельности по делам и ситуациям, касающимся соблюдения связанных с правами человека процессуальных норм как универсальной, так и межамериканской систем права, с уделением особого внимания жалобам, к</w:t>
      </w:r>
      <w:r>
        <w:t>а</w:t>
      </w:r>
      <w:r>
        <w:t>сающимся якобы имевшей место произвольной дискриминации, нарушений правил обращения с людьми и других нарушений такого рода; анализ и иссл</w:t>
      </w:r>
      <w:r>
        <w:t>е</w:t>
      </w:r>
      <w:r>
        <w:t>дование конкретных дел в области прав человека, выработка рекомендаций для практического использования в последующей работе и распространение этих рекомендаций, а также координация работы по отражению таких рекомендаций в ведомственных учебных материалах; осуществление контроля за тем, чтобы ведомственные правила обеспечивали уважение основных прав, присущих пр</w:t>
      </w:r>
      <w:r>
        <w:t>и</w:t>
      </w:r>
      <w:r>
        <w:t>роде человека; и организация по мере необходимости в связи с выполнением своих институциональных функций взаимодействия с различными учрежд</w:t>
      </w:r>
      <w:r>
        <w:t>е</w:t>
      </w:r>
      <w:r>
        <w:t xml:space="preserve">ниями по вопросам как сбора информации, так и выработки правил и процедур по вопросам, касающимся прав человека. </w:t>
      </w:r>
    </w:p>
    <w:p w:rsidR="009F61C6" w:rsidRDefault="009F61C6" w:rsidP="009F61C6">
      <w:pPr>
        <w:pStyle w:val="SingleTxtGR"/>
      </w:pPr>
      <w:r>
        <w:t>111.</w:t>
      </w:r>
      <w:r>
        <w:tab/>
        <w:t>Что касается жалоб о нарушениях сотрудниками корпуса карабинеров прав лиц из числа народа мапуче, то правительство Чили заявляет о своем с</w:t>
      </w:r>
      <w:r>
        <w:t>о</w:t>
      </w:r>
      <w:r>
        <w:t>гласии провести расследование по упомянутым жалобам и в случае подтве</w:t>
      </w:r>
      <w:r>
        <w:t>р</w:t>
      </w:r>
      <w:r>
        <w:t xml:space="preserve">ждения фактов таких нарушений применить необходимые санкции. </w:t>
      </w:r>
    </w:p>
    <w:p w:rsidR="009F61C6" w:rsidRDefault="009F61C6" w:rsidP="009F61C6">
      <w:pPr>
        <w:pStyle w:val="SingleTxtGR"/>
      </w:pPr>
      <w:r>
        <w:t>112.</w:t>
      </w:r>
      <w:r>
        <w:tab/>
        <w:t>В среднесрочной перспективе в Национальном конгрессе запланировано рассмотрение двух законопроектов, предусматривающих существенное измен</w:t>
      </w:r>
      <w:r>
        <w:t>е</w:t>
      </w:r>
      <w:r>
        <w:t>ние норм, регулирующих отправление правосудия военными трибуналами, п</w:t>
      </w:r>
      <w:r>
        <w:t>у</w:t>
      </w:r>
      <w:r>
        <w:t>тем ограничения юрисдикции и компетенции военных трибуналов в соответс</w:t>
      </w:r>
      <w:r>
        <w:t>т</w:t>
      </w:r>
      <w:r>
        <w:t>вии с действующими международными стандартами; в частности, в соответс</w:t>
      </w:r>
      <w:r>
        <w:t>т</w:t>
      </w:r>
      <w:r>
        <w:t>вии с предлагаемыми в указанных законопроектах изменениями гражданские суды смогут проводить расследования и выносить наказания за любые злоупо</w:t>
      </w:r>
      <w:r>
        <w:t>т</w:t>
      </w:r>
      <w:r>
        <w:t>ребления властью или преступления, совершенные сотрудниками полиции. Следует также отметить, что в феврале 2011 года был опубликован З</w:t>
      </w:r>
      <w:r>
        <w:t>а</w:t>
      </w:r>
      <w:r>
        <w:t>кон № 20502 о создании Министерства внутренних дел и общественной без</w:t>
      </w:r>
      <w:r>
        <w:t>о</w:t>
      </w:r>
      <w:r>
        <w:t>пасности; согласно этому закону корпус карабинеров и криминальная полиция выведены из подчинения Министерству обороны и теперь находятся в ведении Министе</w:t>
      </w:r>
      <w:r>
        <w:t>р</w:t>
      </w:r>
      <w:r>
        <w:t xml:space="preserve">ства внутренних дел. </w:t>
      </w:r>
    </w:p>
    <w:p w:rsidR="009F61C6" w:rsidRDefault="009F61C6" w:rsidP="009F61C6">
      <w:pPr>
        <w:pStyle w:val="H23GR"/>
      </w:pPr>
      <w:r>
        <w:tab/>
        <w:t>3.</w:t>
      </w:r>
      <w:r>
        <w:tab/>
        <w:t>Политические права</w:t>
      </w:r>
    </w:p>
    <w:p w:rsidR="009F61C6" w:rsidRDefault="009F61C6" w:rsidP="009F61C6">
      <w:pPr>
        <w:pStyle w:val="SingleTxtGR"/>
      </w:pPr>
      <w:r>
        <w:t>113.</w:t>
      </w:r>
      <w:r>
        <w:tab/>
        <w:t>Как уже отмечалось выше в настоящем докладе, в Чили иностранцы м</w:t>
      </w:r>
      <w:r>
        <w:t>о</w:t>
      </w:r>
      <w:r>
        <w:t>гут реализовать свое пр</w:t>
      </w:r>
      <w:r>
        <w:t>а</w:t>
      </w:r>
      <w:r>
        <w:t>во голоса в формах и случаях, установленных законом, а именно, если они проживают в Чили в течение более пяти лет и соответств</w:t>
      </w:r>
      <w:r>
        <w:t>у</w:t>
      </w:r>
      <w:r>
        <w:t>ют другим требованиям, предъявляемым ко всем чилийцам: быть старше 18 лет и не иметь судимости за тяжкое преступление. Через пять лет после получения документов о натурализации они могут претендовать на занятие государстве</w:t>
      </w:r>
      <w:r>
        <w:t>н</w:t>
      </w:r>
      <w:r>
        <w:t>ных должностей.</w:t>
      </w:r>
    </w:p>
    <w:p w:rsidR="009F61C6" w:rsidRDefault="009F61C6" w:rsidP="009F61C6">
      <w:pPr>
        <w:pStyle w:val="SingleTxtGR"/>
      </w:pPr>
      <w:r>
        <w:t>114.</w:t>
      </w:r>
      <w:r>
        <w:tab/>
        <w:t>Лица, принадлежащие к коренным народам, пользуются политическими правами, одинаковыми для всех чилийцев, в соответствии с одними и теми же требованиями, установленными Конституцией и законами (они должны быть гражданами Чили в возрасте старше 18 лет и не иметь судимости за тяжкое преступление), без дискриминации или маргинализации по признаку своего э</w:t>
      </w:r>
      <w:r>
        <w:t>т</w:t>
      </w:r>
      <w:r>
        <w:t>нического происхожд</w:t>
      </w:r>
      <w:r>
        <w:t>е</w:t>
      </w:r>
      <w:r>
        <w:t xml:space="preserve">ния. </w:t>
      </w:r>
    </w:p>
    <w:p w:rsidR="009F61C6" w:rsidRDefault="009F61C6" w:rsidP="009F61C6">
      <w:pPr>
        <w:pStyle w:val="H23GR"/>
      </w:pPr>
      <w:r>
        <w:tab/>
        <w:t>4.</w:t>
      </w:r>
      <w:r>
        <w:tab/>
        <w:t>Другие гражданские права</w:t>
      </w:r>
    </w:p>
    <w:p w:rsidR="009F61C6" w:rsidRDefault="009F61C6" w:rsidP="009F61C6">
      <w:pPr>
        <w:pStyle w:val="SingleTxtGR"/>
      </w:pPr>
      <w:r>
        <w:t>115.</w:t>
      </w:r>
      <w:r>
        <w:tab/>
        <w:t xml:space="preserve">Конституция Чили </w:t>
      </w:r>
      <w:r w:rsidR="007D0B61">
        <w:t>гарантирует всем жителям страны</w:t>
      </w:r>
      <w:r>
        <w:t xml:space="preserve"> без различий по признакам национального, родового или этн</w:t>
      </w:r>
      <w:r w:rsidR="007D0B61">
        <w:t>ического происхождения или расы</w:t>
      </w:r>
      <w:r>
        <w:t xml:space="preserve"> право проживания и свободного передвижения по территории страны и право на выезд из страны и на въезд в страну в установлен</w:t>
      </w:r>
      <w:r w:rsidR="007D0B61">
        <w:t>н</w:t>
      </w:r>
      <w:r>
        <w:t xml:space="preserve">ом законом порядке. </w:t>
      </w:r>
    </w:p>
    <w:p w:rsidR="009F61C6" w:rsidRDefault="009F61C6" w:rsidP="009F61C6">
      <w:pPr>
        <w:pStyle w:val="SingleTxtGR"/>
      </w:pPr>
      <w:r>
        <w:t>116.</w:t>
      </w:r>
      <w:r>
        <w:tab/>
        <w:t>Статья 10 Конституции также устанавливает, что право на получение ч</w:t>
      </w:r>
      <w:r>
        <w:t>и</w:t>
      </w:r>
      <w:r>
        <w:t>лийского гражданства имеют все родившиеся на территории страны лица, в том числе дети проживающих в стране иностранцев, которые при желании могут получить чилийское гражданство.</w:t>
      </w:r>
    </w:p>
    <w:p w:rsidR="009F61C6" w:rsidRDefault="009F61C6" w:rsidP="009F61C6">
      <w:pPr>
        <w:pStyle w:val="SingleTxtGR"/>
      </w:pPr>
      <w:r>
        <w:t>117.</w:t>
      </w:r>
      <w:r>
        <w:tab/>
        <w:t>Как отмечалось в предыдущем докладе, в Чили брак представляет собой договор, регулируемый нормами гражданского права, в котором нет никаких ограничений по признакам расы, этнической пр</w:t>
      </w:r>
      <w:r>
        <w:t>и</w:t>
      </w:r>
      <w:r>
        <w:t>надлежности или гражданства сторон контракта.</w:t>
      </w:r>
    </w:p>
    <w:p w:rsidR="009F61C6" w:rsidRDefault="009F61C6" w:rsidP="009F61C6">
      <w:pPr>
        <w:pStyle w:val="SingleTxtGR"/>
      </w:pPr>
      <w:r>
        <w:t>118.</w:t>
      </w:r>
      <w:r>
        <w:tab/>
        <w:t>В целях укрепления института брака без какой-либо дискриминации, а также в целях социального включения языков коренных народов, Национальная служба регистрации актов гражданского состояния и идентификации, признавая необходимость обеспечения для соответствующих групп населения возможн</w:t>
      </w:r>
      <w:r>
        <w:t>о</w:t>
      </w:r>
      <w:r>
        <w:t>сти выполнять процедуры заключения брака на своем родном языке, разработ</w:t>
      </w:r>
      <w:r>
        <w:t>а</w:t>
      </w:r>
      <w:r>
        <w:t>ла для применения в регионах Био-Био и Араукания двуязычные процедуры з</w:t>
      </w:r>
      <w:r>
        <w:t>а</w:t>
      </w:r>
      <w:r>
        <w:t>ключения браков. Проведено четыре двуязычных церемонии заключения бр</w:t>
      </w:r>
      <w:r>
        <w:t>а</w:t>
      </w:r>
      <w:r>
        <w:t xml:space="preserve">ка с участием должностных лиц, владеющих родным языком лиц, вступающих в брак. </w:t>
      </w:r>
    </w:p>
    <w:p w:rsidR="009F61C6" w:rsidRDefault="009F61C6" w:rsidP="009F61C6">
      <w:pPr>
        <w:pStyle w:val="SingleTxtGR"/>
      </w:pPr>
      <w:r>
        <w:t>119.</w:t>
      </w:r>
      <w:r>
        <w:tab/>
        <w:t>В общине Альто-Био-Био в регионе Био-Био, в которой проживают лица, принадлежащие к коренному народу пеуэнче, имеется один гражданский сл</w:t>
      </w:r>
      <w:r>
        <w:t>у</w:t>
      </w:r>
      <w:r>
        <w:t>жащий, обученный проведению брачных церемоний на языке чедангун – ди</w:t>
      </w:r>
      <w:r>
        <w:t>а</w:t>
      </w:r>
      <w:r>
        <w:t xml:space="preserve">лекте, на котором говорят местные пеуэнче. В этом году в указанной общине на языке чедангун уже проведено две церемонии бракосочетания. </w:t>
      </w:r>
    </w:p>
    <w:p w:rsidR="009F61C6" w:rsidRDefault="009F61C6" w:rsidP="009F61C6">
      <w:pPr>
        <w:pStyle w:val="SingleTxtGR"/>
      </w:pPr>
      <w:r>
        <w:t>120.</w:t>
      </w:r>
      <w:r>
        <w:tab/>
        <w:t>В регионе Араукания прошли две церемонии бракосочетания на языке мапудунгун, что стало возможным благодаря поддержке КОНАДИ, позволи</w:t>
      </w:r>
      <w:r>
        <w:t>в</w:t>
      </w:r>
      <w:r>
        <w:t>шей обучить пять гражданских служащих этого региона языку мапудунгун и космологии мапуче. Прошедшие это обучение служащие теперь могут пров</w:t>
      </w:r>
      <w:r>
        <w:t>о</w:t>
      </w:r>
      <w:r>
        <w:t>дить двуязычные церемонии бракосочетания. Причем эти служащие проводят двуязычные церемонии бракосочетания не только в общине, в которой они р</w:t>
      </w:r>
      <w:r>
        <w:t>а</w:t>
      </w:r>
      <w:r>
        <w:t>ботают постоянно, но и в других муниципиях региона, обращающихся с соо</w:t>
      </w:r>
      <w:r>
        <w:t>т</w:t>
      </w:r>
      <w:r>
        <w:t xml:space="preserve">ветствующими просьбами; администрация региона Араукания принимает меры по увеличению числа обученных в этой области гражданских служащих. </w:t>
      </w:r>
    </w:p>
    <w:p w:rsidR="009F61C6" w:rsidRDefault="009F61C6" w:rsidP="009F61C6">
      <w:pPr>
        <w:pStyle w:val="SingleTxtGR"/>
      </w:pPr>
      <w:r>
        <w:t>121.</w:t>
      </w:r>
      <w:r>
        <w:tab/>
        <w:t>В настоящее время изучаются возможности проведения церемоний бр</w:t>
      </w:r>
      <w:r>
        <w:t>а</w:t>
      </w:r>
      <w:r>
        <w:t>косочетания на языке рапа-нуи для групп коренного народа</w:t>
      </w:r>
      <w:r w:rsidR="007D0B61">
        <w:t xml:space="preserve"> </w:t>
      </w:r>
      <w:r>
        <w:t>–</w:t>
      </w:r>
      <w:r w:rsidR="007D0B61">
        <w:t xml:space="preserve"> </w:t>
      </w:r>
      <w:r>
        <w:t>носителей культ</w:t>
      </w:r>
      <w:r>
        <w:t>у</w:t>
      </w:r>
      <w:r>
        <w:t xml:space="preserve">ры рапа-нуи, проживающих на острове Пасхи. </w:t>
      </w:r>
    </w:p>
    <w:p w:rsidR="009F61C6" w:rsidRDefault="009F61C6" w:rsidP="009F61C6">
      <w:pPr>
        <w:pStyle w:val="SingleTxtGR"/>
      </w:pPr>
      <w:r>
        <w:t>122.</w:t>
      </w:r>
      <w:r>
        <w:tab/>
        <w:t>Следует также отметить, что в соответствии с Распоряжением президе</w:t>
      </w:r>
      <w:r>
        <w:t>н</w:t>
      </w:r>
      <w:r>
        <w:t>та № 3 от 4 августа 2010 года центральным органам государственной администр</w:t>
      </w:r>
      <w:r>
        <w:t>а</w:t>
      </w:r>
      <w:r>
        <w:t>ции предписано приглашать для участия в официальных торжественных мер</w:t>
      </w:r>
      <w:r>
        <w:t>о</w:t>
      </w:r>
      <w:r>
        <w:t>приятиях представителей традиционных институтов власти коренных н</w:t>
      </w:r>
      <w:r>
        <w:t>а</w:t>
      </w:r>
      <w:r>
        <w:t>родов. К таким признаным институтам относятся вожди общин коренных народов, л</w:t>
      </w:r>
      <w:r>
        <w:t>и</w:t>
      </w:r>
      <w:r>
        <w:t>деры народа уиличе, совет старейшин народа рапа-нуи и другие трад</w:t>
      </w:r>
      <w:r>
        <w:t>и</w:t>
      </w:r>
      <w:r>
        <w:t>ционные или религиозные органы самоуправления коренных народов, признанных в З</w:t>
      </w:r>
      <w:r>
        <w:t>а</w:t>
      </w:r>
      <w:r>
        <w:t xml:space="preserve">коне о коренных народах. </w:t>
      </w:r>
    </w:p>
    <w:p w:rsidR="009F61C6" w:rsidRDefault="009F61C6" w:rsidP="009F61C6">
      <w:pPr>
        <w:pStyle w:val="SingleTxtGR"/>
      </w:pPr>
      <w:r>
        <w:t>123.</w:t>
      </w:r>
      <w:r>
        <w:tab/>
        <w:t>Предпринимаемые правительством меры по развитию и улучшению п</w:t>
      </w:r>
      <w:r>
        <w:t>о</w:t>
      </w:r>
      <w:r>
        <w:t>ложения женщин коренных народов координируются специальной междисци</w:t>
      </w:r>
      <w:r>
        <w:t>п</w:t>
      </w:r>
      <w:r>
        <w:t>линарной комиссией. На этой основе в 2011 году были подписаны соглашение между СЕРНАМ и КОНАДИ и соглашение между Главным управлением соц</w:t>
      </w:r>
      <w:r>
        <w:t>и</w:t>
      </w:r>
      <w:r>
        <w:t>альной защиты Министерства труда и КОНАДИ относительно мер по улучш</w:t>
      </w:r>
      <w:r>
        <w:t>е</w:t>
      </w:r>
      <w:r>
        <w:t>нию положения женщин коренных народов и расширению их участия в рынке труда.</w:t>
      </w:r>
    </w:p>
    <w:p w:rsidR="009F61C6" w:rsidRDefault="009F61C6" w:rsidP="009F61C6">
      <w:pPr>
        <w:pStyle w:val="SingleTxtGR"/>
      </w:pPr>
      <w:r>
        <w:t>124.</w:t>
      </w:r>
      <w:r>
        <w:tab/>
        <w:t>Кроме того, в том же году был учрежден Межсекторальный "круглый стол" по делам женщин коренных народов, который является механизмом ме</w:t>
      </w:r>
      <w:r>
        <w:t>ж</w:t>
      </w:r>
      <w:r>
        <w:t>секторального взаимодействия в целях улучшения качества жизни женщин к</w:t>
      </w:r>
      <w:r>
        <w:t>о</w:t>
      </w:r>
      <w:r>
        <w:t xml:space="preserve">ренных народов Чили путем развития их экономической самостоятельности и повышения уровня социальной вовлеченности. </w:t>
      </w:r>
    </w:p>
    <w:p w:rsidR="009F61C6" w:rsidRDefault="009F61C6" w:rsidP="00631A31">
      <w:pPr>
        <w:pStyle w:val="H4GR"/>
        <w:spacing w:before="240"/>
      </w:pPr>
      <w:r>
        <w:tab/>
      </w:r>
      <w:r>
        <w:tab/>
        <w:t>Право на труд</w:t>
      </w:r>
    </w:p>
    <w:p w:rsidR="009F61C6" w:rsidRDefault="009F61C6" w:rsidP="009F61C6">
      <w:pPr>
        <w:pStyle w:val="SingleTxtGR"/>
      </w:pPr>
      <w:r>
        <w:t>125.</w:t>
      </w:r>
      <w:r>
        <w:tab/>
        <w:t>Выше, в пункте 14, приведены данные о социально-экономическом пол</w:t>
      </w:r>
      <w:r>
        <w:t>о</w:t>
      </w:r>
      <w:r>
        <w:t>жении коренных народов страны, а в пунктах 20−22 – информация о положении проживающих в стране мигрантов.</w:t>
      </w:r>
    </w:p>
    <w:p w:rsidR="009F61C6" w:rsidRDefault="009F61C6" w:rsidP="009F61C6">
      <w:pPr>
        <w:pStyle w:val="SingleTxtGR"/>
      </w:pPr>
      <w:r>
        <w:t>126.</w:t>
      </w:r>
      <w:r>
        <w:tab/>
        <w:t>Конституция страны запрещает любую дискриминацию, не основанную на признании личных профессиональных навыков или способностей, хотя в н</w:t>
      </w:r>
      <w:r>
        <w:t>е</w:t>
      </w:r>
      <w:r>
        <w:t>которых ситуациях нормы закона допускают требование относительно того, чтобы у соискателя работы было чилийское гражданство, или устанавливают определенные ограничения по возрасту. Помимо этого</w:t>
      </w:r>
      <w:r w:rsidR="00BE3577">
        <w:t>,</w:t>
      </w:r>
      <w:r>
        <w:t xml:space="preserve"> Трудовой кодекс пред</w:t>
      </w:r>
      <w:r>
        <w:t>у</w:t>
      </w:r>
      <w:r>
        <w:t>сматривает, что на предприятиях одного работодателя с числом работников, превышающим 25 человек, не менее 85% р</w:t>
      </w:r>
      <w:r>
        <w:t>а</w:t>
      </w:r>
      <w:r>
        <w:t>ботников должны быть гражданами Чили. Для целей расчета соотношения между чилийскими гражданами и ин</w:t>
      </w:r>
      <w:r>
        <w:t>о</w:t>
      </w:r>
      <w:r>
        <w:t>странцами, занятыми на конкретном предприятии, применяются следующие правила: учитывается общая численность работников, занятых у конкретного работодателя на территории всей страны, а не в отдельных подразделениях с</w:t>
      </w:r>
      <w:r>
        <w:t>о</w:t>
      </w:r>
      <w:r>
        <w:t>ответствующей компании; в расчет не принимаются технические специалисты, которые не могут быть заменены национальным персоналом; считаются чили</w:t>
      </w:r>
      <w:r>
        <w:t>й</w:t>
      </w:r>
      <w:r>
        <w:t>цами иностранные граждане, у которых супруг или дети являются чилийцами или которые являются пережившими чилийского супруга вдовами или вдовц</w:t>
      </w:r>
      <w:r>
        <w:t>а</w:t>
      </w:r>
      <w:r>
        <w:t>ми; чилийцами также считаются иностранные граждане, прожившие в Чили б</w:t>
      </w:r>
      <w:r>
        <w:t>о</w:t>
      </w:r>
      <w:r>
        <w:t>лее пяти лет.</w:t>
      </w:r>
    </w:p>
    <w:p w:rsidR="009F61C6" w:rsidRDefault="009F61C6" w:rsidP="009F61C6">
      <w:pPr>
        <w:pStyle w:val="SingleTxtGR"/>
      </w:pPr>
      <w:r>
        <w:t>127.</w:t>
      </w:r>
      <w:r>
        <w:tab/>
        <w:t>Это ограничение по признаку гражданства, налагаемое на законодател</w:t>
      </w:r>
      <w:r>
        <w:t>ь</w:t>
      </w:r>
      <w:r>
        <w:t>ном уровне, касается как трудящихся-мигрантов, так и полномочий работодат</w:t>
      </w:r>
      <w:r>
        <w:t>е</w:t>
      </w:r>
      <w:r>
        <w:t>лей; за пределами этого положения права трудящихся-мигрантов по признаку гражданства не ограничиваются. В этой связи следует отметить, что законод</w:t>
      </w:r>
      <w:r>
        <w:t>а</w:t>
      </w:r>
      <w:r>
        <w:t>тельство страны устанавливает, что акты дискриминации в виде различий, и</w:t>
      </w:r>
      <w:r>
        <w:t>с</w:t>
      </w:r>
      <w:r>
        <w:t>ключений или пре</w:t>
      </w:r>
      <w:r>
        <w:t>д</w:t>
      </w:r>
      <w:r>
        <w:t>почтений, основанные на признаках расы, цвета кожи, пола, возраста, семейного положения, членства в профсоюзе, религии, политических убеждений, гражданства, национального происхождения или социальной пр</w:t>
      </w:r>
      <w:r>
        <w:t>и</w:t>
      </w:r>
      <w:r>
        <w:t>надлежности, приводящие к уничтожению или нарушению равенства возмо</w:t>
      </w:r>
      <w:r>
        <w:t>ж</w:t>
      </w:r>
      <w:r>
        <w:t>ностей или о</w:t>
      </w:r>
      <w:r>
        <w:t>б</w:t>
      </w:r>
      <w:r>
        <w:t>ращения в области труда и занятий, противоречат принципам трудового законодательства. Различия, исключения или предпочтения, основа</w:t>
      </w:r>
      <w:r>
        <w:t>н</w:t>
      </w:r>
      <w:r>
        <w:t>ные на специфических требованиях определенной работы, не считаются ди</w:t>
      </w:r>
      <w:r>
        <w:t>с</w:t>
      </w:r>
      <w:r>
        <w:t>криминацией.</w:t>
      </w:r>
    </w:p>
    <w:p w:rsidR="009F61C6" w:rsidRDefault="009F61C6" w:rsidP="009F61C6">
      <w:pPr>
        <w:pStyle w:val="SingleTxtGR"/>
      </w:pPr>
      <w:r>
        <w:t>128.</w:t>
      </w:r>
      <w:r>
        <w:tab/>
        <w:t>В соответствии со статьей 84 декрет-закона об иностранцах трудящиеся-мигранты, имеющие д</w:t>
      </w:r>
      <w:r>
        <w:t>о</w:t>
      </w:r>
      <w:r>
        <w:t>кументы или официальный статус мигранта, могут быть высланы из страны только по решению Министерства внутренних дел, офор</w:t>
      </w:r>
      <w:r>
        <w:t>м</w:t>
      </w:r>
      <w:r>
        <w:t>ленному в виде декрета Верховной власти. В том же законе предусмотрена во</w:t>
      </w:r>
      <w:r>
        <w:t>з</w:t>
      </w:r>
      <w:r>
        <w:t>можность обжалования такого решения в Верховном суде; апелляционная ж</w:t>
      </w:r>
      <w:r>
        <w:t>а</w:t>
      </w:r>
      <w:r>
        <w:t>лоба с просьбой о приостановлении исполнения решения о высылке должна быть подана в письменной форме в течение 24 часов после получения выс</w:t>
      </w:r>
      <w:r>
        <w:t>ы</w:t>
      </w:r>
      <w:r>
        <w:t xml:space="preserve">лаемым лицом уведомления о высылке. </w:t>
      </w:r>
    </w:p>
    <w:p w:rsidR="009F61C6" w:rsidRDefault="009F61C6" w:rsidP="009F61C6">
      <w:pPr>
        <w:pStyle w:val="SingleTxtGR"/>
      </w:pPr>
      <w:r>
        <w:t>129.</w:t>
      </w:r>
      <w:r>
        <w:tab/>
        <w:t>Высылка не является средством лишения имеющего официальный статус работника-мигранта прав, которые он приобретает с получением разрешения на проживание в стране и разрешения на работу. Распоряжение президента № 9 "О национальной политике по вопросам миграции" от сентября 2008 гласит, что "государство должно обеспечить гармоничную интеграцию законно прож</w:t>
      </w:r>
      <w:r>
        <w:t>и</w:t>
      </w:r>
      <w:r>
        <w:t>вающих в Чили иностранцев в национальное общество путем предоставления им равных прав в вопросах труда и социального обеспечения, а также равных культурных прав и личных свобод (...)". Государство обязано г</w:t>
      </w:r>
      <w:r>
        <w:t>а</w:t>
      </w:r>
      <w:r>
        <w:t>рантировать осуществление права на труд и принимать все необходимые меры для наказания и, в тех случаях, когда это представляется возможным, прекращения трудовых отношений нелегальных иммигрантов, однако эти меры не должны огранич</w:t>
      </w:r>
      <w:r>
        <w:t>и</w:t>
      </w:r>
      <w:r>
        <w:t xml:space="preserve">вать трудовые права иммигрантов в их отношениях со своими работодателями. </w:t>
      </w:r>
    </w:p>
    <w:p w:rsidR="009F61C6" w:rsidRDefault="00BE3577" w:rsidP="00631A31">
      <w:pPr>
        <w:pStyle w:val="H4GR"/>
        <w:spacing w:before="240"/>
      </w:pPr>
      <w:r>
        <w:tab/>
      </w:r>
      <w:r>
        <w:tab/>
        <w:t>Право</w:t>
      </w:r>
      <w:r w:rsidR="009F61C6">
        <w:t xml:space="preserve"> на жилище</w:t>
      </w:r>
    </w:p>
    <w:p w:rsidR="009F61C6" w:rsidRDefault="009F61C6" w:rsidP="009F61C6">
      <w:pPr>
        <w:pStyle w:val="SingleTxtGR"/>
      </w:pPr>
      <w:r>
        <w:t>130.</w:t>
      </w:r>
      <w:r>
        <w:tab/>
        <w:t>Что касается доступа к службам обеспечения жильем иностранцев, то иностранцы могут обращаться с просьбой о предоставлении государственной жилищной субсидии, если они (сами заявители или их супруги) проживают в Чили на законных основаниях, если они находятся в пожилом возрасте, если они до этого еще не получали жилищной субсидии и имеют специальный ба</w:t>
      </w:r>
      <w:r>
        <w:t>н</w:t>
      </w:r>
      <w:r>
        <w:t>ковский сберегательный счет на приобретение жилья. Жилищная субсидия пр</w:t>
      </w:r>
      <w:r>
        <w:t>е</w:t>
      </w:r>
      <w:r>
        <w:t>доставляется в виде безвозвратной денежной ссуды, выплачиваемой семьям, нуждающимся в жилье и желающим его построить или приобрести. Эта субс</w:t>
      </w:r>
      <w:r>
        <w:t>и</w:t>
      </w:r>
      <w:r>
        <w:t>дия предназначается для малообеспеченных семей и семей со средним уровнем доходов. Помощь малообеспеченным семьям оказывается по линии трех пр</w:t>
      </w:r>
      <w:r>
        <w:t>о</w:t>
      </w:r>
      <w:r>
        <w:t>грамм: Фонда солидарности жилья, ориентированного на обслуживание наиб</w:t>
      </w:r>
      <w:r>
        <w:t>о</w:t>
      </w:r>
      <w:r>
        <w:t>лее уязвимых секторов населения, а также Программы субсидиров</w:t>
      </w:r>
      <w:r>
        <w:t>а</w:t>
      </w:r>
      <w:r>
        <w:t>ния жилья в сельских районах и Программы субсидирования сохранения семейного насл</w:t>
      </w:r>
      <w:r>
        <w:t>е</w:t>
      </w:r>
      <w:r>
        <w:t>дия, ориент</w:t>
      </w:r>
      <w:r>
        <w:t>и</w:t>
      </w:r>
      <w:r>
        <w:t xml:space="preserve">рованной на улучшение жилищных условий лиц, уже являющихся собственниками жилья. </w:t>
      </w:r>
    </w:p>
    <w:p w:rsidR="009F61C6" w:rsidRDefault="009F61C6" w:rsidP="00631A31">
      <w:pPr>
        <w:pStyle w:val="H4GR"/>
        <w:spacing w:before="240"/>
      </w:pPr>
      <w:r>
        <w:tab/>
      </w:r>
      <w:r>
        <w:tab/>
        <w:t>Право на здравоохранение</w:t>
      </w:r>
    </w:p>
    <w:p w:rsidR="009F61C6" w:rsidRDefault="009F61C6" w:rsidP="009F61C6">
      <w:pPr>
        <w:pStyle w:val="SingleTxtGR"/>
      </w:pPr>
      <w:r>
        <w:t>131.</w:t>
      </w:r>
      <w:r>
        <w:tab/>
        <w:t>Проживающие в Чили иностранцы</w:t>
      </w:r>
      <w:r w:rsidR="00660052">
        <w:t xml:space="preserve"> </w:t>
      </w:r>
      <w:r w:rsidR="00BE3577">
        <w:t>−</w:t>
      </w:r>
      <w:r w:rsidR="00660052">
        <w:t xml:space="preserve"> </w:t>
      </w:r>
      <w:r>
        <w:t>нелегальные мигранты имеют бе</w:t>
      </w:r>
      <w:r>
        <w:t>с</w:t>
      </w:r>
      <w:r>
        <w:t>платный доступ к услугам экстренной медицинской помощи, предоставляемой государственными медицинскими учреждениями. Таким образом</w:t>
      </w:r>
      <w:r w:rsidR="00BE3577">
        <w:t>,</w:t>
      </w:r>
      <w:r>
        <w:t xml:space="preserve"> Чили выпо</w:t>
      </w:r>
      <w:r>
        <w:t>л</w:t>
      </w:r>
      <w:r>
        <w:t>няет свою обязанность обеспечить всем трудящимся-мигрантам доступ к эк</w:t>
      </w:r>
      <w:r>
        <w:t>с</w:t>
      </w:r>
      <w:r>
        <w:t>тренной медицинской помощи, независимо от того, на каком основании они проживают в стране. На этот счет Министерство здравоохранения издало сп</w:t>
      </w:r>
      <w:r>
        <w:t>е</w:t>
      </w:r>
      <w:r>
        <w:t>циальные распоряжения, касающиеся оказания медицинской помощи имм</w:t>
      </w:r>
      <w:r>
        <w:t>и</w:t>
      </w:r>
      <w:r>
        <w:t>грантам, находящимся в ситуациях социального риска, и нелегальным имм</w:t>
      </w:r>
      <w:r>
        <w:t>и</w:t>
      </w:r>
      <w:r>
        <w:t>грантам. Помимо этого Министерство здравоохранения согласовало с Наци</w:t>
      </w:r>
      <w:r>
        <w:t>о</w:t>
      </w:r>
      <w:r>
        <w:t>нальным фондом здрав</w:t>
      </w:r>
      <w:r>
        <w:t>о</w:t>
      </w:r>
      <w:r>
        <w:t>охранения (НФЗ) и Управлением по делам иностранцев и миграции Министерства внутренних дел проведение ряда мероприятий, к</w:t>
      </w:r>
      <w:r>
        <w:t>а</w:t>
      </w:r>
      <w:r>
        <w:t>сающихся охраны здоровья некоторых групп находящихся в Чили имм</w:t>
      </w:r>
      <w:r>
        <w:t>и</w:t>
      </w:r>
      <w:r>
        <w:t>грантов, в том числе:</w:t>
      </w:r>
    </w:p>
    <w:p w:rsidR="009F61C6" w:rsidRDefault="009F61C6" w:rsidP="009F61C6">
      <w:pPr>
        <w:pStyle w:val="SingleTxtGR"/>
      </w:pPr>
      <w:r>
        <w:tab/>
        <w:t>a)</w:t>
      </w:r>
      <w:r>
        <w:tab/>
        <w:t>беременных женщин: с 2003 года женщины, не имеющие офиц</w:t>
      </w:r>
      <w:r>
        <w:t>и</w:t>
      </w:r>
      <w:r>
        <w:t>ального миграционного статуса, у которых беременность наступает во время их прож</w:t>
      </w:r>
      <w:r>
        <w:t>и</w:t>
      </w:r>
      <w:r>
        <w:t>вания в Чили, имеют возможность урегулировать свой миграционный статус по ускоренной процедуре на основании факта беременности, чтобы иметь возмо</w:t>
      </w:r>
      <w:r>
        <w:t>ж</w:t>
      </w:r>
      <w:r>
        <w:t>ность пользоваться услугами сети государственных медицинских учреждений. С указанного года по линии этого механизма ежегодно выдается в среднем 300 разрешений на проживание, в подавляющем большинстве случ</w:t>
      </w:r>
      <w:r>
        <w:t>а</w:t>
      </w:r>
      <w:r w:rsidR="00660052">
        <w:t xml:space="preserve">ев </w:t>
      </w:r>
      <w:r>
        <w:t>женщинам</w:t>
      </w:r>
      <w:r w:rsidR="00660052">
        <w:t xml:space="preserve"> − </w:t>
      </w:r>
      <w:r>
        <w:t>гражданкам Перу. Правительство уделяет особое внимание пост</w:t>
      </w:r>
      <w:r>
        <w:t>а</w:t>
      </w:r>
      <w:r>
        <w:t>новке беременных женщин-мигрантов на обслуживание в медицинских клин</w:t>
      </w:r>
      <w:r>
        <w:t>и</w:t>
      </w:r>
      <w:r>
        <w:t>ках по месту жительства, чтобы им было легче получать необходимые консул</w:t>
      </w:r>
      <w:r>
        <w:t>ь</w:t>
      </w:r>
      <w:r>
        <w:t>тации, связанные с медицинским контролем и сопровождением во время бер</w:t>
      </w:r>
      <w:r>
        <w:t>е</w:t>
      </w:r>
      <w:r>
        <w:t>менности и в послеродовой период;</w:t>
      </w:r>
    </w:p>
    <w:p w:rsidR="009F61C6" w:rsidRDefault="009F61C6" w:rsidP="009F61C6">
      <w:pPr>
        <w:pStyle w:val="SingleTxtGR"/>
      </w:pPr>
      <w:r>
        <w:tab/>
        <w:t>b)</w:t>
      </w:r>
      <w:r>
        <w:tab/>
        <w:t>детей и подростков в возрасте до 18 лет: в соответствии с наци</w:t>
      </w:r>
      <w:r>
        <w:t>о</w:t>
      </w:r>
      <w:r>
        <w:t>нальной политикой в отношении детей и касающимися детей конвенциями О</w:t>
      </w:r>
      <w:r>
        <w:t>р</w:t>
      </w:r>
      <w:r>
        <w:t>ганизации Объединенных Наций, а также в соответствии с Международной конвенцией о ликвидации всех форм расовой дискриминации Министерство здравоохранения и Управление по делам иностранцев и миграции Министерс</w:t>
      </w:r>
      <w:r>
        <w:t>т</w:t>
      </w:r>
      <w:r>
        <w:t>ва внутренних дел подписали межминистерское соглашение, нашедшее отр</w:t>
      </w:r>
      <w:r>
        <w:t>а</w:t>
      </w:r>
      <w:r>
        <w:t>жение в специальном распоряжении Министерства здравоохранения. Согласно этому распоряжению все находящиеся в стране иностранные дети и подростки в возрасте до 18 лет, независимо от миграционного статуса их самих, их род</w:t>
      </w:r>
      <w:r>
        <w:t>и</w:t>
      </w:r>
      <w:r>
        <w:t>телей или их юридических представителей, могут получать медицинские усл</w:t>
      </w:r>
      <w:r>
        <w:t>у</w:t>
      </w:r>
      <w:r>
        <w:t>ги сети государственных учреждений здравоохранения на равных условиях с детьми и подростками, у которых родители являются чилийскими граждан</w:t>
      </w:r>
      <w:r>
        <w:t>а</w:t>
      </w:r>
      <w:r>
        <w:t>ми. Для этого они должны пройти процедуру урегулирования своего миграционн</w:t>
      </w:r>
      <w:r>
        <w:t>о</w:t>
      </w:r>
      <w:r>
        <w:t>го статуса на единстве</w:t>
      </w:r>
      <w:r>
        <w:t>н</w:t>
      </w:r>
      <w:r>
        <w:t>ном основании своего несовершеннолетнего возраста, и эта процед</w:t>
      </w:r>
      <w:r>
        <w:t>у</w:t>
      </w:r>
      <w:r>
        <w:t>ра должна начинаться во время их первого обращения за помощью в учреждения сети г</w:t>
      </w:r>
      <w:r>
        <w:t>о</w:t>
      </w:r>
      <w:r>
        <w:t>сударственных медицинских учреждений;</w:t>
      </w:r>
    </w:p>
    <w:p w:rsidR="009F61C6" w:rsidRDefault="009F61C6" w:rsidP="009F61C6">
      <w:pPr>
        <w:pStyle w:val="SingleTxtGR"/>
      </w:pPr>
      <w:r>
        <w:tab/>
        <w:t>c)</w:t>
      </w:r>
      <w:r>
        <w:tab/>
        <w:t>беженцы и лица, ищущие убежища: в Чили беженцы имеют доступ к м</w:t>
      </w:r>
      <w:r>
        <w:t>е</w:t>
      </w:r>
      <w:r>
        <w:t>дицинскому обслуживанию на равных условиях с чилийскими гражданами. В целях повышения эффективности этого подхода между Управлением по д</w:t>
      </w:r>
      <w:r>
        <w:t>е</w:t>
      </w:r>
      <w:r>
        <w:t>лам иностранцев и миграции Министерства внутренних дел и Национальным фондом здравоохранения (НФЗ) подписано и вступило в силу специальное с</w:t>
      </w:r>
      <w:r>
        <w:t>о</w:t>
      </w:r>
      <w:r>
        <w:t>глашение о предоставлении медицинских услуг нуждающимся в них лицам, ищущим убежище, в период рассмотрения их прошений миграционными слу</w:t>
      </w:r>
      <w:r>
        <w:t>ж</w:t>
      </w:r>
      <w:r>
        <w:t>бами. Необходимость в этом соглашении была вызвана проблемами, возника</w:t>
      </w:r>
      <w:r>
        <w:t>ю</w:t>
      </w:r>
      <w:r>
        <w:t xml:space="preserve">щими в связи с длительностью периода между подачей беженцем прошения о предоставлении убежища и принятием положительного или отрицательного решения по соответствующему прошению. </w:t>
      </w:r>
    </w:p>
    <w:p w:rsidR="009F61C6" w:rsidRDefault="009F61C6" w:rsidP="009F61C6">
      <w:pPr>
        <w:pStyle w:val="SingleTxtGR"/>
      </w:pPr>
      <w:r>
        <w:t>132.</w:t>
      </w:r>
      <w:r>
        <w:tab/>
        <w:t>Что касается положения коренных народов, то, как это следует из прив</w:t>
      </w:r>
      <w:r>
        <w:t>е</w:t>
      </w:r>
      <w:r>
        <w:t>денной выше в данном докладе информации о прогрессе, достигнутом в реал</w:t>
      </w:r>
      <w:r>
        <w:t>и</w:t>
      </w:r>
      <w:r>
        <w:t>зации Конвенции № 169 МОТ, позитивное развитие отмечено и в осуществл</w:t>
      </w:r>
      <w:r>
        <w:t>е</w:t>
      </w:r>
      <w:r>
        <w:t>нии экономических, социальных и культурных прав коренных народов.</w:t>
      </w:r>
    </w:p>
    <w:p w:rsidR="009F61C6" w:rsidRDefault="009F61C6" w:rsidP="009F61C6">
      <w:pPr>
        <w:pStyle w:val="SingleTxtGR"/>
      </w:pPr>
      <w:r>
        <w:t>133.</w:t>
      </w:r>
      <w:r>
        <w:tab/>
        <w:t>Программа охраны здоровья коренного населения построена на принц</w:t>
      </w:r>
      <w:r>
        <w:t>и</w:t>
      </w:r>
      <w:r>
        <w:t>пах равноправия, социального участия и межкультурного сотрудничества. Эти три основополагающих принципа отражены в конкретных руководящих указ</w:t>
      </w:r>
      <w:r>
        <w:t>а</w:t>
      </w:r>
      <w:r>
        <w:t>ниях, регулирующих работу учреждений государственного здравоохранения и обеспечивающих согласованность и комплексность этой работы. Указанная программа предусматривает улучшение охраны здоровья населения всех коре</w:t>
      </w:r>
      <w:r>
        <w:t>н</w:t>
      </w:r>
      <w:r>
        <w:t>ных народов страны путем реализации стратегий, облегчающих их доступ к адекватной, своевременной и качественной медицинской помощи при уваж</w:t>
      </w:r>
      <w:r>
        <w:t>е</w:t>
      </w:r>
      <w:r>
        <w:t>нии, признании и защите традиционных систем охраны здоровья коренных н</w:t>
      </w:r>
      <w:r>
        <w:t>а</w:t>
      </w:r>
      <w:r>
        <w:t xml:space="preserve">родов. </w:t>
      </w:r>
    </w:p>
    <w:p w:rsidR="009F61C6" w:rsidRDefault="009F61C6" w:rsidP="009F61C6">
      <w:pPr>
        <w:pStyle w:val="SingleTxtGR"/>
      </w:pPr>
      <w:r>
        <w:t>134.</w:t>
      </w:r>
      <w:r>
        <w:tab/>
        <w:t>Целями Программы охраны здоровья коренного населения являются: продвижение деятельности по созданию, с участием коренных народов, ме</w:t>
      </w:r>
      <w:r>
        <w:t>ж</w:t>
      </w:r>
      <w:r>
        <w:t>культурной модели охраны здоровья; обеспечение участия лиц из числа коре</w:t>
      </w:r>
      <w:r>
        <w:t>н</w:t>
      </w:r>
      <w:r>
        <w:t>ных народов в разработке, реализации, последующей деятельности и в оценке выполнения стратегических мероприятий, направленных на улучшение состо</w:t>
      </w:r>
      <w:r>
        <w:t>я</w:t>
      </w:r>
      <w:r>
        <w:t>ния здоровья, а также на повышение доступности, качества и актуальности м</w:t>
      </w:r>
      <w:r>
        <w:t>е</w:t>
      </w:r>
      <w:r>
        <w:t>дико-санитарных мероприятий в интересах коре</w:t>
      </w:r>
      <w:r>
        <w:t>н</w:t>
      </w:r>
      <w:r>
        <w:t>ного населения; продвижение мер охраны здоровья семьи и стратегий, гарантирующих уважение и укрепл</w:t>
      </w:r>
      <w:r>
        <w:t>е</w:t>
      </w:r>
      <w:r>
        <w:t>ние традиционной космологии и культуры коренных народов; внедрение в м</w:t>
      </w:r>
      <w:r>
        <w:t>е</w:t>
      </w:r>
      <w:r>
        <w:t>тоды работы учреждений системы здравоохранения межкультурных подходов, обеспечивающих уважительное отношение к коренным народам и к окружа</w:t>
      </w:r>
      <w:r>
        <w:t>ю</w:t>
      </w:r>
      <w:r>
        <w:t>щей человека среде; и учет критериев культурного соответствия при планир</w:t>
      </w:r>
      <w:r>
        <w:t>о</w:t>
      </w:r>
      <w:r>
        <w:t xml:space="preserve">вании инвестиций и разработке моделей развития и структуры медицинских учреждений. </w:t>
      </w:r>
    </w:p>
    <w:p w:rsidR="009F61C6" w:rsidRDefault="009F61C6" w:rsidP="001814B2">
      <w:pPr>
        <w:pStyle w:val="H4GR"/>
        <w:spacing w:before="240"/>
      </w:pPr>
      <w:r>
        <w:tab/>
      </w:r>
      <w:r>
        <w:tab/>
        <w:t>Право на образование</w:t>
      </w:r>
    </w:p>
    <w:p w:rsidR="009F61C6" w:rsidRDefault="009F61C6" w:rsidP="009F61C6">
      <w:pPr>
        <w:pStyle w:val="SingleTxtGR"/>
      </w:pPr>
      <w:r>
        <w:t>135.</w:t>
      </w:r>
      <w:r>
        <w:tab/>
        <w:t>В Чили реализуется Программа двуязычного межкультурного образов</w:t>
      </w:r>
      <w:r>
        <w:t>а</w:t>
      </w:r>
      <w:r>
        <w:t>ния, направленная на сохранение и признание ценности различий, существу</w:t>
      </w:r>
      <w:r>
        <w:t>ю</w:t>
      </w:r>
      <w:r>
        <w:t>щих между группами населения разнообразных культур, стремящимися к вз</w:t>
      </w:r>
      <w:r>
        <w:t>а</w:t>
      </w:r>
      <w:r>
        <w:t>имному признанию; этот подход закреплен в Общем законе об образовании, у</w:t>
      </w:r>
      <w:r>
        <w:t>с</w:t>
      </w:r>
      <w:r>
        <w:t>танавливающем, что система образования должна обеспечить признание ценн</w:t>
      </w:r>
      <w:r>
        <w:t>о</w:t>
      </w:r>
      <w:r>
        <w:t>сти каждой личности, какими бы ни были ее культура, происхождение, язык, мировоззрение и история. Начался процесс включения в программы учебных заведений страны, которые поддерживают идеи межкультурного сотрудничес</w:t>
      </w:r>
      <w:r>
        <w:t>т</w:t>
      </w:r>
      <w:r>
        <w:t>ва, курса "Языки коренных народов"; предусмотрено постепенное изучение дисциплин этого курса, начиная с первого года базового уровня образования. Хотя для учащихся и их семей этот курс является факультативным, учебные з</w:t>
      </w:r>
      <w:r>
        <w:t>а</w:t>
      </w:r>
      <w:r>
        <w:t>ведения, в которых доля лиц из числа коренных народов в числе учащихся, окончивших учебный год, составляет 20 и более процентов, обязаны предл</w:t>
      </w:r>
      <w:r>
        <w:t>о</w:t>
      </w:r>
      <w:r>
        <w:t>жить упомянутый курс в следующем уч</w:t>
      </w:r>
      <w:r w:rsidR="007E0B04">
        <w:t>ебном году. Начиная с 2010 года</w:t>
      </w:r>
      <w:r>
        <w:t xml:space="preserve"> пре</w:t>
      </w:r>
      <w:r>
        <w:t>д</w:t>
      </w:r>
      <w:r>
        <w:t>ложение упомянутого курса является обязательным для учебных заведений, в которых доля учащихся из числа коренных народов составляет 50 и более пр</w:t>
      </w:r>
      <w:r>
        <w:t>о</w:t>
      </w:r>
      <w:r>
        <w:t>центов, а с 2013 года будет обязательным и для учебных заведений с долей т</w:t>
      </w:r>
      <w:r>
        <w:t>а</w:t>
      </w:r>
      <w:r>
        <w:t xml:space="preserve">ких учащихся от 20 до 49%. </w:t>
      </w:r>
    </w:p>
    <w:p w:rsidR="009F61C6" w:rsidRDefault="009F61C6" w:rsidP="009F61C6">
      <w:pPr>
        <w:pStyle w:val="SingleTxtGR"/>
      </w:pPr>
      <w:r>
        <w:t>136.</w:t>
      </w:r>
      <w:r>
        <w:tab/>
        <w:t>Программы этого курса рассчитаны на преподавание их "традиционн</w:t>
      </w:r>
      <w:r>
        <w:t>ы</w:t>
      </w:r>
      <w:r>
        <w:t>ми наставниками" коренных народов, прошедшими обучение по вопросам практ</w:t>
      </w:r>
      <w:r>
        <w:t>и</w:t>
      </w:r>
      <w:r>
        <w:t>ки преподавания или пользующимися поддержкой профессионального препод</w:t>
      </w:r>
      <w:r>
        <w:t>а</w:t>
      </w:r>
      <w:r>
        <w:t>вателя. Этот курс могут также читать преподаватели базового ку</w:t>
      </w:r>
      <w:r>
        <w:t>р</w:t>
      </w:r>
      <w:r>
        <w:t>са обучения – специалисты в области языков и культуры коренных народов. "Традиционные наставники или мудрецы" − это представители общин коренных народов, кот</w:t>
      </w:r>
      <w:r>
        <w:t>о</w:t>
      </w:r>
      <w:r>
        <w:t>рых в одних случаях избирают дем</w:t>
      </w:r>
      <w:r>
        <w:t>о</w:t>
      </w:r>
      <w:r>
        <w:t>кратическим путем, а в других – назначают на основе консенсуса внутри соответствующей общины или территории, для того, чтобы они давали консультации по вопросам культуры и яз</w:t>
      </w:r>
      <w:r>
        <w:t>ы</w:t>
      </w:r>
      <w:r>
        <w:t xml:space="preserve">ков коренных народов в учебных заведениях в районах с высокой долей учащихся из числа коренных народов. </w:t>
      </w:r>
    </w:p>
    <w:p w:rsidR="009F61C6" w:rsidRDefault="009F61C6" w:rsidP="009F61C6">
      <w:pPr>
        <w:pStyle w:val="SingleTxtGR"/>
      </w:pPr>
      <w:r>
        <w:t>137.</w:t>
      </w:r>
      <w:r>
        <w:tab/>
        <w:t>В настоящее время в стране функционируют 320 школ с высокой долей учащихся из числа коренных народов. В этих школах обучается примерно 30 000 учащихся. Кроме того, имеется еще 1 674 учебных заведения, в которых доля учащихся, принадлежащих к коренным народам, составляет 20 и более процентов от общего числа учащихся. В этих школах насчитывается 84 000 учащихся из числа коренных народов. Однако в учебных заведениях с высокой долей таких учащихся обучается лишь 52% их общей численности. Остальные 48% учащихся из числа коренных народов учатся в 5 116 различных учебных заведениях, в большинстве из которых их насчитывается менее пяти человек.</w:t>
      </w:r>
    </w:p>
    <w:p w:rsidR="009F61C6" w:rsidRDefault="009F61C6" w:rsidP="009F61C6">
      <w:pPr>
        <w:pStyle w:val="SingleTxtGR"/>
      </w:pPr>
      <w:r>
        <w:t>138.</w:t>
      </w:r>
      <w:r>
        <w:tab/>
        <w:t>Кроме того, следует отметить, что в Чили все дети и молодые люди, об</w:t>
      </w:r>
      <w:r>
        <w:t>у</w:t>
      </w:r>
      <w:r>
        <w:t>чающиеся в муниципал</w:t>
      </w:r>
      <w:r>
        <w:t>ь</w:t>
      </w:r>
      <w:r>
        <w:t>ных или частных субсидируемых учебных заведениях, имеют право на получение предоставляемых Министерством образования ст</w:t>
      </w:r>
      <w:r>
        <w:t>и</w:t>
      </w:r>
      <w:r>
        <w:t xml:space="preserve">пендий и субсидий на питание и на доступ к материалам и оборудованию. </w:t>
      </w:r>
      <w:r>
        <w:br/>
        <w:t>В этом отношении никаких различий между чилийцами и иностранцами не с</w:t>
      </w:r>
      <w:r>
        <w:t>у</w:t>
      </w:r>
      <w:r>
        <w:t xml:space="preserve">ществует. </w:t>
      </w:r>
    </w:p>
    <w:p w:rsidR="009F61C6" w:rsidRDefault="009F61C6" w:rsidP="009F61C6">
      <w:pPr>
        <w:pStyle w:val="SingleTxtGR"/>
      </w:pPr>
      <w:r>
        <w:t>139.</w:t>
      </w:r>
      <w:r>
        <w:tab/>
        <w:t>Правительство принимает также дополнительные меры по интеграции иммигрантов, особенно наиболее уязвимых групп – женщин и детей. Чили з</w:t>
      </w:r>
      <w:r>
        <w:t>а</w:t>
      </w:r>
      <w:r>
        <w:t>ключила ряд двусторонних договоров, соглашений и протоколов о взаимном признании документов об образовании базового уровня и о среднем нетехнич</w:t>
      </w:r>
      <w:r>
        <w:t>е</w:t>
      </w:r>
      <w:r>
        <w:t>ском образовании с несколькими странами Латинской Америки. Страна учас</w:t>
      </w:r>
      <w:r>
        <w:t>т</w:t>
      </w:r>
      <w:r>
        <w:t>вует и в таком механизме многостороннего сотрудничества, как "Соглашение между странами</w:t>
      </w:r>
      <w:r w:rsidR="007E0B04">
        <w:t xml:space="preserve"> − </w:t>
      </w:r>
      <w:r>
        <w:t>членами Конвенции Андреса Белло и странами МЕРКОСУР, Чили и Боливией". Инструменты этого механизма применяются в отношении чилийских и иностранных студентов, обучающихся за границей, которым нео</w:t>
      </w:r>
      <w:r>
        <w:t>б</w:t>
      </w:r>
      <w:r>
        <w:t>ходимо признание документов о полученном ими образовании в Чили. Также существует процедура немедленного признания полученных за границей док</w:t>
      </w:r>
      <w:r>
        <w:t>у</w:t>
      </w:r>
      <w:r>
        <w:t xml:space="preserve">ментов о начальном и среднем образовании детей чилийских граждан, и такая же процедура применяется в отношении детей иностранных должностных лиц, аккредитованных в Чили. </w:t>
      </w:r>
    </w:p>
    <w:p w:rsidR="009F61C6" w:rsidRDefault="009F61C6" w:rsidP="009F61C6">
      <w:pPr>
        <w:pStyle w:val="SingleTxtGR"/>
      </w:pPr>
      <w:r>
        <w:t>140.</w:t>
      </w:r>
      <w:r>
        <w:tab/>
        <w:t>Для обеспечения доступа к высшему образованию в стране существует национальная система стипендий и кредитов. Иностранные граждане, постоя</w:t>
      </w:r>
      <w:r>
        <w:t>н</w:t>
      </w:r>
      <w:r>
        <w:t>но проживающие в Чили, могут претендовать на получение стипендии в соо</w:t>
      </w:r>
      <w:r>
        <w:t>т</w:t>
      </w:r>
      <w:r>
        <w:t>ветствии с правилами, регулирующими предоставление стипендий на получ</w:t>
      </w:r>
      <w:r>
        <w:t>е</w:t>
      </w:r>
      <w:r>
        <w:t>ние высшего образования. Кредит под государственную гарантию предоставл</w:t>
      </w:r>
      <w:r>
        <w:t>я</w:t>
      </w:r>
      <w:r>
        <w:t>ется хорошо успевающим студентам, нуждающимся в финансовой поддержке для начала или продолжения занятий в одном из аккредитованных высших учебных заведений, участвующих в Системе кредитов на образование под гос</w:t>
      </w:r>
      <w:r>
        <w:t>у</w:t>
      </w:r>
      <w:r>
        <w:t>дарственные гарантии. Иностранцы, постоянно проживающие в Чили, польз</w:t>
      </w:r>
      <w:r>
        <w:t>у</w:t>
      </w:r>
      <w:r>
        <w:t>ются такими же правами на доступ к указанным кредитам, как и чилийские граждане.</w:t>
      </w:r>
    </w:p>
    <w:p w:rsidR="009F61C6" w:rsidRDefault="009F61C6" w:rsidP="009F61C6">
      <w:pPr>
        <w:pStyle w:val="SingleTxtGR"/>
      </w:pPr>
      <w:r>
        <w:t>141.</w:t>
      </w:r>
      <w:r>
        <w:tab/>
        <w:t>Иностранцы, не проживающие в Чили на постоянной основе, но прои</w:t>
      </w:r>
      <w:r>
        <w:t>с</w:t>
      </w:r>
      <w:r>
        <w:t>ходящие из стран Лати</w:t>
      </w:r>
      <w:r>
        <w:t>н</w:t>
      </w:r>
      <w:r>
        <w:t>ской Америки и нуждающиеся в социально-экономической поддержке, которые учатся в учреждениях, подведомственных Совету ректоров государственных университетов, или в аккредитованных авт</w:t>
      </w:r>
      <w:r>
        <w:t>о</w:t>
      </w:r>
      <w:r>
        <w:t>номных частных университетах, имеют право на получение стипендии Хуана Гомеса Милласа на тех же у</w:t>
      </w:r>
      <w:r>
        <w:t>с</w:t>
      </w:r>
      <w:r>
        <w:t xml:space="preserve">ловиях, что и студенты-чилийцы; они также могут получать дополнительную помощь Национального совета по оказанию помощи студентам в виде грантов и субсидий на покрытие расходов на проживание и на питание. </w:t>
      </w:r>
    </w:p>
    <w:p w:rsidR="009F61C6" w:rsidRDefault="009F61C6" w:rsidP="009F61C6">
      <w:pPr>
        <w:pStyle w:val="SingleTxtGR"/>
      </w:pPr>
      <w:r>
        <w:t>142.</w:t>
      </w:r>
      <w:r>
        <w:tab/>
        <w:t>Что касается студентов учреждений профессионально-технического обр</w:t>
      </w:r>
      <w:r>
        <w:t>а</w:t>
      </w:r>
      <w:r>
        <w:t>зования, то документы об образовании базового уровня и о среднем образов</w:t>
      </w:r>
      <w:r>
        <w:t>а</w:t>
      </w:r>
      <w:r>
        <w:t>нии признаются по описанной выше процедуре; иначе обстоит дело с призн</w:t>
      </w:r>
      <w:r>
        <w:t>а</w:t>
      </w:r>
      <w:r>
        <w:t>нием профессиональной технической квалификации. Каждое учреждение пр</w:t>
      </w:r>
      <w:r>
        <w:t>о</w:t>
      </w:r>
      <w:r>
        <w:t>фессионально-технического образования самостоятельно оценивает и опред</w:t>
      </w:r>
      <w:r>
        <w:t>е</w:t>
      </w:r>
      <w:r>
        <w:t>ляет наличие требуемых знаний и навыков. Во многих случаях профессионал</w:t>
      </w:r>
      <w:r>
        <w:t>ь</w:t>
      </w:r>
      <w:r>
        <w:t>ные звания и ранги технических профессий присваиваются государственными органами, к ведению которых относятся соответствующие виды деятел</w:t>
      </w:r>
      <w:r>
        <w:t>ь</w:t>
      </w:r>
      <w:r>
        <w:t>ности.</w:t>
      </w:r>
    </w:p>
    <w:p w:rsidR="009F61C6" w:rsidRDefault="009F61C6" w:rsidP="009F61C6">
      <w:pPr>
        <w:pStyle w:val="SingleTxtGR"/>
      </w:pPr>
      <w:r>
        <w:t>143.</w:t>
      </w:r>
      <w:r>
        <w:tab/>
        <w:t>Позитивным показателем эффективности практической организации о</w:t>
      </w:r>
      <w:r>
        <w:t>б</w:t>
      </w:r>
      <w:r>
        <w:t>разования иностранцев в Чили является тот факт, что в Службу по работе с о</w:t>
      </w:r>
      <w:r>
        <w:t>б</w:t>
      </w:r>
      <w:r>
        <w:t>ращениями граждан в Министерстве образования поступает очень мало прете</w:t>
      </w:r>
      <w:r>
        <w:t>н</w:t>
      </w:r>
      <w:r>
        <w:t xml:space="preserve">зий, касающихся реализации прав студентов-иностранцев на образование (за последние три года поступило не более 10 жалоб). </w:t>
      </w:r>
    </w:p>
    <w:p w:rsidR="009F61C6" w:rsidRDefault="009F61C6" w:rsidP="009F61C6">
      <w:pPr>
        <w:pStyle w:val="H1GR"/>
      </w:pPr>
      <w:r>
        <w:tab/>
      </w:r>
      <w:r>
        <w:tab/>
        <w:t>Статья 6</w:t>
      </w:r>
    </w:p>
    <w:p w:rsidR="009F61C6" w:rsidRDefault="009F61C6" w:rsidP="009F61C6">
      <w:pPr>
        <w:pStyle w:val="SingleTxtGR"/>
      </w:pPr>
      <w:r>
        <w:t>144.</w:t>
      </w:r>
      <w:r>
        <w:tab/>
        <w:t>Нормы этой статьи устанавливают обязанность государств-участников Конвенции обеспечивать каждому человеку эффективную защиту и средства защиты через национальные суды в случае любых актов расовой дискримин</w:t>
      </w:r>
      <w:r>
        <w:t>а</w:t>
      </w:r>
      <w:r>
        <w:t>ции, а также право на справедливое и адекватное возмещение или компенс</w:t>
      </w:r>
      <w:r>
        <w:t>а</w:t>
      </w:r>
      <w:r>
        <w:t>цию за любой ущерб, понесенный в результате такой дискриминации.</w:t>
      </w:r>
    </w:p>
    <w:p w:rsidR="009F61C6" w:rsidRDefault="009F61C6" w:rsidP="009F61C6">
      <w:pPr>
        <w:pStyle w:val="SingleTxtGR"/>
      </w:pPr>
      <w:r>
        <w:t>145.</w:t>
      </w:r>
      <w:r>
        <w:tab/>
        <w:t>В этой связи следует отметить, что Конституция Республики Чили в ст</w:t>
      </w:r>
      <w:r>
        <w:t>а</w:t>
      </w:r>
      <w:r>
        <w:t>тье 20 предусматривает средство защиты в виде обращения лица, пострадавш</w:t>
      </w:r>
      <w:r>
        <w:t>е</w:t>
      </w:r>
      <w:r>
        <w:t>го от дискриминации, или его представителя в апелляционный суд с иском по поводу произвольных или незаконных действий или бездействия государстве</w:t>
      </w:r>
      <w:r>
        <w:t>н</w:t>
      </w:r>
      <w:r>
        <w:t>ных органов или отдельных лиц, которые вызвали лишение или ущемление з</w:t>
      </w:r>
      <w:r>
        <w:t>а</w:t>
      </w:r>
      <w:r>
        <w:t>конных прав пострадавшего лица или создают угрозу для законного осущест</w:t>
      </w:r>
      <w:r>
        <w:t>в</w:t>
      </w:r>
      <w:r>
        <w:t>ления его прав и гарантий, в том числе права на равенство перед законом и на равную правовую защиту при осуществлении соответствующих прав. Эта мера конституционной защиты направлена на восстановление верховенства права и обеспечение защиты пострадавшего, он</w:t>
      </w:r>
      <w:r w:rsidR="007E0B04">
        <w:t>а не наносит ущерба любым другим</w:t>
      </w:r>
      <w:r>
        <w:t xml:space="preserve"> правам, по поводу которых постр</w:t>
      </w:r>
      <w:r>
        <w:t>а</w:t>
      </w:r>
      <w:r>
        <w:t>давшее лицо может обращаться к органам власти или соответствующим судам.</w:t>
      </w:r>
    </w:p>
    <w:p w:rsidR="009F61C6" w:rsidRDefault="009F61C6" w:rsidP="009F61C6">
      <w:pPr>
        <w:pStyle w:val="SingleTxtGR"/>
      </w:pPr>
      <w:r>
        <w:t>146.</w:t>
      </w:r>
      <w:r>
        <w:tab/>
        <w:t>Кроме того, как отмечалось выше, в Чили закон гарантирует, что любое лицо, права которого были нарушены в результате действий государственной администрации, правительственных учреждений или властей на уровне мун</w:t>
      </w:r>
      <w:r>
        <w:t>и</w:t>
      </w:r>
      <w:r>
        <w:t>ципалитетов, может обратиться с жалобой в предусмотренный законом суд, н</w:t>
      </w:r>
      <w:r>
        <w:t>е</w:t>
      </w:r>
      <w:r>
        <w:t xml:space="preserve">зависимо от другой ответственности должностного лица, причинившего ущерб пострадавшему. </w:t>
      </w:r>
    </w:p>
    <w:p w:rsidR="009F61C6" w:rsidRDefault="009F61C6" w:rsidP="009F61C6">
      <w:pPr>
        <w:pStyle w:val="SingleTxtGR"/>
      </w:pPr>
      <w:r>
        <w:t>147.</w:t>
      </w:r>
      <w:r>
        <w:tab/>
        <w:t>Помимо этого, как отмечено в пунктах 27−32 выше, в соответствии с н</w:t>
      </w:r>
      <w:r>
        <w:t>е</w:t>
      </w:r>
      <w:r>
        <w:t>давно принятым Законом о мерах борьбы против дискриминации в стране уст</w:t>
      </w:r>
      <w:r>
        <w:t>а</w:t>
      </w:r>
      <w:r>
        <w:t>новлена ответственность за акты произвольной дискриминации, к которым м</w:t>
      </w:r>
      <w:r>
        <w:t>о</w:t>
      </w:r>
      <w:r>
        <w:t xml:space="preserve">гут быть отнесены конкретные действия или бездействие. </w:t>
      </w:r>
    </w:p>
    <w:p w:rsidR="009F61C6" w:rsidRDefault="001814B2" w:rsidP="009F61C6">
      <w:pPr>
        <w:pStyle w:val="H1GR"/>
      </w:pPr>
      <w:r>
        <w:tab/>
      </w:r>
      <w:r>
        <w:tab/>
        <w:t>Статья 7</w:t>
      </w:r>
    </w:p>
    <w:p w:rsidR="009F61C6" w:rsidRDefault="009F61C6" w:rsidP="009F61C6">
      <w:pPr>
        <w:pStyle w:val="SingleTxtGR"/>
      </w:pPr>
      <w:r>
        <w:t>148.</w:t>
      </w:r>
      <w:r>
        <w:tab/>
        <w:t>Наряду с приведенной в данном докладе информацией о деятельности и программах Республики Чили, направленных на ликвидацию всех форм рас</w:t>
      </w:r>
      <w:r>
        <w:t>о</w:t>
      </w:r>
      <w:r>
        <w:t>вой дискриминации, очень важно отметить разработку Министерством образ</w:t>
      </w:r>
      <w:r>
        <w:t>о</w:t>
      </w:r>
      <w:r>
        <w:t>вания мер и методов преподавания и воспитания людей в целях поощрения о</w:t>
      </w:r>
      <w:r>
        <w:t>т</w:t>
      </w:r>
      <w:r>
        <w:t>ношений взаимного уважения и взаимопонимания, которыми должны руков</w:t>
      </w:r>
      <w:r>
        <w:t>о</w:t>
      </w:r>
      <w:r>
        <w:t xml:space="preserve">дствоваться все образовательные учреждения страны. </w:t>
      </w:r>
    </w:p>
    <w:p w:rsidR="009F61C6" w:rsidRDefault="009F61C6" w:rsidP="009F61C6">
      <w:pPr>
        <w:pStyle w:val="SingleTxtGR"/>
      </w:pPr>
      <w:r>
        <w:t>149.</w:t>
      </w:r>
      <w:r>
        <w:tab/>
        <w:t>Следует также отметить, что в настоящее время в процессе реализации находится Программа культурного развития коренных народов, на первом этапе реализации которой предусмотрено проведение конкретных мероприятий, к</w:t>
      </w:r>
      <w:r>
        <w:t>а</w:t>
      </w:r>
      <w:r>
        <w:t>сающихся коренных народов мапуче, рапа-нуи и колья. В ходе этих меропри</w:t>
      </w:r>
      <w:r>
        <w:t>я</w:t>
      </w:r>
      <w:r>
        <w:t>тий предполагается определить состояние культуры указанных народов, чтобы эффективно сориентировать меры политики в сфере культуры на 2011−2016 г</w:t>
      </w:r>
      <w:r>
        <w:t>о</w:t>
      </w:r>
      <w:r>
        <w:t xml:space="preserve">ды. </w:t>
      </w:r>
    </w:p>
    <w:p w:rsidR="009F61C6" w:rsidRDefault="009F61C6" w:rsidP="009F61C6">
      <w:pPr>
        <w:pStyle w:val="SingleTxtGR"/>
      </w:pPr>
      <w:r>
        <w:t>150.</w:t>
      </w:r>
      <w:r>
        <w:tab/>
        <w:t>Указанная программа предусматривает создание академий языков коре</w:t>
      </w:r>
      <w:r>
        <w:t>н</w:t>
      </w:r>
      <w:r>
        <w:t>ных народов в качестве наиболее авторитетных институтов по вопросам соо</w:t>
      </w:r>
      <w:r>
        <w:t>т</w:t>
      </w:r>
      <w:r>
        <w:t>ветствующих языков. Это позволит улучшить координацию деятельности ме</w:t>
      </w:r>
      <w:r>
        <w:t>ж</w:t>
      </w:r>
      <w:r>
        <w:t>ду государственными учреждениями, занимающимися исключительно делами коренных народов (КОНАДИ), и организациями коренных народов, предста</w:t>
      </w:r>
      <w:r>
        <w:t>в</w:t>
      </w:r>
      <w:r>
        <w:t xml:space="preserve">ленными в соответствующих языковых академиях (академия языка рапа-нуи основана в 2005 году, академии языков аймара и мапуче – соответственно, в 2008 и 2009 годах). </w:t>
      </w:r>
    </w:p>
    <w:p w:rsidR="009F61C6" w:rsidRDefault="009F61C6" w:rsidP="009F61C6">
      <w:pPr>
        <w:pStyle w:val="SingleTxtGR"/>
      </w:pPr>
      <w:r>
        <w:t>151.</w:t>
      </w:r>
      <w:r>
        <w:tab/>
        <w:t>Национальная служба регистрации актов гражданского состояния и иде</w:t>
      </w:r>
      <w:r>
        <w:t>н</w:t>
      </w:r>
      <w:r>
        <w:t>тификации также разработала несколько инициативных мероприятий, каса</w:t>
      </w:r>
      <w:r>
        <w:t>ю</w:t>
      </w:r>
      <w:r>
        <w:t>щихся коренных народов; в частности, ведется подготовка бланков регистрац</w:t>
      </w:r>
      <w:r>
        <w:t>и</w:t>
      </w:r>
      <w:r>
        <w:t>онных документов на собственность на языках мапудунгун, рапа-нуи и а</w:t>
      </w:r>
      <w:r>
        <w:t>й</w:t>
      </w:r>
      <w:r>
        <w:t xml:space="preserve">мара и в офисах службы постепенно внедряются указатели на этих языках. </w:t>
      </w:r>
    </w:p>
    <w:p w:rsidR="009F61C6" w:rsidRDefault="009F61C6" w:rsidP="009F61C6">
      <w:pPr>
        <w:pStyle w:val="HChGR"/>
      </w:pPr>
      <w:r>
        <w:tab/>
        <w:t>IV.</w:t>
      </w:r>
      <w:r>
        <w:tab/>
        <w:t>Последующая деятельность в связи с заключительными замеч</w:t>
      </w:r>
      <w:r>
        <w:t>а</w:t>
      </w:r>
      <w:r>
        <w:t>ниями Комитета</w:t>
      </w:r>
    </w:p>
    <w:p w:rsidR="009F61C6" w:rsidRDefault="009F61C6" w:rsidP="009F61C6">
      <w:pPr>
        <w:pStyle w:val="H1GR"/>
      </w:pPr>
      <w:r>
        <w:tab/>
      </w:r>
      <w:r>
        <w:tab/>
        <w:t>Пункт 12 заключительных замечаний</w:t>
      </w:r>
    </w:p>
    <w:p w:rsidR="009F61C6" w:rsidRDefault="009F61C6" w:rsidP="009F61C6">
      <w:pPr>
        <w:pStyle w:val="SingleTxtGR"/>
      </w:pPr>
      <w:r>
        <w:t>152.</w:t>
      </w:r>
      <w:r>
        <w:tab/>
        <w:t>Что ка</w:t>
      </w:r>
      <w:r w:rsidR="007E0B04">
        <w:t>сается рекомендаций, содержащих</w:t>
      </w:r>
      <w:r>
        <w:t>ся в пунктах 12 и 18, и пожел</w:t>
      </w:r>
      <w:r>
        <w:t>а</w:t>
      </w:r>
      <w:r>
        <w:t>ний, высказанных в пун</w:t>
      </w:r>
      <w:r>
        <w:t>к</w:t>
      </w:r>
      <w:r>
        <w:t>те 34 заключительных замечаний Комитета, то следует иметь в виду информацию, приведенную выше, в пунктах 27−32 данного до</w:t>
      </w:r>
      <w:r>
        <w:t>к</w:t>
      </w:r>
      <w:r>
        <w:t>лада, относительно недавно принятого Закона № 20609, устанавливающего м</w:t>
      </w:r>
      <w:r>
        <w:t>е</w:t>
      </w:r>
      <w:r>
        <w:t>ры борьбы против дискриминации, в статье 2 которого содержится определение произвольной ди</w:t>
      </w:r>
      <w:r>
        <w:t>с</w:t>
      </w:r>
      <w:r>
        <w:t>криминации с конкретным указанием, что дискриминация по мотивам расы или этнического происхо</w:t>
      </w:r>
      <w:r>
        <w:t>ж</w:t>
      </w:r>
      <w:r>
        <w:t>дения абсолютно недопустима.</w:t>
      </w:r>
    </w:p>
    <w:p w:rsidR="009F61C6" w:rsidRDefault="009F61C6" w:rsidP="009F61C6">
      <w:pPr>
        <w:pStyle w:val="H1GR"/>
      </w:pPr>
      <w:r>
        <w:tab/>
      </w:r>
      <w:r>
        <w:tab/>
        <w:t>Пункт 13 заключительных замечаний</w:t>
      </w:r>
    </w:p>
    <w:p w:rsidR="009F61C6" w:rsidRDefault="009F61C6" w:rsidP="009F61C6">
      <w:pPr>
        <w:pStyle w:val="SingleTxtGR"/>
      </w:pPr>
      <w:r>
        <w:t>153.</w:t>
      </w:r>
      <w:r>
        <w:tab/>
        <w:t>Своим решением от 13 августа 2009 года Палата депутатов приняла к рассмотрению в Национальном конгрессе проект закона "О признании этнич</w:t>
      </w:r>
      <w:r>
        <w:t>е</w:t>
      </w:r>
      <w:r>
        <w:t>ской группы населения африканского происхождения в Чили" (Бюлл</w:t>
      </w:r>
      <w:r>
        <w:t>е</w:t>
      </w:r>
      <w:r>
        <w:t>тень № 6655-17), и в настоящее время этот проект находится на рассмотрении в Комиссии по правам человека, национальности и гражданства. В указанном проекте предусматривается официальное признание государством факта сущ</w:t>
      </w:r>
      <w:r>
        <w:t>е</w:t>
      </w:r>
      <w:r>
        <w:t>ствования в Чили этнической группы населения а</w:t>
      </w:r>
      <w:r>
        <w:t>ф</w:t>
      </w:r>
      <w:r>
        <w:t>риканского происхождения и принятие специальных мер по сохранению, развитию и укреплению ее сам</w:t>
      </w:r>
      <w:r>
        <w:t>о</w:t>
      </w:r>
      <w:r>
        <w:t>бытности, институтов и социальных и культурных традиций. К этой этнической группе относятся лица, обладающие чертами, характерными для представит</w:t>
      </w:r>
      <w:r>
        <w:t>е</w:t>
      </w:r>
      <w:r>
        <w:t>лей соответствующей расы, или считающие себя принадлежащими к расе лиц африка</w:t>
      </w:r>
      <w:r>
        <w:t>н</w:t>
      </w:r>
      <w:r>
        <w:t>ского происхождения. В числе предлагаемых специальных мер следует отметить следующие обязательства государства: включить в национальные п</w:t>
      </w:r>
      <w:r>
        <w:t>е</w:t>
      </w:r>
      <w:r>
        <w:t>реписи населения сбор данных о населении африканского происхождения; включить преподавание истории и культуры населения африканского происх</w:t>
      </w:r>
      <w:r>
        <w:t>о</w:t>
      </w:r>
      <w:r>
        <w:t>ждения в систему формального образования; проводить консультации или з</w:t>
      </w:r>
      <w:r>
        <w:t>а</w:t>
      </w:r>
      <w:r>
        <w:t>прашивать мнение организаций лиц африканского происхождения по вопросам, каса</w:t>
      </w:r>
      <w:r>
        <w:t>ю</w:t>
      </w:r>
      <w:r>
        <w:t xml:space="preserve">щимся государственных планов и программ. </w:t>
      </w:r>
    </w:p>
    <w:p w:rsidR="009F61C6" w:rsidRDefault="009F61C6" w:rsidP="009F61C6">
      <w:pPr>
        <w:pStyle w:val="SingleTxtGR"/>
      </w:pPr>
      <w:r>
        <w:t>154.</w:t>
      </w:r>
      <w:r>
        <w:tab/>
        <w:t>Кроме того, правительство Чили провело ряд инициативных мероприятий в интересах проживающих в Чили лиц африканского происхождения. Прежде всего следует отметить проведение 3 ноября 2011 года в городе Арике семинара на тему "Международный год лиц африканского происхождения". Этот сем</w:t>
      </w:r>
      <w:r>
        <w:t>и</w:t>
      </w:r>
      <w:r>
        <w:t>нар, организованный Управлением по правам человека и Управлением коорд</w:t>
      </w:r>
      <w:r>
        <w:t>и</w:t>
      </w:r>
      <w:r>
        <w:t>нации реги</w:t>
      </w:r>
      <w:r>
        <w:t>о</w:t>
      </w:r>
      <w:r>
        <w:t>нальной деятельности Министерства иностранных дел, проходил в рамках проводившегося Национал</w:t>
      </w:r>
      <w:r>
        <w:t>ь</w:t>
      </w:r>
      <w:r>
        <w:t>ным советом по делам культуры и искусства фестиваля на тему "Все об искусстве африканского прои</w:t>
      </w:r>
      <w:r>
        <w:t>с</w:t>
      </w:r>
      <w:r>
        <w:t>хождения", в котором принимали участие группы лиц африканского происхождения из Перу и Колу</w:t>
      </w:r>
      <w:r>
        <w:t>м</w:t>
      </w:r>
      <w:r>
        <w:t>бии.</w:t>
      </w:r>
    </w:p>
    <w:p w:rsidR="009F61C6" w:rsidRDefault="009F61C6" w:rsidP="009F61C6">
      <w:pPr>
        <w:pStyle w:val="SingleTxtGR"/>
      </w:pPr>
      <w:r>
        <w:t>155.</w:t>
      </w:r>
      <w:r>
        <w:tab/>
        <w:t>В этом контексте следует также отметить, что региональные органы вл</w:t>
      </w:r>
      <w:r>
        <w:t>а</w:t>
      </w:r>
      <w:r>
        <w:t>сти согласились вовлекать общины лиц африканского происхождения во все а</w:t>
      </w:r>
      <w:r>
        <w:t>с</w:t>
      </w:r>
      <w:r>
        <w:t>пекты своей работы. Одним из проявлений этого позитивного отношения явл</w:t>
      </w:r>
      <w:r>
        <w:t>я</w:t>
      </w:r>
      <w:r>
        <w:t>ется создание Управления по делам населения африканского происхождения в муниципии Арико в соответствии с положениями Дурбанской Программы де</w:t>
      </w:r>
      <w:r>
        <w:t>й</w:t>
      </w:r>
      <w:r>
        <w:t>ствий и принятой в 2000-м году Декларации Сантьяго. Власти этой муниципии поддерживают требования о проведении переписи и развивают партнерские о</w:t>
      </w:r>
      <w:r>
        <w:t>т</w:t>
      </w:r>
      <w:r>
        <w:t xml:space="preserve">ношения с муниципиями Уругвая и Бразилии. </w:t>
      </w:r>
    </w:p>
    <w:p w:rsidR="009F61C6" w:rsidRDefault="009F61C6" w:rsidP="009F61C6">
      <w:pPr>
        <w:pStyle w:val="SingleTxtGR"/>
      </w:pPr>
      <w:r>
        <w:t>156.</w:t>
      </w:r>
      <w:r>
        <w:tab/>
        <w:t>Наконец, хотя вопрос о принадлежности к группе населения африканск</w:t>
      </w:r>
      <w:r>
        <w:t>о</w:t>
      </w:r>
      <w:r>
        <w:t>го происхождения по те</w:t>
      </w:r>
      <w:r>
        <w:t>х</w:t>
      </w:r>
      <w:r>
        <w:t>ническим причинам не был включен в опросные листы переписи населения 2012 года, Национальный статистический институт (НСИ) организовал в городе Арика целевое обследование, ориентированное на эту группу населения. Обследование было проведено в соответствии с соглашен</w:t>
      </w:r>
      <w:r>
        <w:t>и</w:t>
      </w:r>
      <w:r>
        <w:t>ем о сотрудничестве, заключенным между администрацией региона Арика-и-Паринакота и Альянсом групп населения афр</w:t>
      </w:r>
      <w:r>
        <w:t>и</w:t>
      </w:r>
      <w:r>
        <w:t>канского происхождения; оно проводилось во втором квартале 2012 года, и расходы на его проведение сост</w:t>
      </w:r>
      <w:r>
        <w:t>а</w:t>
      </w:r>
      <w:r>
        <w:t>вили 130 млн. чилийских песо (примерно 260 000 долл. США).</w:t>
      </w:r>
    </w:p>
    <w:p w:rsidR="009F61C6" w:rsidRDefault="009F61C6" w:rsidP="009F61C6">
      <w:pPr>
        <w:pStyle w:val="H1GR"/>
      </w:pPr>
      <w:r>
        <w:tab/>
      </w:r>
      <w:r>
        <w:tab/>
        <w:t>Пункт 14 заключительных замечаний</w:t>
      </w:r>
    </w:p>
    <w:p w:rsidR="009F61C6" w:rsidRDefault="009F61C6" w:rsidP="009F61C6">
      <w:pPr>
        <w:pStyle w:val="SingleTxtGR"/>
      </w:pPr>
      <w:r>
        <w:t>157.</w:t>
      </w:r>
      <w:r>
        <w:tab/>
        <w:t>Информация, касающаяся рекомендации Комитета, изложенной в пун</w:t>
      </w:r>
      <w:r>
        <w:t>к</w:t>
      </w:r>
      <w:r>
        <w:t>те 14 его заключительных замечаний, приведена выше, в пунктах 40 и 41, в к</w:t>
      </w:r>
      <w:r>
        <w:t>о</w:t>
      </w:r>
      <w:r>
        <w:t>торых подробно говорится о создании НИПЧ.</w:t>
      </w:r>
    </w:p>
    <w:p w:rsidR="009F61C6" w:rsidRDefault="009F61C6" w:rsidP="009F61C6">
      <w:pPr>
        <w:pStyle w:val="H1GR"/>
      </w:pPr>
      <w:r>
        <w:tab/>
      </w:r>
      <w:r>
        <w:tab/>
        <w:t>Пункт 15 заключительных замечаний</w:t>
      </w:r>
    </w:p>
    <w:p w:rsidR="009F61C6" w:rsidRDefault="009F61C6" w:rsidP="009F61C6">
      <w:pPr>
        <w:pStyle w:val="SingleTxtGR"/>
      </w:pPr>
      <w:r>
        <w:t>158.</w:t>
      </w:r>
      <w:r>
        <w:tab/>
        <w:t xml:space="preserve">Правительство Чили доводит до сведения Комитета, что в Закон № 18314, так называемый "Антитеррористический закон", внесены важные изменения в результате принятия законов № 20467 от 8 октября 2010 года и № 20519 от 21 июня 2011 года, содержание которых подробно описано в приложении. </w:t>
      </w:r>
    </w:p>
    <w:p w:rsidR="009F61C6" w:rsidRDefault="009F61C6" w:rsidP="009F61C6">
      <w:pPr>
        <w:pStyle w:val="SingleTxtGR"/>
      </w:pPr>
      <w:r>
        <w:t>159.</w:t>
      </w:r>
      <w:r>
        <w:tab/>
        <w:t>Все виды террористических действий, независимо от вызвавших их пр</w:t>
      </w:r>
      <w:r>
        <w:t>и</w:t>
      </w:r>
      <w:r>
        <w:t>чин и национального, регионального, транснационального и/или междунаро</w:t>
      </w:r>
      <w:r>
        <w:t>д</w:t>
      </w:r>
      <w:r>
        <w:t>ного характера, неоднократно осуждались в рез</w:t>
      </w:r>
      <w:r>
        <w:t>о</w:t>
      </w:r>
      <w:r>
        <w:t>люциях органов Организации Объединенных Наций</w:t>
      </w:r>
      <w:r>
        <w:rPr>
          <w:rStyle w:val="FootnoteReference"/>
        </w:rPr>
        <w:footnoteReference w:id="13"/>
      </w:r>
      <w:r>
        <w:t>. В этой связи необходимо проводить четкое различие между поведением, которое открыто нарушает основные права других людей, подрывает демократическое сосуществование между людьми путем вызыва</w:t>
      </w:r>
      <w:r>
        <w:t>ю</w:t>
      </w:r>
      <w:r>
        <w:t>щих жертвы манипуляций (таких как поджоги, нападения и угрозы) и подлежит категорическому осуждению, и акциями, отражающими законные требования общин по любым вопросам, которые осуществляются в рамках установленной институци</w:t>
      </w:r>
      <w:r>
        <w:t>о</w:t>
      </w:r>
      <w:r>
        <w:t xml:space="preserve">нальной структуры и при уважения прав и гарантий каждого жителя страны. </w:t>
      </w:r>
    </w:p>
    <w:p w:rsidR="009F61C6" w:rsidRDefault="009F61C6" w:rsidP="009F61C6">
      <w:pPr>
        <w:pStyle w:val="SingleTxtGR"/>
      </w:pPr>
      <w:r>
        <w:t>160.</w:t>
      </w:r>
      <w:r>
        <w:tab/>
        <w:t>Во всех случаях, когда чилийские суды принимали решения о наказаниях, предусмотренных в Законе о борьбе с терроризмом, в отношении представит</w:t>
      </w:r>
      <w:r>
        <w:t>е</w:t>
      </w:r>
      <w:r>
        <w:t>лей народа мапуче в связи с действиями, которые были совершены в ходе так называемого "конфликта мапуче", действия государственного аппарата были основаны исключительно на фактах деяний, совершенных организованными группами людей в целях вызвать страх у других людей и навязать властям о</w:t>
      </w:r>
      <w:r>
        <w:t>п</w:t>
      </w:r>
      <w:r>
        <w:t>ределенные решения. Суды принимали свои решения в свободной и независ</w:t>
      </w:r>
      <w:r>
        <w:t>и</w:t>
      </w:r>
      <w:r>
        <w:t>мой обстановке и учитывали требования надлежащего соблюдения конституц</w:t>
      </w:r>
      <w:r>
        <w:t>и</w:t>
      </w:r>
      <w:r>
        <w:t>онных и правовых норм и стандартов, применимых в соответствующих делах, в том числе и международных стандартов, а не исходили только из факта прина</w:t>
      </w:r>
      <w:r>
        <w:t>д</w:t>
      </w:r>
      <w:r>
        <w:t>лежности соответствующих лиц к общ</w:t>
      </w:r>
      <w:r>
        <w:t>и</w:t>
      </w:r>
      <w:r>
        <w:t>не мапуче.</w:t>
      </w:r>
    </w:p>
    <w:p w:rsidR="009F61C6" w:rsidRDefault="009F61C6" w:rsidP="009F61C6">
      <w:pPr>
        <w:pStyle w:val="SingleTxtGR"/>
      </w:pPr>
      <w:r>
        <w:t>161.</w:t>
      </w:r>
      <w:r>
        <w:tab/>
        <w:t>Можно сообщить, что без ущерба для поддержания общественного п</w:t>
      </w:r>
      <w:r>
        <w:t>о</w:t>
      </w:r>
      <w:r>
        <w:t>рядка и уважения норм законности представляющее правительство Чили Мин</w:t>
      </w:r>
      <w:r>
        <w:t>и</w:t>
      </w:r>
      <w:r>
        <w:t>стерство внутренних дел в своем качестве истца по делам, касающимся так н</w:t>
      </w:r>
      <w:r>
        <w:t>а</w:t>
      </w:r>
      <w:r>
        <w:t>зываемого "конфликта мапуче", провело реклассификацию своих жалоб из кат</w:t>
      </w:r>
      <w:r>
        <w:t>е</w:t>
      </w:r>
      <w:r>
        <w:t>гории террористических действий в категорию обычных преступлений, и в р</w:t>
      </w:r>
      <w:r>
        <w:t>е</w:t>
      </w:r>
      <w:r>
        <w:t>зультате в настоящее время не ведется ни одного уголовного дела в отнош</w:t>
      </w:r>
      <w:r>
        <w:t>е</w:t>
      </w:r>
      <w:r>
        <w:t>нии представителей народа мапуче, в котором бы указанное Министерство добив</w:t>
      </w:r>
      <w:r>
        <w:t>а</w:t>
      </w:r>
      <w:r>
        <w:t>лось осуждения обвиняемых за преступления, квалифицируемые как "террор</w:t>
      </w:r>
      <w:r>
        <w:t>и</w:t>
      </w:r>
      <w:r>
        <w:t xml:space="preserve">стические". </w:t>
      </w:r>
    </w:p>
    <w:p w:rsidR="009F61C6" w:rsidRDefault="009F61C6" w:rsidP="009F61C6">
      <w:pPr>
        <w:pStyle w:val="SingleTxtGR"/>
      </w:pPr>
      <w:r>
        <w:t>162.</w:t>
      </w:r>
      <w:r>
        <w:tab/>
        <w:t>Поскольку государство признает и соглашается, что факты, которые м</w:t>
      </w:r>
      <w:r>
        <w:t>о</w:t>
      </w:r>
      <w:r>
        <w:t>тивировали ответные меры государственного аппарата против представителей народа мапуче, представляют собой акты насилия, совершенные изолирова</w:t>
      </w:r>
      <w:r>
        <w:t>н</w:t>
      </w:r>
      <w:r>
        <w:t xml:space="preserve">ными отдельными группами, методы и средства действий которых не разделяет подавляющее большинство общины мапуче, то упомянутые акты не помешали государству продолжать свою политику, способствующую развитию как народа мапуче, так и других коренных народов страны. </w:t>
      </w:r>
    </w:p>
    <w:p w:rsidR="009F61C6" w:rsidRDefault="009F61C6" w:rsidP="009F61C6">
      <w:pPr>
        <w:pStyle w:val="H1GR"/>
      </w:pPr>
      <w:r>
        <w:tab/>
      </w:r>
      <w:r>
        <w:tab/>
        <w:t xml:space="preserve">Пункт 16 заключительных замечаний </w:t>
      </w:r>
    </w:p>
    <w:p w:rsidR="009F61C6" w:rsidRDefault="009F61C6" w:rsidP="009F61C6">
      <w:pPr>
        <w:pStyle w:val="SingleTxtGR"/>
      </w:pPr>
      <w:r>
        <w:t>163.</w:t>
      </w:r>
      <w:r>
        <w:tab/>
        <w:t>Правительство Чили доводит до сведения Комитета, что в соответствии с установленной в Конвенции № 169 МОТ обязанностью государств проводить консультации с коренными народами и обеспечивать их участие в жизни общ</w:t>
      </w:r>
      <w:r>
        <w:t>е</w:t>
      </w:r>
      <w:r>
        <w:t>ства к настоящему времени в рамках мер по реализации упомянутой конвенции МОТ в стране проведено 22 консультации с представителями коренных народов (16 консул</w:t>
      </w:r>
      <w:r>
        <w:t>ь</w:t>
      </w:r>
      <w:r>
        <w:t>таций завершены и 6 консультаций еще продолжаются)</w:t>
      </w:r>
      <w:r>
        <w:rPr>
          <w:rStyle w:val="FootnoteReference"/>
        </w:rPr>
        <w:footnoteReference w:id="14"/>
      </w:r>
      <w:r>
        <w:t>.</w:t>
      </w:r>
    </w:p>
    <w:p w:rsidR="009F61C6" w:rsidRDefault="009F61C6" w:rsidP="009F61C6">
      <w:pPr>
        <w:pStyle w:val="SingleTxtGR"/>
      </w:pPr>
      <w:r>
        <w:t>164.</w:t>
      </w:r>
      <w:r>
        <w:tab/>
        <w:t>В частности, 8 марта 2011 года начались "Консультации по вопросам и</w:t>
      </w:r>
      <w:r>
        <w:t>н</w:t>
      </w:r>
      <w:r>
        <w:t>ституциональных структур коренных народов", на рассмотрение которых в с</w:t>
      </w:r>
      <w:r>
        <w:t>о</w:t>
      </w:r>
      <w:r>
        <w:t>ответствии с международными стандартами в</w:t>
      </w:r>
      <w:r>
        <w:t>ы</w:t>
      </w:r>
      <w:r>
        <w:t xml:space="preserve">несены три широкие темы: </w:t>
      </w:r>
    </w:p>
    <w:p w:rsidR="009F61C6" w:rsidRDefault="009F61C6" w:rsidP="009F61C6">
      <w:pPr>
        <w:pStyle w:val="SingleTxtGR"/>
      </w:pPr>
      <w:r>
        <w:tab/>
        <w:t>a)</w:t>
      </w:r>
      <w:r>
        <w:tab/>
        <w:t>определение процедуры и состава участников консультаций, вкл</w:t>
      </w:r>
      <w:r>
        <w:t>ю</w:t>
      </w:r>
      <w:r>
        <w:t>чая принятие регламента участия в Системе оценки воздейст</w:t>
      </w:r>
      <w:r w:rsidR="00CA519E">
        <w:t>в</w:t>
      </w:r>
      <w:r>
        <w:t>ия на окружа</w:t>
      </w:r>
      <w:r>
        <w:t>ю</w:t>
      </w:r>
      <w:r>
        <w:t xml:space="preserve">щую среду (СЕИА); </w:t>
      </w:r>
    </w:p>
    <w:p w:rsidR="009F61C6" w:rsidRDefault="009F61C6" w:rsidP="009F61C6">
      <w:pPr>
        <w:pStyle w:val="SingleTxtGR"/>
      </w:pPr>
      <w:r>
        <w:tab/>
        <w:t>b)</w:t>
      </w:r>
      <w:r>
        <w:tab/>
        <w:t>проект внесения изменений в Конституцию в целях признания к</w:t>
      </w:r>
      <w:r>
        <w:t>о</w:t>
      </w:r>
      <w:r>
        <w:t xml:space="preserve">ренных народов; </w:t>
      </w:r>
    </w:p>
    <w:p w:rsidR="009F61C6" w:rsidRDefault="009F61C6" w:rsidP="009F61C6">
      <w:pPr>
        <w:pStyle w:val="SingleTxtGR"/>
      </w:pPr>
      <w:r>
        <w:tab/>
        <w:t>c)</w:t>
      </w:r>
      <w:r>
        <w:tab/>
        <w:t>создание Агентства развития коренных народов и Совета коренных нар</w:t>
      </w:r>
      <w:r>
        <w:t>о</w:t>
      </w:r>
      <w:r>
        <w:t xml:space="preserve">дов. </w:t>
      </w:r>
    </w:p>
    <w:p w:rsidR="009F61C6" w:rsidRDefault="009F61C6" w:rsidP="009F61C6">
      <w:pPr>
        <w:pStyle w:val="SingleTxtGR"/>
      </w:pPr>
      <w:r>
        <w:t>165.</w:t>
      </w:r>
      <w:r>
        <w:tab/>
        <w:t xml:space="preserve">Первоначально планировалось выполнить эту работу в семь следующих этапов: </w:t>
      </w:r>
    </w:p>
    <w:p w:rsidR="009F61C6" w:rsidRDefault="009F61C6" w:rsidP="009F61C6">
      <w:pPr>
        <w:pStyle w:val="SingleTxtGR"/>
      </w:pPr>
      <w:r>
        <w:tab/>
        <w:t>a)</w:t>
      </w:r>
      <w:r>
        <w:tab/>
        <w:t>этап распространения информации и приглашения к участию;</w:t>
      </w:r>
    </w:p>
    <w:p w:rsidR="009F61C6" w:rsidRDefault="009F61C6" w:rsidP="009F61C6">
      <w:pPr>
        <w:pStyle w:val="SingleTxtGR"/>
      </w:pPr>
      <w:r>
        <w:tab/>
        <w:t>b)</w:t>
      </w:r>
      <w:r>
        <w:tab/>
        <w:t>этап информационного обеспечения;</w:t>
      </w:r>
    </w:p>
    <w:p w:rsidR="009F61C6" w:rsidRDefault="009F61C6" w:rsidP="009F61C6">
      <w:pPr>
        <w:pStyle w:val="SingleTxtGR"/>
      </w:pPr>
      <w:r>
        <w:tab/>
        <w:t>c)</w:t>
      </w:r>
      <w:r>
        <w:tab/>
        <w:t>этап достижения договоренностей внутри соответствующих о</w:t>
      </w:r>
      <w:r>
        <w:t>б</w:t>
      </w:r>
      <w:r>
        <w:t>щин;</w:t>
      </w:r>
    </w:p>
    <w:p w:rsidR="009F61C6" w:rsidRDefault="009F61C6" w:rsidP="009F61C6">
      <w:pPr>
        <w:pStyle w:val="SingleTxtGR"/>
      </w:pPr>
      <w:r>
        <w:tab/>
        <w:t>d)</w:t>
      </w:r>
      <w:r>
        <w:tab/>
        <w:t>этап диалога и принятия предложений;</w:t>
      </w:r>
    </w:p>
    <w:p w:rsidR="009F61C6" w:rsidRDefault="009F61C6" w:rsidP="009F61C6">
      <w:pPr>
        <w:pStyle w:val="SingleTxtGR"/>
      </w:pPr>
      <w:r>
        <w:tab/>
        <w:t>e)</w:t>
      </w:r>
      <w:r>
        <w:tab/>
        <w:t>этап работы с замечаниями и предложениями;</w:t>
      </w:r>
    </w:p>
    <w:p w:rsidR="009F61C6" w:rsidRDefault="009F61C6" w:rsidP="009F61C6">
      <w:pPr>
        <w:pStyle w:val="SingleTxtGR"/>
      </w:pPr>
      <w:r>
        <w:tab/>
        <w:t>f)</w:t>
      </w:r>
      <w:r>
        <w:tab/>
        <w:t>этап систематизации и обдумывания предложений;</w:t>
      </w:r>
    </w:p>
    <w:p w:rsidR="009F61C6" w:rsidRDefault="009F61C6" w:rsidP="009F61C6">
      <w:pPr>
        <w:pStyle w:val="SingleTxtGR"/>
      </w:pPr>
      <w:r>
        <w:tab/>
        <w:t>g)</w:t>
      </w:r>
      <w:r>
        <w:tab/>
        <w:t>этап представления результатов.</w:t>
      </w:r>
    </w:p>
    <w:p w:rsidR="009F61C6" w:rsidRDefault="009F61C6" w:rsidP="009F61C6">
      <w:pPr>
        <w:pStyle w:val="Bullet1GR"/>
        <w:numPr>
          <w:ilvl w:val="0"/>
          <w:numId w:val="1"/>
        </w:numPr>
      </w:pPr>
      <w:r>
        <w:t>За период с марта по август 2011 года успешно завершены два первых этапа; в масштабах страны проведено 124 рабочих совещания, в которых приняли участие 5 582 человека, в том числе лидеры коре</w:t>
      </w:r>
      <w:r>
        <w:t>н</w:t>
      </w:r>
      <w:r>
        <w:t xml:space="preserve">ных народов. </w:t>
      </w:r>
    </w:p>
    <w:p w:rsidR="009F61C6" w:rsidRDefault="009F61C6" w:rsidP="009F61C6">
      <w:pPr>
        <w:pStyle w:val="Bullet1GR"/>
        <w:numPr>
          <w:ilvl w:val="0"/>
          <w:numId w:val="1"/>
        </w:numPr>
      </w:pPr>
      <w:r>
        <w:t>После завершения первых двух этапов работы выявились некоторые пр</w:t>
      </w:r>
      <w:r>
        <w:t>о</w:t>
      </w:r>
      <w:r>
        <w:t>блемы, которые объясняются сложностью процесса, в том числе:</w:t>
      </w:r>
    </w:p>
    <w:p w:rsidR="009F61C6" w:rsidRDefault="009F61C6" w:rsidP="009F61C6">
      <w:pPr>
        <w:pStyle w:val="Bullet2GR"/>
        <w:numPr>
          <w:ilvl w:val="0"/>
          <w:numId w:val="2"/>
        </w:numPr>
      </w:pPr>
      <w:r>
        <w:t>на информационных семинарах были высказаны критические зам</w:t>
      </w:r>
      <w:r>
        <w:t>е</w:t>
      </w:r>
      <w:r>
        <w:t>чания по п</w:t>
      </w:r>
      <w:r>
        <w:t>о</w:t>
      </w:r>
      <w:r>
        <w:t>воду охвата проводимых консультаций;</w:t>
      </w:r>
    </w:p>
    <w:p w:rsidR="009F61C6" w:rsidRDefault="009F61C6" w:rsidP="009F61C6">
      <w:pPr>
        <w:pStyle w:val="Bullet2GR"/>
        <w:numPr>
          <w:ilvl w:val="0"/>
          <w:numId w:val="2"/>
        </w:numPr>
      </w:pPr>
      <w:r>
        <w:t>ряд членов Комиссии по правам человека и лидеров коренных н</w:t>
      </w:r>
      <w:r>
        <w:t>а</w:t>
      </w:r>
      <w:r>
        <w:t>родов высказали замечания по поводу того, что декрет Верховной власти № 124, выпущенный Министерством планирования, в пре</w:t>
      </w:r>
      <w:r>
        <w:t>д</w:t>
      </w:r>
      <w:r>
        <w:t>варительном порядке регулирует другие консультации, которые в</w:t>
      </w:r>
      <w:r>
        <w:t>е</w:t>
      </w:r>
      <w:r>
        <w:t>дутся с сентября 2009 года;</w:t>
      </w:r>
    </w:p>
    <w:p w:rsidR="009F61C6" w:rsidRDefault="009F61C6" w:rsidP="009F61C6">
      <w:pPr>
        <w:pStyle w:val="Bullet2GR"/>
        <w:numPr>
          <w:ilvl w:val="0"/>
          <w:numId w:val="2"/>
        </w:numPr>
      </w:pPr>
      <w:r>
        <w:t>возникли трудности в выработке проекта обращения в Сенат с просьбой об о</w:t>
      </w:r>
      <w:r>
        <w:t>т</w:t>
      </w:r>
      <w:r>
        <w:t>мене упомянутого декрета Верховной власти № 124;</w:t>
      </w:r>
    </w:p>
    <w:p w:rsidR="009F61C6" w:rsidRDefault="009F61C6" w:rsidP="009F61C6">
      <w:pPr>
        <w:pStyle w:val="Bullet2GR"/>
        <w:numPr>
          <w:ilvl w:val="0"/>
          <w:numId w:val="2"/>
        </w:numPr>
      </w:pPr>
      <w:r>
        <w:t>были высказаны критические замечания ряда НПО, считающих, что для применения процедур, устано</w:t>
      </w:r>
      <w:r>
        <w:t>в</w:t>
      </w:r>
      <w:r>
        <w:t>ленных в Конвенции № 169 МОТ, никакого регламента не требуется.</w:t>
      </w:r>
    </w:p>
    <w:p w:rsidR="009F61C6" w:rsidRDefault="009F61C6" w:rsidP="009F61C6">
      <w:pPr>
        <w:pStyle w:val="SingleTxtGR"/>
      </w:pPr>
      <w:r>
        <w:t>166.</w:t>
      </w:r>
      <w:r>
        <w:tab/>
        <w:t>В этом контексте 1 сентября 2011 года правительство объявило о внес</w:t>
      </w:r>
      <w:r>
        <w:t>е</w:t>
      </w:r>
      <w:r>
        <w:t>нии изменений в указа</w:t>
      </w:r>
      <w:r>
        <w:t>н</w:t>
      </w:r>
      <w:r>
        <w:t>ный процесс, в частности, установив, что приоритетной задачей на 2012 год является определение механизмов и процедур консульт</w:t>
      </w:r>
      <w:r>
        <w:t>а</w:t>
      </w:r>
      <w:r>
        <w:t>ций и участия в них коренных народов в целях выработки окончательного докуме</w:t>
      </w:r>
      <w:r>
        <w:t>н</w:t>
      </w:r>
      <w:r>
        <w:t xml:space="preserve">та, согласованного с коренными народами страны. </w:t>
      </w:r>
    </w:p>
    <w:p w:rsidR="009F61C6" w:rsidRDefault="009F61C6" w:rsidP="009F61C6">
      <w:pPr>
        <w:pStyle w:val="SingleTxtGR"/>
      </w:pPr>
      <w:r>
        <w:t>167.</w:t>
      </w:r>
      <w:r>
        <w:tab/>
        <w:t>Для достижения намеченных целей предприняты следующие меры:</w:t>
      </w:r>
    </w:p>
    <w:p w:rsidR="009F61C6" w:rsidRDefault="009F61C6" w:rsidP="009F61C6">
      <w:pPr>
        <w:pStyle w:val="SingleTxtGR"/>
      </w:pPr>
      <w:r>
        <w:tab/>
        <w:t>a)</w:t>
      </w:r>
      <w:r>
        <w:tab/>
        <w:t>прекращен процесс консультаций по вопросам институциональных структур коренных народов, и об этом уведомлены участвовавшие в консульт</w:t>
      </w:r>
      <w:r>
        <w:t>а</w:t>
      </w:r>
      <w:r>
        <w:t xml:space="preserve">циях лидеры коренных народов; </w:t>
      </w:r>
    </w:p>
    <w:p w:rsidR="009F61C6" w:rsidRDefault="009F61C6" w:rsidP="009F61C6">
      <w:pPr>
        <w:pStyle w:val="SingleTxtGR"/>
      </w:pPr>
      <w:r>
        <w:tab/>
        <w:t>b)</w:t>
      </w:r>
      <w:r>
        <w:tab/>
        <w:t>процесс консультаций разделен на два этапа: первый этап − "Ко</w:t>
      </w:r>
      <w:r>
        <w:t>н</w:t>
      </w:r>
      <w:r>
        <w:t xml:space="preserve">сультации по вопросам процедуры консультаций" и второй этап – консультации по другим темам, включая тему внесения изменений в Конституцию; </w:t>
      </w:r>
    </w:p>
    <w:p w:rsidR="009F61C6" w:rsidRDefault="009F61C6" w:rsidP="009F61C6">
      <w:pPr>
        <w:pStyle w:val="SingleTxtGR"/>
      </w:pPr>
      <w:r>
        <w:tab/>
        <w:t>c)</w:t>
      </w:r>
      <w:r>
        <w:tab/>
        <w:t>14 сентября 2011 года Национальный совет КОНАДИ, в состав к</w:t>
      </w:r>
      <w:r>
        <w:t>о</w:t>
      </w:r>
      <w:r>
        <w:t>торого входят выборные лидеры коренных народов и представители органов г</w:t>
      </w:r>
      <w:r>
        <w:t>о</w:t>
      </w:r>
      <w:r>
        <w:t>сударственной власти, принял решение о создании Комиссии по вопросам ко</w:t>
      </w:r>
      <w:r>
        <w:t>н</w:t>
      </w:r>
      <w:r>
        <w:t>сультаций в целях выработки предложений относительно механизма и сроков пров</w:t>
      </w:r>
      <w:r>
        <w:t>е</w:t>
      </w:r>
      <w:r>
        <w:t>дения "Консультаций по вопросам процедуры консультаций"</w:t>
      </w:r>
      <w:r>
        <w:rPr>
          <w:rStyle w:val="FootnoteReference"/>
        </w:rPr>
        <w:footnoteReference w:id="15"/>
      </w:r>
      <w:r>
        <w:t>.</w:t>
      </w:r>
    </w:p>
    <w:p w:rsidR="009F61C6" w:rsidRDefault="009F61C6" w:rsidP="009F61C6">
      <w:pPr>
        <w:pStyle w:val="SingleTxtGR"/>
      </w:pPr>
      <w:r>
        <w:t>168.</w:t>
      </w:r>
      <w:r>
        <w:tab/>
        <w:t>Параллельно с этим процессом проводились различные совещания с р</w:t>
      </w:r>
      <w:r>
        <w:t>я</w:t>
      </w:r>
      <w:r>
        <w:t>дом институтов, представляющих коренные народы, в том числе с группой, к</w:t>
      </w:r>
      <w:r>
        <w:t>о</w:t>
      </w:r>
      <w:r>
        <w:t>торая именует себя "Cход традиционных лидеров коренных народов"; в н</w:t>
      </w:r>
      <w:r>
        <w:t>а</w:t>
      </w:r>
      <w:r>
        <w:t>стоящее время с этой группой ведутся переговоры в целях ее включения в си</w:t>
      </w:r>
      <w:r>
        <w:t>с</w:t>
      </w:r>
      <w:r>
        <w:t>тему консультаций, проводимых правительств</w:t>
      </w:r>
      <w:r w:rsidR="00CA519E">
        <w:t xml:space="preserve">ом страны, поскольку это может </w:t>
      </w:r>
      <w:r>
        <w:t>существенно усилить проект процедуры, которую предстоит вынести на ра</w:t>
      </w:r>
      <w:r>
        <w:t>с</w:t>
      </w:r>
      <w:r>
        <w:t>смотрение консультаций</w:t>
      </w:r>
      <w:r>
        <w:rPr>
          <w:rStyle w:val="FootnoteReference"/>
        </w:rPr>
        <w:footnoteReference w:id="16"/>
      </w:r>
      <w:r>
        <w:t>.</w:t>
      </w:r>
    </w:p>
    <w:p w:rsidR="009F61C6" w:rsidRDefault="009F61C6" w:rsidP="009F61C6">
      <w:pPr>
        <w:pStyle w:val="SingleTxtGR"/>
      </w:pPr>
      <w:r>
        <w:t>169.</w:t>
      </w:r>
      <w:r>
        <w:tab/>
        <w:t>В этом контексте следует отметить, что сенатская Комиссия по правам человека провела пять совещаний с министром социального развития Хоак</w:t>
      </w:r>
      <w:r>
        <w:t>и</w:t>
      </w:r>
      <w:r>
        <w:t>ном Лавином и рядом других должностных лиц правительства; в одном из этих с</w:t>
      </w:r>
      <w:r>
        <w:t>о</w:t>
      </w:r>
      <w:r>
        <w:t>вещаний – 7 мая 2012 года − принимали участие представители "Схода трад</w:t>
      </w:r>
      <w:r>
        <w:t>и</w:t>
      </w:r>
      <w:r>
        <w:t>ционных лидеров коренных народов". На этом совещании была достигнута д</w:t>
      </w:r>
      <w:r>
        <w:t>о</w:t>
      </w:r>
      <w:r>
        <w:t>говоренность в кратчайший срок представить Комиссии проект процедуры ко</w:t>
      </w:r>
      <w:r>
        <w:t>н</w:t>
      </w:r>
      <w:r>
        <w:t xml:space="preserve">сультаций, с тем чтобы она проанализировала этот проект и высказала по нему свои замечания. </w:t>
      </w:r>
    </w:p>
    <w:p w:rsidR="009F61C6" w:rsidRDefault="009F61C6" w:rsidP="009F61C6">
      <w:pPr>
        <w:pStyle w:val="SingleTxtGR"/>
      </w:pPr>
      <w:r>
        <w:t>170.</w:t>
      </w:r>
      <w:r>
        <w:tab/>
        <w:t>Наряду с этим было проведено несколько совещаний со Специальным докладчиком по вопросу о правах коренных народов, с руководящими сотру</w:t>
      </w:r>
      <w:r>
        <w:t>д</w:t>
      </w:r>
      <w:r>
        <w:t>никами МОТ и других учреждений Организации Об</w:t>
      </w:r>
      <w:r>
        <w:t>ъ</w:t>
      </w:r>
      <w:r>
        <w:t>единенных Наций в Чили, а также с Управлением Верховного комиссара Организации Объединенных Н</w:t>
      </w:r>
      <w:r>
        <w:t>а</w:t>
      </w:r>
      <w:r>
        <w:t>ций по правам человека. В целях информирования по этим вопросам организ</w:t>
      </w:r>
      <w:r>
        <w:t>а</w:t>
      </w:r>
      <w:r>
        <w:t>ций гражданского о</w:t>
      </w:r>
      <w:r>
        <w:t>б</w:t>
      </w:r>
      <w:r>
        <w:t xml:space="preserve">щества соответствующие информационные материалы предоставлялись НИПЧ. </w:t>
      </w:r>
    </w:p>
    <w:p w:rsidR="009F61C6" w:rsidRDefault="009F61C6" w:rsidP="009F61C6">
      <w:pPr>
        <w:pStyle w:val="SingleTxtGR"/>
      </w:pPr>
      <w:r>
        <w:t>171.</w:t>
      </w:r>
      <w:r>
        <w:tab/>
        <w:t>Правительство Чили доводит до сведения Комитета, что в связи с рек</w:t>
      </w:r>
      <w:r>
        <w:t>о</w:t>
      </w:r>
      <w:r>
        <w:t>мендацией Комитета "принять необходимые меры для создания климата дов</w:t>
      </w:r>
      <w:r>
        <w:t>е</w:t>
      </w:r>
      <w:r>
        <w:t>рия, который будет способствовать диалогу с коренными народами" необход</w:t>
      </w:r>
      <w:r>
        <w:t>и</w:t>
      </w:r>
      <w:r>
        <w:t>мо иметь в виду не только приведенную выше информацию, но и тот факт, что в сентябре 2010 года Президент Республики объявил об организации дискуссий "круглого стола" с участием представителей правительства, церковных орг</w:t>
      </w:r>
      <w:r>
        <w:t>а</w:t>
      </w:r>
      <w:r>
        <w:t>нов, организаций гражданского общества р</w:t>
      </w:r>
      <w:r>
        <w:t>е</w:t>
      </w:r>
      <w:r>
        <w:t>гионов Араукания, Био-Био, Лос-Риос и Лос-Лагос и представителей организаций коренных народов. В с</w:t>
      </w:r>
      <w:r w:rsidR="00CA519E">
        <w:t>оответствии с этим объявлением П</w:t>
      </w:r>
      <w:r>
        <w:t>резидента 24 сентября на холме Ньелоль в городе Темуко был начат процесс "Диалог в целях исторического воссоединения"; к насто</w:t>
      </w:r>
      <w:r>
        <w:t>я</w:t>
      </w:r>
      <w:r>
        <w:t>щему времени состоялось 65 заседаний "круглого стола" на национал</w:t>
      </w:r>
      <w:r>
        <w:t>ь</w:t>
      </w:r>
      <w:r>
        <w:t xml:space="preserve">ном уровне (проведено </w:t>
      </w:r>
      <w:r w:rsidR="00CA519E">
        <w:t>7</w:t>
      </w:r>
      <w:r>
        <w:t xml:space="preserve"> "круглых столов") и на уровнях регионов, провинций и общин, в которых приняли участие более 3 000 человек. 24 июня 2011 года Президенту Республики был представлен первый доклад о прогрессе, дости</w:t>
      </w:r>
      <w:r>
        <w:t>г</w:t>
      </w:r>
      <w:r>
        <w:t>нутом в продвижении каждого из обсуждавшихся предложений.</w:t>
      </w:r>
    </w:p>
    <w:p w:rsidR="009F61C6" w:rsidRDefault="009F61C6" w:rsidP="009F61C6">
      <w:pPr>
        <w:pStyle w:val="SingleTxtGR"/>
      </w:pPr>
      <w:r>
        <w:t>172.</w:t>
      </w:r>
      <w:r>
        <w:tab/>
        <w:t>Проведение диалога на национальном, региональном, провинциальном и муниципальном уровнях позволило не только инициировать процесс восст</w:t>
      </w:r>
      <w:r>
        <w:t>а</w:t>
      </w:r>
      <w:r>
        <w:t>новления доверия, но и определить темы, име</w:t>
      </w:r>
      <w:r>
        <w:t>ю</w:t>
      </w:r>
      <w:r>
        <w:t>щие жизненно важное значение для физических лиц, общи</w:t>
      </w:r>
      <w:r w:rsidR="00CA519E">
        <w:t>н и ассоциаций коренных народов</w:t>
      </w:r>
      <w:r>
        <w:t xml:space="preserve"> независимо от т</w:t>
      </w:r>
      <w:r>
        <w:t>о</w:t>
      </w:r>
      <w:r>
        <w:t>го, в какой общине или в каком регионе они находятся; как это следует из и</w:t>
      </w:r>
      <w:r>
        <w:t>н</w:t>
      </w:r>
      <w:r>
        <w:t>формации, приведенной на графике в приложении XI к настоящему докладу, эти темы в основном касаются обеспечения представительства интересов к</w:t>
      </w:r>
      <w:r>
        <w:t>о</w:t>
      </w:r>
      <w:r>
        <w:t xml:space="preserve">ренных народов и вопросов развития. </w:t>
      </w:r>
    </w:p>
    <w:p w:rsidR="009F61C6" w:rsidRDefault="009F61C6" w:rsidP="009F61C6">
      <w:pPr>
        <w:pStyle w:val="H1GR"/>
      </w:pPr>
      <w:r>
        <w:tab/>
      </w:r>
      <w:r>
        <w:tab/>
        <w:t>Пункт 17 заключительных замечаний</w:t>
      </w:r>
    </w:p>
    <w:p w:rsidR="009F61C6" w:rsidRDefault="009F61C6" w:rsidP="009F61C6">
      <w:pPr>
        <w:pStyle w:val="SingleTxtGR"/>
      </w:pPr>
      <w:r>
        <w:t>173.</w:t>
      </w:r>
      <w:r>
        <w:tab/>
        <w:t>Соответствующая информация содержится в материалах, касающихся статей 2 (пункты 33–58) и 5 (пункты 85–143). К этому можно добавить, что о</w:t>
      </w:r>
      <w:r>
        <w:t>д</w:t>
      </w:r>
      <w:r>
        <w:t>ним из основных направлений деятельности прав</w:t>
      </w:r>
      <w:r>
        <w:t>и</w:t>
      </w:r>
      <w:r>
        <w:t xml:space="preserve">тельства в области миграции является стимулирование регуляризации статуса мигрантов, поскольку именно регуляризация статуса является для иммигрантов и беженцев в Чили первым этапом процесса, открывающего им доступ к их соответствующим правам. </w:t>
      </w:r>
    </w:p>
    <w:p w:rsidR="009F61C6" w:rsidRDefault="009F61C6" w:rsidP="009F61C6">
      <w:pPr>
        <w:pStyle w:val="SingleTxtGR"/>
      </w:pPr>
      <w:r>
        <w:t>174.</w:t>
      </w:r>
      <w:r>
        <w:tab/>
        <w:t>В этом контексте доступ иммигрантов к правам и льготам полностью г</w:t>
      </w:r>
      <w:r>
        <w:t>а</w:t>
      </w:r>
      <w:r>
        <w:t>рантирован, поскольку получение ими права на проживание на основе процед</w:t>
      </w:r>
      <w:r>
        <w:t>у</w:t>
      </w:r>
      <w:r>
        <w:t>ры регуляризации позволяет им получить на</w:t>
      </w:r>
      <w:r>
        <w:t>д</w:t>
      </w:r>
      <w:r>
        <w:t>лежащие чилийские документы, в том числе документ, удостоверяющий личность; наличие этих документов о</w:t>
      </w:r>
      <w:r>
        <w:t>б</w:t>
      </w:r>
      <w:r>
        <w:t>легчает процесс включения соответствующих лиц в систему социального обе</w:t>
      </w:r>
      <w:r>
        <w:t>с</w:t>
      </w:r>
      <w:r>
        <w:t>печения, обслуживающую все население Чили, в том числе по вопросам пол</w:t>
      </w:r>
      <w:r>
        <w:t>и</w:t>
      </w:r>
      <w:r>
        <w:t>тики, планов и программ в областях здр</w:t>
      </w:r>
      <w:r>
        <w:t>а</w:t>
      </w:r>
      <w:r>
        <w:t xml:space="preserve">воохранения и образования. </w:t>
      </w:r>
    </w:p>
    <w:p w:rsidR="009F61C6" w:rsidRDefault="009F61C6" w:rsidP="009F61C6">
      <w:pPr>
        <w:pStyle w:val="SingleTxtGR"/>
      </w:pPr>
      <w:r>
        <w:t>175.</w:t>
      </w:r>
      <w:r>
        <w:tab/>
        <w:t>В связи с высокой уязвимостью иммигрантов правительство Чили пре</w:t>
      </w:r>
      <w:r>
        <w:t>д</w:t>
      </w:r>
      <w:r>
        <w:t>приняло целый ряд мер, способствующих процессу социальной интеграции этой категории населения, с уделением особого внимания наиболее уязвимым группам, таким как дети, подростки и женщины. Механизм их включения в с</w:t>
      </w:r>
      <w:r>
        <w:t>о</w:t>
      </w:r>
      <w:r>
        <w:t>циальную жизнь страны предусматривает создание механизмов, открывающих им доступ к базовым социальным услугам на основе регуляризации миграц</w:t>
      </w:r>
      <w:r>
        <w:t>и</w:t>
      </w:r>
      <w:r>
        <w:t xml:space="preserve">онного статуса. </w:t>
      </w:r>
    </w:p>
    <w:p w:rsidR="009F61C6" w:rsidRDefault="009F61C6" w:rsidP="009F61C6">
      <w:pPr>
        <w:pStyle w:val="SingleTxtGR"/>
      </w:pPr>
      <w:r>
        <w:t>176.</w:t>
      </w:r>
      <w:r>
        <w:tab/>
        <w:t>Помимо деятельности, описанной в главе III настоящего доклада, в стр</w:t>
      </w:r>
      <w:r>
        <w:t>а</w:t>
      </w:r>
      <w:r>
        <w:t>не разработаны и осуществляются следующие мероприятия в области мигр</w:t>
      </w:r>
      <w:r>
        <w:t>а</w:t>
      </w:r>
      <w:r>
        <w:t xml:space="preserve">ции: </w:t>
      </w:r>
    </w:p>
    <w:p w:rsidR="009F61C6" w:rsidRDefault="007A6B6B" w:rsidP="009F61C6">
      <w:pPr>
        <w:pStyle w:val="SingleTxtGR"/>
      </w:pPr>
      <w:r>
        <w:tab/>
        <w:t>a)</w:t>
      </w:r>
      <w:r>
        <w:tab/>
        <w:t>с</w:t>
      </w:r>
      <w:r w:rsidR="009F61C6">
        <w:t>пециальная программа защиты материнства: эта программа дейс</w:t>
      </w:r>
      <w:r w:rsidR="009F61C6">
        <w:t>т</w:t>
      </w:r>
      <w:r w:rsidR="009F61C6">
        <w:t>вует с 2003 года. В рамках этой программы предоставляется доступ к медици</w:t>
      </w:r>
      <w:r w:rsidR="009F61C6">
        <w:t>н</w:t>
      </w:r>
      <w:r w:rsidR="009F61C6">
        <w:t>ским услугам всем иностранкам, у которых беременность наступила во время нахождения в Чили, независимо от их миграционного статуса. Они также могут подавать ходатайство о предоставлении разрешения на временное пр</w:t>
      </w:r>
      <w:r w:rsidR="009F61C6">
        <w:t>о</w:t>
      </w:r>
      <w:r w:rsidR="009F61C6">
        <w:t xml:space="preserve">живание; </w:t>
      </w:r>
    </w:p>
    <w:p w:rsidR="009F61C6" w:rsidRDefault="007A6B6B" w:rsidP="009F61C6">
      <w:pPr>
        <w:pStyle w:val="SingleTxtGR"/>
      </w:pPr>
      <w:r>
        <w:tab/>
        <w:t>b)</w:t>
      </w:r>
      <w:r>
        <w:tab/>
        <w:t>с</w:t>
      </w:r>
      <w:r w:rsidR="009F61C6">
        <w:t>пециальная программа действий по доступу к образованию: эта программа облегчает и поощр</w:t>
      </w:r>
      <w:r w:rsidR="009F61C6">
        <w:t>я</w:t>
      </w:r>
      <w:r w:rsidR="009F61C6">
        <w:t>ет включение в образовательный процесс в учебных заведениях общего базового и среднего образования всех детей пр</w:t>
      </w:r>
      <w:r w:rsidR="009F61C6">
        <w:t>о</w:t>
      </w:r>
      <w:r w:rsidR="009F61C6">
        <w:t>живающих в Чили мигрантов;</w:t>
      </w:r>
    </w:p>
    <w:p w:rsidR="009F61C6" w:rsidRDefault="009F61C6" w:rsidP="009F61C6">
      <w:pPr>
        <w:pStyle w:val="SingleTxtGR"/>
      </w:pPr>
      <w:r>
        <w:tab/>
        <w:t>c)</w:t>
      </w:r>
      <w:r>
        <w:tab/>
        <w:t>постановление, облегчающее доступ к дошкольному образованию: это постановление предусматривает облегчение процедур включения в пр</w:t>
      </w:r>
      <w:r>
        <w:t>о</w:t>
      </w:r>
      <w:r>
        <w:t xml:space="preserve">граммы дошкольного образования детей в возрасте до </w:t>
      </w:r>
      <w:r w:rsidR="007A6B6B">
        <w:t>пяти</w:t>
      </w:r>
      <w:r>
        <w:t xml:space="preserve"> лет, имеющихся у женщин из числа иммигрантов и беженцев, независимо от иммиграционного статуса этих детей;</w:t>
      </w:r>
    </w:p>
    <w:p w:rsidR="009F61C6" w:rsidRDefault="009F61C6" w:rsidP="009F61C6">
      <w:pPr>
        <w:pStyle w:val="SingleTxtGR"/>
      </w:pPr>
      <w:r>
        <w:tab/>
        <w:t>d)</w:t>
      </w:r>
      <w:r>
        <w:tab/>
        <w:t>постановление, облегчающее доступ детей и подростков к услугам гос</w:t>
      </w:r>
      <w:r>
        <w:t>у</w:t>
      </w:r>
      <w:r>
        <w:t>дарственной системы здравоохранения: согласно этому постановлению всем детям и подросткам-иностранцам в возрасте до 18 лет на равных условиях предоставляются медицинские услуги во всех учреждениях государс</w:t>
      </w:r>
      <w:r w:rsidR="007A6B6B">
        <w:t>твенной сети здравоохранения</w:t>
      </w:r>
      <w:r>
        <w:t xml:space="preserve"> независимо от миграционного статуса их родителей, оп</w:t>
      </w:r>
      <w:r>
        <w:t>е</w:t>
      </w:r>
      <w:r>
        <w:t xml:space="preserve">кунов или законных представителей; </w:t>
      </w:r>
    </w:p>
    <w:p w:rsidR="009F61C6" w:rsidRDefault="009F61C6" w:rsidP="009F61C6">
      <w:pPr>
        <w:pStyle w:val="SingleTxtGR"/>
      </w:pPr>
      <w:r>
        <w:tab/>
        <w:t>e)</w:t>
      </w:r>
      <w:r>
        <w:tab/>
        <w:t>программа доступа к учреждениям Сети защиты жертв насилия в семье для проживающих в Чили женщин-иммигрантов, женщин-беженцев и женщин</w:t>
      </w:r>
      <w:r w:rsidR="007A6B6B">
        <w:t xml:space="preserve"> − </w:t>
      </w:r>
      <w:r>
        <w:t>просителей убежища: целью этой программы является оказание с</w:t>
      </w:r>
      <w:r>
        <w:t>о</w:t>
      </w:r>
      <w:r>
        <w:t>действия проживающим в Чили женщинам-иммигрантам, женщинам-беженцам и женщинам</w:t>
      </w:r>
      <w:r w:rsidR="007A6B6B">
        <w:t xml:space="preserve"> − </w:t>
      </w:r>
      <w:r>
        <w:t>просителям убежища в получении доступа к Сети защиты жертв насилия в семье, которая находится в ведении Национальной службы по делам женщин;</w:t>
      </w:r>
    </w:p>
    <w:p w:rsidR="009F61C6" w:rsidRDefault="009F61C6" w:rsidP="009F61C6">
      <w:pPr>
        <w:pStyle w:val="SingleTxtGR"/>
      </w:pPr>
      <w:r>
        <w:tab/>
        <w:t>f)</w:t>
      </w:r>
      <w:r>
        <w:tab/>
        <w:t>постановление об облегчении доступа к Сети защиты детей: целью этого постановления является облегчение надлежащего доступа к Сети соц</w:t>
      </w:r>
      <w:r>
        <w:t>и</w:t>
      </w:r>
      <w:r>
        <w:t>альной защиты детей и подростков из семей иммигрантов и/или беженцев, н</w:t>
      </w:r>
      <w:r>
        <w:t>а</w:t>
      </w:r>
      <w:r>
        <w:t>ходящихся в уязвимой правовой ситуации или в конфликте с законом, незав</w:t>
      </w:r>
      <w:r>
        <w:t>и</w:t>
      </w:r>
      <w:r>
        <w:t>симо от миграционного статуса соответствующих детей и подростков.</w:t>
      </w:r>
    </w:p>
    <w:p w:rsidR="009F61C6" w:rsidRDefault="009F61C6" w:rsidP="009F61C6">
      <w:pPr>
        <w:pStyle w:val="SingleTxtGR"/>
      </w:pPr>
      <w:r>
        <w:t>177.</w:t>
      </w:r>
      <w:r>
        <w:tab/>
        <w:t xml:space="preserve">В области оказания поддержки беженцам следует отметить следующие мероприятия: </w:t>
      </w:r>
    </w:p>
    <w:p w:rsidR="009F61C6" w:rsidRDefault="009F61C6" w:rsidP="009F61C6">
      <w:pPr>
        <w:pStyle w:val="SingleTxtGR"/>
      </w:pPr>
      <w:r>
        <w:tab/>
        <w:t>a)</w:t>
      </w:r>
      <w:r>
        <w:tab/>
        <w:t>проекты сотрудничества с организациями гражданского общества по вопросам финансовой поддержки социальной интеграции беженцев: Мин</w:t>
      </w:r>
      <w:r>
        <w:t>и</w:t>
      </w:r>
      <w:r>
        <w:t>стерство внутренних дел и общественной безопасности заключило соглашения о финансовом сотрудничестве с организациями гражданского общества в целях содействия интеграции беженцев в Чили и поддержки в обеспечении начал</w:t>
      </w:r>
      <w:r>
        <w:t>ь</w:t>
      </w:r>
      <w:r>
        <w:t>ными средствами к сущес</w:t>
      </w:r>
      <w:r>
        <w:t>т</w:t>
      </w:r>
      <w:r>
        <w:t>вованию просителей убежища;</w:t>
      </w:r>
    </w:p>
    <w:p w:rsidR="009F61C6" w:rsidRDefault="009F61C6" w:rsidP="009F61C6">
      <w:pPr>
        <w:pStyle w:val="SingleTxtGR"/>
      </w:pPr>
      <w:r>
        <w:tab/>
        <w:t>b)</w:t>
      </w:r>
      <w:r>
        <w:tab/>
        <w:t>Комиссия по делам женщин, находящихся в ситуациях уязвимости и ри</w:t>
      </w:r>
      <w:r>
        <w:t>с</w:t>
      </w:r>
      <w:r>
        <w:t>ка: этот орган действует как площадка для координации межсекторальной и межучрежденческой деятельности, позволяющая оптимизировать использ</w:t>
      </w:r>
      <w:r>
        <w:t>о</w:t>
      </w:r>
      <w:r>
        <w:t>вание имеющихся ресурсов и задействовать возможности сетей трудоустройс</w:t>
      </w:r>
      <w:r>
        <w:t>т</w:t>
      </w:r>
      <w:r>
        <w:t>ва в целях содействия социальной интеграции переселенцев и беженцев и ок</w:t>
      </w:r>
      <w:r>
        <w:t>а</w:t>
      </w:r>
      <w:r>
        <w:t>зания поддержки просителям убежища, которые находятся в ситуациях высокой уя</w:t>
      </w:r>
      <w:r>
        <w:t>з</w:t>
      </w:r>
      <w:r>
        <w:t>вимости и/или социального риска;</w:t>
      </w:r>
    </w:p>
    <w:p w:rsidR="009F61C6" w:rsidRDefault="009F61C6" w:rsidP="009F61C6">
      <w:pPr>
        <w:pStyle w:val="SingleTxtGR"/>
      </w:pPr>
      <w:r>
        <w:tab/>
        <w:t>c)</w:t>
      </w:r>
      <w:r>
        <w:tab/>
        <w:t>программа облегчения доступа просителей убежища к услугам г</w:t>
      </w:r>
      <w:r>
        <w:t>о</w:t>
      </w:r>
      <w:r>
        <w:t xml:space="preserve">сударственных учреждений здравоохранения: целью этой программы является облегчение доступа просителей убежища и сопровождающих их членов семьи к услугам государственных учреждений здравоохранения. </w:t>
      </w:r>
    </w:p>
    <w:p w:rsidR="009F61C6" w:rsidRDefault="009F61C6" w:rsidP="009F61C6">
      <w:pPr>
        <w:pStyle w:val="SingleTxtGR"/>
      </w:pPr>
      <w:r>
        <w:t>178.</w:t>
      </w:r>
      <w:r>
        <w:tab/>
        <w:t>Помимо указанных выше</w:t>
      </w:r>
      <w:r w:rsidR="007A6B6B">
        <w:t>,</w:t>
      </w:r>
      <w:r>
        <w:t xml:space="preserve"> принимаются и другие меры оказания помощи и поддержки детям и подросткам из семей иммигрантов, которые также благ</w:t>
      </w:r>
      <w:r>
        <w:t>о</w:t>
      </w:r>
      <w:r>
        <w:t>творно сказываются на положении мигрантов, п</w:t>
      </w:r>
      <w:r>
        <w:t>о</w:t>
      </w:r>
      <w:r>
        <w:t>скольку такие меры позволяют им воспользоваться услугами государства по уходу за детьми, что обле</w:t>
      </w:r>
      <w:r>
        <w:t>г</w:t>
      </w:r>
      <w:r>
        <w:t xml:space="preserve">чает доступ мигрантов к рынку труда. </w:t>
      </w:r>
      <w:r>
        <w:tab/>
      </w:r>
    </w:p>
    <w:p w:rsidR="009F61C6" w:rsidRDefault="009F61C6" w:rsidP="009F61C6">
      <w:pPr>
        <w:pStyle w:val="H1GR"/>
      </w:pPr>
      <w:r>
        <w:tab/>
      </w:r>
      <w:r>
        <w:tab/>
        <w:t>Пункт 18 заключительных замечаний</w:t>
      </w:r>
    </w:p>
    <w:p w:rsidR="009F61C6" w:rsidRDefault="009F61C6" w:rsidP="009F61C6">
      <w:pPr>
        <w:pStyle w:val="SingleTxtGR"/>
      </w:pPr>
      <w:r>
        <w:t>179.</w:t>
      </w:r>
      <w:r>
        <w:tab/>
        <w:t>Учитывая высказанную Комитетом озабоченность, правительство Чили обратило внимание правовой системы страны на необходимость квалифицир</w:t>
      </w:r>
      <w:r>
        <w:t>о</w:t>
      </w:r>
      <w:r>
        <w:t>вать расизм и дискриминацию как преступления, подлежащие искоренению и наказанию. Об этом говорится в пунктах 27−32 настоящего доклада, ос</w:t>
      </w:r>
      <w:r>
        <w:t>о</w:t>
      </w:r>
      <w:r>
        <w:t>бенно в связи с положениями нового Закона № 20609 относительно отягчающих обсто</w:t>
      </w:r>
      <w:r>
        <w:t>я</w:t>
      </w:r>
      <w:r>
        <w:t xml:space="preserve">тельств. </w:t>
      </w:r>
    </w:p>
    <w:p w:rsidR="009F61C6" w:rsidRDefault="009F61C6" w:rsidP="009F61C6">
      <w:pPr>
        <w:pStyle w:val="H1GR"/>
      </w:pPr>
      <w:r>
        <w:tab/>
      </w:r>
      <w:r>
        <w:tab/>
        <w:t xml:space="preserve">Пункт 19 заключительных замечаний </w:t>
      </w:r>
    </w:p>
    <w:p w:rsidR="009F61C6" w:rsidRDefault="009F61C6" w:rsidP="009F61C6">
      <w:pPr>
        <w:pStyle w:val="SingleTxtGR"/>
      </w:pPr>
      <w:r>
        <w:t>180.</w:t>
      </w:r>
      <w:r>
        <w:tab/>
        <w:t>Военный трибунал вынес оправдательный приговор по делу капрала О</w:t>
      </w:r>
      <w:r>
        <w:t>т</w:t>
      </w:r>
      <w:r>
        <w:t>ряда специальных полицейских операций корпуса карабинеров Мигеля Патр</w:t>
      </w:r>
      <w:r>
        <w:t>и</w:t>
      </w:r>
      <w:r>
        <w:t xml:space="preserve">сио Хара Муньоса, которого суд первой инстанции приговорил к тюремному заключению сроком на </w:t>
      </w:r>
      <w:r w:rsidR="007A6B6B">
        <w:t>пять</w:t>
      </w:r>
      <w:r>
        <w:t xml:space="preserve"> лет и </w:t>
      </w:r>
      <w:r w:rsidR="007A6B6B">
        <w:t>один</w:t>
      </w:r>
      <w:r>
        <w:t xml:space="preserve"> день за применение не вызванного нео</w:t>
      </w:r>
      <w:r>
        <w:t>б</w:t>
      </w:r>
      <w:r>
        <w:t>ходимостью насилия, приведшего к смерти студента Хайме Мендосы Кольо; оправдательный приговор основан на признании действий упомянутого караб</w:t>
      </w:r>
      <w:r>
        <w:t>и</w:t>
      </w:r>
      <w:r>
        <w:t>нера законной самозащитой. Корпус карабинеров представил в распоряжение правосудия всю имевшуюся у него служебную информацию о предыстории происшествия и попросил установить, должна ли наступать уголовная ответс</w:t>
      </w:r>
      <w:r>
        <w:t>т</w:t>
      </w:r>
      <w:r>
        <w:t>венность за действия, представляющие собой обычное поведение сотрудников этой службы. См. также материалы, изложенные в пунктах 80−83 данного до</w:t>
      </w:r>
      <w:r>
        <w:t>к</w:t>
      </w:r>
      <w:r>
        <w:t xml:space="preserve">лада. </w:t>
      </w:r>
    </w:p>
    <w:p w:rsidR="009F61C6" w:rsidRDefault="009F61C6" w:rsidP="009F61C6">
      <w:pPr>
        <w:pStyle w:val="H1GR"/>
      </w:pPr>
      <w:r>
        <w:tab/>
      </w:r>
      <w:r>
        <w:tab/>
        <w:t xml:space="preserve">Пункт 20 заключительных замечаний </w:t>
      </w:r>
    </w:p>
    <w:p w:rsidR="009F61C6" w:rsidRDefault="009F61C6" w:rsidP="009F61C6">
      <w:pPr>
        <w:pStyle w:val="SingleTxtGR"/>
      </w:pPr>
      <w:r>
        <w:t>181.</w:t>
      </w:r>
      <w:r>
        <w:tab/>
        <w:t>В пункте 20 своих заключительных замечаний Комитет рекомендовал Чили наладить более активную работу по полноценному вовлечению коренного населения, в особенности женщин, в ведение государственных дел и принять действенные меры для обеспечения участия коренных народов в управлении государством на всех уровнях власти.</w:t>
      </w:r>
    </w:p>
    <w:p w:rsidR="009F61C6" w:rsidRDefault="009F61C6" w:rsidP="009F61C6">
      <w:pPr>
        <w:pStyle w:val="SingleTxtGR"/>
      </w:pPr>
      <w:r>
        <w:t>182.</w:t>
      </w:r>
      <w:r>
        <w:tab/>
        <w:t>В этой связи правительство сообщает, что, без ущерба для исполнения положений статей Конвенции, оно стремится обеспечить полное участие коре</w:t>
      </w:r>
      <w:r>
        <w:t>н</w:t>
      </w:r>
      <w:r>
        <w:t>ных народов в ведении государственных дел; в этом контексте в последние г</w:t>
      </w:r>
      <w:r>
        <w:t>о</w:t>
      </w:r>
      <w:r>
        <w:t>ды деятельность государственных органов по вовлечению этих народов в пр</w:t>
      </w:r>
      <w:r>
        <w:t>о</w:t>
      </w:r>
      <w:r>
        <w:t>цессы управления, в частности, по вопросам, касающимся коренных народов, стала одним из приоритетных направлений работы правительства, и в этой о</w:t>
      </w:r>
      <w:r>
        <w:t>б</w:t>
      </w:r>
      <w:r>
        <w:t>ласти пришлось решать серьезные задачи. В связи с ориентацией на модерн</w:t>
      </w:r>
      <w:r>
        <w:t>и</w:t>
      </w:r>
      <w:r>
        <w:t>зацию государства путем вовлечения коренных народов в управление госуда</w:t>
      </w:r>
      <w:r>
        <w:t>р</w:t>
      </w:r>
      <w:r>
        <w:t>ственными делами в стране разработаны механизмы государственного управл</w:t>
      </w:r>
      <w:r>
        <w:t>е</w:t>
      </w:r>
      <w:r>
        <w:t>ния, позволяющие повысить транспарентность и эффективность каналов, по к</w:t>
      </w:r>
      <w:r>
        <w:t>о</w:t>
      </w:r>
      <w:r>
        <w:t>торым информация доводится до населения, а также обеспечить учет потребн</w:t>
      </w:r>
      <w:r>
        <w:t>о</w:t>
      </w:r>
      <w:r>
        <w:t>стей и интересов организаций коренных народов при формулировании пр</w:t>
      </w:r>
      <w:r>
        <w:t>о</w:t>
      </w:r>
      <w:r>
        <w:t>грамм и стратегических планов государства.</w:t>
      </w:r>
    </w:p>
    <w:p w:rsidR="009F61C6" w:rsidRDefault="009F61C6" w:rsidP="009F61C6">
      <w:pPr>
        <w:pStyle w:val="SingleTxtGR"/>
      </w:pPr>
      <w:r>
        <w:t>183.</w:t>
      </w:r>
      <w:r>
        <w:tab/>
        <w:t>Как указывалось выше, в этом контексте в стране создаются многочи</w:t>
      </w:r>
      <w:r>
        <w:t>с</w:t>
      </w:r>
      <w:r>
        <w:t>ленные площадки для широкого диалога, на которых коренные народы могут принимать активное участие в дискуссиях и в выработке согласованных поз</w:t>
      </w:r>
      <w:r>
        <w:t>и</w:t>
      </w:r>
      <w:r>
        <w:t>ций по вопросам реализации стратегических инициатив, касающихся к</w:t>
      </w:r>
      <w:r>
        <w:t>о</w:t>
      </w:r>
      <w:r>
        <w:t>ренных народов; необходимо также изучать поддающиеся институционализации у</w:t>
      </w:r>
      <w:r>
        <w:t>с</w:t>
      </w:r>
      <w:r>
        <w:t>пешные методы и передовую практику, способствующие установлению доверия между различными субъектами и их с</w:t>
      </w:r>
      <w:r>
        <w:t>о</w:t>
      </w:r>
      <w:r>
        <w:t xml:space="preserve">трудничеству по вопросам, касающимся как коренных народов, так и общества в целом. </w:t>
      </w:r>
    </w:p>
    <w:p w:rsidR="009F61C6" w:rsidRDefault="009F61C6" w:rsidP="009F61C6">
      <w:pPr>
        <w:pStyle w:val="SingleTxtGR"/>
      </w:pPr>
      <w:r>
        <w:t>184.</w:t>
      </w:r>
      <w:r>
        <w:tab/>
        <w:t>Такое участие и сотрудничество в управлении государственными делами четко гарантируется в Законе о коренных народах, предусматривающем созд</w:t>
      </w:r>
      <w:r>
        <w:t>а</w:t>
      </w:r>
      <w:r>
        <w:t>ние Национального совета КОНАДИ (как уже отмечалось выше, 15 января 2012 года на демократической основе были избраны восемь членов Совета из числа коренных народов), а также участие представителей коренных народов в консультативных органах, предусмотренных в статье 46 и в заключительном а</w:t>
      </w:r>
      <w:r>
        <w:t>б</w:t>
      </w:r>
      <w:r>
        <w:t xml:space="preserve">заце статьи 47 Закона о коренных народах. Кроме того, в стране организованы также так называемые "региональные "круглые столы" коренных народов", в работе которых принимают участие лидеры и организации коренных народов. </w:t>
      </w:r>
    </w:p>
    <w:p w:rsidR="009F61C6" w:rsidRDefault="009F61C6" w:rsidP="009F61C6">
      <w:pPr>
        <w:pStyle w:val="H1GR"/>
      </w:pPr>
      <w:r>
        <w:tab/>
      </w:r>
      <w:r>
        <w:tab/>
        <w:t>Пункт 21 заключительных замечаний</w:t>
      </w:r>
    </w:p>
    <w:p w:rsidR="009F61C6" w:rsidRDefault="009F61C6" w:rsidP="009F61C6">
      <w:pPr>
        <w:pStyle w:val="SingleTxtGR"/>
      </w:pPr>
      <w:r>
        <w:t>185.</w:t>
      </w:r>
      <w:r>
        <w:tab/>
        <w:t>Как известно Комитету, в статье 12 Закона о коренных народах содержи</w:t>
      </w:r>
      <w:r>
        <w:t>т</w:t>
      </w:r>
      <w:r>
        <w:t>ся определение земель коренных народов</w:t>
      </w:r>
      <w:r>
        <w:rPr>
          <w:rStyle w:val="FootnoteReference"/>
        </w:rPr>
        <w:footnoteReference w:id="17"/>
      </w:r>
      <w:r>
        <w:t xml:space="preserve"> и признается право собственности или владения этими землями физическими лицами и общинами. </w:t>
      </w:r>
    </w:p>
    <w:p w:rsidR="009F61C6" w:rsidRDefault="009F61C6" w:rsidP="009F61C6">
      <w:pPr>
        <w:pStyle w:val="SingleTxtGR"/>
      </w:pPr>
      <w:r>
        <w:t>186.</w:t>
      </w:r>
      <w:r>
        <w:tab/>
        <w:t>По данным КОНАДИ, общая площадь земель, находящихся в ведении к</w:t>
      </w:r>
      <w:r>
        <w:t>о</w:t>
      </w:r>
      <w:r>
        <w:t>ренных народов, составляет 1 161 074,37 гектара. Вероятно, что фактически площадь таких земель больше указанной, поскольку в ней не учтены земли к</w:t>
      </w:r>
      <w:r>
        <w:t>о</w:t>
      </w:r>
      <w:r>
        <w:t>ренных народов, не зарегистрированные в Государственном реестре земель, к</w:t>
      </w:r>
      <w:r>
        <w:t>о</w:t>
      </w:r>
      <w:r>
        <w:t>торый ведет КОНАДИ. Как это показано в соответствующих таблицах в прил</w:t>
      </w:r>
      <w:r>
        <w:t>о</w:t>
      </w:r>
      <w:r>
        <w:t>жении XII, за период с 1994 года по 2010 год физические лица из числа коре</w:t>
      </w:r>
      <w:r>
        <w:t>н</w:t>
      </w:r>
      <w:r>
        <w:t>ных народов и общины коренных народов, и</w:t>
      </w:r>
      <w:r>
        <w:t>с</w:t>
      </w:r>
      <w:r>
        <w:t>пользуя различные механизмы, созданные в соответствии с Законом о коренных народах, приобрели, получили в результате передачи или получили в порядке возмещения в общей сложности 667 457 г</w:t>
      </w:r>
      <w:r w:rsidR="007A6B6B">
        <w:t>а</w:t>
      </w:r>
      <w:r>
        <w:t xml:space="preserve"> земли.</w:t>
      </w:r>
    </w:p>
    <w:p w:rsidR="009F61C6" w:rsidRDefault="009F61C6" w:rsidP="009F61C6">
      <w:pPr>
        <w:pStyle w:val="SingleTxtGR"/>
      </w:pPr>
      <w:r>
        <w:t>187.</w:t>
      </w:r>
      <w:r>
        <w:tab/>
        <w:t>Государство признает и защищает собственность коренных народов, пр</w:t>
      </w:r>
      <w:r>
        <w:t>и</w:t>
      </w:r>
      <w:r>
        <w:t>меняя для этого инструменты, установленные в Законе о коренных народах, т</w:t>
      </w:r>
      <w:r>
        <w:t>а</w:t>
      </w:r>
      <w:r>
        <w:t>кие, как Определение земель коренных народов и находящийся в управлении КОНАДИ Фонд земель и вод коренных народов. Указанный фонд стремится расширить площадь земель коренных народов, используя следующие механи</w:t>
      </w:r>
      <w:r>
        <w:t>з</w:t>
      </w:r>
      <w:r>
        <w:t xml:space="preserve">мы: </w:t>
      </w:r>
    </w:p>
    <w:p w:rsidR="009F61C6" w:rsidRDefault="009F61C6" w:rsidP="009F61C6">
      <w:pPr>
        <w:pStyle w:val="SingleTxtGR"/>
      </w:pPr>
      <w:r>
        <w:tab/>
        <w:t>a)</w:t>
      </w:r>
      <w:r>
        <w:tab/>
        <w:t>предоставление физическим лицам из числа коренных народов, общинам или отдельным частям общин коренных народов субсидий для прио</w:t>
      </w:r>
      <w:r>
        <w:t>б</w:t>
      </w:r>
      <w:r>
        <w:t>ретения земель в ситуациях, когда уже имеющихся у них земель им недостато</w:t>
      </w:r>
      <w:r>
        <w:t>ч</w:t>
      </w:r>
      <w:r>
        <w:t>но;</w:t>
      </w:r>
    </w:p>
    <w:p w:rsidR="009F61C6" w:rsidRDefault="009F61C6" w:rsidP="009F61C6">
      <w:pPr>
        <w:pStyle w:val="SingleTxtGR"/>
      </w:pPr>
      <w:r>
        <w:tab/>
        <w:t>b)</w:t>
      </w:r>
      <w:r>
        <w:tab/>
        <w:t>финансирование механизмов, позволяющих решать некоторые з</w:t>
      </w:r>
      <w:r>
        <w:t>е</w:t>
      </w:r>
      <w:r w:rsidR="00312EF6">
        <w:t>мельные проблемы, в частности</w:t>
      </w:r>
      <w:r>
        <w:t xml:space="preserve"> проблемы, возникающие в связи с исполнен</w:t>
      </w:r>
      <w:r>
        <w:t>и</w:t>
      </w:r>
      <w:r>
        <w:t>ем судебных или внесудебных решений или сделок, касающихся земель коре</w:t>
      </w:r>
      <w:r>
        <w:t>н</w:t>
      </w:r>
      <w:r>
        <w:t>ных нар</w:t>
      </w:r>
      <w:r>
        <w:t>о</w:t>
      </w:r>
      <w:r>
        <w:t>дов;</w:t>
      </w:r>
    </w:p>
    <w:p w:rsidR="009F61C6" w:rsidRDefault="009F61C6" w:rsidP="009F61C6">
      <w:pPr>
        <w:pStyle w:val="SingleTxtGR"/>
      </w:pPr>
      <w:r>
        <w:tab/>
        <w:t>c)</w:t>
      </w:r>
      <w:r>
        <w:tab/>
        <w:t>финансирование установления, регуляризации или приобретения прав на водные ресурсы и проведения работ, связанных с получением соотве</w:t>
      </w:r>
      <w:r>
        <w:t>т</w:t>
      </w:r>
      <w:r>
        <w:t>ствующих ресурсов.</w:t>
      </w:r>
    </w:p>
    <w:p w:rsidR="009F61C6" w:rsidRDefault="009F61C6" w:rsidP="009F61C6">
      <w:pPr>
        <w:pStyle w:val="SingleTxtGR"/>
      </w:pPr>
      <w:r>
        <w:t>188.</w:t>
      </w:r>
      <w:r>
        <w:tab/>
        <w:t>Кроме того, в соответствии с положениями статьи 21 Закона о коренных народах КОНАДИ "может получать от государства государственные земли, ра</w:t>
      </w:r>
      <w:r>
        <w:t>з</w:t>
      </w:r>
      <w:r>
        <w:t>личное имущество и объекты собственности, права на воду и другие ресурсы такого рода для размещения, предоставления в вечное пользование, строител</w:t>
      </w:r>
      <w:r>
        <w:t>ь</w:t>
      </w:r>
      <w:r>
        <w:t>ства поселений, переселения и другой аналогичной деятельности в интересах как общин к</w:t>
      </w:r>
      <w:r>
        <w:t>о</w:t>
      </w:r>
      <w:r>
        <w:t>ренных народов, так и отдельных лиц из числа этих народов". Эти положения позволяют Министерству по делам национального имущества пер</w:t>
      </w:r>
      <w:r>
        <w:t>е</w:t>
      </w:r>
      <w:r>
        <w:t xml:space="preserve">давать КОНАДИ объекты недвижимого имущества, которые КОНАДИ затем бесплатно передает отдельным лицам или общинам коренных народов. </w:t>
      </w:r>
    </w:p>
    <w:p w:rsidR="009F61C6" w:rsidRDefault="009F61C6" w:rsidP="009F61C6">
      <w:pPr>
        <w:pStyle w:val="SingleTxtGR"/>
      </w:pPr>
      <w:r>
        <w:t>189.</w:t>
      </w:r>
      <w:r>
        <w:tab/>
        <w:t>Правительство также сообщает, что 24 сентября 2010 года на холме Нь</w:t>
      </w:r>
      <w:r>
        <w:t>е</w:t>
      </w:r>
      <w:r>
        <w:t>лоль в городе Темуко был начат процесс "Диалог в целях исторического восс</w:t>
      </w:r>
      <w:r>
        <w:t>о</w:t>
      </w:r>
      <w:r>
        <w:t>единения", в котором принимают участие представители общин коренных н</w:t>
      </w:r>
      <w:r>
        <w:t>а</w:t>
      </w:r>
      <w:r>
        <w:t>родов, члены правительства на министерском уровне, главы администрации ч</w:t>
      </w:r>
      <w:r>
        <w:t>е</w:t>
      </w:r>
      <w:r>
        <w:t>тырех регионов, представители католической, евангелистской и англиканской церквей и представит</w:t>
      </w:r>
      <w:r>
        <w:t>е</w:t>
      </w:r>
      <w:r>
        <w:t xml:space="preserve">ли гражданского общества. </w:t>
      </w:r>
    </w:p>
    <w:p w:rsidR="009F61C6" w:rsidRDefault="009F61C6" w:rsidP="009F61C6">
      <w:pPr>
        <w:pStyle w:val="SingleTxtGR"/>
      </w:pPr>
      <w:r>
        <w:t>190.</w:t>
      </w:r>
      <w:r>
        <w:tab/>
        <w:t>Помимо этого процесса</w:t>
      </w:r>
      <w:r w:rsidR="00312EF6">
        <w:t>,</w:t>
      </w:r>
      <w:r>
        <w:t xml:space="preserve"> в южной части страны развернулся продолжа</w:t>
      </w:r>
      <w:r>
        <w:t>ю</w:t>
      </w:r>
      <w:r>
        <w:t>щийся до сих пор общественный диалог на национальном уровне и на уровне регионов, провинций и муниципий; уже состоялось в общей сложности 49 р</w:t>
      </w:r>
      <w:r>
        <w:t>а</w:t>
      </w:r>
      <w:r>
        <w:t>ундов дискуссий "круглого стола", в которых приняли участие более 1 883 ч</w:t>
      </w:r>
      <w:r>
        <w:t>е</w:t>
      </w:r>
      <w:r>
        <w:t>ловек. В ходе дискуссий обсуждались, в частности, вопросы, касающиеся з</w:t>
      </w:r>
      <w:r>
        <w:t>е</w:t>
      </w:r>
      <w:r>
        <w:t>мель, развития и образования, а также правовые вопросы. Основные вопросы, которые поднимали на этих дискуссиях лица из числа коренного населения, к</w:t>
      </w:r>
      <w:r>
        <w:t>а</w:t>
      </w:r>
      <w:r>
        <w:t>сались регуляризации юридических документов, устанавливающих права на землю, и более гибкого применения ограничений на использование земель и на в</w:t>
      </w:r>
      <w:r>
        <w:t>ы</w:t>
      </w:r>
      <w:r>
        <w:t>куп земель</w:t>
      </w:r>
      <w:r>
        <w:rPr>
          <w:rStyle w:val="FootnoteReference"/>
        </w:rPr>
        <w:footnoteReference w:id="18"/>
      </w:r>
      <w:r>
        <w:t>.</w:t>
      </w:r>
    </w:p>
    <w:p w:rsidR="009F61C6" w:rsidRDefault="009F61C6" w:rsidP="009F61C6">
      <w:pPr>
        <w:pStyle w:val="SingleTxtGR"/>
      </w:pPr>
      <w:r>
        <w:t>191.</w:t>
      </w:r>
      <w:r>
        <w:tab/>
        <w:t>Следует также иметь в виду, что государство ежегодно выкупает земел</w:t>
      </w:r>
      <w:r>
        <w:t>ь</w:t>
      </w:r>
      <w:r>
        <w:t>ные участки для примерно 30 общин коренных народов; эти покупки осущест</w:t>
      </w:r>
      <w:r>
        <w:t>в</w:t>
      </w:r>
      <w:r>
        <w:t>ляются по транспарентным ценам, соответствующим рыночной оценке соотве</w:t>
      </w:r>
      <w:r>
        <w:t>т</w:t>
      </w:r>
      <w:r>
        <w:t xml:space="preserve">ствующих земель. </w:t>
      </w:r>
    </w:p>
    <w:p w:rsidR="009F61C6" w:rsidRDefault="009F61C6" w:rsidP="009F61C6">
      <w:pPr>
        <w:pStyle w:val="H1GR"/>
      </w:pPr>
      <w:r>
        <w:tab/>
      </w:r>
      <w:r>
        <w:tab/>
        <w:t xml:space="preserve">Пункт 22 заключительных замечаний </w:t>
      </w:r>
    </w:p>
    <w:p w:rsidR="009F61C6" w:rsidRDefault="009F61C6" w:rsidP="009F61C6">
      <w:pPr>
        <w:pStyle w:val="SingleTxtGR"/>
      </w:pPr>
      <w:r>
        <w:t>192.</w:t>
      </w:r>
      <w:r>
        <w:tab/>
        <w:t>Выше в настоящем докладе уже довольно подробно говорилось о том, что правительство Чили активно участвует в процессе консультаций по вопросам, касающимся институциональных структур коренных народов. Одна из тем ко</w:t>
      </w:r>
      <w:r>
        <w:t>н</w:t>
      </w:r>
      <w:r>
        <w:t>сультаций касается процедуры проведения консультаций в рамках оценки во</w:t>
      </w:r>
      <w:r>
        <w:t>з</w:t>
      </w:r>
      <w:r>
        <w:t>действия на окружающую среду проектов, представленных на рассмотрение Системы оценки воздействия на окружающую среду (СЕИА), и участия в этих консультациях коренных народов. Сущ</w:t>
      </w:r>
      <w:r>
        <w:t>е</w:t>
      </w:r>
      <w:r>
        <w:t>ство обсуждаемого предложения на этот счет сводится к тому, чтобы включить в правила участия в процедуре оценки воздействия на окружающую среду так называемых "инвестиционных прое</w:t>
      </w:r>
      <w:r>
        <w:t>к</w:t>
      </w:r>
      <w:r>
        <w:t>тов" положение, предусматривающее соблюдение специальной процедуры ко</w:t>
      </w:r>
      <w:r>
        <w:t>н</w:t>
      </w:r>
      <w:r>
        <w:t>сультаций с коренными народами в соответствии с принципами Конве</w:t>
      </w:r>
      <w:r>
        <w:t>н</w:t>
      </w:r>
      <w:r>
        <w:t>ции №</w:t>
      </w:r>
      <w:r w:rsidR="003C58E8">
        <w:t> </w:t>
      </w:r>
      <w:r>
        <w:t>169 МОТ. Правительство Чили убеждено в том, что это предложение способствует существенному укреплению процесса консультаций с коренными народами и обеспечению их участия в принятии решений и что оно соответс</w:t>
      </w:r>
      <w:r>
        <w:t>т</w:t>
      </w:r>
      <w:r>
        <w:t>вует международным обязательствам страны, отвечает чаяниям коренных нар</w:t>
      </w:r>
      <w:r>
        <w:t>о</w:t>
      </w:r>
      <w:r>
        <w:t>дов и сл</w:t>
      </w:r>
      <w:r>
        <w:t>у</w:t>
      </w:r>
      <w:r>
        <w:t xml:space="preserve">жит интересам устойчивого развития страны. </w:t>
      </w:r>
    </w:p>
    <w:p w:rsidR="009F61C6" w:rsidRDefault="009F61C6" w:rsidP="009F61C6">
      <w:pPr>
        <w:pStyle w:val="SingleTxtGR"/>
      </w:pPr>
      <w:r>
        <w:t>193.</w:t>
      </w:r>
      <w:r>
        <w:tab/>
        <w:t>Что касается признания права коренных народов на природные ресурсы, имеющиеся на их землях и территориях, то за период с 2008 года в этой обла</w:t>
      </w:r>
      <w:r>
        <w:t>с</w:t>
      </w:r>
      <w:r>
        <w:t>ти достигнут значительный и устойчивый прогресс; в частности, следует отм</w:t>
      </w:r>
      <w:r>
        <w:t>е</w:t>
      </w:r>
      <w:r>
        <w:t>тить следующие достижения: a) принятие в 2008 году "Закона о прибрежных морских территориях коренных народов" и в 2009 году – регламента примен</w:t>
      </w:r>
      <w:r>
        <w:t>е</w:t>
      </w:r>
      <w:r>
        <w:t>ния этого закона, в которых признается право на доступ к прибрежным мо</w:t>
      </w:r>
      <w:r>
        <w:t>р</w:t>
      </w:r>
      <w:r>
        <w:t>ским районам общин коренных народов, традицио</w:t>
      </w:r>
      <w:r>
        <w:t>н</w:t>
      </w:r>
      <w:r>
        <w:t>но пользующихся таким доступом, и предусматривается защита этого права; b) принятие действующего с 2009 года Закона № 20283 "О восстановлении естественных лесов и развитии лесного хозяйства", в рамках которого государство субсидирует лесохозяйс</w:t>
      </w:r>
      <w:r>
        <w:t>т</w:t>
      </w:r>
      <w:r>
        <w:t>венную деятельность и мероприятия по возрождению, защите и восстановл</w:t>
      </w:r>
      <w:r>
        <w:t>е</w:t>
      </w:r>
      <w:r>
        <w:t>нию естественных лесов, которые во многих случаях являются ресурсами, тр</w:t>
      </w:r>
      <w:r>
        <w:t>а</w:t>
      </w:r>
      <w:r>
        <w:t>диционно используемыми коренными народами, особенно проживающими в южной части страны; кроме того, в отношении проектов мелких фермеров и общин коренных народов применяется преференциальный режим; c) 6 января 2010 года правительство представило проект изменения Конституции п</w:t>
      </w:r>
      <w:r>
        <w:t>у</w:t>
      </w:r>
      <w:r>
        <w:t>тем внесения в нее положений, устанавливающих, что "воды, в каком бы состоянии и где бы они ни н</w:t>
      </w:r>
      <w:r>
        <w:t>а</w:t>
      </w:r>
      <w:r>
        <w:t>ходились, являются национальным достоянием и находятся в общем пользовании" и что в стране будет создан "компетентный орган, обл</w:t>
      </w:r>
      <w:r>
        <w:t>а</w:t>
      </w:r>
      <w:r>
        <w:t>дающий полномочиями регулирования использования поверхностных или по</w:t>
      </w:r>
      <w:r>
        <w:t>ч</w:t>
      </w:r>
      <w:r>
        <w:t>венных вод в целях обеспечения наличия водных ресурсов". Принятие этого з</w:t>
      </w:r>
      <w:r>
        <w:t>а</w:t>
      </w:r>
      <w:r>
        <w:t>конопроекта позволит принимать нормативные документы и управлять име</w:t>
      </w:r>
      <w:r>
        <w:t>ю</w:t>
      </w:r>
      <w:r>
        <w:t>щимися водными ресурсами, обеспечивая их базовую доступность для соотве</w:t>
      </w:r>
      <w:r>
        <w:t>т</w:t>
      </w:r>
      <w:r>
        <w:t>ствующих общин коренных народов, а также облегчит отправление пр</w:t>
      </w:r>
      <w:r>
        <w:t>а</w:t>
      </w:r>
      <w:r>
        <w:t>восудия в отношении признания прав общин коренных народов на их традиционное в</w:t>
      </w:r>
      <w:r>
        <w:t>о</w:t>
      </w:r>
      <w:r>
        <w:t>допользование в соответствии с решением Верховного суда Чили по так наз</w:t>
      </w:r>
      <w:r>
        <w:t>ы</w:t>
      </w:r>
      <w:r>
        <w:t>ваемому "Делу общины Чусмиса"</w:t>
      </w:r>
      <w:r>
        <w:rPr>
          <w:rStyle w:val="FootnoteReference"/>
        </w:rPr>
        <w:footnoteReference w:id="19"/>
      </w:r>
      <w:r>
        <w:t xml:space="preserve">. </w:t>
      </w:r>
    </w:p>
    <w:p w:rsidR="009F61C6" w:rsidRDefault="009F61C6" w:rsidP="009F61C6">
      <w:pPr>
        <w:pStyle w:val="SingleTxtGR"/>
      </w:pPr>
      <w:r>
        <w:t>194.</w:t>
      </w:r>
      <w:r>
        <w:tab/>
        <w:t>По другому судебному делу 16 сентября 2009 года Первая палата Апе</w:t>
      </w:r>
      <w:r>
        <w:t>л</w:t>
      </w:r>
      <w:r>
        <w:t>ляционного суда города Темуко поддержала требование о судебном запрете, с которым обратился знахарь Франсиска Линколао Уиркапан из хозяйства мапуче Педро Линколао, Леф Раве в общине Падре-Лас-Касас; заявитель требовал з</w:t>
      </w:r>
      <w:r>
        <w:t>а</w:t>
      </w:r>
      <w:r>
        <w:t>претить конкретному индивидуальному предпринимателю проводить лесох</w:t>
      </w:r>
      <w:r>
        <w:t>о</w:t>
      </w:r>
      <w:r>
        <w:t>зяйственные работы на территориях вблизи лесных родников, на которых ра</w:t>
      </w:r>
      <w:r>
        <w:t>с</w:t>
      </w:r>
      <w:r>
        <w:t>тут лекарственные травы и которые мапуче почитают как священные; в своем решении Апелляционный суд со ссылкой на положения Конвенции № 169 МОТ потребовал, чтобы предприниматель не проводил лесохозяйственные работы на соответс</w:t>
      </w:r>
      <w:r>
        <w:t>т</w:t>
      </w:r>
      <w:r>
        <w:t xml:space="preserve">вующих участках. </w:t>
      </w:r>
    </w:p>
    <w:p w:rsidR="009F61C6" w:rsidRDefault="009F61C6" w:rsidP="009F61C6">
      <w:pPr>
        <w:pStyle w:val="SingleTxtGR"/>
      </w:pPr>
      <w:r>
        <w:t>195.</w:t>
      </w:r>
      <w:r>
        <w:tab/>
        <w:t>Что касается участия коренных народов в выгодах от использования м</w:t>
      </w:r>
      <w:r>
        <w:t>и</w:t>
      </w:r>
      <w:r>
        <w:t>неральных ресурсов, то правительство считает, что такое участие возможно на основе адекватного применения норм, содержащихся в Базовом законе об охр</w:t>
      </w:r>
      <w:r>
        <w:t>а</w:t>
      </w:r>
      <w:r>
        <w:t>н</w:t>
      </w:r>
      <w:r w:rsidR="003C58E8">
        <w:t>е окружающей среды, в частности</w:t>
      </w:r>
      <w:r>
        <w:t xml:space="preserve"> его положений, касающихся мер компенс</w:t>
      </w:r>
      <w:r>
        <w:t>а</w:t>
      </w:r>
      <w:r>
        <w:t>ции, уменьшения или возмещения ущерба, которые должны оговариваться в рамках процессов экологической оценки и вынесения заключения с учетом х</w:t>
      </w:r>
      <w:r>
        <w:t>а</w:t>
      </w:r>
      <w:r>
        <w:t xml:space="preserve">рактеристик каждой конкретной ситуации. </w:t>
      </w:r>
    </w:p>
    <w:p w:rsidR="009F61C6" w:rsidRDefault="009F61C6" w:rsidP="009F61C6">
      <w:pPr>
        <w:pStyle w:val="H1GR"/>
      </w:pPr>
      <w:r>
        <w:tab/>
      </w:r>
      <w:r>
        <w:tab/>
        <w:t>Пункт 23 заключительных замечаний</w:t>
      </w:r>
    </w:p>
    <w:p w:rsidR="009F61C6" w:rsidRDefault="009F61C6" w:rsidP="009F61C6">
      <w:pPr>
        <w:pStyle w:val="SingleTxtGR"/>
      </w:pPr>
      <w:r>
        <w:t>196.</w:t>
      </w:r>
      <w:r>
        <w:tab/>
        <w:t>В дополнение к приведенной выше информации следует отметить, что в Чили соответствующие вопросы регулируются на основе Закона № 19300 "Об общих принципах охраны окружающей ср</w:t>
      </w:r>
      <w:r w:rsidR="003C58E8">
        <w:t>еды" и декрета Верховной вл</w:t>
      </w:r>
      <w:r w:rsidR="003C58E8">
        <w:t>а</w:t>
      </w:r>
      <w:r w:rsidR="003C58E8">
        <w:t>сти </w:t>
      </w:r>
      <w:r>
        <w:t>№ 95/2001, изданного Генеральным секретариатом президента, в котором установлен регламент Системы оценки воздействия на окружающую среду (СЕИА). В частности, регламент СЕИА регулирует процедуры и формы оценки проектов или деятельности, которые могут возде</w:t>
      </w:r>
      <w:r>
        <w:t>й</w:t>
      </w:r>
      <w:r>
        <w:t xml:space="preserve">ствовать на окружающую среду. </w:t>
      </w:r>
    </w:p>
    <w:p w:rsidR="009F61C6" w:rsidRDefault="009F61C6" w:rsidP="009F61C6">
      <w:pPr>
        <w:pStyle w:val="SingleTxtGR"/>
      </w:pPr>
      <w:r>
        <w:t>197.</w:t>
      </w:r>
      <w:r>
        <w:tab/>
        <w:t>В свете поправок организационного плана и поправок по вопросам сущ</w:t>
      </w:r>
      <w:r>
        <w:t>е</w:t>
      </w:r>
      <w:r>
        <w:t>ства, внесенных в Закон № 19300 в соответствии с Законом № 20417, Служба оценки воздействия на окружающую среду (далее "СЕА") уполномочена по л</w:t>
      </w:r>
      <w:r>
        <w:t>и</w:t>
      </w:r>
      <w:r>
        <w:t>нии Министерства охраны окружающей среды разработать Руководство по ок</w:t>
      </w:r>
      <w:r>
        <w:t>а</w:t>
      </w:r>
      <w:r>
        <w:t>занию поддержки коренным народам при оценке в рамках СЕИА воздействия изменений окружа</w:t>
      </w:r>
      <w:r>
        <w:t>ю</w:t>
      </w:r>
      <w:r>
        <w:t>щей среды на коренные народы. В настоящее время по этой тематике проводятся совещания с коренными народами в рамках упоминавши</w:t>
      </w:r>
      <w:r>
        <w:t>х</w:t>
      </w:r>
      <w:r>
        <w:t>ся в нескольких разделах данного доклада консультаций по вопросам, каса</w:t>
      </w:r>
      <w:r>
        <w:t>ю</w:t>
      </w:r>
      <w:r>
        <w:t>щимся институциональных структур коренных народов. Как уже отмечалось, положения нового регламента, касающиеся коренных народов, прошли проц</w:t>
      </w:r>
      <w:r>
        <w:t>е</w:t>
      </w:r>
      <w:r>
        <w:t>дуру консультаций с коренными народами. Кроме того, при разработке нового регламента был реализован процесс участия в этой работе всего населения, и в этом процессе имели возможность участвовать коренные народы. Таким обр</w:t>
      </w:r>
      <w:r>
        <w:t>а</w:t>
      </w:r>
      <w:r w:rsidR="003C58E8">
        <w:t>зом</w:t>
      </w:r>
      <w:r>
        <w:t xml:space="preserve"> коре</w:t>
      </w:r>
      <w:r>
        <w:t>н</w:t>
      </w:r>
      <w:r>
        <w:t>ные народы принимают участие и вносят вклад в разработку правил и определение содержания работы СЕИА; подробная информация на этот счет приведена в приложении XIII.</w:t>
      </w:r>
    </w:p>
    <w:p w:rsidR="009F61C6" w:rsidRDefault="009F61C6" w:rsidP="009F61C6">
      <w:pPr>
        <w:pStyle w:val="H1GR"/>
      </w:pPr>
      <w:r>
        <w:tab/>
      </w:r>
      <w:r>
        <w:tab/>
        <w:t>Пункт 24 заключительных замечаний</w:t>
      </w:r>
    </w:p>
    <w:p w:rsidR="009F61C6" w:rsidRDefault="009F61C6" w:rsidP="009F61C6">
      <w:pPr>
        <w:pStyle w:val="SingleTxtGR"/>
      </w:pPr>
      <w:r>
        <w:t>198.</w:t>
      </w:r>
      <w:r>
        <w:tab/>
        <w:t>Как уже отмечалось в связи с информацией о выполнении положений статей 2 и 5 Конвенции, следует иметь в виду, что, если в 1996 году за чертой бедности были 35,1% населения из числа коренных народов (по сравнению с 22,7% среди некоренного населения), то в 2009 году этот показатель для коре</w:t>
      </w:r>
      <w:r>
        <w:t>н</w:t>
      </w:r>
      <w:r>
        <w:t>ного населения составил 19,9% (для некоренного населения – 14,8%). Т</w:t>
      </w:r>
      <w:r w:rsidR="003C58E8">
        <w:t>о есть</w:t>
      </w:r>
      <w:r>
        <w:t xml:space="preserve"> за </w:t>
      </w:r>
      <w:r w:rsidR="003C58E8">
        <w:t>13</w:t>
      </w:r>
      <w:r>
        <w:t xml:space="preserve"> лет уровень бедности коренных народов страны снизился на 15,2 процентных пункта, а некоренного нас</w:t>
      </w:r>
      <w:r>
        <w:t>е</w:t>
      </w:r>
      <w:r>
        <w:t>ления – на 7,9 процентных пункта. Кроме того, сравнение показателей бедности населения за 2006 и 2009 годы п</w:t>
      </w:r>
      <w:r>
        <w:t>о</w:t>
      </w:r>
      <w:r>
        <w:t>казывает, что за последний год число бедных людей увеличилось в обеих гру</w:t>
      </w:r>
      <w:r>
        <w:t>п</w:t>
      </w:r>
      <w:r>
        <w:t>пах населения, но в группе коренного населения увеличение составило 0,9 пр</w:t>
      </w:r>
      <w:r>
        <w:t>о</w:t>
      </w:r>
      <w:r>
        <w:t>центных пункта (с 19% до 19,9%), а среди некоренного населения – 1,5 пр</w:t>
      </w:r>
      <w:r>
        <w:t>о</w:t>
      </w:r>
      <w:r>
        <w:t>центных пункта (с 13,3% до 14,8%)</w:t>
      </w:r>
      <w:r>
        <w:rPr>
          <w:rStyle w:val="FootnoteReference"/>
        </w:rPr>
        <w:footnoteReference w:id="20"/>
      </w:r>
      <w:r>
        <w:t xml:space="preserve">. </w:t>
      </w:r>
    </w:p>
    <w:p w:rsidR="009F61C6" w:rsidRDefault="009F61C6" w:rsidP="009F61C6">
      <w:pPr>
        <w:pStyle w:val="SingleTxtGR"/>
      </w:pPr>
      <w:r>
        <w:t>199.</w:t>
      </w:r>
      <w:r>
        <w:tab/>
        <w:t>Применение показателей Целей тысячелетия развития (ЦТР), использу</w:t>
      </w:r>
      <w:r>
        <w:t>е</w:t>
      </w:r>
      <w:r>
        <w:t>мых для оценки качества жизни в каждой стране, в отношении коренных нар</w:t>
      </w:r>
      <w:r>
        <w:t>о</w:t>
      </w:r>
      <w:r>
        <w:t>дов позволит государству проводить более эффективную адресную политику. Применение упомянутых показателей позволяет выявить как достижения, так и проблемы в развитии групп коренного и некоренного населения.</w:t>
      </w:r>
    </w:p>
    <w:p w:rsidR="009F61C6" w:rsidRDefault="009F61C6" w:rsidP="009F61C6">
      <w:pPr>
        <w:pStyle w:val="SingleTxtGR"/>
      </w:pPr>
      <w:r>
        <w:t>200.</w:t>
      </w:r>
      <w:r>
        <w:tab/>
        <w:t>Бюджет Фонда развития коренных народов КОНАДИ на 2011 год увел</w:t>
      </w:r>
      <w:r>
        <w:t>и</w:t>
      </w:r>
      <w:r>
        <w:t>чился по сравнению с 2010 годом на 56,6%. Предполагается, что бюджет этого фонда на 2012 год вырастет еще на 6%, причем рост может быть еще большим, поскольку создается программа, в которой используются инструменты, совм</w:t>
      </w:r>
      <w:r>
        <w:t>е</w:t>
      </w:r>
      <w:r>
        <w:t xml:space="preserve">стно финансируемые государством и частными компаниями. </w:t>
      </w:r>
    </w:p>
    <w:p w:rsidR="009F61C6" w:rsidRDefault="009F61C6" w:rsidP="009F61C6">
      <w:pPr>
        <w:pStyle w:val="SingleTxtGR"/>
      </w:pPr>
      <w:r>
        <w:t>201.</w:t>
      </w:r>
      <w:r>
        <w:tab/>
        <w:t>Что касается развития общин, находящихся в процессе переселения, то в декабре 2010 года Н</w:t>
      </w:r>
      <w:r>
        <w:t>а</w:t>
      </w:r>
      <w:r>
        <w:t>циональный институт развития сельскохозяйственного производства (ИНДАП) подписал соглашение с КОНАДИ о предоставлении 8</w:t>
      </w:r>
      <w:r w:rsidR="00BD356B">
        <w:t>,4 млн.</w:t>
      </w:r>
      <w:r>
        <w:t xml:space="preserve"> долл. США в виде кредитов, предназначенных для получателей субс</w:t>
      </w:r>
      <w:r>
        <w:t>и</w:t>
      </w:r>
      <w:r>
        <w:t xml:space="preserve">дий, предусмотренных в рамках ПДТИ в соответствии с пунктом a) статьи 20. </w:t>
      </w:r>
    </w:p>
    <w:p w:rsidR="009F61C6" w:rsidRDefault="009F61C6" w:rsidP="009F61C6">
      <w:pPr>
        <w:pStyle w:val="SingleTxtGR"/>
      </w:pPr>
      <w:r>
        <w:t>202.</w:t>
      </w:r>
      <w:r>
        <w:tab/>
        <w:t>В течение 2011 года бенефициарами проектов продуктивного развития Программы развития территорий коренных народов (ПДТИ) стали 26 300 с</w:t>
      </w:r>
      <w:r>
        <w:t>е</w:t>
      </w:r>
      <w:r>
        <w:t>мей. В предыдущие годы охват этой программы составлял лишь 3 000 семей. Проекты ПДТИ тесно связаны с характеристиками передаваемых государс</w:t>
      </w:r>
      <w:r>
        <w:t>т</w:t>
      </w:r>
      <w:r>
        <w:t>вом объектов недвижимости и предусматривают предоставление льгот, касающихся инвестиций, об</w:t>
      </w:r>
      <w:r>
        <w:t>о</w:t>
      </w:r>
      <w:r>
        <w:t xml:space="preserve">ротного капитала и технической помощи. </w:t>
      </w:r>
    </w:p>
    <w:p w:rsidR="009F61C6" w:rsidRDefault="009F61C6" w:rsidP="009F61C6">
      <w:pPr>
        <w:pStyle w:val="H1GR"/>
      </w:pPr>
      <w:r>
        <w:tab/>
      </w:r>
      <w:r>
        <w:tab/>
        <w:t>Пункт 25 заключительных замечаний</w:t>
      </w:r>
    </w:p>
    <w:p w:rsidR="009F61C6" w:rsidRDefault="009F61C6" w:rsidP="009F61C6">
      <w:pPr>
        <w:pStyle w:val="SingleTxtGR"/>
      </w:pPr>
      <w:r>
        <w:t>203.</w:t>
      </w:r>
      <w:r>
        <w:tab/>
        <w:t>Можно отметить, что в соответствии с абзацем вторым статьи 5 Конст</w:t>
      </w:r>
      <w:r>
        <w:t>и</w:t>
      </w:r>
      <w:r>
        <w:t>туции реализация суверенитета ограничивается рамками, устанавливаемыми основными правами, присущими природе человека и признанными как в самой Конституции, так и в международных договорах в области прав человека, рат</w:t>
      </w:r>
      <w:r>
        <w:t>и</w:t>
      </w:r>
      <w:r>
        <w:t>фицированных и вступивших в силу в Чили. Что касается иерархического ст</w:t>
      </w:r>
      <w:r>
        <w:t>а</w:t>
      </w:r>
      <w:r>
        <w:t>туса правовых положений, то Конституционный суд установил, что междун</w:t>
      </w:r>
      <w:r>
        <w:t>а</w:t>
      </w:r>
      <w:r>
        <w:t>родные договоры по правам человека имеют более высокий иерархический ст</w:t>
      </w:r>
      <w:r>
        <w:t>а</w:t>
      </w:r>
      <w:r>
        <w:t>тус, чем положения внутреннего законодательства, и поэтому в случае прим</w:t>
      </w:r>
      <w:r>
        <w:t>е</w:t>
      </w:r>
      <w:r>
        <w:t>нимости в конкретном случае как национальных законов, так и положений м</w:t>
      </w:r>
      <w:r>
        <w:t>е</w:t>
      </w:r>
      <w:r w:rsidR="00BD356B">
        <w:t>ждународных договоров</w:t>
      </w:r>
      <w:r>
        <w:t xml:space="preserve"> предписания международных договоров имеют пр</w:t>
      </w:r>
      <w:r>
        <w:t>и</w:t>
      </w:r>
      <w:r>
        <w:t>оритет перед нормами, устанавливаемыми законами. В соответствии с попра</w:t>
      </w:r>
      <w:r>
        <w:t>в</w:t>
      </w:r>
      <w:r>
        <w:t>ками, внесенными в Конституцию в 2005 году, "положения международных д</w:t>
      </w:r>
      <w:r>
        <w:t>о</w:t>
      </w:r>
      <w:r>
        <w:t>говоров могут быть отменены, изменены или приостановлены только в порядке, предусмотренном в самих соответствующих договорах, или в соответствии с общими нормами международного права". Это положение имеет исключител</w:t>
      </w:r>
      <w:r>
        <w:t>ь</w:t>
      </w:r>
      <w:r>
        <w:t>но важное значение в плане соблюдения в национальном з</w:t>
      </w:r>
      <w:r>
        <w:t>а</w:t>
      </w:r>
      <w:r>
        <w:t>конодательстве норм международного права в области прав человека, так как оно означает, что ме</w:t>
      </w:r>
      <w:r>
        <w:t>ж</w:t>
      </w:r>
      <w:r>
        <w:t>дународные нормы в области прав человека, обязательные для соответствующ</w:t>
      </w:r>
      <w:r>
        <w:t>е</w:t>
      </w:r>
      <w:r>
        <w:t>го государства, не могут быть оставленными без внимания или неучтенными во внутреннем законодательстве по соответству</w:t>
      </w:r>
      <w:r>
        <w:t>ю</w:t>
      </w:r>
      <w:r>
        <w:t>щим вопросам.</w:t>
      </w:r>
    </w:p>
    <w:p w:rsidR="009F61C6" w:rsidRDefault="009F61C6" w:rsidP="009F61C6">
      <w:pPr>
        <w:pStyle w:val="H1GR"/>
      </w:pPr>
      <w:r>
        <w:tab/>
      </w:r>
      <w:r>
        <w:tab/>
        <w:t>Пункт 26 заключительных замечаний</w:t>
      </w:r>
    </w:p>
    <w:p w:rsidR="009F61C6" w:rsidRDefault="009F61C6" w:rsidP="009F61C6">
      <w:pPr>
        <w:pStyle w:val="SingleTxtGR"/>
      </w:pPr>
      <w:r>
        <w:t>204.</w:t>
      </w:r>
      <w:r>
        <w:tab/>
        <w:t>Правительство подтверждает информацию по вопросам выполнения ко</w:t>
      </w:r>
      <w:r>
        <w:t>н</w:t>
      </w:r>
      <w:r>
        <w:t>кретны</w:t>
      </w:r>
      <w:r w:rsidR="00BD356B">
        <w:t>х статей Конвенции, в частности</w:t>
      </w:r>
      <w:r>
        <w:t xml:space="preserve"> информацию, приведенную в пун</w:t>
      </w:r>
      <w:r>
        <w:t>к</w:t>
      </w:r>
      <w:r>
        <w:t xml:space="preserve">те 144 и в последующих пунктах данного доклада. </w:t>
      </w:r>
    </w:p>
    <w:p w:rsidR="009F61C6" w:rsidRDefault="009F61C6" w:rsidP="009F61C6">
      <w:pPr>
        <w:pStyle w:val="H1GR"/>
      </w:pPr>
      <w:r>
        <w:tab/>
      </w:r>
      <w:r>
        <w:tab/>
        <w:t>Пункты 27−35 заключительных замечаний</w:t>
      </w:r>
    </w:p>
    <w:p w:rsidR="009F61C6" w:rsidRDefault="009F61C6" w:rsidP="009F61C6">
      <w:pPr>
        <w:pStyle w:val="SingleTxtGR"/>
      </w:pPr>
      <w:r>
        <w:t>205.</w:t>
      </w:r>
      <w:r>
        <w:tab/>
        <w:t>В связи с замечаниями и рекоменд</w:t>
      </w:r>
      <w:r w:rsidR="00BD356B">
        <w:t>ациями, содержащимися в пун</w:t>
      </w:r>
      <w:r w:rsidR="00BD356B">
        <w:t>к</w:t>
      </w:r>
      <w:r w:rsidR="00BD356B">
        <w:t>тах </w:t>
      </w:r>
      <w:r>
        <w:t>27−35 заключительных замечаний Комитета, правительство предлагает вн</w:t>
      </w:r>
      <w:r>
        <w:t>и</w:t>
      </w:r>
      <w:r>
        <w:t xml:space="preserve">манию Комитета информацию, содержащуюся в тексте всего данного доклада и особенно в его пунктах 1–7 и в приложениях. </w:t>
      </w:r>
    </w:p>
    <w:p w:rsidR="009F61C6" w:rsidRPr="00F6025D" w:rsidRDefault="009F61C6" w:rsidP="009F61C6">
      <w:pPr>
        <w:pStyle w:val="HChGR"/>
        <w:rPr>
          <w:rStyle w:val="SingleTxtGR0"/>
        </w:rPr>
      </w:pPr>
      <w:r>
        <w:br w:type="page"/>
        <w:t>Приложения</w:t>
      </w:r>
    </w:p>
    <w:p w:rsidR="009F61C6" w:rsidRDefault="009F61C6" w:rsidP="009F61C6">
      <w:pPr>
        <w:pStyle w:val="SingleTxtGR"/>
        <w:spacing w:before="240"/>
        <w:jc w:val="right"/>
      </w:pPr>
      <w:r>
        <w:t>[</w:t>
      </w:r>
      <w:r w:rsidRPr="00611F8A">
        <w:rPr>
          <w:i/>
        </w:rPr>
        <w:t>Только на испанском языке</w:t>
      </w:r>
      <w:r>
        <w:t>]</w:t>
      </w:r>
    </w:p>
    <w:p w:rsidR="009F61C6" w:rsidRDefault="009F61C6" w:rsidP="009F61C6">
      <w:pPr>
        <w:pStyle w:val="H1G"/>
      </w:pPr>
      <w:r w:rsidRPr="00F6025D">
        <w:tab/>
      </w:r>
      <w:r>
        <w:t>I.</w:t>
      </w:r>
      <w:r>
        <w:tab/>
      </w:r>
      <w:r w:rsidRPr="00267635">
        <w:t>Actividades realizadas por la DOS en materia de prevención de la discriminación</w:t>
      </w:r>
    </w:p>
    <w:p w:rsidR="009F61C6" w:rsidRDefault="009F61C6" w:rsidP="009F61C6">
      <w:pPr>
        <w:pStyle w:val="H23G"/>
        <w:spacing w:after="240"/>
      </w:pPr>
      <w:r>
        <w:tab/>
        <w:t>A.</w:t>
      </w:r>
      <w:r>
        <w:tab/>
        <w:t>Año 2010</w:t>
      </w:r>
    </w:p>
    <w:tbl>
      <w:tblPr>
        <w:tblW w:w="7370" w:type="dxa"/>
        <w:tblInd w:w="1134" w:type="dxa"/>
        <w:tblBorders>
          <w:top w:val="single" w:sz="4" w:space="0" w:color="auto"/>
        </w:tblBorders>
        <w:tblCellMar>
          <w:left w:w="0" w:type="dxa"/>
        </w:tblCellMar>
        <w:tblLook w:val="01E0"/>
      </w:tblPr>
      <w:tblGrid>
        <w:gridCol w:w="1531"/>
        <w:gridCol w:w="1955"/>
        <w:gridCol w:w="3884"/>
      </w:tblGrid>
      <w:tr w:rsidR="009F61C6" w:rsidRPr="00F533A1" w:rsidTr="009F61C6">
        <w:trPr>
          <w:trHeight w:val="240"/>
          <w:tblHeader/>
        </w:trPr>
        <w:tc>
          <w:tcPr>
            <w:tcW w:w="1531" w:type="dxa"/>
            <w:tcBorders>
              <w:top w:val="single" w:sz="4" w:space="0" w:color="auto"/>
              <w:bottom w:val="single" w:sz="12" w:space="0" w:color="auto"/>
            </w:tcBorders>
            <w:shd w:val="clear" w:color="auto" w:fill="auto"/>
            <w:vAlign w:val="bottom"/>
          </w:tcPr>
          <w:p w:rsidR="009F61C6" w:rsidRPr="00F533A1" w:rsidRDefault="009F61C6" w:rsidP="009F61C6">
            <w:pPr>
              <w:spacing w:before="80" w:after="80" w:line="200" w:lineRule="exact"/>
              <w:rPr>
                <w:i/>
                <w:spacing w:val="0"/>
                <w:w w:val="100"/>
                <w:kern w:val="0"/>
                <w:sz w:val="18"/>
                <w:szCs w:val="18"/>
                <w:lang w:val="es-CL"/>
              </w:rPr>
            </w:pPr>
            <w:r w:rsidRPr="00F533A1">
              <w:rPr>
                <w:i/>
                <w:spacing w:val="0"/>
                <w:w w:val="100"/>
                <w:kern w:val="0"/>
                <w:sz w:val="18"/>
                <w:szCs w:val="18"/>
                <w:lang w:val="es-CL"/>
              </w:rPr>
              <w:t>Fecha</w:t>
            </w:r>
          </w:p>
        </w:tc>
        <w:tc>
          <w:tcPr>
            <w:tcW w:w="1955" w:type="dxa"/>
            <w:tcBorders>
              <w:top w:val="single" w:sz="4" w:space="0" w:color="auto"/>
              <w:bottom w:val="single" w:sz="12" w:space="0" w:color="auto"/>
            </w:tcBorders>
            <w:shd w:val="clear" w:color="auto" w:fill="auto"/>
            <w:vAlign w:val="bottom"/>
          </w:tcPr>
          <w:p w:rsidR="009F61C6" w:rsidRPr="00F533A1" w:rsidRDefault="009F61C6" w:rsidP="009F61C6">
            <w:pPr>
              <w:spacing w:before="80" w:after="80" w:line="200" w:lineRule="exact"/>
              <w:rPr>
                <w:i/>
                <w:spacing w:val="0"/>
                <w:w w:val="100"/>
                <w:kern w:val="0"/>
                <w:sz w:val="18"/>
                <w:szCs w:val="18"/>
                <w:lang w:val="es-CL"/>
              </w:rPr>
            </w:pPr>
            <w:r w:rsidRPr="00F533A1">
              <w:rPr>
                <w:i/>
                <w:spacing w:val="0"/>
                <w:w w:val="100"/>
                <w:kern w:val="0"/>
                <w:sz w:val="18"/>
                <w:szCs w:val="18"/>
                <w:lang w:val="es-CL"/>
              </w:rPr>
              <w:t>Actividad</w:t>
            </w:r>
          </w:p>
        </w:tc>
        <w:tc>
          <w:tcPr>
            <w:tcW w:w="3884" w:type="dxa"/>
            <w:tcBorders>
              <w:top w:val="single" w:sz="4" w:space="0" w:color="auto"/>
              <w:bottom w:val="single" w:sz="12" w:space="0" w:color="auto"/>
            </w:tcBorders>
            <w:shd w:val="clear" w:color="auto" w:fill="auto"/>
            <w:vAlign w:val="bottom"/>
          </w:tcPr>
          <w:p w:rsidR="009F61C6" w:rsidRPr="00F533A1" w:rsidRDefault="009F61C6" w:rsidP="009F61C6">
            <w:pPr>
              <w:spacing w:before="80" w:after="80" w:line="200" w:lineRule="exact"/>
              <w:rPr>
                <w:i/>
                <w:spacing w:val="0"/>
                <w:w w:val="100"/>
                <w:kern w:val="0"/>
                <w:sz w:val="18"/>
                <w:szCs w:val="18"/>
                <w:lang w:val="es-CL"/>
              </w:rPr>
            </w:pPr>
            <w:r w:rsidRPr="00F533A1">
              <w:rPr>
                <w:i/>
                <w:spacing w:val="0"/>
                <w:w w:val="100"/>
                <w:kern w:val="0"/>
                <w:sz w:val="18"/>
                <w:szCs w:val="18"/>
                <w:lang w:val="es-CL"/>
              </w:rPr>
              <w:t>Temas</w:t>
            </w:r>
          </w:p>
        </w:tc>
      </w:tr>
      <w:tr w:rsidR="009F61C6" w:rsidRPr="00F533A1" w:rsidTr="009F61C6">
        <w:trPr>
          <w:trHeight w:val="240"/>
        </w:trPr>
        <w:tc>
          <w:tcPr>
            <w:tcW w:w="1531" w:type="dxa"/>
            <w:vMerge w:val="restart"/>
            <w:tcBorders>
              <w:top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19 de octubre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tcBorders>
              <w:top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tcBorders>
              <w:top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Convención Internacional de los Derechos de las Personas con Discapacidad. (SENADIS)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Contexto y Visión de la legislación sobre Vi</w:t>
            </w:r>
            <w:r w:rsidRPr="00F533A1">
              <w:rPr>
                <w:spacing w:val="0"/>
                <w:w w:val="100"/>
                <w:kern w:val="0"/>
                <w:sz w:val="18"/>
                <w:szCs w:val="18"/>
                <w:lang w:val="es-CL"/>
              </w:rPr>
              <w:t>o</w:t>
            </w:r>
            <w:r w:rsidRPr="00F533A1">
              <w:rPr>
                <w:spacing w:val="0"/>
                <w:w w:val="100"/>
                <w:kern w:val="0"/>
                <w:sz w:val="18"/>
                <w:szCs w:val="18"/>
                <w:lang w:val="es-CL"/>
              </w:rPr>
              <w:t>lencia Intrafamiliar (SERNAM)</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26 de octubre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Acciones de acogida a la población Migrante (EXTRANJERÍA)</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Diagnóstico y percepciones de la Juventud Ch</w:t>
            </w:r>
            <w:r w:rsidRPr="00F533A1">
              <w:rPr>
                <w:spacing w:val="0"/>
                <w:w w:val="100"/>
                <w:kern w:val="0"/>
                <w:sz w:val="18"/>
                <w:szCs w:val="18"/>
                <w:lang w:val="es-CL"/>
              </w:rPr>
              <w:t>i</w:t>
            </w:r>
            <w:r w:rsidRPr="00F533A1">
              <w:rPr>
                <w:spacing w:val="0"/>
                <w:w w:val="100"/>
                <w:kern w:val="0"/>
                <w:sz w:val="18"/>
                <w:szCs w:val="18"/>
                <w:lang w:val="es-CL"/>
              </w:rPr>
              <w:t>lena (Encuesta nacional de la Juventud) (INJUV)</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28 de octubre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 </w:t>
            </w: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p w:rsidR="009F61C6" w:rsidRPr="00F533A1" w:rsidRDefault="009F61C6" w:rsidP="009F61C6">
            <w:pPr>
              <w:spacing w:before="40" w:after="120" w:line="220" w:lineRule="exact"/>
              <w:rPr>
                <w:spacing w:val="0"/>
                <w:w w:val="100"/>
                <w:kern w:val="0"/>
                <w:sz w:val="18"/>
                <w:szCs w:val="18"/>
                <w:lang w:val="es-CL"/>
              </w:rPr>
            </w:pP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4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Envejecimiento de la población en Chile: </w:t>
            </w:r>
            <w:r w:rsidRPr="001828FC">
              <w:rPr>
                <w:spacing w:val="0"/>
                <w:w w:val="100"/>
                <w:kern w:val="0"/>
                <w:sz w:val="18"/>
                <w:szCs w:val="18"/>
                <w:lang w:val="fr-FR"/>
              </w:rPr>
              <w:br/>
            </w:r>
            <w:r w:rsidRPr="00F533A1">
              <w:rPr>
                <w:spacing w:val="0"/>
                <w:w w:val="100"/>
                <w:kern w:val="0"/>
                <w:sz w:val="18"/>
                <w:szCs w:val="18"/>
                <w:lang w:val="es-CL"/>
              </w:rPr>
              <w:t>Preve</w:t>
            </w:r>
            <w:r w:rsidRPr="00F533A1">
              <w:rPr>
                <w:spacing w:val="0"/>
                <w:w w:val="100"/>
                <w:kern w:val="0"/>
                <w:sz w:val="18"/>
                <w:szCs w:val="18"/>
                <w:lang w:val="es-CL"/>
              </w:rPr>
              <w:t>n</w:t>
            </w:r>
            <w:r w:rsidRPr="00F533A1">
              <w:rPr>
                <w:spacing w:val="0"/>
                <w:w w:val="100"/>
                <w:kern w:val="0"/>
                <w:sz w:val="18"/>
                <w:szCs w:val="18"/>
                <w:lang w:val="es-CL"/>
              </w:rPr>
              <w:t>ción de la Discriminación Arbitraria contra las pe</w:t>
            </w:r>
            <w:r w:rsidRPr="00F533A1">
              <w:rPr>
                <w:spacing w:val="0"/>
                <w:w w:val="100"/>
                <w:kern w:val="0"/>
                <w:sz w:val="18"/>
                <w:szCs w:val="18"/>
                <w:lang w:val="es-CL"/>
              </w:rPr>
              <w:t>r</w:t>
            </w:r>
            <w:r w:rsidRPr="00F533A1">
              <w:rPr>
                <w:spacing w:val="0"/>
                <w:w w:val="100"/>
                <w:kern w:val="0"/>
                <w:sz w:val="18"/>
                <w:szCs w:val="18"/>
                <w:lang w:val="es-CL"/>
              </w:rPr>
              <w:t>sonas mayores. (SENAMA)</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Convención Internacional sobre los derechos de los niños (SENAME)</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11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Prevención de embarazo y paternidad adole</w:t>
            </w:r>
            <w:r w:rsidRPr="00F533A1">
              <w:rPr>
                <w:spacing w:val="0"/>
                <w:w w:val="100"/>
                <w:kern w:val="0"/>
                <w:sz w:val="18"/>
                <w:szCs w:val="18"/>
                <w:lang w:val="es-CL"/>
              </w:rPr>
              <w:t>s</w:t>
            </w:r>
            <w:r w:rsidRPr="00F533A1">
              <w:rPr>
                <w:spacing w:val="0"/>
                <w:w w:val="100"/>
                <w:kern w:val="0"/>
                <w:sz w:val="18"/>
                <w:szCs w:val="18"/>
                <w:lang w:val="es-CL"/>
              </w:rPr>
              <w:t>cente y Nuevos lineamientos para abordar la Convivencia Escolar (MINEDUC)</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25 de noviembre </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Funcionarios/as Públicos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p w:rsidR="009F61C6" w:rsidRPr="00F533A1" w:rsidRDefault="009F61C6" w:rsidP="009F61C6">
            <w:pPr>
              <w:spacing w:before="40" w:after="120" w:line="220" w:lineRule="exact"/>
              <w:rPr>
                <w:spacing w:val="0"/>
                <w:w w:val="100"/>
                <w:kern w:val="0"/>
                <w:sz w:val="18"/>
                <w:szCs w:val="18"/>
                <w:lang w:val="es-CL"/>
              </w:rPr>
            </w:pP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Convención Internacional sobre los Derechos de los Niños (SENAME)</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 </w:t>
            </w: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Universitarios/as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Igualdad de oportunidades y difusión de los </w:t>
            </w:r>
            <w:r w:rsidRPr="0070429E">
              <w:rPr>
                <w:spacing w:val="0"/>
                <w:w w:val="100"/>
                <w:kern w:val="0"/>
                <w:sz w:val="18"/>
                <w:szCs w:val="18"/>
                <w:lang w:val="fr-FR"/>
              </w:rPr>
              <w:br/>
            </w:r>
            <w:r w:rsidRPr="00F533A1">
              <w:rPr>
                <w:spacing w:val="0"/>
                <w:w w:val="100"/>
                <w:kern w:val="0"/>
                <w:sz w:val="18"/>
                <w:szCs w:val="18"/>
                <w:lang w:val="es-CL"/>
              </w:rPr>
              <w:t>der</w:t>
            </w:r>
            <w:r w:rsidRPr="00F533A1">
              <w:rPr>
                <w:spacing w:val="0"/>
                <w:w w:val="100"/>
                <w:kern w:val="0"/>
                <w:sz w:val="18"/>
                <w:szCs w:val="18"/>
                <w:lang w:val="es-CL"/>
              </w:rPr>
              <w:t>e</w:t>
            </w:r>
            <w:r w:rsidRPr="00F533A1">
              <w:rPr>
                <w:spacing w:val="0"/>
                <w:w w:val="100"/>
                <w:kern w:val="0"/>
                <w:sz w:val="18"/>
                <w:szCs w:val="18"/>
                <w:lang w:val="es-CL"/>
              </w:rPr>
              <w:t>chos de las personas con discapacidad (SENADIS)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Diagnóstico y percepciones de la Juventud Ch</w:t>
            </w:r>
            <w:r w:rsidRPr="00F533A1">
              <w:rPr>
                <w:spacing w:val="0"/>
                <w:w w:val="100"/>
                <w:kern w:val="0"/>
                <w:sz w:val="18"/>
                <w:szCs w:val="18"/>
                <w:lang w:val="es-CL"/>
              </w:rPr>
              <w:t>i</w:t>
            </w:r>
            <w:r w:rsidRPr="00F533A1">
              <w:rPr>
                <w:spacing w:val="0"/>
                <w:w w:val="100"/>
                <w:kern w:val="0"/>
                <w:sz w:val="18"/>
                <w:szCs w:val="18"/>
                <w:lang w:val="es-CL"/>
              </w:rPr>
              <w:t>lena (Encuesta nacional de la Juventud) (INJUV)</w:t>
            </w:r>
          </w:p>
        </w:tc>
      </w:tr>
      <w:tr w:rsidR="009F61C6" w:rsidRPr="00F533A1" w:rsidTr="009F61C6">
        <w:trPr>
          <w:cantSplit/>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9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Universitarios/as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Diagnóstico y percepciones de la Juventud Ch</w:t>
            </w:r>
            <w:r w:rsidRPr="00F533A1">
              <w:rPr>
                <w:spacing w:val="0"/>
                <w:w w:val="100"/>
                <w:kern w:val="0"/>
                <w:sz w:val="18"/>
                <w:szCs w:val="18"/>
                <w:lang w:val="es-CL"/>
              </w:rPr>
              <w:t>i</w:t>
            </w:r>
            <w:r w:rsidRPr="00F533A1">
              <w:rPr>
                <w:spacing w:val="0"/>
                <w:w w:val="100"/>
                <w:kern w:val="0"/>
                <w:sz w:val="18"/>
                <w:szCs w:val="18"/>
                <w:lang w:val="es-CL"/>
              </w:rPr>
              <w:t>lena (Encuesta nacional de la Juventud) (INJUV)</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p w:rsidR="009F61C6" w:rsidRPr="00F533A1" w:rsidRDefault="009F61C6" w:rsidP="009F61C6">
            <w:pPr>
              <w:spacing w:before="40" w:after="120" w:line="220" w:lineRule="exact"/>
              <w:rPr>
                <w:spacing w:val="0"/>
                <w:w w:val="100"/>
                <w:kern w:val="0"/>
                <w:sz w:val="18"/>
                <w:szCs w:val="18"/>
                <w:lang w:val="es-CL"/>
              </w:rPr>
            </w:pP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23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Universitarios/as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p w:rsidR="009F61C6" w:rsidRPr="00F533A1" w:rsidRDefault="009F61C6" w:rsidP="009F61C6">
            <w:pPr>
              <w:spacing w:before="40" w:after="120" w:line="220" w:lineRule="exact"/>
              <w:rPr>
                <w:spacing w:val="0"/>
                <w:w w:val="100"/>
                <w:kern w:val="0"/>
                <w:sz w:val="18"/>
                <w:szCs w:val="18"/>
                <w:lang w:val="es-CL"/>
              </w:rPr>
            </w:pP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Violencia en las parejas jóvenes (SERNAM)</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30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Universitarios/as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Envejecimiento de la población en Chile: </w:t>
            </w:r>
            <w:r w:rsidRPr="0070429E">
              <w:rPr>
                <w:spacing w:val="0"/>
                <w:w w:val="100"/>
                <w:kern w:val="0"/>
                <w:sz w:val="18"/>
                <w:szCs w:val="18"/>
                <w:lang w:val="fr-FR"/>
              </w:rPr>
              <w:br/>
            </w:r>
            <w:r w:rsidRPr="00F533A1">
              <w:rPr>
                <w:spacing w:val="0"/>
                <w:w w:val="100"/>
                <w:kern w:val="0"/>
                <w:sz w:val="18"/>
                <w:szCs w:val="18"/>
                <w:lang w:val="es-CL"/>
              </w:rPr>
              <w:t>Preve</w:t>
            </w:r>
            <w:r w:rsidRPr="00F533A1">
              <w:rPr>
                <w:spacing w:val="0"/>
                <w:w w:val="100"/>
                <w:kern w:val="0"/>
                <w:sz w:val="18"/>
                <w:szCs w:val="18"/>
                <w:lang w:val="es-CL"/>
              </w:rPr>
              <w:t>n</w:t>
            </w:r>
            <w:r w:rsidRPr="00F533A1">
              <w:rPr>
                <w:spacing w:val="0"/>
                <w:w w:val="100"/>
                <w:kern w:val="0"/>
                <w:sz w:val="18"/>
                <w:szCs w:val="18"/>
                <w:lang w:val="es-CL"/>
              </w:rPr>
              <w:t>ción de la Discriminación Arbitraria contra las pe</w:t>
            </w:r>
            <w:r w:rsidRPr="00F533A1">
              <w:rPr>
                <w:spacing w:val="0"/>
                <w:w w:val="100"/>
                <w:kern w:val="0"/>
                <w:sz w:val="18"/>
                <w:szCs w:val="18"/>
                <w:lang w:val="es-CL"/>
              </w:rPr>
              <w:t>r</w:t>
            </w:r>
            <w:r w:rsidRPr="00F533A1">
              <w:rPr>
                <w:spacing w:val="0"/>
                <w:w w:val="100"/>
                <w:kern w:val="0"/>
                <w:sz w:val="18"/>
                <w:szCs w:val="18"/>
                <w:lang w:val="es-CL"/>
              </w:rPr>
              <w:t>sonas mayores. (SENAMA)</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Acciones de acogida a la población migrante (EXTRANJERÍA)</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5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Sociedad Civil/ agrupaciones indíg</w:t>
            </w:r>
            <w:r w:rsidRPr="00F533A1">
              <w:rPr>
                <w:spacing w:val="0"/>
                <w:w w:val="100"/>
                <w:kern w:val="0"/>
                <w:sz w:val="18"/>
                <w:szCs w:val="18"/>
                <w:lang w:val="es-CL"/>
              </w:rPr>
              <w:t>e</w:t>
            </w:r>
            <w:r w:rsidRPr="00F533A1">
              <w:rPr>
                <w:spacing w:val="0"/>
                <w:w w:val="100"/>
                <w:kern w:val="0"/>
                <w:sz w:val="18"/>
                <w:szCs w:val="18"/>
                <w:lang w:val="es-CL"/>
              </w:rPr>
              <w:t>nas.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Igualdad de oportunidades entre hombres y mujeres, Buenas Prácticas Laborales (SERNAM)</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Envejecimiento de la población en Chile: </w:t>
            </w:r>
            <w:r w:rsidRPr="0070429E">
              <w:rPr>
                <w:spacing w:val="0"/>
                <w:w w:val="100"/>
                <w:kern w:val="0"/>
                <w:sz w:val="18"/>
                <w:szCs w:val="18"/>
                <w:lang w:val="fr-FR"/>
              </w:rPr>
              <w:br/>
            </w:r>
            <w:r w:rsidRPr="00F533A1">
              <w:rPr>
                <w:spacing w:val="0"/>
                <w:w w:val="100"/>
                <w:kern w:val="0"/>
                <w:sz w:val="18"/>
                <w:szCs w:val="18"/>
                <w:lang w:val="es-CL"/>
              </w:rPr>
              <w:t>Preve</w:t>
            </w:r>
            <w:r w:rsidRPr="00F533A1">
              <w:rPr>
                <w:spacing w:val="0"/>
                <w:w w:val="100"/>
                <w:kern w:val="0"/>
                <w:sz w:val="18"/>
                <w:szCs w:val="18"/>
                <w:lang w:val="es-CL"/>
              </w:rPr>
              <w:t>n</w:t>
            </w:r>
            <w:r w:rsidRPr="00F533A1">
              <w:rPr>
                <w:spacing w:val="0"/>
                <w:w w:val="100"/>
                <w:kern w:val="0"/>
                <w:sz w:val="18"/>
                <w:szCs w:val="18"/>
                <w:lang w:val="es-CL"/>
              </w:rPr>
              <w:t>ción de la Discriminación Arbitraria contra las pe</w:t>
            </w:r>
            <w:r w:rsidRPr="00F533A1">
              <w:rPr>
                <w:spacing w:val="0"/>
                <w:w w:val="100"/>
                <w:kern w:val="0"/>
                <w:sz w:val="18"/>
                <w:szCs w:val="18"/>
                <w:lang w:val="es-CL"/>
              </w:rPr>
              <w:t>r</w:t>
            </w:r>
            <w:r w:rsidRPr="00F533A1">
              <w:rPr>
                <w:spacing w:val="0"/>
                <w:w w:val="100"/>
                <w:kern w:val="0"/>
                <w:sz w:val="18"/>
                <w:szCs w:val="18"/>
                <w:lang w:val="es-CL"/>
              </w:rPr>
              <w:t>sonas mayores. (SENAMA)</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8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 Sociedad Civil/ agrupaciones indíg</w:t>
            </w:r>
            <w:r w:rsidRPr="00F533A1">
              <w:rPr>
                <w:spacing w:val="0"/>
                <w:w w:val="100"/>
                <w:kern w:val="0"/>
                <w:sz w:val="18"/>
                <w:szCs w:val="18"/>
                <w:lang w:val="es-CL"/>
              </w:rPr>
              <w:t>e</w:t>
            </w:r>
            <w:r w:rsidRPr="00F533A1">
              <w:rPr>
                <w:spacing w:val="0"/>
                <w:w w:val="100"/>
                <w:kern w:val="0"/>
                <w:sz w:val="18"/>
                <w:szCs w:val="18"/>
                <w:lang w:val="es-CL"/>
              </w:rPr>
              <w:t>nas.</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Envejecimiento de la población en Chile: </w:t>
            </w:r>
            <w:r w:rsidRPr="0070429E">
              <w:rPr>
                <w:spacing w:val="0"/>
                <w:w w:val="100"/>
                <w:kern w:val="0"/>
                <w:sz w:val="18"/>
                <w:szCs w:val="18"/>
                <w:lang w:val="fr-FR"/>
              </w:rPr>
              <w:br/>
            </w:r>
            <w:r w:rsidRPr="00F533A1">
              <w:rPr>
                <w:spacing w:val="0"/>
                <w:w w:val="100"/>
                <w:kern w:val="0"/>
                <w:sz w:val="18"/>
                <w:szCs w:val="18"/>
                <w:lang w:val="es-CL"/>
              </w:rPr>
              <w:t>Preve</w:t>
            </w:r>
            <w:r w:rsidRPr="00F533A1">
              <w:rPr>
                <w:spacing w:val="0"/>
                <w:w w:val="100"/>
                <w:kern w:val="0"/>
                <w:sz w:val="18"/>
                <w:szCs w:val="18"/>
                <w:lang w:val="es-CL"/>
              </w:rPr>
              <w:t>n</w:t>
            </w:r>
            <w:r w:rsidRPr="00F533A1">
              <w:rPr>
                <w:spacing w:val="0"/>
                <w:w w:val="100"/>
                <w:kern w:val="0"/>
                <w:sz w:val="18"/>
                <w:szCs w:val="18"/>
                <w:lang w:val="es-CL"/>
              </w:rPr>
              <w:t>ción de la Discriminación Arbitraria contra las pe</w:t>
            </w:r>
            <w:r w:rsidRPr="00F533A1">
              <w:rPr>
                <w:spacing w:val="0"/>
                <w:w w:val="100"/>
                <w:kern w:val="0"/>
                <w:sz w:val="18"/>
                <w:szCs w:val="18"/>
                <w:lang w:val="es-CL"/>
              </w:rPr>
              <w:t>r</w:t>
            </w:r>
            <w:r w:rsidRPr="00F533A1">
              <w:rPr>
                <w:spacing w:val="0"/>
                <w:w w:val="100"/>
                <w:kern w:val="0"/>
                <w:sz w:val="18"/>
                <w:szCs w:val="18"/>
                <w:lang w:val="es-CL"/>
              </w:rPr>
              <w:t>sonas mayores. (SENAMA)</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22 de noviembre</w:t>
            </w: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Taller</w:t>
            </w: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Sociedad Civil/ agrup</w:t>
            </w:r>
            <w:r w:rsidRPr="00F533A1">
              <w:rPr>
                <w:spacing w:val="0"/>
                <w:w w:val="100"/>
                <w:kern w:val="0"/>
                <w:sz w:val="18"/>
                <w:szCs w:val="18"/>
                <w:lang w:val="es-CL"/>
              </w:rPr>
              <w:t>a</w:t>
            </w:r>
            <w:r w:rsidRPr="00F533A1">
              <w:rPr>
                <w:spacing w:val="0"/>
                <w:w w:val="100"/>
                <w:kern w:val="0"/>
                <w:sz w:val="18"/>
                <w:szCs w:val="18"/>
                <w:lang w:val="es-CL"/>
              </w:rPr>
              <w:t>ciones indígenas.</w:t>
            </w:r>
          </w:p>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Convenio 169, aspectos centrales (CONADI)</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Igualdad de oportunidades entre hombres y mujeres, Buenas Prácticas Laborales (SERNAM)</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16 de noviembre</w:t>
            </w: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p w:rsidR="009F61C6" w:rsidRPr="00F533A1" w:rsidRDefault="009F61C6" w:rsidP="009F61C6">
            <w:pPr>
              <w:spacing w:before="40" w:after="120" w:line="220" w:lineRule="exact"/>
              <w:rPr>
                <w:spacing w:val="0"/>
                <w:w w:val="100"/>
                <w:kern w:val="0"/>
                <w:sz w:val="18"/>
                <w:szCs w:val="18"/>
                <w:lang w:val="es-CL"/>
              </w:rPr>
            </w:pP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Seminario </w:t>
            </w: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1.  Hacia una cultura de la Tolerancia y la no violencia</w:t>
            </w: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  Tolerancia, una base para la igualdad de opo</w:t>
            </w:r>
            <w:r w:rsidRPr="00F533A1">
              <w:rPr>
                <w:spacing w:val="0"/>
                <w:w w:val="100"/>
                <w:kern w:val="0"/>
                <w:sz w:val="18"/>
                <w:szCs w:val="18"/>
                <w:lang w:val="es-CL"/>
              </w:rPr>
              <w:t>r</w:t>
            </w:r>
            <w:r w:rsidRPr="00F533A1">
              <w:rPr>
                <w:spacing w:val="0"/>
                <w:w w:val="100"/>
                <w:kern w:val="0"/>
                <w:sz w:val="18"/>
                <w:szCs w:val="18"/>
                <w:lang w:val="es-CL"/>
              </w:rPr>
              <w:t>tunidades</w:t>
            </w:r>
          </w:p>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3.  Desafíos de nuestra sociedad para construir una cultura de la Tol</w:t>
            </w:r>
            <w:r w:rsidRPr="00F533A1">
              <w:rPr>
                <w:spacing w:val="0"/>
                <w:w w:val="100"/>
                <w:kern w:val="0"/>
                <w:sz w:val="18"/>
                <w:szCs w:val="18"/>
                <w:lang w:val="es-CL"/>
              </w:rPr>
              <w:t>e</w:t>
            </w:r>
            <w:r w:rsidRPr="00F533A1">
              <w:rPr>
                <w:spacing w:val="0"/>
                <w:w w:val="100"/>
                <w:kern w:val="0"/>
                <w:sz w:val="18"/>
                <w:szCs w:val="18"/>
                <w:lang w:val="es-CL"/>
              </w:rPr>
              <w:t>rancia.</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Introducción a las Buenas Prácticas sobre </w:t>
            </w:r>
            <w:r w:rsidRPr="0070429E">
              <w:rPr>
                <w:spacing w:val="0"/>
                <w:w w:val="100"/>
                <w:kern w:val="0"/>
                <w:sz w:val="18"/>
                <w:szCs w:val="18"/>
                <w:lang w:val="fr-FR"/>
              </w:rPr>
              <w:br/>
            </w:r>
            <w:r w:rsidRPr="00F533A1">
              <w:rPr>
                <w:spacing w:val="0"/>
                <w:w w:val="100"/>
                <w:kern w:val="0"/>
                <w:sz w:val="18"/>
                <w:szCs w:val="18"/>
                <w:lang w:val="es-CL"/>
              </w:rPr>
              <w:t>Divers</w:t>
            </w:r>
            <w:r w:rsidRPr="00F533A1">
              <w:rPr>
                <w:spacing w:val="0"/>
                <w:w w:val="100"/>
                <w:kern w:val="0"/>
                <w:sz w:val="18"/>
                <w:szCs w:val="18"/>
                <w:lang w:val="es-CL"/>
              </w:rPr>
              <w:t>i</w:t>
            </w:r>
            <w:r w:rsidRPr="00F533A1">
              <w:rPr>
                <w:spacing w:val="0"/>
                <w:w w:val="100"/>
                <w:kern w:val="0"/>
                <w:sz w:val="18"/>
                <w:szCs w:val="18"/>
                <w:lang w:val="es-CL"/>
              </w:rPr>
              <w:t>dad y no Discriminación Arbitraria (DOS)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Prevención de embarazo y paternidad adole</w:t>
            </w:r>
            <w:r w:rsidRPr="00F533A1">
              <w:rPr>
                <w:spacing w:val="0"/>
                <w:w w:val="100"/>
                <w:kern w:val="0"/>
                <w:sz w:val="18"/>
                <w:szCs w:val="18"/>
                <w:lang w:val="es-CL"/>
              </w:rPr>
              <w:t>s</w:t>
            </w:r>
            <w:r w:rsidRPr="00F533A1">
              <w:rPr>
                <w:spacing w:val="0"/>
                <w:w w:val="100"/>
                <w:kern w:val="0"/>
                <w:sz w:val="18"/>
                <w:szCs w:val="18"/>
                <w:lang w:val="es-CL"/>
              </w:rPr>
              <w:t>cente y Nuevos lineamientos para abordar la Convivencia Escolar (MINEDUC)</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Igualdad de oportunidades entre hombres y mujeres, Buenas Prácticas Laborales (SERNAM)</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Envejecimiento de la población en Chile: </w:t>
            </w:r>
            <w:r w:rsidRPr="0070429E">
              <w:rPr>
                <w:spacing w:val="0"/>
                <w:w w:val="100"/>
                <w:kern w:val="0"/>
                <w:sz w:val="18"/>
                <w:szCs w:val="18"/>
                <w:lang w:val="fr-FR"/>
              </w:rPr>
              <w:br/>
            </w:r>
            <w:r w:rsidRPr="00F533A1">
              <w:rPr>
                <w:spacing w:val="0"/>
                <w:w w:val="100"/>
                <w:kern w:val="0"/>
                <w:sz w:val="18"/>
                <w:szCs w:val="18"/>
                <w:lang w:val="es-CL"/>
              </w:rPr>
              <w:t>Preve</w:t>
            </w:r>
            <w:r w:rsidRPr="00F533A1">
              <w:rPr>
                <w:spacing w:val="0"/>
                <w:w w:val="100"/>
                <w:kern w:val="0"/>
                <w:sz w:val="18"/>
                <w:szCs w:val="18"/>
                <w:lang w:val="es-CL"/>
              </w:rPr>
              <w:t>n</w:t>
            </w:r>
            <w:r w:rsidRPr="00F533A1">
              <w:rPr>
                <w:spacing w:val="0"/>
                <w:w w:val="100"/>
                <w:kern w:val="0"/>
                <w:sz w:val="18"/>
                <w:szCs w:val="18"/>
                <w:lang w:val="es-CL"/>
              </w:rPr>
              <w:t>ción de la Discriminación Arbitraria contra las pe</w:t>
            </w:r>
            <w:r w:rsidRPr="00F533A1">
              <w:rPr>
                <w:spacing w:val="0"/>
                <w:w w:val="100"/>
                <w:kern w:val="0"/>
                <w:sz w:val="18"/>
                <w:szCs w:val="18"/>
                <w:lang w:val="es-CL"/>
              </w:rPr>
              <w:t>r</w:t>
            </w:r>
            <w:r w:rsidRPr="00F533A1">
              <w:rPr>
                <w:spacing w:val="0"/>
                <w:w w:val="100"/>
                <w:kern w:val="0"/>
                <w:sz w:val="18"/>
                <w:szCs w:val="18"/>
                <w:lang w:val="es-CL"/>
              </w:rPr>
              <w:t>sonas mayores. (SENAMA)</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Igualdad de Oportunidades y Difusión de los </w:t>
            </w:r>
            <w:r w:rsidRPr="0070429E">
              <w:rPr>
                <w:spacing w:val="0"/>
                <w:w w:val="100"/>
                <w:kern w:val="0"/>
                <w:sz w:val="18"/>
                <w:szCs w:val="18"/>
                <w:lang w:val="fr-FR"/>
              </w:rPr>
              <w:br/>
            </w:r>
            <w:r w:rsidRPr="00F533A1">
              <w:rPr>
                <w:spacing w:val="0"/>
                <w:w w:val="100"/>
                <w:kern w:val="0"/>
                <w:sz w:val="18"/>
                <w:szCs w:val="18"/>
                <w:lang w:val="es-CL"/>
              </w:rPr>
              <w:t>der</w:t>
            </w:r>
            <w:r w:rsidRPr="00F533A1">
              <w:rPr>
                <w:spacing w:val="0"/>
                <w:w w:val="100"/>
                <w:kern w:val="0"/>
                <w:sz w:val="18"/>
                <w:szCs w:val="18"/>
                <w:lang w:val="es-CL"/>
              </w:rPr>
              <w:t>e</w:t>
            </w:r>
            <w:r w:rsidRPr="00F533A1">
              <w:rPr>
                <w:spacing w:val="0"/>
                <w:w w:val="100"/>
                <w:kern w:val="0"/>
                <w:sz w:val="18"/>
                <w:szCs w:val="18"/>
                <w:lang w:val="es-CL"/>
              </w:rPr>
              <w:t>chos de las personas con discapacidad (SENADIS)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tc>
      </w:tr>
      <w:tr w:rsidR="009F61C6" w:rsidRPr="00F533A1" w:rsidTr="009F61C6">
        <w:trPr>
          <w:trHeight w:val="240"/>
        </w:trPr>
        <w:tc>
          <w:tcPr>
            <w:tcW w:w="1531" w:type="dxa"/>
            <w:vMerge w:val="restart"/>
            <w:shd w:val="clear" w:color="auto" w:fill="auto"/>
          </w:tcPr>
          <w:p w:rsidR="009F61C6" w:rsidRPr="00F533A1" w:rsidRDefault="009F61C6" w:rsidP="009F61C6">
            <w:pPr>
              <w:keepNext/>
              <w:spacing w:before="40" w:after="120" w:line="220" w:lineRule="exact"/>
              <w:rPr>
                <w:spacing w:val="0"/>
                <w:w w:val="100"/>
                <w:kern w:val="0"/>
                <w:sz w:val="18"/>
                <w:szCs w:val="18"/>
                <w:lang w:val="es-CL"/>
              </w:rPr>
            </w:pPr>
            <w:r w:rsidRPr="00F533A1">
              <w:rPr>
                <w:spacing w:val="0"/>
                <w:w w:val="100"/>
                <w:kern w:val="0"/>
                <w:sz w:val="18"/>
                <w:szCs w:val="18"/>
                <w:lang w:val="es-CL"/>
              </w:rPr>
              <w:t xml:space="preserve">3 de noviembre </w:t>
            </w:r>
          </w:p>
        </w:tc>
        <w:tc>
          <w:tcPr>
            <w:tcW w:w="1955" w:type="dxa"/>
            <w:vMerge w:val="restart"/>
            <w:shd w:val="clear" w:color="auto" w:fill="auto"/>
          </w:tcPr>
          <w:p w:rsidR="009F61C6" w:rsidRPr="00F533A1" w:rsidRDefault="009F61C6" w:rsidP="009F61C6">
            <w:pPr>
              <w:keepNext/>
              <w:spacing w:before="40" w:after="120" w:line="220" w:lineRule="exact"/>
              <w:rPr>
                <w:spacing w:val="0"/>
                <w:w w:val="100"/>
                <w:kern w:val="0"/>
                <w:sz w:val="18"/>
                <w:szCs w:val="18"/>
                <w:lang w:val="es-CL"/>
              </w:rPr>
            </w:pPr>
            <w:r w:rsidRPr="00F533A1">
              <w:rPr>
                <w:spacing w:val="0"/>
                <w:w w:val="100"/>
                <w:kern w:val="0"/>
                <w:sz w:val="18"/>
                <w:szCs w:val="18"/>
                <w:lang w:val="es-CL"/>
              </w:rPr>
              <w:t>Jornada  Consejos Esc</w:t>
            </w:r>
            <w:r w:rsidRPr="00F533A1">
              <w:rPr>
                <w:spacing w:val="0"/>
                <w:w w:val="100"/>
                <w:kern w:val="0"/>
                <w:sz w:val="18"/>
                <w:szCs w:val="18"/>
                <w:lang w:val="es-CL"/>
              </w:rPr>
              <w:t>o</w:t>
            </w:r>
            <w:r w:rsidRPr="00F533A1">
              <w:rPr>
                <w:spacing w:val="0"/>
                <w:w w:val="100"/>
                <w:kern w:val="0"/>
                <w:sz w:val="18"/>
                <w:szCs w:val="18"/>
                <w:lang w:val="es-CL"/>
              </w:rPr>
              <w:t>lares Recoleta</w:t>
            </w:r>
          </w:p>
        </w:tc>
        <w:tc>
          <w:tcPr>
            <w:tcW w:w="3884" w:type="dxa"/>
            <w:shd w:val="clear" w:color="auto" w:fill="auto"/>
          </w:tcPr>
          <w:p w:rsidR="009F61C6" w:rsidRPr="00F533A1" w:rsidRDefault="009F61C6" w:rsidP="009F61C6">
            <w:pPr>
              <w:keepNext/>
              <w:spacing w:before="40" w:after="120" w:line="220" w:lineRule="exact"/>
              <w:rPr>
                <w:spacing w:val="0"/>
                <w:w w:val="100"/>
                <w:kern w:val="0"/>
                <w:sz w:val="18"/>
                <w:szCs w:val="18"/>
                <w:lang w:val="es-CL"/>
              </w:rPr>
            </w:pPr>
            <w:r w:rsidRPr="00F533A1">
              <w:rPr>
                <w:spacing w:val="0"/>
                <w:w w:val="100"/>
                <w:kern w:val="0"/>
                <w:sz w:val="18"/>
                <w:szCs w:val="18"/>
                <w:lang w:val="es-CL"/>
              </w:rPr>
              <w:t xml:space="preserve">Introducción a las Buenas Prácticas sobre </w:t>
            </w:r>
            <w:r w:rsidRPr="0070429E">
              <w:rPr>
                <w:spacing w:val="0"/>
                <w:w w:val="100"/>
                <w:kern w:val="0"/>
                <w:sz w:val="18"/>
                <w:szCs w:val="18"/>
                <w:lang w:val="fr-FR"/>
              </w:rPr>
              <w:br/>
            </w:r>
            <w:r w:rsidRPr="00F533A1">
              <w:rPr>
                <w:spacing w:val="0"/>
                <w:w w:val="100"/>
                <w:kern w:val="0"/>
                <w:sz w:val="18"/>
                <w:szCs w:val="18"/>
                <w:lang w:val="es-CL"/>
              </w:rPr>
              <w:t>Divers</w:t>
            </w:r>
            <w:r w:rsidRPr="00F533A1">
              <w:rPr>
                <w:spacing w:val="0"/>
                <w:w w:val="100"/>
                <w:kern w:val="0"/>
                <w:sz w:val="18"/>
                <w:szCs w:val="18"/>
                <w:lang w:val="es-CL"/>
              </w:rPr>
              <w:t>i</w:t>
            </w:r>
            <w:r w:rsidRPr="00F533A1">
              <w:rPr>
                <w:spacing w:val="0"/>
                <w:w w:val="100"/>
                <w:kern w:val="0"/>
                <w:sz w:val="18"/>
                <w:szCs w:val="18"/>
                <w:lang w:val="es-CL"/>
              </w:rPr>
              <w:t>dad y no Discriminación Arbitraria (DOS)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Prevención de embarazo y paternidad adole</w:t>
            </w:r>
            <w:r w:rsidRPr="00F533A1">
              <w:rPr>
                <w:spacing w:val="0"/>
                <w:w w:val="100"/>
                <w:kern w:val="0"/>
                <w:sz w:val="18"/>
                <w:szCs w:val="18"/>
                <w:lang w:val="es-CL"/>
              </w:rPr>
              <w:t>s</w:t>
            </w:r>
            <w:r w:rsidRPr="00F533A1">
              <w:rPr>
                <w:spacing w:val="0"/>
                <w:w w:val="100"/>
                <w:kern w:val="0"/>
                <w:sz w:val="18"/>
                <w:szCs w:val="18"/>
                <w:lang w:val="es-CL"/>
              </w:rPr>
              <w:t>cente y Nuevos lineamientos para abordar la Convivencia Escolar (MINEDUC)</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Acciones de acogida a la población migrante (EXTRANJERÍA)</w:t>
            </w:r>
          </w:p>
        </w:tc>
      </w:tr>
      <w:tr w:rsidR="009F61C6" w:rsidRPr="00F533A1" w:rsidTr="009F61C6">
        <w:trPr>
          <w:trHeight w:val="240"/>
        </w:trPr>
        <w:tc>
          <w:tcPr>
            <w:tcW w:w="1531"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29 de noviembre</w:t>
            </w:r>
          </w:p>
        </w:tc>
        <w:tc>
          <w:tcPr>
            <w:tcW w:w="1955" w:type="dxa"/>
            <w:vMerge w:val="restart"/>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Jornada Consejos Esc</w:t>
            </w:r>
            <w:r w:rsidRPr="00F533A1">
              <w:rPr>
                <w:spacing w:val="0"/>
                <w:w w:val="100"/>
                <w:kern w:val="0"/>
                <w:sz w:val="18"/>
                <w:szCs w:val="18"/>
                <w:lang w:val="es-CL"/>
              </w:rPr>
              <w:t>o</w:t>
            </w:r>
            <w:r w:rsidRPr="00F533A1">
              <w:rPr>
                <w:spacing w:val="0"/>
                <w:w w:val="100"/>
                <w:kern w:val="0"/>
                <w:sz w:val="18"/>
                <w:szCs w:val="18"/>
                <w:lang w:val="es-CL"/>
              </w:rPr>
              <w:t>lares Huechuraba</w:t>
            </w: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 xml:space="preserve">Introducción a las Buenas Prácticas sobre </w:t>
            </w:r>
            <w:r w:rsidRPr="0070429E">
              <w:rPr>
                <w:spacing w:val="0"/>
                <w:w w:val="100"/>
                <w:kern w:val="0"/>
                <w:sz w:val="18"/>
                <w:szCs w:val="18"/>
                <w:lang w:val="fr-FR"/>
              </w:rPr>
              <w:br/>
            </w:r>
            <w:r w:rsidRPr="00F533A1">
              <w:rPr>
                <w:spacing w:val="0"/>
                <w:w w:val="100"/>
                <w:kern w:val="0"/>
                <w:sz w:val="18"/>
                <w:szCs w:val="18"/>
                <w:lang w:val="es-CL"/>
              </w:rPr>
              <w:t>Divers</w:t>
            </w:r>
            <w:r w:rsidRPr="00F533A1">
              <w:rPr>
                <w:spacing w:val="0"/>
                <w:w w:val="100"/>
                <w:kern w:val="0"/>
                <w:sz w:val="18"/>
                <w:szCs w:val="18"/>
                <w:lang w:val="es-CL"/>
              </w:rPr>
              <w:t>i</w:t>
            </w:r>
            <w:r w:rsidRPr="00F533A1">
              <w:rPr>
                <w:spacing w:val="0"/>
                <w:w w:val="100"/>
                <w:kern w:val="0"/>
                <w:sz w:val="18"/>
                <w:szCs w:val="18"/>
                <w:lang w:val="es-CL"/>
              </w:rPr>
              <w:t>dad y no Discriminación Arbitraria (DOS)</w:t>
            </w:r>
          </w:p>
        </w:tc>
      </w:tr>
      <w:tr w:rsidR="009F61C6" w:rsidRPr="00F533A1" w:rsidTr="009F61C6">
        <w:trPr>
          <w:trHeight w:val="240"/>
        </w:trPr>
        <w:tc>
          <w:tcPr>
            <w:tcW w:w="1531"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Prevención de embarazo y paternidad adole</w:t>
            </w:r>
            <w:r w:rsidRPr="00F533A1">
              <w:rPr>
                <w:spacing w:val="0"/>
                <w:w w:val="100"/>
                <w:kern w:val="0"/>
                <w:sz w:val="18"/>
                <w:szCs w:val="18"/>
                <w:lang w:val="es-CL"/>
              </w:rPr>
              <w:t>s</w:t>
            </w:r>
            <w:r w:rsidRPr="00F533A1">
              <w:rPr>
                <w:spacing w:val="0"/>
                <w:w w:val="100"/>
                <w:kern w:val="0"/>
                <w:sz w:val="18"/>
                <w:szCs w:val="18"/>
                <w:lang w:val="es-CL"/>
              </w:rPr>
              <w:t>cente y Nuevos lineamientos para abordar la Convivencia Escolar (MINEDUC)</w:t>
            </w:r>
          </w:p>
        </w:tc>
      </w:tr>
      <w:tr w:rsidR="009F61C6" w:rsidRPr="00F533A1" w:rsidTr="009F61C6">
        <w:trPr>
          <w:trHeight w:val="240"/>
        </w:trPr>
        <w:tc>
          <w:tcPr>
            <w:tcW w:w="1531" w:type="dxa"/>
            <w:vMerge/>
            <w:tcBorders>
              <w:bottom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1955" w:type="dxa"/>
            <w:vMerge/>
            <w:tcBorders>
              <w:bottom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p>
        </w:tc>
        <w:tc>
          <w:tcPr>
            <w:tcW w:w="3884" w:type="dxa"/>
            <w:tcBorders>
              <w:bottom w:val="single" w:sz="12" w:space="0" w:color="auto"/>
            </w:tcBorders>
            <w:shd w:val="clear" w:color="auto" w:fill="auto"/>
          </w:tcPr>
          <w:p w:rsidR="009F61C6" w:rsidRPr="00F533A1" w:rsidRDefault="009F61C6" w:rsidP="009F61C6">
            <w:pPr>
              <w:spacing w:before="40" w:after="120" w:line="220" w:lineRule="exact"/>
              <w:rPr>
                <w:spacing w:val="0"/>
                <w:w w:val="100"/>
                <w:kern w:val="0"/>
                <w:sz w:val="18"/>
                <w:szCs w:val="18"/>
                <w:lang w:val="es-CL"/>
              </w:rPr>
            </w:pPr>
            <w:r w:rsidRPr="00F533A1">
              <w:rPr>
                <w:spacing w:val="0"/>
                <w:w w:val="100"/>
                <w:kern w:val="0"/>
                <w:sz w:val="18"/>
                <w:szCs w:val="18"/>
                <w:lang w:val="es-CL"/>
              </w:rPr>
              <w:t>Discriminación y VIH-SIDA (CONASIDA)</w:t>
            </w:r>
          </w:p>
          <w:p w:rsidR="009F61C6" w:rsidRPr="00F533A1" w:rsidRDefault="009F61C6" w:rsidP="009F61C6">
            <w:pPr>
              <w:spacing w:before="40" w:after="120" w:line="220" w:lineRule="exact"/>
              <w:rPr>
                <w:spacing w:val="0"/>
                <w:w w:val="100"/>
                <w:kern w:val="0"/>
                <w:sz w:val="18"/>
                <w:szCs w:val="18"/>
                <w:lang w:val="es-CL"/>
              </w:rPr>
            </w:pPr>
          </w:p>
        </w:tc>
      </w:tr>
    </w:tbl>
    <w:p w:rsidR="009F61C6" w:rsidRDefault="009F61C6" w:rsidP="009F61C6">
      <w:pPr>
        <w:pStyle w:val="H23G"/>
        <w:spacing w:after="240"/>
      </w:pPr>
      <w:r>
        <w:tab/>
        <w:t>B.</w:t>
      </w:r>
      <w:r>
        <w:tab/>
        <w:t>A</w:t>
      </w:r>
      <w:r w:rsidRPr="00267635">
        <w:t xml:space="preserve">ño 2011 </w:t>
      </w:r>
    </w:p>
    <w:tbl>
      <w:tblPr>
        <w:tblW w:w="7370" w:type="dxa"/>
        <w:tblInd w:w="1134" w:type="dxa"/>
        <w:tblBorders>
          <w:top w:val="single" w:sz="4" w:space="0" w:color="auto"/>
        </w:tblBorders>
        <w:tblCellMar>
          <w:left w:w="0" w:type="dxa"/>
        </w:tblCellMar>
        <w:tblLook w:val="01E0"/>
      </w:tblPr>
      <w:tblGrid>
        <w:gridCol w:w="1090"/>
        <w:gridCol w:w="1324"/>
        <w:gridCol w:w="4956"/>
      </w:tblGrid>
      <w:tr w:rsidR="009F61C6" w:rsidRPr="001828FC" w:rsidTr="009F61C6">
        <w:trPr>
          <w:trHeight w:val="240"/>
          <w:tblHeader/>
        </w:trPr>
        <w:tc>
          <w:tcPr>
            <w:tcW w:w="1276" w:type="dxa"/>
            <w:tcBorders>
              <w:top w:val="single" w:sz="4" w:space="0" w:color="auto"/>
              <w:bottom w:val="single" w:sz="12" w:space="0" w:color="auto"/>
            </w:tcBorders>
            <w:shd w:val="clear" w:color="auto" w:fill="auto"/>
            <w:vAlign w:val="bottom"/>
          </w:tcPr>
          <w:p w:rsidR="009F61C6" w:rsidRPr="001828FC" w:rsidRDefault="009F61C6" w:rsidP="009F61C6">
            <w:pPr>
              <w:spacing w:before="80" w:after="80" w:line="200" w:lineRule="exact"/>
              <w:rPr>
                <w:i/>
                <w:spacing w:val="0"/>
                <w:w w:val="100"/>
                <w:sz w:val="18"/>
                <w:szCs w:val="18"/>
                <w:lang w:val="es-CL" w:eastAsia="es-ES_tradnl"/>
              </w:rPr>
            </w:pPr>
            <w:r w:rsidRPr="001828FC">
              <w:rPr>
                <w:i/>
                <w:spacing w:val="0"/>
                <w:w w:val="100"/>
                <w:sz w:val="18"/>
                <w:szCs w:val="18"/>
                <w:lang w:val="es-CL" w:eastAsia="es-ES_tradnl"/>
              </w:rPr>
              <w:t>Región</w:t>
            </w:r>
          </w:p>
        </w:tc>
        <w:tc>
          <w:tcPr>
            <w:tcW w:w="1559" w:type="dxa"/>
            <w:tcBorders>
              <w:top w:val="single" w:sz="4" w:space="0" w:color="auto"/>
              <w:bottom w:val="single" w:sz="12" w:space="0" w:color="auto"/>
            </w:tcBorders>
            <w:shd w:val="clear" w:color="auto" w:fill="auto"/>
            <w:vAlign w:val="bottom"/>
          </w:tcPr>
          <w:p w:rsidR="009F61C6" w:rsidRPr="001828FC" w:rsidRDefault="009F61C6" w:rsidP="009F61C6">
            <w:pPr>
              <w:spacing w:before="80" w:after="80" w:line="200" w:lineRule="exact"/>
              <w:rPr>
                <w:i/>
                <w:spacing w:val="0"/>
                <w:w w:val="100"/>
                <w:sz w:val="18"/>
                <w:szCs w:val="18"/>
                <w:lang w:val="es-CL" w:eastAsia="es-ES_tradnl"/>
              </w:rPr>
            </w:pPr>
            <w:r w:rsidRPr="001828FC">
              <w:rPr>
                <w:i/>
                <w:spacing w:val="0"/>
                <w:w w:val="100"/>
                <w:sz w:val="18"/>
                <w:szCs w:val="18"/>
                <w:lang w:val="es-CL" w:eastAsia="es-ES_tradnl"/>
              </w:rPr>
              <w:t>Fecha</w:t>
            </w:r>
          </w:p>
        </w:tc>
        <w:tc>
          <w:tcPr>
            <w:tcW w:w="6322" w:type="dxa"/>
            <w:tcBorders>
              <w:top w:val="single" w:sz="4" w:space="0" w:color="auto"/>
              <w:bottom w:val="single" w:sz="12" w:space="0" w:color="auto"/>
            </w:tcBorders>
            <w:shd w:val="clear" w:color="auto" w:fill="auto"/>
            <w:vAlign w:val="bottom"/>
          </w:tcPr>
          <w:p w:rsidR="009F61C6" w:rsidRPr="001828FC" w:rsidRDefault="009F61C6" w:rsidP="009F61C6">
            <w:pPr>
              <w:spacing w:before="80" w:after="80" w:line="200" w:lineRule="exact"/>
              <w:rPr>
                <w:i/>
                <w:spacing w:val="0"/>
                <w:w w:val="100"/>
                <w:sz w:val="18"/>
                <w:szCs w:val="18"/>
                <w:lang w:val="es-CL" w:eastAsia="es-ES_tradnl"/>
              </w:rPr>
            </w:pPr>
            <w:r w:rsidRPr="001828FC">
              <w:rPr>
                <w:i/>
                <w:spacing w:val="0"/>
                <w:w w:val="100"/>
                <w:sz w:val="18"/>
                <w:szCs w:val="18"/>
                <w:lang w:val="es-CL" w:eastAsia="es-ES_tradnl"/>
              </w:rPr>
              <w:t>Temas</w:t>
            </w:r>
          </w:p>
        </w:tc>
      </w:tr>
      <w:tr w:rsidR="009F61C6" w:rsidRPr="001828FC" w:rsidTr="009F61C6">
        <w:trPr>
          <w:trHeight w:val="240"/>
        </w:trPr>
        <w:tc>
          <w:tcPr>
            <w:tcW w:w="1276" w:type="dxa"/>
            <w:tcBorders>
              <w:top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tcBorders>
              <w:top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7 de abril</w:t>
            </w:r>
          </w:p>
        </w:tc>
        <w:tc>
          <w:tcPr>
            <w:tcW w:w="6322" w:type="dxa"/>
            <w:tcBorders>
              <w:top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Buen trato para las personas mayores (SENAMA).</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Ley 20.422, Establece normas sobre igualdad de oportunid</w:t>
            </w:r>
            <w:r w:rsidRPr="001828FC">
              <w:rPr>
                <w:spacing w:val="0"/>
                <w:w w:val="100"/>
                <w:sz w:val="18"/>
                <w:szCs w:val="18"/>
                <w:lang w:val="es-CL" w:eastAsia="es-ES_tradnl"/>
              </w:rPr>
              <w:t>a</w:t>
            </w:r>
            <w:r w:rsidRPr="001828FC">
              <w:rPr>
                <w:spacing w:val="0"/>
                <w:w w:val="100"/>
                <w:sz w:val="18"/>
                <w:szCs w:val="18"/>
                <w:lang w:val="es-CL" w:eastAsia="es-ES_tradnl"/>
              </w:rPr>
              <w:t>des e inclusión social de personas con discapacidad (SENADIS).</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14 de abril</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Encuesta Nacional “Mi opinión cuenta” (SENAME).</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Violencia Intrafamiliar (SERNAM).</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28 de abril</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Inmigración y Políticas públicas: Acciones de integración de la población inmigrante residente en chile (EXTRANJERÍA).</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 xml:space="preserve">Principales Resultados 6ta Encuesta Nacional de la Juventud, </w:t>
            </w:r>
            <w:r w:rsidRPr="0070429E">
              <w:rPr>
                <w:spacing w:val="0"/>
                <w:w w:val="100"/>
                <w:sz w:val="18"/>
                <w:szCs w:val="18"/>
                <w:lang w:val="fr-FR" w:eastAsia="es-ES_tradnl"/>
              </w:rPr>
              <w:br/>
            </w:r>
            <w:r w:rsidRPr="001828FC">
              <w:rPr>
                <w:spacing w:val="0"/>
                <w:w w:val="100"/>
                <w:sz w:val="18"/>
                <w:szCs w:val="18"/>
                <w:lang w:val="es-CL" w:eastAsia="es-ES_tradnl"/>
              </w:rPr>
              <w:t>Di</w:t>
            </w:r>
            <w:r w:rsidRPr="001828FC">
              <w:rPr>
                <w:spacing w:val="0"/>
                <w:w w:val="100"/>
                <w:sz w:val="18"/>
                <w:szCs w:val="18"/>
                <w:lang w:val="es-CL" w:eastAsia="es-ES_tradnl"/>
              </w:rPr>
              <w:t>s</w:t>
            </w:r>
            <w:r w:rsidRPr="001828FC">
              <w:rPr>
                <w:spacing w:val="0"/>
                <w:w w:val="100"/>
                <w:sz w:val="18"/>
                <w:szCs w:val="18"/>
                <w:lang w:val="es-CL" w:eastAsia="es-ES_tradnl"/>
              </w:rPr>
              <w:t>criminación y Juventud (INJUV).</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X</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23 de mayo</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Violencia Intrafamiliar (SERNAM).</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Ley 20.422, Establece normas sobre igualdad de oportunid</w:t>
            </w:r>
            <w:r w:rsidRPr="001828FC">
              <w:rPr>
                <w:spacing w:val="0"/>
                <w:w w:val="100"/>
                <w:sz w:val="18"/>
                <w:szCs w:val="18"/>
                <w:lang w:val="es-CL" w:eastAsia="es-ES_tradnl"/>
              </w:rPr>
              <w:t>a</w:t>
            </w:r>
            <w:r w:rsidRPr="001828FC">
              <w:rPr>
                <w:spacing w:val="0"/>
                <w:w w:val="100"/>
                <w:sz w:val="18"/>
                <w:szCs w:val="18"/>
                <w:lang w:val="es-CL" w:eastAsia="es-ES_tradnl"/>
              </w:rPr>
              <w:t>des e inclusión social de personas con discapacidad (SENADIS).</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VII</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02 de junio</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Política de convivencia escolar: dimensión formativa y re</w:t>
            </w:r>
            <w:r w:rsidRPr="001828FC">
              <w:rPr>
                <w:spacing w:val="0"/>
                <w:w w:val="100"/>
                <w:sz w:val="18"/>
                <w:szCs w:val="18"/>
                <w:lang w:val="es-CL" w:eastAsia="es-ES_tradnl"/>
              </w:rPr>
              <w:t>s</w:t>
            </w:r>
            <w:r w:rsidRPr="001828FC">
              <w:rPr>
                <w:spacing w:val="0"/>
                <w:w w:val="100"/>
                <w:sz w:val="18"/>
                <w:szCs w:val="18"/>
                <w:lang w:val="es-CL" w:eastAsia="es-ES_tradnl"/>
              </w:rPr>
              <w:t>guardo de derechos (MINEDUC).</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Ley 20.422, Establece normas sobre igualdad de oportunid</w:t>
            </w:r>
            <w:r w:rsidRPr="001828FC">
              <w:rPr>
                <w:spacing w:val="0"/>
                <w:w w:val="100"/>
                <w:sz w:val="18"/>
                <w:szCs w:val="18"/>
                <w:lang w:val="es-CL" w:eastAsia="es-ES_tradnl"/>
              </w:rPr>
              <w:t>a</w:t>
            </w:r>
            <w:r w:rsidRPr="001828FC">
              <w:rPr>
                <w:spacing w:val="0"/>
                <w:w w:val="100"/>
                <w:sz w:val="18"/>
                <w:szCs w:val="18"/>
                <w:lang w:val="es-CL" w:eastAsia="es-ES_tradnl"/>
              </w:rPr>
              <w:t>des e inclusión social de personas con discapacidad (SENADIS).</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VI</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17 de junio</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Ley 20.422, Establece normas sobre igualdad de oportunid</w:t>
            </w:r>
            <w:r w:rsidRPr="001828FC">
              <w:rPr>
                <w:spacing w:val="0"/>
                <w:w w:val="100"/>
                <w:sz w:val="18"/>
                <w:szCs w:val="18"/>
                <w:lang w:val="es-CL" w:eastAsia="es-ES_tradnl"/>
              </w:rPr>
              <w:t>a</w:t>
            </w:r>
            <w:r w:rsidRPr="001828FC">
              <w:rPr>
                <w:spacing w:val="0"/>
                <w:w w:val="100"/>
                <w:sz w:val="18"/>
                <w:szCs w:val="18"/>
                <w:lang w:val="es-CL" w:eastAsia="es-ES_tradnl"/>
              </w:rPr>
              <w:t>des e inclusión social de personas con discapacidad (SENADIS).</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Buen trato para las personas mayores (SENAMA).</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15 de julio</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Buen trato para las personas mayores (SENAMA).</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Inmigración y Políticas públicas: Acciones de integración de la población inmigrante residente en chile (EXTRANJERÍA).</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IV</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26 de Julio</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Inmigración y Políticas públicas: Acciones de integración de la población inmigrante residente en chile (EXTRANJERÍA).</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Discriminación arbitraria a la población indígena urbana (CONADI).</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14 de septie</w:t>
            </w:r>
            <w:r w:rsidRPr="001828FC">
              <w:rPr>
                <w:spacing w:val="0"/>
                <w:w w:val="100"/>
                <w:sz w:val="18"/>
                <w:szCs w:val="18"/>
                <w:lang w:val="es-CL" w:eastAsia="es-ES_tradnl"/>
              </w:rPr>
              <w:t>m</w:t>
            </w:r>
            <w:r w:rsidRPr="001828FC">
              <w:rPr>
                <w:spacing w:val="0"/>
                <w:w w:val="100"/>
                <w:sz w:val="18"/>
                <w:szCs w:val="18"/>
                <w:lang w:val="es-CL" w:eastAsia="es-ES_tradnl"/>
              </w:rPr>
              <w:t>bre</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Estigma y Discriminación como un obstáculo a la prevención del SIDA y a la calidad de vida de las personas que viven con VIH (CONASIDA).</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Encuesta Nacional: Mi Opinión Cuenta (SENAME).</w:t>
            </w:r>
          </w:p>
        </w:tc>
      </w:tr>
      <w:tr w:rsidR="009F61C6" w:rsidRPr="001828FC" w:rsidTr="009F61C6">
        <w:trPr>
          <w:trHeight w:val="240"/>
        </w:trPr>
        <w:tc>
          <w:tcPr>
            <w:tcW w:w="1276"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22 de septie</w:t>
            </w:r>
            <w:r w:rsidRPr="001828FC">
              <w:rPr>
                <w:spacing w:val="0"/>
                <w:w w:val="100"/>
                <w:sz w:val="18"/>
                <w:szCs w:val="18"/>
                <w:lang w:val="es-CL" w:eastAsia="es-ES_tradnl"/>
              </w:rPr>
              <w:t>m</w:t>
            </w:r>
            <w:r w:rsidRPr="001828FC">
              <w:rPr>
                <w:spacing w:val="0"/>
                <w:w w:val="100"/>
                <w:sz w:val="18"/>
                <w:szCs w:val="18"/>
                <w:lang w:val="es-CL" w:eastAsia="es-ES_tradnl"/>
              </w:rPr>
              <w:t>bre</w:t>
            </w:r>
          </w:p>
        </w:tc>
        <w:tc>
          <w:tcPr>
            <w:tcW w:w="6322" w:type="dxa"/>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Violencia Intrafamiliar (SERNAM).</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Buen trato para las personas mayores (SENAMA).</w:t>
            </w:r>
          </w:p>
        </w:tc>
      </w:tr>
      <w:tr w:rsidR="009F61C6" w:rsidRPr="001828FC" w:rsidTr="009F61C6">
        <w:trPr>
          <w:trHeight w:val="240"/>
        </w:trPr>
        <w:tc>
          <w:tcPr>
            <w:tcW w:w="1276" w:type="dxa"/>
            <w:tcBorders>
              <w:bottom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RM</w:t>
            </w:r>
          </w:p>
        </w:tc>
        <w:tc>
          <w:tcPr>
            <w:tcW w:w="1559" w:type="dxa"/>
            <w:tcBorders>
              <w:bottom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29 de septie</w:t>
            </w:r>
            <w:r w:rsidRPr="001828FC">
              <w:rPr>
                <w:spacing w:val="0"/>
                <w:w w:val="100"/>
                <w:sz w:val="18"/>
                <w:szCs w:val="18"/>
                <w:lang w:val="es-CL" w:eastAsia="es-ES_tradnl"/>
              </w:rPr>
              <w:t>m</w:t>
            </w:r>
            <w:r w:rsidRPr="001828FC">
              <w:rPr>
                <w:spacing w:val="0"/>
                <w:w w:val="100"/>
                <w:sz w:val="18"/>
                <w:szCs w:val="18"/>
                <w:lang w:val="es-CL" w:eastAsia="es-ES_tradnl"/>
              </w:rPr>
              <w:t>bre</w:t>
            </w:r>
          </w:p>
        </w:tc>
        <w:tc>
          <w:tcPr>
            <w:tcW w:w="6322" w:type="dxa"/>
            <w:tcBorders>
              <w:bottom w:val="single" w:sz="12" w:space="0" w:color="auto"/>
            </w:tcBorders>
            <w:shd w:val="clear" w:color="auto" w:fill="auto"/>
          </w:tcPr>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 xml:space="preserve">Principales Resultados 6ta Encuesta Nacional de la Juventud, </w:t>
            </w:r>
            <w:r w:rsidRPr="0070429E">
              <w:rPr>
                <w:spacing w:val="0"/>
                <w:w w:val="100"/>
                <w:sz w:val="18"/>
                <w:szCs w:val="18"/>
                <w:lang w:val="fr-FR" w:eastAsia="es-ES_tradnl"/>
              </w:rPr>
              <w:br/>
            </w:r>
            <w:r w:rsidRPr="001828FC">
              <w:rPr>
                <w:spacing w:val="0"/>
                <w:w w:val="100"/>
                <w:sz w:val="18"/>
                <w:szCs w:val="18"/>
                <w:lang w:val="es-CL" w:eastAsia="es-ES_tradnl"/>
              </w:rPr>
              <w:t>Di</w:t>
            </w:r>
            <w:r w:rsidRPr="001828FC">
              <w:rPr>
                <w:spacing w:val="0"/>
                <w:w w:val="100"/>
                <w:sz w:val="18"/>
                <w:szCs w:val="18"/>
                <w:lang w:val="es-CL" w:eastAsia="es-ES_tradnl"/>
              </w:rPr>
              <w:t>s</w:t>
            </w:r>
            <w:r w:rsidRPr="001828FC">
              <w:rPr>
                <w:spacing w:val="0"/>
                <w:w w:val="100"/>
                <w:sz w:val="18"/>
                <w:szCs w:val="18"/>
                <w:lang w:val="es-CL" w:eastAsia="es-ES_tradnl"/>
              </w:rPr>
              <w:t>criminación y Juventud (INJUV).</w:t>
            </w:r>
          </w:p>
          <w:p w:rsidR="009F61C6" w:rsidRPr="001828FC" w:rsidRDefault="009F61C6" w:rsidP="009F61C6">
            <w:pPr>
              <w:spacing w:before="40" w:after="120" w:line="220" w:lineRule="exact"/>
              <w:rPr>
                <w:spacing w:val="0"/>
                <w:w w:val="100"/>
                <w:sz w:val="18"/>
                <w:szCs w:val="18"/>
                <w:lang w:val="es-CL" w:eastAsia="es-ES_tradnl"/>
              </w:rPr>
            </w:pPr>
            <w:r w:rsidRPr="001828FC">
              <w:rPr>
                <w:spacing w:val="0"/>
                <w:w w:val="100"/>
                <w:sz w:val="18"/>
                <w:szCs w:val="18"/>
                <w:lang w:val="es-CL" w:eastAsia="es-ES_tradnl"/>
              </w:rPr>
              <w:t>Estigma y Discriminación como un obstáculo a la prevención del SIDA y a la calidad de vida de las personas que viven con VIH (CONASIDA).</w:t>
            </w:r>
          </w:p>
        </w:tc>
      </w:tr>
    </w:tbl>
    <w:p w:rsidR="009F61C6" w:rsidRDefault="009F61C6" w:rsidP="009F61C6">
      <w:pPr>
        <w:pStyle w:val="H1G"/>
      </w:pPr>
      <w:r>
        <w:tab/>
        <w:t>II.</w:t>
      </w:r>
      <w:r>
        <w:tab/>
      </w:r>
      <w:r w:rsidRPr="00D3675E">
        <w:t>Estudio sobre oferta pública en materia de diversidad y no discriminación</w:t>
      </w:r>
    </w:p>
    <w:p w:rsidR="009F61C6" w:rsidRPr="00183AB0" w:rsidRDefault="009F61C6" w:rsidP="009F61C6">
      <w:pPr>
        <w:pStyle w:val="SingleTxtG"/>
        <w:rPr>
          <w:b/>
        </w:rPr>
      </w:pPr>
      <w:r w:rsidRPr="00183AB0">
        <w:rPr>
          <w:b/>
        </w:rPr>
        <w:t>¿Con qué frecuencia trabaja su institución con los pueblos indígenas?</w:t>
      </w:r>
    </w:p>
    <w:tbl>
      <w:tblPr>
        <w:tblW w:w="7370" w:type="dxa"/>
        <w:tblInd w:w="1134" w:type="dxa"/>
        <w:tblBorders>
          <w:top w:val="single" w:sz="4" w:space="0" w:color="auto"/>
        </w:tblBorders>
        <w:tblCellMar>
          <w:left w:w="0" w:type="dxa"/>
          <w:right w:w="0" w:type="dxa"/>
        </w:tblCellMar>
        <w:tblLook w:val="04A0"/>
      </w:tblPr>
      <w:tblGrid>
        <w:gridCol w:w="1733"/>
        <w:gridCol w:w="1248"/>
        <w:gridCol w:w="1540"/>
        <w:gridCol w:w="1402"/>
        <w:gridCol w:w="1447"/>
      </w:tblGrid>
      <w:tr w:rsidR="009F61C6" w:rsidRPr="001828FC" w:rsidTr="009F61C6">
        <w:trPr>
          <w:trHeight w:val="240"/>
          <w:tblHeader/>
        </w:trPr>
        <w:tc>
          <w:tcPr>
            <w:tcW w:w="1733"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80" w:after="80" w:line="200" w:lineRule="exact"/>
              <w:rPr>
                <w:i/>
                <w:spacing w:val="0"/>
                <w:w w:val="100"/>
                <w:kern w:val="0"/>
                <w:sz w:val="16"/>
                <w:lang w:val="en-US" w:eastAsia="es-ES_tradnl"/>
              </w:rPr>
            </w:pPr>
            <w:r w:rsidRPr="001828FC">
              <w:rPr>
                <w:i/>
                <w:spacing w:val="0"/>
                <w:w w:val="100"/>
                <w:kern w:val="0"/>
                <w:sz w:val="16"/>
                <w:lang w:val="es-MX" w:eastAsia="es-ES_tradnl"/>
              </w:rPr>
              <w:t xml:space="preserve">Categoría </w:t>
            </w:r>
          </w:p>
        </w:tc>
        <w:tc>
          <w:tcPr>
            <w:tcW w:w="1248"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80" w:after="80" w:line="200" w:lineRule="exact"/>
              <w:ind w:left="113"/>
              <w:jc w:val="right"/>
              <w:rPr>
                <w:i/>
                <w:spacing w:val="0"/>
                <w:w w:val="100"/>
                <w:kern w:val="0"/>
                <w:sz w:val="16"/>
                <w:lang w:val="en-US" w:eastAsia="es-ES_tradnl"/>
              </w:rPr>
            </w:pPr>
            <w:r w:rsidRPr="001828FC">
              <w:rPr>
                <w:i/>
                <w:spacing w:val="0"/>
                <w:w w:val="100"/>
                <w:kern w:val="0"/>
                <w:sz w:val="16"/>
                <w:lang w:val="es-MX" w:eastAsia="es-ES_tradnl"/>
              </w:rPr>
              <w:t xml:space="preserve">Nunca </w:t>
            </w:r>
          </w:p>
        </w:tc>
        <w:tc>
          <w:tcPr>
            <w:tcW w:w="1540"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80" w:after="80" w:line="200" w:lineRule="exact"/>
              <w:ind w:left="113"/>
              <w:jc w:val="right"/>
              <w:rPr>
                <w:i/>
                <w:spacing w:val="0"/>
                <w:w w:val="100"/>
                <w:kern w:val="0"/>
                <w:sz w:val="16"/>
                <w:lang w:val="es-CL" w:eastAsia="es-ES_tradnl"/>
              </w:rPr>
            </w:pPr>
            <w:r w:rsidRPr="001828FC">
              <w:rPr>
                <w:i/>
                <w:spacing w:val="0"/>
                <w:w w:val="100"/>
                <w:kern w:val="0"/>
                <w:sz w:val="16"/>
                <w:lang w:val="es-MX" w:eastAsia="es-ES_tradnl"/>
              </w:rPr>
              <w:t xml:space="preserve">Rara vez/A </w:t>
            </w:r>
            <w:r w:rsidRPr="0070429E">
              <w:rPr>
                <w:i/>
                <w:spacing w:val="0"/>
                <w:w w:val="100"/>
                <w:kern w:val="0"/>
                <w:sz w:val="16"/>
                <w:lang w:val="fr-FR" w:eastAsia="es-ES_tradnl"/>
              </w:rPr>
              <w:br/>
            </w:r>
            <w:r w:rsidRPr="001828FC">
              <w:rPr>
                <w:i/>
                <w:spacing w:val="0"/>
                <w:w w:val="100"/>
                <w:kern w:val="0"/>
                <w:sz w:val="16"/>
                <w:lang w:val="es-MX" w:eastAsia="es-ES_tradnl"/>
              </w:rPr>
              <w:t xml:space="preserve">veces/Con </w:t>
            </w:r>
            <w:r w:rsidRPr="0070429E">
              <w:rPr>
                <w:i/>
                <w:spacing w:val="0"/>
                <w:w w:val="100"/>
                <w:kern w:val="0"/>
                <w:sz w:val="16"/>
                <w:lang w:val="fr-FR" w:eastAsia="es-ES_tradnl"/>
              </w:rPr>
              <w:br/>
            </w:r>
            <w:r w:rsidRPr="001828FC">
              <w:rPr>
                <w:i/>
                <w:spacing w:val="0"/>
                <w:w w:val="100"/>
                <w:kern w:val="0"/>
                <w:sz w:val="16"/>
                <w:lang w:val="es-MX" w:eastAsia="es-ES_tradnl"/>
              </w:rPr>
              <w:t>fr</w:t>
            </w:r>
            <w:r w:rsidRPr="001828FC">
              <w:rPr>
                <w:i/>
                <w:spacing w:val="0"/>
                <w:w w:val="100"/>
                <w:kern w:val="0"/>
                <w:sz w:val="16"/>
                <w:lang w:val="es-MX" w:eastAsia="es-ES_tradnl"/>
              </w:rPr>
              <w:t>e</w:t>
            </w:r>
            <w:r w:rsidRPr="001828FC">
              <w:rPr>
                <w:i/>
                <w:spacing w:val="0"/>
                <w:w w:val="100"/>
                <w:kern w:val="0"/>
                <w:sz w:val="16"/>
                <w:lang w:val="es-MX" w:eastAsia="es-ES_tradnl"/>
              </w:rPr>
              <w:t xml:space="preserve">cuencia </w:t>
            </w:r>
          </w:p>
        </w:tc>
        <w:tc>
          <w:tcPr>
            <w:tcW w:w="1402"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80" w:after="80" w:line="200" w:lineRule="exact"/>
              <w:ind w:left="113"/>
              <w:jc w:val="right"/>
              <w:rPr>
                <w:i/>
                <w:spacing w:val="0"/>
                <w:w w:val="100"/>
                <w:kern w:val="0"/>
                <w:sz w:val="16"/>
                <w:lang w:val="en-US" w:eastAsia="es-ES_tradnl"/>
              </w:rPr>
            </w:pPr>
            <w:r w:rsidRPr="001828FC">
              <w:rPr>
                <w:i/>
                <w:spacing w:val="0"/>
                <w:w w:val="100"/>
                <w:kern w:val="0"/>
                <w:sz w:val="16"/>
                <w:lang w:val="es-MX" w:eastAsia="es-ES_tradnl"/>
              </w:rPr>
              <w:t xml:space="preserve">Siempre </w:t>
            </w:r>
          </w:p>
        </w:tc>
        <w:tc>
          <w:tcPr>
            <w:tcW w:w="1447"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80" w:after="80" w:line="200" w:lineRule="exact"/>
              <w:ind w:left="113"/>
              <w:jc w:val="right"/>
              <w:rPr>
                <w:i/>
                <w:spacing w:val="0"/>
                <w:w w:val="100"/>
                <w:kern w:val="0"/>
                <w:sz w:val="16"/>
                <w:lang w:val="en-US" w:eastAsia="es-ES_tradnl"/>
              </w:rPr>
            </w:pPr>
            <w:r w:rsidRPr="001828FC">
              <w:rPr>
                <w:i/>
                <w:spacing w:val="0"/>
                <w:w w:val="100"/>
                <w:kern w:val="0"/>
                <w:sz w:val="16"/>
                <w:lang w:val="es-MX" w:eastAsia="es-ES_tradnl"/>
              </w:rPr>
              <w:t>No sabe/No responde</w:t>
            </w:r>
          </w:p>
        </w:tc>
      </w:tr>
      <w:tr w:rsidR="009F61C6" w:rsidRPr="001828FC" w:rsidTr="009F61C6">
        <w:trPr>
          <w:trHeight w:val="240"/>
        </w:trPr>
        <w:tc>
          <w:tcPr>
            <w:tcW w:w="1733" w:type="dxa"/>
            <w:tcBorders>
              <w:top w:val="single" w:sz="12" w:space="0" w:color="auto"/>
            </w:tcBorders>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spacing w:val="0"/>
                <w:w w:val="100"/>
                <w:kern w:val="0"/>
                <w:sz w:val="18"/>
                <w:lang w:val="es-CL" w:eastAsia="es-ES_tradnl"/>
              </w:rPr>
              <w:t>Aymaras</w:t>
            </w:r>
            <w:r w:rsidRPr="001828FC">
              <w:rPr>
                <w:spacing w:val="0"/>
                <w:w w:val="100"/>
                <w:kern w:val="0"/>
                <w:sz w:val="18"/>
                <w:lang w:val="es-MX" w:eastAsia="es-ES_tradnl"/>
              </w:rPr>
              <w:t xml:space="preserve"> </w:t>
            </w:r>
          </w:p>
        </w:tc>
        <w:tc>
          <w:tcPr>
            <w:tcW w:w="1248" w:type="dxa"/>
            <w:tcBorders>
              <w:top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49,5 </w:t>
            </w:r>
          </w:p>
        </w:tc>
        <w:tc>
          <w:tcPr>
            <w:tcW w:w="1540" w:type="dxa"/>
            <w:tcBorders>
              <w:top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19,5 </w:t>
            </w:r>
          </w:p>
        </w:tc>
        <w:tc>
          <w:tcPr>
            <w:tcW w:w="1402" w:type="dxa"/>
            <w:tcBorders>
              <w:top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5,1 </w:t>
            </w:r>
          </w:p>
        </w:tc>
        <w:tc>
          <w:tcPr>
            <w:tcW w:w="1447" w:type="dxa"/>
            <w:tcBorders>
              <w:top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25,9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Alacalufes</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56,4</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8,7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1,8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33,1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Atacameños</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54,3</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12,4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2,4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30,9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Collas</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54,9</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13,0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2,0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30,1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Diaguitas</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53,1</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13,6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2,0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31,3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spacing w:val="0"/>
                <w:w w:val="100"/>
                <w:kern w:val="0"/>
                <w:sz w:val="18"/>
                <w:lang w:val="es-CL" w:eastAsia="es-ES_tradnl"/>
              </w:rPr>
              <w:t>Mapuche</w:t>
            </w:r>
            <w:r w:rsidRPr="001828FC">
              <w:rPr>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28,7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44,4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10,9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16,0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Quechua</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54,3</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11,0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2,8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31,9 </w:t>
            </w:r>
          </w:p>
        </w:tc>
      </w:tr>
      <w:tr w:rsidR="009F61C6" w:rsidRPr="001828FC" w:rsidTr="009F61C6">
        <w:trPr>
          <w:trHeight w:val="240"/>
        </w:trPr>
        <w:tc>
          <w:tcPr>
            <w:tcW w:w="1733" w:type="dxa"/>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Rapa Nui</w:t>
            </w:r>
            <w:r w:rsidRPr="001828FC">
              <w:rPr>
                <w:bCs/>
                <w:spacing w:val="0"/>
                <w:w w:val="100"/>
                <w:kern w:val="0"/>
                <w:sz w:val="18"/>
                <w:lang w:val="es-MX" w:eastAsia="es-ES_tradnl"/>
              </w:rPr>
              <w:t xml:space="preserve"> </w:t>
            </w:r>
          </w:p>
        </w:tc>
        <w:tc>
          <w:tcPr>
            <w:tcW w:w="1248"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56,6</w:t>
            </w:r>
            <w:r w:rsidRPr="001828FC">
              <w:rPr>
                <w:spacing w:val="0"/>
                <w:w w:val="100"/>
                <w:kern w:val="0"/>
                <w:sz w:val="18"/>
                <w:lang w:val="es-MX" w:eastAsia="es-ES_tradnl"/>
              </w:rPr>
              <w:t xml:space="preserve"> </w:t>
            </w:r>
          </w:p>
        </w:tc>
        <w:tc>
          <w:tcPr>
            <w:tcW w:w="1540"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9,3 </w:t>
            </w:r>
          </w:p>
        </w:tc>
        <w:tc>
          <w:tcPr>
            <w:tcW w:w="1402"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2,0 </w:t>
            </w:r>
          </w:p>
        </w:tc>
        <w:tc>
          <w:tcPr>
            <w:tcW w:w="1447" w:type="dxa"/>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32,1 </w:t>
            </w:r>
          </w:p>
        </w:tc>
      </w:tr>
      <w:tr w:rsidR="009F61C6" w:rsidRPr="001828FC" w:rsidTr="009F61C6">
        <w:trPr>
          <w:trHeight w:val="240"/>
        </w:trPr>
        <w:tc>
          <w:tcPr>
            <w:tcW w:w="1733" w:type="dxa"/>
            <w:tcBorders>
              <w:bottom w:val="single" w:sz="12" w:space="0" w:color="auto"/>
            </w:tcBorders>
            <w:shd w:val="clear" w:color="auto" w:fill="auto"/>
            <w:tcMar>
              <w:top w:w="72" w:type="dxa"/>
              <w:left w:w="144" w:type="dxa"/>
              <w:bottom w:w="72" w:type="dxa"/>
              <w:right w:w="144" w:type="dxa"/>
            </w:tcMar>
          </w:tcPr>
          <w:p w:rsidR="009F61C6" w:rsidRPr="001828FC" w:rsidRDefault="009F61C6" w:rsidP="009F61C6">
            <w:pPr>
              <w:spacing w:before="40" w:after="40" w:line="220" w:lineRule="exact"/>
              <w:rPr>
                <w:spacing w:val="0"/>
                <w:w w:val="100"/>
                <w:kern w:val="0"/>
                <w:sz w:val="18"/>
                <w:lang w:val="en-US" w:eastAsia="es-ES_tradnl"/>
              </w:rPr>
            </w:pPr>
            <w:r w:rsidRPr="001828FC">
              <w:rPr>
                <w:bCs/>
                <w:spacing w:val="0"/>
                <w:w w:val="100"/>
                <w:kern w:val="0"/>
                <w:sz w:val="18"/>
                <w:lang w:val="es-CL" w:eastAsia="es-ES_tradnl"/>
              </w:rPr>
              <w:t>Yagán</w:t>
            </w:r>
            <w:r w:rsidRPr="001828FC">
              <w:rPr>
                <w:bCs/>
                <w:spacing w:val="0"/>
                <w:w w:val="100"/>
                <w:kern w:val="0"/>
                <w:sz w:val="18"/>
                <w:lang w:val="es-MX" w:eastAsia="es-ES_tradnl"/>
              </w:rPr>
              <w:t xml:space="preserve"> </w:t>
            </w:r>
          </w:p>
        </w:tc>
        <w:tc>
          <w:tcPr>
            <w:tcW w:w="1248" w:type="dxa"/>
            <w:tcBorders>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bCs/>
                <w:spacing w:val="0"/>
                <w:w w:val="100"/>
                <w:kern w:val="0"/>
                <w:sz w:val="18"/>
                <w:lang w:val="es-MX" w:eastAsia="es-ES_tradnl"/>
              </w:rPr>
              <w:t>56,4</w:t>
            </w:r>
            <w:r w:rsidRPr="001828FC">
              <w:rPr>
                <w:spacing w:val="0"/>
                <w:w w:val="100"/>
                <w:kern w:val="0"/>
                <w:sz w:val="18"/>
                <w:lang w:val="es-MX" w:eastAsia="es-ES_tradnl"/>
              </w:rPr>
              <w:t xml:space="preserve"> </w:t>
            </w:r>
          </w:p>
        </w:tc>
        <w:tc>
          <w:tcPr>
            <w:tcW w:w="1540" w:type="dxa"/>
            <w:tcBorders>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8,9 </w:t>
            </w:r>
          </w:p>
        </w:tc>
        <w:tc>
          <w:tcPr>
            <w:tcW w:w="1402" w:type="dxa"/>
            <w:tcBorders>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2,0 </w:t>
            </w:r>
          </w:p>
        </w:tc>
        <w:tc>
          <w:tcPr>
            <w:tcW w:w="1447" w:type="dxa"/>
            <w:tcBorders>
              <w:bottom w:val="single" w:sz="12" w:space="0" w:color="auto"/>
            </w:tcBorders>
            <w:shd w:val="clear" w:color="auto" w:fill="auto"/>
            <w:tcMar>
              <w:top w:w="72" w:type="dxa"/>
              <w:left w:w="144" w:type="dxa"/>
              <w:bottom w:w="72" w:type="dxa"/>
              <w:right w:w="144" w:type="dxa"/>
            </w:tcMar>
            <w:vAlign w:val="bottom"/>
          </w:tcPr>
          <w:p w:rsidR="009F61C6" w:rsidRPr="001828FC" w:rsidRDefault="009F61C6" w:rsidP="009F61C6">
            <w:pPr>
              <w:spacing w:before="40" w:after="40" w:line="220" w:lineRule="exact"/>
              <w:ind w:left="113"/>
              <w:jc w:val="right"/>
              <w:rPr>
                <w:spacing w:val="0"/>
                <w:w w:val="100"/>
                <w:kern w:val="0"/>
                <w:sz w:val="18"/>
                <w:lang w:val="en-US" w:eastAsia="es-ES_tradnl"/>
              </w:rPr>
            </w:pPr>
            <w:r w:rsidRPr="001828FC">
              <w:rPr>
                <w:spacing w:val="0"/>
                <w:w w:val="100"/>
                <w:kern w:val="0"/>
                <w:sz w:val="18"/>
                <w:lang w:val="es-MX" w:eastAsia="es-ES_tradnl"/>
              </w:rPr>
              <w:t xml:space="preserve">32,7 </w:t>
            </w:r>
          </w:p>
        </w:tc>
      </w:tr>
    </w:tbl>
    <w:p w:rsidR="009F61C6" w:rsidRPr="00183AB0" w:rsidRDefault="009F61C6" w:rsidP="009F61C6">
      <w:pPr>
        <w:pStyle w:val="SingleTxtG"/>
        <w:keepNext/>
        <w:spacing w:before="240"/>
        <w:rPr>
          <w:b/>
        </w:rPr>
      </w:pPr>
      <w:r w:rsidRPr="00183AB0">
        <w:rPr>
          <w:b/>
        </w:rPr>
        <w:t>¿Con qué frecuencia trabaja su institución con migrantes?</w:t>
      </w:r>
    </w:p>
    <w:tbl>
      <w:tblPr>
        <w:tblW w:w="7370" w:type="dxa"/>
        <w:tblInd w:w="1134" w:type="dxa"/>
        <w:tblBorders>
          <w:top w:val="single" w:sz="4" w:space="0" w:color="auto"/>
        </w:tblBorders>
        <w:tblCellMar>
          <w:left w:w="0" w:type="dxa"/>
          <w:right w:w="0" w:type="dxa"/>
        </w:tblCellMar>
        <w:tblLook w:val="04A0"/>
      </w:tblPr>
      <w:tblGrid>
        <w:gridCol w:w="1764"/>
        <w:gridCol w:w="1224"/>
        <w:gridCol w:w="1496"/>
        <w:gridCol w:w="1430"/>
        <w:gridCol w:w="1456"/>
      </w:tblGrid>
      <w:tr w:rsidR="009F61C6" w:rsidRPr="0070429E" w:rsidTr="009F61C6">
        <w:trPr>
          <w:trHeight w:val="240"/>
          <w:tblHeader/>
        </w:trPr>
        <w:tc>
          <w:tcPr>
            <w:tcW w:w="1764"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keepNext/>
              <w:spacing w:before="80" w:after="80" w:line="200" w:lineRule="exact"/>
              <w:rPr>
                <w:i/>
                <w:spacing w:val="0"/>
                <w:w w:val="100"/>
                <w:kern w:val="0"/>
                <w:sz w:val="16"/>
                <w:lang w:val="en-US" w:eastAsia="es-ES_tradnl"/>
              </w:rPr>
            </w:pPr>
            <w:r w:rsidRPr="0070429E">
              <w:rPr>
                <w:i/>
                <w:spacing w:val="0"/>
                <w:w w:val="100"/>
                <w:kern w:val="0"/>
                <w:sz w:val="16"/>
                <w:lang w:val="es-MX" w:eastAsia="es-ES_tradnl"/>
              </w:rPr>
              <w:t xml:space="preserve">Categoría </w:t>
            </w:r>
          </w:p>
        </w:tc>
        <w:tc>
          <w:tcPr>
            <w:tcW w:w="1224"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keepNext/>
              <w:spacing w:before="80" w:after="80" w:line="200" w:lineRule="exact"/>
              <w:ind w:left="113"/>
              <w:jc w:val="right"/>
              <w:rPr>
                <w:i/>
                <w:spacing w:val="0"/>
                <w:w w:val="100"/>
                <w:kern w:val="0"/>
                <w:sz w:val="16"/>
                <w:lang w:val="en-US" w:eastAsia="es-ES_tradnl"/>
              </w:rPr>
            </w:pPr>
            <w:r w:rsidRPr="0070429E">
              <w:rPr>
                <w:i/>
                <w:spacing w:val="0"/>
                <w:w w:val="100"/>
                <w:kern w:val="0"/>
                <w:sz w:val="16"/>
                <w:lang w:val="es-MX" w:eastAsia="es-ES_tradnl"/>
              </w:rPr>
              <w:t xml:space="preserve">Nunca </w:t>
            </w:r>
          </w:p>
        </w:tc>
        <w:tc>
          <w:tcPr>
            <w:tcW w:w="1496"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keepNext/>
              <w:spacing w:before="80" w:after="80" w:line="200" w:lineRule="exact"/>
              <w:ind w:left="113"/>
              <w:jc w:val="right"/>
              <w:rPr>
                <w:i/>
                <w:spacing w:val="0"/>
                <w:w w:val="100"/>
                <w:kern w:val="0"/>
                <w:sz w:val="16"/>
                <w:lang w:val="es-CL" w:eastAsia="es-ES_tradnl"/>
              </w:rPr>
            </w:pPr>
            <w:r w:rsidRPr="0070429E">
              <w:rPr>
                <w:i/>
                <w:spacing w:val="0"/>
                <w:w w:val="100"/>
                <w:kern w:val="0"/>
                <w:sz w:val="16"/>
                <w:lang w:val="es-MX" w:eastAsia="es-ES_tradnl"/>
              </w:rPr>
              <w:t xml:space="preserve">Rara vez/A </w:t>
            </w:r>
            <w:r w:rsidRPr="0070429E">
              <w:rPr>
                <w:i/>
                <w:spacing w:val="0"/>
                <w:w w:val="100"/>
                <w:kern w:val="0"/>
                <w:sz w:val="16"/>
                <w:lang w:val="fr-FR" w:eastAsia="es-ES_tradnl"/>
              </w:rPr>
              <w:br/>
            </w:r>
            <w:r w:rsidRPr="0070429E">
              <w:rPr>
                <w:i/>
                <w:spacing w:val="0"/>
                <w:w w:val="100"/>
                <w:kern w:val="0"/>
                <w:sz w:val="16"/>
                <w:lang w:val="es-MX" w:eastAsia="es-ES_tradnl"/>
              </w:rPr>
              <w:t xml:space="preserve">veces/Con </w:t>
            </w:r>
            <w:r w:rsidRPr="0070429E">
              <w:rPr>
                <w:i/>
                <w:spacing w:val="0"/>
                <w:w w:val="100"/>
                <w:kern w:val="0"/>
                <w:sz w:val="16"/>
                <w:lang w:val="fr-FR" w:eastAsia="es-ES_tradnl"/>
              </w:rPr>
              <w:br/>
            </w:r>
            <w:r w:rsidRPr="0070429E">
              <w:rPr>
                <w:i/>
                <w:spacing w:val="0"/>
                <w:w w:val="100"/>
                <w:kern w:val="0"/>
                <w:sz w:val="16"/>
                <w:lang w:val="es-MX" w:eastAsia="es-ES_tradnl"/>
              </w:rPr>
              <w:t>fr</w:t>
            </w:r>
            <w:r w:rsidRPr="0070429E">
              <w:rPr>
                <w:i/>
                <w:spacing w:val="0"/>
                <w:w w:val="100"/>
                <w:kern w:val="0"/>
                <w:sz w:val="16"/>
                <w:lang w:val="es-MX" w:eastAsia="es-ES_tradnl"/>
              </w:rPr>
              <w:t>e</w:t>
            </w:r>
            <w:r w:rsidRPr="0070429E">
              <w:rPr>
                <w:i/>
                <w:spacing w:val="0"/>
                <w:w w:val="100"/>
                <w:kern w:val="0"/>
                <w:sz w:val="16"/>
                <w:lang w:val="es-MX" w:eastAsia="es-ES_tradnl"/>
              </w:rPr>
              <w:t xml:space="preserve">cuencia </w:t>
            </w:r>
          </w:p>
        </w:tc>
        <w:tc>
          <w:tcPr>
            <w:tcW w:w="1430"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keepNext/>
              <w:spacing w:before="80" w:after="80" w:line="200" w:lineRule="exact"/>
              <w:ind w:left="113"/>
              <w:jc w:val="right"/>
              <w:rPr>
                <w:i/>
                <w:spacing w:val="0"/>
                <w:w w:val="100"/>
                <w:kern w:val="0"/>
                <w:sz w:val="16"/>
                <w:lang w:val="en-US" w:eastAsia="es-ES_tradnl"/>
              </w:rPr>
            </w:pPr>
            <w:r w:rsidRPr="0070429E">
              <w:rPr>
                <w:i/>
                <w:spacing w:val="0"/>
                <w:w w:val="100"/>
                <w:kern w:val="0"/>
                <w:sz w:val="16"/>
                <w:lang w:val="es-MX" w:eastAsia="es-ES_tradnl"/>
              </w:rPr>
              <w:t xml:space="preserve">Siempre </w:t>
            </w:r>
          </w:p>
        </w:tc>
        <w:tc>
          <w:tcPr>
            <w:tcW w:w="1456"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keepNext/>
              <w:spacing w:before="80" w:after="80" w:line="200" w:lineRule="exact"/>
              <w:ind w:left="113"/>
              <w:jc w:val="right"/>
              <w:rPr>
                <w:i/>
                <w:spacing w:val="0"/>
                <w:w w:val="100"/>
                <w:kern w:val="0"/>
                <w:sz w:val="16"/>
                <w:lang w:val="en-US" w:eastAsia="es-ES_tradnl"/>
              </w:rPr>
            </w:pPr>
            <w:r w:rsidRPr="0070429E">
              <w:rPr>
                <w:i/>
                <w:spacing w:val="0"/>
                <w:w w:val="100"/>
                <w:kern w:val="0"/>
                <w:sz w:val="16"/>
                <w:lang w:val="es-MX" w:eastAsia="es-ES_tradnl"/>
              </w:rPr>
              <w:t xml:space="preserve">No sabe/No responde </w:t>
            </w:r>
          </w:p>
        </w:tc>
      </w:tr>
      <w:tr w:rsidR="009F61C6" w:rsidRPr="0070429E" w:rsidTr="009F61C6">
        <w:trPr>
          <w:trHeight w:val="240"/>
        </w:trPr>
        <w:tc>
          <w:tcPr>
            <w:tcW w:w="1764" w:type="dxa"/>
            <w:tcBorders>
              <w:top w:val="single" w:sz="12" w:space="0" w:color="auto"/>
            </w:tcBorders>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en-US" w:eastAsia="es-ES_tradnl"/>
              </w:rPr>
            </w:pPr>
            <w:r w:rsidRPr="0070429E">
              <w:rPr>
                <w:spacing w:val="0"/>
                <w:w w:val="100"/>
                <w:kern w:val="0"/>
                <w:sz w:val="18"/>
                <w:lang w:val="es-CL" w:eastAsia="es-ES_tradnl"/>
              </w:rPr>
              <w:t>Argentinos</w:t>
            </w:r>
            <w:r w:rsidRPr="0070429E">
              <w:rPr>
                <w:spacing w:val="0"/>
                <w:w w:val="100"/>
                <w:kern w:val="0"/>
                <w:sz w:val="18"/>
                <w:lang w:val="es-MX" w:eastAsia="es-ES_tradnl"/>
              </w:rPr>
              <w:t xml:space="preserve"> </w:t>
            </w:r>
          </w:p>
        </w:tc>
        <w:tc>
          <w:tcPr>
            <w:tcW w:w="1224"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38,2 </w:t>
            </w:r>
          </w:p>
        </w:tc>
        <w:tc>
          <w:tcPr>
            <w:tcW w:w="1496"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37,9 </w:t>
            </w:r>
          </w:p>
        </w:tc>
        <w:tc>
          <w:tcPr>
            <w:tcW w:w="1430"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5,3 </w:t>
            </w:r>
          </w:p>
        </w:tc>
        <w:tc>
          <w:tcPr>
            <w:tcW w:w="1456"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18,6 </w:t>
            </w:r>
          </w:p>
        </w:tc>
      </w:tr>
      <w:tr w:rsidR="009F61C6" w:rsidRPr="0070429E" w:rsidTr="009F61C6">
        <w:trPr>
          <w:trHeight w:val="240"/>
        </w:trPr>
        <w:tc>
          <w:tcPr>
            <w:tcW w:w="1764" w:type="dxa"/>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en-US" w:eastAsia="es-ES_tradnl"/>
              </w:rPr>
            </w:pPr>
            <w:r w:rsidRPr="0070429E">
              <w:rPr>
                <w:spacing w:val="0"/>
                <w:w w:val="100"/>
                <w:kern w:val="0"/>
                <w:sz w:val="18"/>
                <w:lang w:val="es-CL" w:eastAsia="es-ES_tradnl"/>
              </w:rPr>
              <w:t>Bolivianos</w:t>
            </w:r>
            <w:r w:rsidRPr="0070429E">
              <w:rPr>
                <w:spacing w:val="0"/>
                <w:w w:val="100"/>
                <w:kern w:val="0"/>
                <w:sz w:val="18"/>
                <w:lang w:val="es-MX" w:eastAsia="es-ES_tradnl"/>
              </w:rPr>
              <w:t xml:space="preserve"> </w:t>
            </w:r>
          </w:p>
        </w:tc>
        <w:tc>
          <w:tcPr>
            <w:tcW w:w="1224"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43,4 </w:t>
            </w:r>
          </w:p>
        </w:tc>
        <w:tc>
          <w:tcPr>
            <w:tcW w:w="149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31,1 </w:t>
            </w:r>
          </w:p>
        </w:tc>
        <w:tc>
          <w:tcPr>
            <w:tcW w:w="1430"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5,7 </w:t>
            </w:r>
          </w:p>
        </w:tc>
        <w:tc>
          <w:tcPr>
            <w:tcW w:w="145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19,8 </w:t>
            </w:r>
          </w:p>
        </w:tc>
      </w:tr>
      <w:tr w:rsidR="009F61C6" w:rsidRPr="0070429E" w:rsidTr="009F61C6">
        <w:trPr>
          <w:trHeight w:val="240"/>
        </w:trPr>
        <w:tc>
          <w:tcPr>
            <w:tcW w:w="1764" w:type="dxa"/>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en-US" w:eastAsia="es-ES_tradnl"/>
              </w:rPr>
            </w:pPr>
            <w:r w:rsidRPr="0070429E">
              <w:rPr>
                <w:spacing w:val="0"/>
                <w:w w:val="100"/>
                <w:kern w:val="0"/>
                <w:sz w:val="18"/>
                <w:lang w:val="es-CL" w:eastAsia="es-ES_tradnl"/>
              </w:rPr>
              <w:t>Colombianos</w:t>
            </w:r>
            <w:r w:rsidRPr="0070429E">
              <w:rPr>
                <w:spacing w:val="0"/>
                <w:w w:val="100"/>
                <w:kern w:val="0"/>
                <w:sz w:val="18"/>
                <w:lang w:val="es-MX" w:eastAsia="es-ES_tradnl"/>
              </w:rPr>
              <w:t xml:space="preserve"> </w:t>
            </w:r>
          </w:p>
        </w:tc>
        <w:tc>
          <w:tcPr>
            <w:tcW w:w="1224"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42,8 </w:t>
            </w:r>
          </w:p>
        </w:tc>
        <w:tc>
          <w:tcPr>
            <w:tcW w:w="149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31,3 </w:t>
            </w:r>
          </w:p>
        </w:tc>
        <w:tc>
          <w:tcPr>
            <w:tcW w:w="1430"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5,5 </w:t>
            </w:r>
          </w:p>
        </w:tc>
        <w:tc>
          <w:tcPr>
            <w:tcW w:w="145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20,4 </w:t>
            </w:r>
          </w:p>
        </w:tc>
      </w:tr>
      <w:tr w:rsidR="009F61C6" w:rsidRPr="0070429E" w:rsidTr="009F61C6">
        <w:trPr>
          <w:trHeight w:val="240"/>
        </w:trPr>
        <w:tc>
          <w:tcPr>
            <w:tcW w:w="1764" w:type="dxa"/>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en-US" w:eastAsia="es-ES_tradnl"/>
              </w:rPr>
            </w:pPr>
            <w:r w:rsidRPr="0070429E">
              <w:rPr>
                <w:spacing w:val="0"/>
                <w:w w:val="100"/>
                <w:kern w:val="0"/>
                <w:sz w:val="18"/>
                <w:lang w:val="es-CL" w:eastAsia="es-ES_tradnl"/>
              </w:rPr>
              <w:t>Ecuatorianos</w:t>
            </w:r>
            <w:r w:rsidRPr="0070429E">
              <w:rPr>
                <w:spacing w:val="0"/>
                <w:w w:val="100"/>
                <w:kern w:val="0"/>
                <w:sz w:val="18"/>
                <w:lang w:val="es-MX" w:eastAsia="es-ES_tradnl"/>
              </w:rPr>
              <w:t xml:space="preserve"> </w:t>
            </w:r>
          </w:p>
        </w:tc>
        <w:tc>
          <w:tcPr>
            <w:tcW w:w="1224"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44,4 </w:t>
            </w:r>
          </w:p>
        </w:tc>
        <w:tc>
          <w:tcPr>
            <w:tcW w:w="149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29,8 </w:t>
            </w:r>
          </w:p>
        </w:tc>
        <w:tc>
          <w:tcPr>
            <w:tcW w:w="1430"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4,6 </w:t>
            </w:r>
          </w:p>
        </w:tc>
        <w:tc>
          <w:tcPr>
            <w:tcW w:w="1456" w:type="dxa"/>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21,2 </w:t>
            </w:r>
          </w:p>
        </w:tc>
      </w:tr>
      <w:tr w:rsidR="009F61C6" w:rsidRPr="0070429E" w:rsidTr="009F61C6">
        <w:trPr>
          <w:trHeight w:val="240"/>
        </w:trPr>
        <w:tc>
          <w:tcPr>
            <w:tcW w:w="1764" w:type="dxa"/>
            <w:tcBorders>
              <w:bottom w:val="single" w:sz="12" w:space="0" w:color="auto"/>
            </w:tcBorders>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en-US" w:eastAsia="es-ES_tradnl"/>
              </w:rPr>
            </w:pPr>
            <w:r w:rsidRPr="0070429E">
              <w:rPr>
                <w:spacing w:val="0"/>
                <w:w w:val="100"/>
                <w:kern w:val="0"/>
                <w:sz w:val="18"/>
                <w:lang w:val="es-CL" w:eastAsia="es-ES_tradnl"/>
              </w:rPr>
              <w:t>Peruanos</w:t>
            </w:r>
            <w:r w:rsidRPr="0070429E">
              <w:rPr>
                <w:spacing w:val="0"/>
                <w:w w:val="100"/>
                <w:kern w:val="0"/>
                <w:sz w:val="18"/>
                <w:lang w:val="es-MX" w:eastAsia="es-ES_tradnl"/>
              </w:rPr>
              <w:t xml:space="preserve"> </w:t>
            </w:r>
          </w:p>
        </w:tc>
        <w:tc>
          <w:tcPr>
            <w:tcW w:w="1224"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38,0 </w:t>
            </w:r>
          </w:p>
        </w:tc>
        <w:tc>
          <w:tcPr>
            <w:tcW w:w="1496"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37,9 </w:t>
            </w:r>
          </w:p>
        </w:tc>
        <w:tc>
          <w:tcPr>
            <w:tcW w:w="1430"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6,1 </w:t>
            </w:r>
          </w:p>
        </w:tc>
        <w:tc>
          <w:tcPr>
            <w:tcW w:w="1456"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en-US" w:eastAsia="es-ES_tradnl"/>
              </w:rPr>
            </w:pPr>
            <w:r w:rsidRPr="0070429E">
              <w:rPr>
                <w:spacing w:val="0"/>
                <w:w w:val="100"/>
                <w:kern w:val="0"/>
                <w:sz w:val="18"/>
                <w:lang w:val="es-MX" w:eastAsia="es-ES_tradnl"/>
              </w:rPr>
              <w:t xml:space="preserve">18,0 </w:t>
            </w:r>
          </w:p>
        </w:tc>
      </w:tr>
    </w:tbl>
    <w:p w:rsidR="009F61C6" w:rsidRPr="00183AB0" w:rsidRDefault="009F61C6" w:rsidP="009F61C6">
      <w:pPr>
        <w:pStyle w:val="SingleTxtG"/>
        <w:spacing w:before="240"/>
        <w:rPr>
          <w:b/>
        </w:rPr>
      </w:pPr>
      <w:r w:rsidRPr="00183AB0">
        <w:rPr>
          <w:b/>
        </w:rPr>
        <w:t>¿Con qué frecuencia trabaja su institución con grupos étnicos o tribales?</w:t>
      </w:r>
    </w:p>
    <w:tbl>
      <w:tblPr>
        <w:tblW w:w="7370" w:type="dxa"/>
        <w:tblInd w:w="1134" w:type="dxa"/>
        <w:tblBorders>
          <w:top w:val="single" w:sz="4" w:space="0" w:color="auto"/>
        </w:tblBorders>
        <w:tblCellMar>
          <w:left w:w="0" w:type="dxa"/>
          <w:right w:w="0" w:type="dxa"/>
        </w:tblCellMar>
        <w:tblLook w:val="04A0"/>
      </w:tblPr>
      <w:tblGrid>
        <w:gridCol w:w="2390"/>
        <w:gridCol w:w="1064"/>
        <w:gridCol w:w="1453"/>
        <w:gridCol w:w="1306"/>
        <w:gridCol w:w="1157"/>
      </w:tblGrid>
      <w:tr w:rsidR="009F61C6" w:rsidRPr="0070429E" w:rsidTr="009F61C6">
        <w:trPr>
          <w:trHeight w:val="240"/>
          <w:tblHeader/>
        </w:trPr>
        <w:tc>
          <w:tcPr>
            <w:tcW w:w="2946"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80" w:after="80" w:line="200" w:lineRule="exact"/>
              <w:rPr>
                <w:i/>
                <w:spacing w:val="0"/>
                <w:w w:val="100"/>
                <w:kern w:val="0"/>
                <w:sz w:val="16"/>
                <w:lang w:val="en-US" w:eastAsia="es-ES_tradnl"/>
              </w:rPr>
            </w:pPr>
            <w:r w:rsidRPr="0070429E">
              <w:rPr>
                <w:i/>
                <w:spacing w:val="0"/>
                <w:w w:val="100"/>
                <w:kern w:val="0"/>
                <w:sz w:val="16"/>
                <w:lang w:val="es-MX" w:eastAsia="es-ES_tradnl"/>
              </w:rPr>
              <w:t xml:space="preserve">Categoría </w:t>
            </w:r>
          </w:p>
        </w:tc>
        <w:tc>
          <w:tcPr>
            <w:tcW w:w="1243"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80" w:after="80" w:line="200" w:lineRule="exact"/>
              <w:ind w:left="113"/>
              <w:jc w:val="right"/>
              <w:rPr>
                <w:i/>
                <w:spacing w:val="0"/>
                <w:w w:val="100"/>
                <w:kern w:val="0"/>
                <w:sz w:val="16"/>
                <w:lang w:val="en-US" w:eastAsia="es-ES_tradnl"/>
              </w:rPr>
            </w:pPr>
            <w:r w:rsidRPr="0070429E">
              <w:rPr>
                <w:i/>
                <w:spacing w:val="0"/>
                <w:w w:val="100"/>
                <w:kern w:val="0"/>
                <w:sz w:val="16"/>
                <w:lang w:val="es-MX" w:eastAsia="es-ES_tradnl"/>
              </w:rPr>
              <w:t xml:space="preserve">Nunca </w:t>
            </w:r>
          </w:p>
        </w:tc>
        <w:tc>
          <w:tcPr>
            <w:tcW w:w="1824"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80" w:after="80" w:line="200" w:lineRule="exact"/>
              <w:ind w:left="113"/>
              <w:jc w:val="right"/>
              <w:rPr>
                <w:i/>
                <w:spacing w:val="0"/>
                <w:w w:val="100"/>
                <w:kern w:val="0"/>
                <w:sz w:val="16"/>
                <w:lang w:val="es-CL" w:eastAsia="es-ES_tradnl"/>
              </w:rPr>
            </w:pPr>
            <w:r w:rsidRPr="0070429E">
              <w:rPr>
                <w:i/>
                <w:spacing w:val="0"/>
                <w:w w:val="100"/>
                <w:kern w:val="0"/>
                <w:sz w:val="16"/>
                <w:lang w:val="es-MX" w:eastAsia="es-ES_tradnl"/>
              </w:rPr>
              <w:t>Rara vez/A</w:t>
            </w:r>
            <w:r w:rsidRPr="0070429E">
              <w:rPr>
                <w:i/>
                <w:spacing w:val="0"/>
                <w:w w:val="100"/>
                <w:kern w:val="0"/>
                <w:sz w:val="16"/>
                <w:lang w:val="fr-FR" w:eastAsia="es-ES_tradnl"/>
              </w:rPr>
              <w:br/>
            </w:r>
            <w:r w:rsidRPr="0070429E">
              <w:rPr>
                <w:i/>
                <w:spacing w:val="0"/>
                <w:w w:val="100"/>
                <w:kern w:val="0"/>
                <w:sz w:val="16"/>
                <w:lang w:val="es-MX" w:eastAsia="es-ES_tradnl"/>
              </w:rPr>
              <w:t xml:space="preserve"> veces/Con</w:t>
            </w:r>
            <w:r w:rsidRPr="0070429E">
              <w:rPr>
                <w:i/>
                <w:spacing w:val="0"/>
                <w:w w:val="100"/>
                <w:kern w:val="0"/>
                <w:sz w:val="16"/>
                <w:lang w:val="fr-FR" w:eastAsia="es-ES_tradnl"/>
              </w:rPr>
              <w:br/>
            </w:r>
            <w:r w:rsidRPr="0070429E">
              <w:rPr>
                <w:i/>
                <w:spacing w:val="0"/>
                <w:w w:val="100"/>
                <w:kern w:val="0"/>
                <w:sz w:val="16"/>
                <w:lang w:val="es-MX" w:eastAsia="es-ES_tradnl"/>
              </w:rPr>
              <w:t xml:space="preserve"> fr</w:t>
            </w:r>
            <w:r w:rsidRPr="0070429E">
              <w:rPr>
                <w:i/>
                <w:spacing w:val="0"/>
                <w:w w:val="100"/>
                <w:kern w:val="0"/>
                <w:sz w:val="16"/>
                <w:lang w:val="es-MX" w:eastAsia="es-ES_tradnl"/>
              </w:rPr>
              <w:t>e</w:t>
            </w:r>
            <w:r w:rsidRPr="0070429E">
              <w:rPr>
                <w:i/>
                <w:spacing w:val="0"/>
                <w:w w:val="100"/>
                <w:kern w:val="0"/>
                <w:sz w:val="16"/>
                <w:lang w:val="es-MX" w:eastAsia="es-ES_tradnl"/>
              </w:rPr>
              <w:t xml:space="preserve">cuencia </w:t>
            </w:r>
          </w:p>
        </w:tc>
        <w:tc>
          <w:tcPr>
            <w:tcW w:w="1583"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80" w:after="80" w:line="200" w:lineRule="exact"/>
              <w:ind w:left="113"/>
              <w:jc w:val="right"/>
              <w:rPr>
                <w:i/>
                <w:spacing w:val="0"/>
                <w:w w:val="100"/>
                <w:kern w:val="0"/>
                <w:sz w:val="16"/>
                <w:lang w:val="fr-FR" w:eastAsia="es-ES_tradnl"/>
              </w:rPr>
            </w:pPr>
            <w:r w:rsidRPr="0070429E">
              <w:rPr>
                <w:i/>
                <w:spacing w:val="0"/>
                <w:w w:val="100"/>
                <w:kern w:val="0"/>
                <w:sz w:val="16"/>
                <w:lang w:val="es-MX" w:eastAsia="es-ES_tradnl"/>
              </w:rPr>
              <w:t xml:space="preserve">Siempre </w:t>
            </w:r>
          </w:p>
        </w:tc>
        <w:tc>
          <w:tcPr>
            <w:tcW w:w="1479"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80" w:after="80" w:line="200" w:lineRule="exact"/>
              <w:ind w:left="113"/>
              <w:jc w:val="right"/>
              <w:rPr>
                <w:i/>
                <w:spacing w:val="0"/>
                <w:w w:val="100"/>
                <w:kern w:val="0"/>
                <w:sz w:val="16"/>
                <w:lang w:val="fr-FR" w:eastAsia="es-ES_tradnl"/>
              </w:rPr>
            </w:pPr>
            <w:r w:rsidRPr="0070429E">
              <w:rPr>
                <w:i/>
                <w:spacing w:val="0"/>
                <w:w w:val="100"/>
                <w:kern w:val="0"/>
                <w:sz w:val="16"/>
                <w:lang w:val="es-MX" w:eastAsia="es-ES_tradnl"/>
              </w:rPr>
              <w:t>No s</w:t>
            </w:r>
            <w:r w:rsidRPr="0070429E">
              <w:rPr>
                <w:i/>
                <w:spacing w:val="0"/>
                <w:w w:val="100"/>
                <w:kern w:val="0"/>
                <w:sz w:val="16"/>
                <w:lang w:val="es-MX" w:eastAsia="es-ES_tradnl"/>
              </w:rPr>
              <w:t>a</w:t>
            </w:r>
            <w:r w:rsidRPr="0070429E">
              <w:rPr>
                <w:i/>
                <w:spacing w:val="0"/>
                <w:w w:val="100"/>
                <w:kern w:val="0"/>
                <w:sz w:val="16"/>
                <w:lang w:val="es-MX" w:eastAsia="es-ES_tradnl"/>
              </w:rPr>
              <w:t>be/No re</w:t>
            </w:r>
            <w:r w:rsidRPr="0070429E">
              <w:rPr>
                <w:i/>
                <w:spacing w:val="0"/>
                <w:w w:val="100"/>
                <w:kern w:val="0"/>
                <w:sz w:val="16"/>
                <w:lang w:val="es-MX" w:eastAsia="es-ES_tradnl"/>
              </w:rPr>
              <w:t>s</w:t>
            </w:r>
            <w:r w:rsidRPr="0070429E">
              <w:rPr>
                <w:i/>
                <w:spacing w:val="0"/>
                <w:w w:val="100"/>
                <w:kern w:val="0"/>
                <w:sz w:val="16"/>
                <w:lang w:val="es-MX" w:eastAsia="es-ES_tradnl"/>
              </w:rPr>
              <w:t xml:space="preserve">ponde </w:t>
            </w:r>
          </w:p>
        </w:tc>
      </w:tr>
      <w:tr w:rsidR="009F61C6" w:rsidRPr="0070429E" w:rsidTr="009F61C6">
        <w:trPr>
          <w:trHeight w:val="240"/>
        </w:trPr>
        <w:tc>
          <w:tcPr>
            <w:tcW w:w="2946" w:type="dxa"/>
            <w:tcBorders>
              <w:top w:val="single" w:sz="12" w:space="0" w:color="auto"/>
            </w:tcBorders>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fr-FR" w:eastAsia="es-ES_tradnl"/>
              </w:rPr>
            </w:pPr>
            <w:r w:rsidRPr="0070429E">
              <w:rPr>
                <w:bCs/>
                <w:spacing w:val="0"/>
                <w:w w:val="100"/>
                <w:kern w:val="0"/>
                <w:sz w:val="18"/>
                <w:lang w:val="es-CL" w:eastAsia="es-ES_tradnl"/>
              </w:rPr>
              <w:t>Afrodescendientes</w:t>
            </w:r>
            <w:r w:rsidRPr="0070429E">
              <w:rPr>
                <w:bCs/>
                <w:spacing w:val="0"/>
                <w:w w:val="100"/>
                <w:kern w:val="0"/>
                <w:sz w:val="18"/>
                <w:lang w:val="es-MX" w:eastAsia="es-ES_tradnl"/>
              </w:rPr>
              <w:t xml:space="preserve"> </w:t>
            </w:r>
          </w:p>
        </w:tc>
        <w:tc>
          <w:tcPr>
            <w:tcW w:w="1243"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bCs/>
                <w:spacing w:val="0"/>
                <w:w w:val="100"/>
                <w:kern w:val="0"/>
                <w:sz w:val="18"/>
                <w:lang w:val="es-MX" w:eastAsia="es-ES_tradnl"/>
              </w:rPr>
              <w:t>67,3</w:t>
            </w:r>
            <w:r w:rsidRPr="0070429E">
              <w:rPr>
                <w:spacing w:val="0"/>
                <w:w w:val="100"/>
                <w:kern w:val="0"/>
                <w:sz w:val="18"/>
                <w:lang w:val="es-MX" w:eastAsia="es-ES_tradnl"/>
              </w:rPr>
              <w:t xml:space="preserve"> </w:t>
            </w:r>
          </w:p>
        </w:tc>
        <w:tc>
          <w:tcPr>
            <w:tcW w:w="1824"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13,1 </w:t>
            </w:r>
          </w:p>
        </w:tc>
        <w:tc>
          <w:tcPr>
            <w:tcW w:w="1583"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1,0 </w:t>
            </w:r>
          </w:p>
        </w:tc>
        <w:tc>
          <w:tcPr>
            <w:tcW w:w="1479" w:type="dxa"/>
            <w:tcBorders>
              <w:top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18,6 </w:t>
            </w:r>
          </w:p>
        </w:tc>
      </w:tr>
      <w:tr w:rsidR="009F61C6" w:rsidRPr="0070429E" w:rsidTr="009F61C6">
        <w:trPr>
          <w:trHeight w:val="240"/>
        </w:trPr>
        <w:tc>
          <w:tcPr>
            <w:tcW w:w="2946" w:type="dxa"/>
            <w:tcBorders>
              <w:bottom w:val="single" w:sz="12" w:space="0" w:color="auto"/>
            </w:tcBorders>
            <w:shd w:val="clear" w:color="auto" w:fill="auto"/>
            <w:tcMar>
              <w:top w:w="72" w:type="dxa"/>
              <w:left w:w="144" w:type="dxa"/>
              <w:bottom w:w="72" w:type="dxa"/>
              <w:right w:w="144" w:type="dxa"/>
            </w:tcMar>
          </w:tcPr>
          <w:p w:rsidR="009F61C6" w:rsidRPr="0070429E" w:rsidRDefault="009F61C6" w:rsidP="009F61C6">
            <w:pPr>
              <w:spacing w:before="40" w:after="40" w:line="220" w:lineRule="exact"/>
              <w:rPr>
                <w:spacing w:val="0"/>
                <w:w w:val="100"/>
                <w:kern w:val="0"/>
                <w:sz w:val="18"/>
                <w:lang w:val="fr-FR" w:eastAsia="es-ES_tradnl"/>
              </w:rPr>
            </w:pPr>
            <w:r w:rsidRPr="0070429E">
              <w:rPr>
                <w:bCs/>
                <w:spacing w:val="0"/>
                <w:w w:val="100"/>
                <w:kern w:val="0"/>
                <w:sz w:val="18"/>
                <w:lang w:val="es-CL" w:eastAsia="es-ES_tradnl"/>
              </w:rPr>
              <w:t>Gitanos</w:t>
            </w:r>
            <w:r w:rsidRPr="0070429E">
              <w:rPr>
                <w:bCs/>
                <w:spacing w:val="0"/>
                <w:w w:val="100"/>
                <w:kern w:val="0"/>
                <w:sz w:val="18"/>
                <w:lang w:val="es-MX" w:eastAsia="es-ES_tradnl"/>
              </w:rPr>
              <w:t xml:space="preserve"> </w:t>
            </w:r>
          </w:p>
        </w:tc>
        <w:tc>
          <w:tcPr>
            <w:tcW w:w="1243"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bCs/>
                <w:spacing w:val="0"/>
                <w:w w:val="100"/>
                <w:kern w:val="0"/>
                <w:sz w:val="18"/>
                <w:lang w:val="es-MX" w:eastAsia="es-ES_tradnl"/>
              </w:rPr>
              <w:t>66,7</w:t>
            </w:r>
            <w:r w:rsidRPr="0070429E">
              <w:rPr>
                <w:spacing w:val="0"/>
                <w:w w:val="100"/>
                <w:kern w:val="0"/>
                <w:sz w:val="18"/>
                <w:lang w:val="es-MX" w:eastAsia="es-ES_tradnl"/>
              </w:rPr>
              <w:t xml:space="preserve"> </w:t>
            </w:r>
          </w:p>
        </w:tc>
        <w:tc>
          <w:tcPr>
            <w:tcW w:w="1824"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12,3 </w:t>
            </w:r>
          </w:p>
        </w:tc>
        <w:tc>
          <w:tcPr>
            <w:tcW w:w="1583"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1,0 </w:t>
            </w:r>
          </w:p>
        </w:tc>
        <w:tc>
          <w:tcPr>
            <w:tcW w:w="1479" w:type="dxa"/>
            <w:tcBorders>
              <w:bottom w:val="single" w:sz="12" w:space="0" w:color="auto"/>
            </w:tcBorders>
            <w:shd w:val="clear" w:color="auto" w:fill="auto"/>
            <w:tcMar>
              <w:top w:w="72" w:type="dxa"/>
              <w:left w:w="144" w:type="dxa"/>
              <w:bottom w:w="72" w:type="dxa"/>
              <w:right w:w="144" w:type="dxa"/>
            </w:tcMar>
            <w:vAlign w:val="bottom"/>
          </w:tcPr>
          <w:p w:rsidR="009F61C6" w:rsidRPr="0070429E" w:rsidRDefault="009F61C6" w:rsidP="009F61C6">
            <w:pPr>
              <w:spacing w:before="40" w:after="40" w:line="220" w:lineRule="exact"/>
              <w:ind w:left="113"/>
              <w:jc w:val="right"/>
              <w:rPr>
                <w:spacing w:val="0"/>
                <w:w w:val="100"/>
                <w:kern w:val="0"/>
                <w:sz w:val="18"/>
                <w:lang w:val="fr-FR" w:eastAsia="es-ES_tradnl"/>
              </w:rPr>
            </w:pPr>
            <w:r w:rsidRPr="0070429E">
              <w:rPr>
                <w:spacing w:val="0"/>
                <w:w w:val="100"/>
                <w:kern w:val="0"/>
                <w:sz w:val="18"/>
                <w:lang w:val="es-MX" w:eastAsia="es-ES_tradnl"/>
              </w:rPr>
              <w:t xml:space="preserve">19,2 </w:t>
            </w:r>
          </w:p>
        </w:tc>
      </w:tr>
    </w:tbl>
    <w:p w:rsidR="009F61C6" w:rsidRPr="00183AB0" w:rsidRDefault="009F61C6" w:rsidP="009F61C6">
      <w:pPr>
        <w:pStyle w:val="SingleTxtG"/>
        <w:spacing w:before="240"/>
        <w:rPr>
          <w:b/>
          <w:lang w:val="es-CL" w:eastAsia="es-ES_tradnl"/>
        </w:rPr>
      </w:pPr>
      <w:r w:rsidRPr="00183AB0">
        <w:rPr>
          <w:b/>
          <w:lang w:val="es-CL" w:eastAsia="es-ES_tradnl"/>
        </w:rPr>
        <w:t>¿A qué nivel se han implementado las acciones dirigidas a los grupos vulnerables a la discriminación?</w:t>
      </w:r>
    </w:p>
    <w:tbl>
      <w:tblPr>
        <w:tblW w:w="7370" w:type="dxa"/>
        <w:tblInd w:w="1134" w:type="dxa"/>
        <w:tblBorders>
          <w:top w:val="single" w:sz="4" w:space="0" w:color="auto"/>
        </w:tblBorders>
        <w:tblCellMar>
          <w:left w:w="0" w:type="dxa"/>
          <w:right w:w="0" w:type="dxa"/>
        </w:tblCellMar>
        <w:tblLook w:val="04A0"/>
      </w:tblPr>
      <w:tblGrid>
        <w:gridCol w:w="3427"/>
        <w:gridCol w:w="1988"/>
        <w:gridCol w:w="1955"/>
      </w:tblGrid>
      <w:tr w:rsidR="009F61C6" w:rsidRPr="00B709C8" w:rsidTr="009F61C6">
        <w:trPr>
          <w:trHeight w:val="240"/>
          <w:tblHeader/>
        </w:trPr>
        <w:tc>
          <w:tcPr>
            <w:tcW w:w="3427"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80" w:after="80" w:line="200" w:lineRule="exact"/>
              <w:rPr>
                <w:i/>
                <w:spacing w:val="0"/>
                <w:w w:val="100"/>
                <w:kern w:val="0"/>
                <w:sz w:val="16"/>
                <w:lang w:val="en-US" w:eastAsia="es-ES_tradnl"/>
              </w:rPr>
            </w:pPr>
            <w:r w:rsidRPr="00B709C8">
              <w:rPr>
                <w:i/>
                <w:spacing w:val="0"/>
                <w:w w:val="100"/>
                <w:kern w:val="0"/>
                <w:sz w:val="16"/>
                <w:lang w:val="es-MX" w:eastAsia="es-ES_tradnl"/>
              </w:rPr>
              <w:t>Tipo de implementación</w:t>
            </w:r>
          </w:p>
        </w:tc>
        <w:tc>
          <w:tcPr>
            <w:tcW w:w="1988"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80" w:after="80" w:line="200" w:lineRule="exact"/>
              <w:ind w:left="113"/>
              <w:jc w:val="right"/>
              <w:rPr>
                <w:i/>
                <w:spacing w:val="0"/>
                <w:w w:val="100"/>
                <w:kern w:val="0"/>
                <w:sz w:val="16"/>
                <w:lang w:val="en-US" w:eastAsia="es-ES_tradnl"/>
              </w:rPr>
            </w:pPr>
            <w:r w:rsidRPr="00B709C8">
              <w:rPr>
                <w:i/>
                <w:spacing w:val="0"/>
                <w:w w:val="100"/>
                <w:kern w:val="0"/>
                <w:sz w:val="16"/>
                <w:lang w:val="es-MX" w:eastAsia="es-ES_tradnl"/>
              </w:rPr>
              <w:t>Si (%)</w:t>
            </w:r>
          </w:p>
        </w:tc>
        <w:tc>
          <w:tcPr>
            <w:tcW w:w="1955"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80" w:after="80" w:line="200" w:lineRule="exact"/>
              <w:ind w:left="113"/>
              <w:jc w:val="right"/>
              <w:rPr>
                <w:i/>
                <w:spacing w:val="0"/>
                <w:w w:val="100"/>
                <w:kern w:val="0"/>
                <w:sz w:val="16"/>
                <w:lang w:val="en-US" w:eastAsia="es-ES_tradnl"/>
              </w:rPr>
            </w:pPr>
            <w:r w:rsidRPr="00B709C8">
              <w:rPr>
                <w:i/>
                <w:spacing w:val="0"/>
                <w:w w:val="100"/>
                <w:kern w:val="0"/>
                <w:sz w:val="16"/>
                <w:lang w:val="es-MX" w:eastAsia="es-ES_tradnl"/>
              </w:rPr>
              <w:t>NS/NR</w:t>
            </w:r>
          </w:p>
        </w:tc>
      </w:tr>
      <w:tr w:rsidR="009F61C6" w:rsidRPr="00B709C8" w:rsidTr="009F61C6">
        <w:trPr>
          <w:trHeight w:val="240"/>
        </w:trPr>
        <w:tc>
          <w:tcPr>
            <w:tcW w:w="3427" w:type="dxa"/>
            <w:tcBorders>
              <w:top w:val="single" w:sz="12" w:space="0" w:color="auto"/>
            </w:tcBorders>
            <w:shd w:val="clear" w:color="auto" w:fill="auto"/>
            <w:tcMar>
              <w:top w:w="72" w:type="dxa"/>
              <w:left w:w="144" w:type="dxa"/>
              <w:bottom w:w="72" w:type="dxa"/>
              <w:right w:w="144" w:type="dxa"/>
            </w:tcMar>
          </w:tcPr>
          <w:p w:rsidR="009F61C6" w:rsidRPr="00B709C8" w:rsidRDefault="009F61C6" w:rsidP="009F61C6">
            <w:pPr>
              <w:spacing w:before="40" w:after="40" w:line="220" w:lineRule="exact"/>
              <w:rPr>
                <w:spacing w:val="0"/>
                <w:w w:val="100"/>
                <w:kern w:val="0"/>
                <w:sz w:val="18"/>
                <w:lang w:val="en-US" w:eastAsia="es-ES_tradnl"/>
              </w:rPr>
            </w:pPr>
            <w:r w:rsidRPr="00B709C8">
              <w:rPr>
                <w:bCs/>
                <w:spacing w:val="0"/>
                <w:w w:val="100"/>
                <w:kern w:val="0"/>
                <w:sz w:val="18"/>
                <w:lang w:val="es-CL" w:eastAsia="es-ES_tradnl"/>
              </w:rPr>
              <w:t>Política Pública</w:t>
            </w:r>
            <w:r w:rsidRPr="00B709C8">
              <w:rPr>
                <w:bCs/>
                <w:spacing w:val="0"/>
                <w:w w:val="100"/>
                <w:kern w:val="0"/>
                <w:sz w:val="18"/>
                <w:lang w:val="es-MX" w:eastAsia="es-ES_tradnl"/>
              </w:rPr>
              <w:t xml:space="preserve"> </w:t>
            </w:r>
          </w:p>
        </w:tc>
        <w:tc>
          <w:tcPr>
            <w:tcW w:w="1988" w:type="dxa"/>
            <w:tcBorders>
              <w:top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42,4</w:t>
            </w:r>
          </w:p>
        </w:tc>
        <w:tc>
          <w:tcPr>
            <w:tcW w:w="1955" w:type="dxa"/>
            <w:tcBorders>
              <w:top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11,1</w:t>
            </w:r>
          </w:p>
        </w:tc>
      </w:tr>
      <w:tr w:rsidR="009F61C6" w:rsidRPr="00B709C8" w:rsidTr="009F61C6">
        <w:trPr>
          <w:trHeight w:val="240"/>
        </w:trPr>
        <w:tc>
          <w:tcPr>
            <w:tcW w:w="3427" w:type="dxa"/>
            <w:shd w:val="clear" w:color="auto" w:fill="auto"/>
            <w:tcMar>
              <w:top w:w="72" w:type="dxa"/>
              <w:left w:w="144" w:type="dxa"/>
              <w:bottom w:w="72" w:type="dxa"/>
              <w:right w:w="144" w:type="dxa"/>
            </w:tcMar>
          </w:tcPr>
          <w:p w:rsidR="009F61C6" w:rsidRPr="00B709C8" w:rsidRDefault="009F61C6" w:rsidP="009F61C6">
            <w:pPr>
              <w:spacing w:before="40" w:after="40" w:line="220" w:lineRule="exact"/>
              <w:rPr>
                <w:spacing w:val="0"/>
                <w:w w:val="100"/>
                <w:kern w:val="0"/>
                <w:sz w:val="18"/>
                <w:lang w:val="en-US" w:eastAsia="es-ES_tradnl"/>
              </w:rPr>
            </w:pPr>
            <w:r w:rsidRPr="00B709C8">
              <w:rPr>
                <w:bCs/>
                <w:spacing w:val="0"/>
                <w:w w:val="100"/>
                <w:kern w:val="0"/>
                <w:sz w:val="18"/>
                <w:lang w:val="es-CL" w:eastAsia="es-ES_tradnl"/>
              </w:rPr>
              <w:t>Plan</w:t>
            </w:r>
            <w:r w:rsidRPr="00B709C8">
              <w:rPr>
                <w:bCs/>
                <w:spacing w:val="0"/>
                <w:w w:val="100"/>
                <w:kern w:val="0"/>
                <w:sz w:val="18"/>
                <w:lang w:val="es-MX" w:eastAsia="es-ES_tradnl"/>
              </w:rPr>
              <w:t xml:space="preserve"> </w:t>
            </w:r>
          </w:p>
        </w:tc>
        <w:tc>
          <w:tcPr>
            <w:tcW w:w="1988" w:type="dxa"/>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16,6</w:t>
            </w:r>
          </w:p>
        </w:tc>
        <w:tc>
          <w:tcPr>
            <w:tcW w:w="1955" w:type="dxa"/>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14,9</w:t>
            </w:r>
          </w:p>
        </w:tc>
      </w:tr>
      <w:tr w:rsidR="009F61C6" w:rsidRPr="00B709C8" w:rsidTr="009F61C6">
        <w:trPr>
          <w:trHeight w:val="240"/>
        </w:trPr>
        <w:tc>
          <w:tcPr>
            <w:tcW w:w="3427" w:type="dxa"/>
            <w:shd w:val="clear" w:color="auto" w:fill="auto"/>
            <w:tcMar>
              <w:top w:w="72" w:type="dxa"/>
              <w:left w:w="144" w:type="dxa"/>
              <w:bottom w:w="72" w:type="dxa"/>
              <w:right w:w="144" w:type="dxa"/>
            </w:tcMar>
          </w:tcPr>
          <w:p w:rsidR="009F61C6" w:rsidRPr="00B709C8" w:rsidRDefault="009F61C6" w:rsidP="009F61C6">
            <w:pPr>
              <w:spacing w:before="40" w:after="40" w:line="220" w:lineRule="exact"/>
              <w:rPr>
                <w:spacing w:val="0"/>
                <w:w w:val="100"/>
                <w:kern w:val="0"/>
                <w:sz w:val="18"/>
                <w:lang w:val="en-US" w:eastAsia="es-ES_tradnl"/>
              </w:rPr>
            </w:pPr>
            <w:r w:rsidRPr="00B709C8">
              <w:rPr>
                <w:bCs/>
                <w:spacing w:val="0"/>
                <w:w w:val="100"/>
                <w:kern w:val="0"/>
                <w:sz w:val="18"/>
                <w:lang w:val="es-CL" w:eastAsia="es-ES_tradnl"/>
              </w:rPr>
              <w:t>Programa</w:t>
            </w:r>
            <w:r w:rsidRPr="00B709C8">
              <w:rPr>
                <w:bCs/>
                <w:spacing w:val="0"/>
                <w:w w:val="100"/>
                <w:kern w:val="0"/>
                <w:sz w:val="18"/>
                <w:lang w:val="es-MX" w:eastAsia="es-ES_tradnl"/>
              </w:rPr>
              <w:t xml:space="preserve"> </w:t>
            </w:r>
          </w:p>
        </w:tc>
        <w:tc>
          <w:tcPr>
            <w:tcW w:w="1988" w:type="dxa"/>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46,1</w:t>
            </w:r>
          </w:p>
        </w:tc>
        <w:tc>
          <w:tcPr>
            <w:tcW w:w="1955" w:type="dxa"/>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10,7</w:t>
            </w:r>
          </w:p>
        </w:tc>
      </w:tr>
      <w:tr w:rsidR="009F61C6" w:rsidRPr="00B709C8" w:rsidTr="009F61C6">
        <w:trPr>
          <w:trHeight w:val="240"/>
        </w:trPr>
        <w:tc>
          <w:tcPr>
            <w:tcW w:w="3427" w:type="dxa"/>
            <w:tcBorders>
              <w:bottom w:val="single" w:sz="4" w:space="0" w:color="auto"/>
            </w:tcBorders>
            <w:shd w:val="clear" w:color="auto" w:fill="auto"/>
            <w:tcMar>
              <w:top w:w="72" w:type="dxa"/>
              <w:left w:w="144" w:type="dxa"/>
              <w:bottom w:w="72" w:type="dxa"/>
              <w:right w:w="144" w:type="dxa"/>
            </w:tcMar>
          </w:tcPr>
          <w:p w:rsidR="009F61C6" w:rsidRPr="00B709C8" w:rsidRDefault="009F61C6" w:rsidP="009F61C6">
            <w:pPr>
              <w:spacing w:before="40" w:after="40" w:line="220" w:lineRule="exact"/>
              <w:rPr>
                <w:spacing w:val="0"/>
                <w:w w:val="100"/>
                <w:kern w:val="0"/>
                <w:sz w:val="18"/>
                <w:lang w:val="en-US" w:eastAsia="es-ES_tradnl"/>
              </w:rPr>
            </w:pPr>
            <w:r w:rsidRPr="00B709C8">
              <w:rPr>
                <w:bCs/>
                <w:spacing w:val="0"/>
                <w:w w:val="100"/>
                <w:kern w:val="0"/>
                <w:sz w:val="18"/>
                <w:lang w:val="es-CL" w:eastAsia="es-ES_tradnl"/>
              </w:rPr>
              <w:t>Proyecto</w:t>
            </w:r>
            <w:r w:rsidRPr="00B709C8">
              <w:rPr>
                <w:bCs/>
                <w:spacing w:val="0"/>
                <w:w w:val="100"/>
                <w:kern w:val="0"/>
                <w:sz w:val="18"/>
                <w:lang w:val="es-MX" w:eastAsia="es-ES_tradnl"/>
              </w:rPr>
              <w:t xml:space="preserve"> </w:t>
            </w:r>
          </w:p>
        </w:tc>
        <w:tc>
          <w:tcPr>
            <w:tcW w:w="1988" w:type="dxa"/>
            <w:tcBorders>
              <w:bottom w:val="single" w:sz="4"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35,2</w:t>
            </w:r>
          </w:p>
        </w:tc>
        <w:tc>
          <w:tcPr>
            <w:tcW w:w="1955" w:type="dxa"/>
            <w:tcBorders>
              <w:bottom w:val="single" w:sz="4"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spacing w:val="0"/>
                <w:w w:val="100"/>
                <w:kern w:val="0"/>
                <w:sz w:val="18"/>
                <w:lang w:val="en-US" w:eastAsia="es-ES_tradnl"/>
              </w:rPr>
            </w:pPr>
            <w:r w:rsidRPr="00B709C8">
              <w:rPr>
                <w:spacing w:val="0"/>
                <w:w w:val="100"/>
                <w:kern w:val="0"/>
                <w:sz w:val="18"/>
                <w:lang w:val="es-MX" w:eastAsia="es-ES_tradnl"/>
              </w:rPr>
              <w:t>11,5</w:t>
            </w:r>
          </w:p>
        </w:tc>
      </w:tr>
      <w:tr w:rsidR="009F61C6" w:rsidRPr="00B709C8" w:rsidTr="009F61C6">
        <w:trPr>
          <w:trHeight w:val="240"/>
        </w:trPr>
        <w:tc>
          <w:tcPr>
            <w:tcW w:w="3427" w:type="dxa"/>
            <w:tcBorders>
              <w:top w:val="single" w:sz="4" w:space="0" w:color="auto"/>
              <w:bottom w:val="single" w:sz="12" w:space="0" w:color="auto"/>
            </w:tcBorders>
            <w:shd w:val="clear" w:color="auto" w:fill="auto"/>
            <w:tcMar>
              <w:top w:w="72" w:type="dxa"/>
              <w:left w:w="144" w:type="dxa"/>
              <w:bottom w:w="72" w:type="dxa"/>
              <w:right w:w="144" w:type="dxa"/>
            </w:tcMar>
          </w:tcPr>
          <w:p w:rsidR="009F61C6" w:rsidRPr="00B709C8" w:rsidRDefault="009F61C6" w:rsidP="009F61C6">
            <w:pPr>
              <w:spacing w:before="40" w:after="40" w:line="220" w:lineRule="exact"/>
              <w:ind w:left="284"/>
              <w:rPr>
                <w:b/>
                <w:spacing w:val="0"/>
                <w:w w:val="100"/>
                <w:kern w:val="0"/>
                <w:sz w:val="18"/>
                <w:lang w:val="en-US" w:eastAsia="es-ES_tradnl"/>
              </w:rPr>
            </w:pPr>
            <w:r w:rsidRPr="00B709C8">
              <w:rPr>
                <w:b/>
                <w:bCs/>
                <w:spacing w:val="0"/>
                <w:w w:val="100"/>
                <w:kern w:val="0"/>
                <w:sz w:val="18"/>
                <w:lang w:val="es-CL" w:eastAsia="es-ES_tradnl"/>
              </w:rPr>
              <w:t>Actividad</w:t>
            </w:r>
            <w:r w:rsidRPr="00B709C8">
              <w:rPr>
                <w:b/>
                <w:bCs/>
                <w:spacing w:val="0"/>
                <w:w w:val="100"/>
                <w:kern w:val="0"/>
                <w:sz w:val="18"/>
                <w:lang w:val="es-MX" w:eastAsia="es-ES_tradnl"/>
              </w:rPr>
              <w:t xml:space="preserve"> </w:t>
            </w:r>
          </w:p>
        </w:tc>
        <w:tc>
          <w:tcPr>
            <w:tcW w:w="1988"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b/>
                <w:spacing w:val="0"/>
                <w:w w:val="100"/>
                <w:kern w:val="0"/>
                <w:sz w:val="18"/>
                <w:lang w:val="en-US" w:eastAsia="es-ES_tradnl"/>
              </w:rPr>
            </w:pPr>
            <w:r w:rsidRPr="00B709C8">
              <w:rPr>
                <w:b/>
                <w:spacing w:val="0"/>
                <w:w w:val="100"/>
                <w:kern w:val="0"/>
                <w:sz w:val="18"/>
                <w:lang w:val="es-MX" w:eastAsia="es-ES_tradnl"/>
              </w:rPr>
              <w:t>43,0</w:t>
            </w:r>
          </w:p>
        </w:tc>
        <w:tc>
          <w:tcPr>
            <w:tcW w:w="1955"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9F61C6" w:rsidRPr="00B709C8" w:rsidRDefault="009F61C6" w:rsidP="009F61C6">
            <w:pPr>
              <w:spacing w:before="40" w:after="40" w:line="220" w:lineRule="exact"/>
              <w:ind w:left="113"/>
              <w:jc w:val="right"/>
              <w:rPr>
                <w:b/>
                <w:spacing w:val="0"/>
                <w:w w:val="100"/>
                <w:kern w:val="0"/>
                <w:sz w:val="18"/>
                <w:lang w:val="en-US" w:eastAsia="es-ES_tradnl"/>
              </w:rPr>
            </w:pPr>
            <w:r w:rsidRPr="00B709C8">
              <w:rPr>
                <w:b/>
                <w:spacing w:val="0"/>
                <w:w w:val="100"/>
                <w:kern w:val="0"/>
                <w:sz w:val="18"/>
                <w:lang w:val="es-MX" w:eastAsia="es-ES_tradnl"/>
              </w:rPr>
              <w:t>11,1</w:t>
            </w:r>
          </w:p>
        </w:tc>
      </w:tr>
    </w:tbl>
    <w:p w:rsidR="009F61C6" w:rsidRPr="00183AB0" w:rsidRDefault="009F61C6" w:rsidP="009F61C6">
      <w:pPr>
        <w:pStyle w:val="SingleTxtG"/>
        <w:spacing w:before="240"/>
        <w:rPr>
          <w:b/>
        </w:rPr>
      </w:pPr>
      <w:r>
        <w:rPr>
          <w:b/>
        </w:rPr>
        <w:br w:type="page"/>
      </w:r>
      <w:r w:rsidRPr="00183AB0">
        <w:rPr>
          <w:b/>
        </w:rPr>
        <w:t>¿Se conmemora alguna de las siguientes fechas relacionas con los derechos de los gr</w:t>
      </w:r>
      <w:r w:rsidRPr="00183AB0">
        <w:rPr>
          <w:b/>
        </w:rPr>
        <w:t>u</w:t>
      </w:r>
      <w:r w:rsidRPr="00183AB0">
        <w:rPr>
          <w:b/>
        </w:rPr>
        <w:t>pos vulnerables?</w:t>
      </w:r>
    </w:p>
    <w:p w:rsidR="009F61C6" w:rsidRDefault="009F61C6" w:rsidP="009F61C6">
      <w:pPr>
        <w:jc w:val="center"/>
      </w:pPr>
      <w:r>
        <w:pict>
          <v:shape id="Imagen 6" o:spid="_x0000_i1026" type="#_x0000_t75" style="width:327pt;height:172.5pt;visibility:visible">
            <v:imagedata r:id="rId9" o:title=""/>
          </v:shape>
        </w:pict>
      </w:r>
    </w:p>
    <w:p w:rsidR="009F61C6" w:rsidRDefault="009F61C6" w:rsidP="009F61C6">
      <w:pPr>
        <w:pStyle w:val="SingleTxtG"/>
        <w:spacing w:before="240"/>
      </w:pPr>
      <w:r w:rsidRPr="00183AB0">
        <w:rPr>
          <w:b/>
        </w:rPr>
        <w:t xml:space="preserve">¿Grado de conocimiento </w:t>
      </w:r>
      <w:r>
        <w:rPr>
          <w:b/>
        </w:rPr>
        <w:t xml:space="preserve">de la </w:t>
      </w:r>
      <w:r w:rsidRPr="00183AB0">
        <w:rPr>
          <w:b/>
        </w:rPr>
        <w:t xml:space="preserve">Convención </w:t>
      </w:r>
      <w:r>
        <w:rPr>
          <w:b/>
        </w:rPr>
        <w:t>Internacional sobre la protección de los d</w:t>
      </w:r>
      <w:r>
        <w:rPr>
          <w:b/>
        </w:rPr>
        <w:t>e</w:t>
      </w:r>
      <w:r>
        <w:rPr>
          <w:b/>
        </w:rPr>
        <w:t>rechos de</w:t>
      </w:r>
      <w:r w:rsidRPr="00183AB0">
        <w:rPr>
          <w:b/>
        </w:rPr>
        <w:t xml:space="preserve"> los </w:t>
      </w:r>
      <w:r>
        <w:rPr>
          <w:b/>
        </w:rPr>
        <w:t>t</w:t>
      </w:r>
      <w:r w:rsidRPr="00183AB0">
        <w:rPr>
          <w:b/>
        </w:rPr>
        <w:t xml:space="preserve">rabajadores </w:t>
      </w:r>
      <w:r>
        <w:rPr>
          <w:b/>
        </w:rPr>
        <w:t>migratorios</w:t>
      </w:r>
      <w:r w:rsidRPr="00183AB0">
        <w:rPr>
          <w:b/>
        </w:rPr>
        <w:t xml:space="preserve"> y </w:t>
      </w:r>
      <w:r>
        <w:rPr>
          <w:b/>
        </w:rPr>
        <w:t xml:space="preserve">de </w:t>
      </w:r>
      <w:r w:rsidRPr="00183AB0">
        <w:rPr>
          <w:b/>
        </w:rPr>
        <w:t xml:space="preserve">sus </w:t>
      </w:r>
      <w:r>
        <w:rPr>
          <w:b/>
        </w:rPr>
        <w:t>f</w:t>
      </w:r>
      <w:r w:rsidRPr="00183AB0">
        <w:rPr>
          <w:b/>
        </w:rPr>
        <w:t>amilia</w:t>
      </w:r>
      <w:r w:rsidRPr="00C366AF">
        <w:rPr>
          <w:b/>
        </w:rPr>
        <w:t>res?</w:t>
      </w:r>
    </w:p>
    <w:p w:rsidR="009F61C6" w:rsidRDefault="009F61C6" w:rsidP="009F61C6">
      <w:pPr>
        <w:ind w:left="567" w:firstLine="426"/>
      </w:pPr>
      <w:r w:rsidRPr="00E354E0">
        <w:rPr>
          <w:b/>
          <w:noProof/>
          <w:lang w:val="en-GB" w:eastAsia="en-GB"/>
        </w:rPr>
        <w:pict>
          <v:shape id="Imagen 1" o:spid="_x0000_i1027" type="#_x0000_t75" style="width:339pt;height:162pt;visibility:visible">
            <v:imagedata r:id="rId10" o:title=""/>
          </v:shape>
        </w:pict>
      </w:r>
    </w:p>
    <w:p w:rsidR="009F61C6" w:rsidRPr="00183AB0" w:rsidRDefault="009F61C6" w:rsidP="009F61C6">
      <w:pPr>
        <w:pStyle w:val="SingleTxtG"/>
        <w:spacing w:before="240"/>
        <w:rPr>
          <w:b/>
        </w:rPr>
      </w:pPr>
      <w:r w:rsidRPr="00183AB0">
        <w:rPr>
          <w:b/>
        </w:rPr>
        <w:t xml:space="preserve">¿Grado de conocimiento </w:t>
      </w:r>
      <w:r>
        <w:rPr>
          <w:b/>
        </w:rPr>
        <w:t xml:space="preserve">de la </w:t>
      </w:r>
      <w:r w:rsidRPr="00183AB0">
        <w:rPr>
          <w:b/>
        </w:rPr>
        <w:t xml:space="preserve">Convención </w:t>
      </w:r>
      <w:r>
        <w:rPr>
          <w:b/>
        </w:rPr>
        <w:t>r</w:t>
      </w:r>
      <w:r w:rsidRPr="00183AB0">
        <w:rPr>
          <w:b/>
        </w:rPr>
        <w:t xml:space="preserve">elativa a la Lucha </w:t>
      </w:r>
      <w:r>
        <w:rPr>
          <w:b/>
        </w:rPr>
        <w:t>c</w:t>
      </w:r>
      <w:r w:rsidRPr="00183AB0">
        <w:rPr>
          <w:b/>
        </w:rPr>
        <w:t>ontra las Discrimin</w:t>
      </w:r>
      <w:r w:rsidRPr="00183AB0">
        <w:rPr>
          <w:b/>
        </w:rPr>
        <w:t>a</w:t>
      </w:r>
      <w:r w:rsidRPr="00183AB0">
        <w:rPr>
          <w:b/>
        </w:rPr>
        <w:t>ciones en la Esfera de la Enseñanza?</w:t>
      </w:r>
    </w:p>
    <w:p w:rsidR="009F61C6" w:rsidRDefault="009F61C6" w:rsidP="009F61C6">
      <w:pPr>
        <w:ind w:left="993" w:hanging="142"/>
        <w:rPr>
          <w:b/>
          <w:noProof/>
          <w:lang w:val="en-GB" w:eastAsia="en-GB"/>
        </w:rPr>
      </w:pPr>
      <w:r w:rsidRPr="00E354E0">
        <w:rPr>
          <w:b/>
          <w:noProof/>
          <w:lang w:val="en-GB" w:eastAsia="en-GB"/>
        </w:rPr>
        <w:pict>
          <v:shape id="Imagen 2" o:spid="_x0000_i1028" type="#_x0000_t75" style="width:372pt;height:141pt;visibility:visible">
            <v:imagedata r:id="rId11" o:title=""/>
          </v:shape>
        </w:pict>
      </w:r>
    </w:p>
    <w:p w:rsidR="009F61C6" w:rsidRPr="00183AB0" w:rsidRDefault="009F61C6" w:rsidP="009F61C6">
      <w:pPr>
        <w:pStyle w:val="SingleTxtG"/>
        <w:spacing w:before="120"/>
        <w:rPr>
          <w:b/>
        </w:rPr>
      </w:pPr>
      <w:r>
        <w:rPr>
          <w:b/>
        </w:rPr>
        <w:br w:type="page"/>
      </w:r>
      <w:r w:rsidRPr="00183AB0">
        <w:rPr>
          <w:b/>
        </w:rPr>
        <w:t>¿Qué grado de importancia le asigna a promoción de buenas prácticas de respeto a la diversidad?</w:t>
      </w:r>
    </w:p>
    <w:p w:rsidR="009F61C6" w:rsidRDefault="009F61C6" w:rsidP="009F61C6">
      <w:pPr>
        <w:ind w:firstLine="851"/>
        <w:rPr>
          <w:b/>
          <w:noProof/>
          <w:lang w:val="en-GB" w:eastAsia="en-GB"/>
        </w:rPr>
      </w:pPr>
      <w:r w:rsidRPr="00E354E0">
        <w:rPr>
          <w:b/>
          <w:noProof/>
          <w:lang w:val="en-GB" w:eastAsia="en-GB"/>
        </w:rPr>
        <w:pict>
          <v:shape id="Imagen 3" o:spid="_x0000_i1029" type="#_x0000_t75" style="width:372pt;height:171.75pt;visibility:visible">
            <v:imagedata r:id="rId12" o:title=""/>
          </v:shape>
        </w:pict>
      </w:r>
    </w:p>
    <w:p w:rsidR="009F61C6" w:rsidRPr="00183AB0" w:rsidRDefault="009F61C6" w:rsidP="009F61C6">
      <w:pPr>
        <w:pStyle w:val="SingleTxtG"/>
        <w:spacing w:before="240"/>
        <w:rPr>
          <w:b/>
        </w:rPr>
      </w:pPr>
      <w:r w:rsidRPr="00183AB0">
        <w:rPr>
          <w:b/>
        </w:rPr>
        <w:t>¿Qué grado de importancia le asigna a un Plan de Acción para Prevenir las Discrim</w:t>
      </w:r>
      <w:r w:rsidRPr="00183AB0">
        <w:rPr>
          <w:b/>
        </w:rPr>
        <w:t>i</w:t>
      </w:r>
      <w:r w:rsidRPr="00183AB0">
        <w:rPr>
          <w:b/>
        </w:rPr>
        <w:t>naciones?</w:t>
      </w:r>
    </w:p>
    <w:p w:rsidR="009F61C6" w:rsidRDefault="009F61C6" w:rsidP="009F61C6">
      <w:pPr>
        <w:ind w:firstLine="851"/>
      </w:pPr>
      <w:r w:rsidRPr="00E354E0">
        <w:rPr>
          <w:b/>
          <w:noProof/>
          <w:lang w:val="en-GB" w:eastAsia="en-GB"/>
        </w:rPr>
        <w:pict>
          <v:shape id="Imagen 4" o:spid="_x0000_i1030" type="#_x0000_t75" style="width:379.5pt;height:153.75pt;visibility:visible">
            <v:imagedata r:id="rId13" o:title=""/>
          </v:shape>
        </w:pict>
      </w:r>
    </w:p>
    <w:p w:rsidR="009F61C6" w:rsidRPr="00F80EA9" w:rsidRDefault="009F61C6" w:rsidP="009F61C6">
      <w:pPr>
        <w:pStyle w:val="SingleTxtG"/>
        <w:spacing w:before="240"/>
        <w:rPr>
          <w:b/>
        </w:rPr>
      </w:pPr>
      <w:r w:rsidRPr="00F80EA9">
        <w:rPr>
          <w:b/>
        </w:rPr>
        <w:t>¿Qué grado de avances hay en materia de políticas públicas hacia migrantes y ref</w:t>
      </w:r>
      <w:r w:rsidRPr="00F80EA9">
        <w:rPr>
          <w:b/>
        </w:rPr>
        <w:t>u</w:t>
      </w:r>
      <w:r w:rsidRPr="00F80EA9">
        <w:rPr>
          <w:b/>
        </w:rPr>
        <w:t>giados?</w:t>
      </w:r>
    </w:p>
    <w:p w:rsidR="009F61C6" w:rsidRPr="00282D5C" w:rsidRDefault="009F61C6" w:rsidP="009F61C6">
      <w:pPr>
        <w:ind w:firstLine="851"/>
        <w:rPr>
          <w:rStyle w:val="SingleTxtGChar"/>
        </w:rPr>
      </w:pPr>
      <w:r w:rsidRPr="00E354E0">
        <w:rPr>
          <w:b/>
          <w:noProof/>
          <w:lang w:val="en-GB" w:eastAsia="en-GB"/>
        </w:rPr>
        <w:pict>
          <v:shape id="Imagen 5" o:spid="_x0000_i1031" type="#_x0000_t75" style="width:377.25pt;height:186.75pt;visibility:visible">
            <v:imagedata r:id="rId14" o:title=""/>
          </v:shape>
        </w:pict>
      </w:r>
    </w:p>
    <w:p w:rsidR="009F61C6" w:rsidRPr="00183AB0" w:rsidRDefault="009F61C6" w:rsidP="009F61C6">
      <w:pPr>
        <w:pStyle w:val="SingleTxtG"/>
        <w:spacing w:before="240" w:after="0"/>
        <w:rPr>
          <w:b/>
        </w:rPr>
      </w:pPr>
      <w:r w:rsidRPr="00183AB0">
        <w:rPr>
          <w:b/>
        </w:rPr>
        <w:t>¿Qué grado de avances hay en materia de políticas públicas hacia los pueblos indíg</w:t>
      </w:r>
      <w:r w:rsidRPr="00183AB0">
        <w:rPr>
          <w:b/>
        </w:rPr>
        <w:t>e</w:t>
      </w:r>
      <w:r w:rsidRPr="00183AB0">
        <w:rPr>
          <w:b/>
        </w:rPr>
        <w:t>nas?</w:t>
      </w:r>
    </w:p>
    <w:p w:rsidR="009F61C6" w:rsidRDefault="009F61C6" w:rsidP="009F61C6">
      <w:pPr>
        <w:ind w:firstLine="851"/>
      </w:pPr>
      <w:r w:rsidRPr="00E354E0">
        <w:rPr>
          <w:b/>
          <w:noProof/>
          <w:lang w:val="en-GB" w:eastAsia="en-GB"/>
        </w:rPr>
        <w:pict>
          <v:shape id="_x0000_i1032" type="#_x0000_t75" style="width:377.25pt;height:188.25pt;visibility:visible">
            <v:imagedata r:id="rId15" o:title=""/>
          </v:shape>
        </w:pict>
      </w:r>
    </w:p>
    <w:p w:rsidR="009F61C6" w:rsidRPr="00E46E78" w:rsidRDefault="009F61C6" w:rsidP="009F61C6">
      <w:pPr>
        <w:pStyle w:val="H1G"/>
      </w:pPr>
      <w:r>
        <w:tab/>
        <w:t>III.</w:t>
      </w:r>
      <w:r>
        <w:tab/>
      </w:r>
      <w:r w:rsidRPr="008933D9">
        <w:t>Población indígena nacional 1996-2009 (porcentaje)</w:t>
      </w:r>
    </w:p>
    <w:p w:rsidR="009F61C6" w:rsidRPr="00841274" w:rsidRDefault="009F61C6" w:rsidP="009F61C6">
      <w:pPr>
        <w:ind w:firstLine="851"/>
        <w:rPr>
          <w:lang w:val="fr-FR"/>
        </w:rPr>
      </w:pPr>
      <w:r w:rsidRPr="00671C1D">
        <w:pict>
          <v:shape id="_x0000_s1027" type="#_x0000_t75" style="position:absolute;left:0;text-align:left;margin-left:59.5pt;margin-top:0;width:352.05pt;height:125.25pt;z-index:2">
            <v:imagedata r:id="rId16" o:title=""/>
          </v:shape>
        </w:pict>
      </w:r>
    </w:p>
    <w:p w:rsidR="009F61C6" w:rsidRPr="00841274" w:rsidRDefault="009F61C6" w:rsidP="009F61C6">
      <w:pPr>
        <w:rPr>
          <w:lang w:val="fr-FR"/>
        </w:rPr>
      </w:pPr>
    </w:p>
    <w:p w:rsidR="009F61C6" w:rsidRPr="00841274" w:rsidRDefault="009F61C6" w:rsidP="009F61C6">
      <w:pPr>
        <w:rPr>
          <w:lang w:val="fr-FR"/>
        </w:rPr>
      </w:pPr>
    </w:p>
    <w:p w:rsidR="009F61C6" w:rsidRPr="00841274" w:rsidRDefault="009F61C6" w:rsidP="009F61C6">
      <w:pPr>
        <w:rPr>
          <w:lang w:val="fr-FR"/>
        </w:rPr>
      </w:pPr>
    </w:p>
    <w:p w:rsidR="009F61C6" w:rsidRPr="00841274" w:rsidRDefault="009F61C6" w:rsidP="009F61C6">
      <w:pPr>
        <w:rPr>
          <w:lang w:val="fr-FR"/>
        </w:rPr>
      </w:pPr>
    </w:p>
    <w:p w:rsidR="009F61C6" w:rsidRPr="00841274" w:rsidRDefault="009F61C6" w:rsidP="009F61C6">
      <w:pPr>
        <w:rPr>
          <w:lang w:val="fr-FR"/>
        </w:rPr>
      </w:pPr>
    </w:p>
    <w:p w:rsidR="009F61C6" w:rsidRPr="00841274" w:rsidRDefault="009F61C6" w:rsidP="009F61C6">
      <w:pPr>
        <w:rPr>
          <w:lang w:val="fr-FR"/>
        </w:rPr>
      </w:pPr>
    </w:p>
    <w:p w:rsidR="009F61C6" w:rsidRPr="00841274" w:rsidRDefault="009F61C6" w:rsidP="009F61C6">
      <w:pPr>
        <w:rPr>
          <w:lang w:val="fr-FR"/>
        </w:rPr>
      </w:pPr>
    </w:p>
    <w:p w:rsidR="009F61C6" w:rsidRDefault="009F61C6" w:rsidP="009F61C6">
      <w:pPr>
        <w:pStyle w:val="HChG"/>
      </w:pPr>
    </w:p>
    <w:p w:rsidR="009F61C6" w:rsidRDefault="009F61C6" w:rsidP="009F61C6">
      <w:pPr>
        <w:pStyle w:val="H1G"/>
        <w:spacing w:before="120"/>
      </w:pPr>
      <w:r>
        <w:tab/>
        <w:t>IV.</w:t>
      </w:r>
      <w:r>
        <w:tab/>
      </w:r>
      <w:r w:rsidRPr="003800AD">
        <w:t>Tierras inscritas en el Registro Público de Tierras de CONADI</w:t>
      </w:r>
    </w:p>
    <w:p w:rsidR="009F61C6" w:rsidRPr="003800AD" w:rsidRDefault="009F61C6" w:rsidP="009F61C6">
      <w:pPr>
        <w:pStyle w:val="SingleTxtG"/>
        <w:keepNext/>
        <w:keepLines/>
        <w:spacing w:before="240"/>
        <w:rPr>
          <w:b/>
        </w:rPr>
      </w:pPr>
      <w:r w:rsidRPr="003800AD">
        <w:rPr>
          <w:b/>
        </w:rPr>
        <w:t>Registro superficie (</w:t>
      </w:r>
      <w:r>
        <w:rPr>
          <w:b/>
        </w:rPr>
        <w:t>hectáreas</w:t>
      </w:r>
      <w:r w:rsidRPr="003800AD">
        <w:rPr>
          <w:b/>
        </w:rPr>
        <w:t>)</w:t>
      </w:r>
    </w:p>
    <w:tbl>
      <w:tblPr>
        <w:tblW w:w="7370" w:type="dxa"/>
        <w:tblInd w:w="1134" w:type="dxa"/>
        <w:tblBorders>
          <w:top w:val="single" w:sz="4" w:space="0" w:color="auto"/>
        </w:tblBorders>
        <w:tblCellMar>
          <w:left w:w="0" w:type="dxa"/>
          <w:right w:w="0" w:type="dxa"/>
        </w:tblCellMar>
        <w:tblLook w:val="04A0"/>
      </w:tblPr>
      <w:tblGrid>
        <w:gridCol w:w="4194"/>
        <w:gridCol w:w="3176"/>
      </w:tblGrid>
      <w:tr w:rsidR="009F61C6" w:rsidRPr="00B709C8" w:rsidTr="009F61C6">
        <w:trPr>
          <w:trHeight w:val="240"/>
          <w:tblHeader/>
        </w:trPr>
        <w:tc>
          <w:tcPr>
            <w:tcW w:w="4194"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rPr>
                <w:i/>
                <w:spacing w:val="0"/>
                <w:w w:val="100"/>
                <w:kern w:val="0"/>
                <w:sz w:val="16"/>
                <w:lang w:val="es-ES_tradnl" w:eastAsia="es-ES_tradnl"/>
              </w:rPr>
            </w:pPr>
            <w:r w:rsidRPr="00B709C8">
              <w:rPr>
                <w:i/>
                <w:spacing w:val="0"/>
                <w:w w:val="100"/>
                <w:kern w:val="0"/>
                <w:sz w:val="16"/>
                <w:lang w:val="es-ES_tradnl" w:eastAsia="es-ES_tradnl"/>
              </w:rPr>
              <w:t>Registro</w:t>
            </w:r>
          </w:p>
        </w:tc>
        <w:tc>
          <w:tcPr>
            <w:tcW w:w="3176"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i/>
                <w:spacing w:val="0"/>
                <w:w w:val="100"/>
                <w:kern w:val="0"/>
                <w:sz w:val="16"/>
                <w:lang w:val="es-ES_tradnl" w:eastAsia="es-ES_tradnl"/>
              </w:rPr>
            </w:pPr>
            <w:r w:rsidRPr="00B709C8">
              <w:rPr>
                <w:i/>
                <w:spacing w:val="0"/>
                <w:w w:val="100"/>
                <w:kern w:val="0"/>
                <w:sz w:val="16"/>
                <w:lang w:val="es-ES_tradnl" w:eastAsia="es-ES_tradnl"/>
              </w:rPr>
              <w:t>Superficie (Ha)</w:t>
            </w:r>
          </w:p>
        </w:tc>
      </w:tr>
      <w:tr w:rsidR="009F61C6" w:rsidRPr="00B709C8" w:rsidTr="009F61C6">
        <w:trPr>
          <w:trHeight w:val="240"/>
        </w:trPr>
        <w:tc>
          <w:tcPr>
            <w:tcW w:w="4194" w:type="dxa"/>
            <w:tcBorders>
              <w:top w:val="single" w:sz="12" w:space="0" w:color="auto"/>
            </w:tcBorders>
            <w:shd w:val="clear" w:color="auto" w:fill="auto"/>
          </w:tcPr>
          <w:p w:rsidR="009F61C6" w:rsidRPr="00B709C8" w:rsidRDefault="009F61C6" w:rsidP="009F61C6">
            <w:pPr>
              <w:autoSpaceDE w:val="0"/>
              <w:autoSpaceDN w:val="0"/>
              <w:adjustRightInd w:val="0"/>
              <w:spacing w:before="40" w:after="40" w:line="220" w:lineRule="exact"/>
              <w:rPr>
                <w:spacing w:val="0"/>
                <w:w w:val="100"/>
                <w:kern w:val="0"/>
                <w:sz w:val="18"/>
                <w:lang w:val="es-ES_tradnl" w:eastAsia="es-ES_tradnl"/>
              </w:rPr>
            </w:pPr>
            <w:r w:rsidRPr="00B709C8">
              <w:rPr>
                <w:spacing w:val="0"/>
                <w:w w:val="100"/>
                <w:kern w:val="0"/>
                <w:sz w:val="18"/>
                <w:lang w:val="es-ES_tradnl" w:eastAsia="es-ES_tradnl"/>
              </w:rPr>
              <w:t>Registro sur (Punta Arenas)</w:t>
            </w:r>
          </w:p>
        </w:tc>
        <w:tc>
          <w:tcPr>
            <w:tcW w:w="3176"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spacing w:val="0"/>
                <w:w w:val="100"/>
                <w:kern w:val="0"/>
                <w:sz w:val="18"/>
                <w:lang w:val="es-ES_tradnl" w:eastAsia="es-ES_tradnl"/>
              </w:rPr>
            </w:pPr>
            <w:r w:rsidRPr="00B709C8">
              <w:rPr>
                <w:spacing w:val="0"/>
                <w:w w:val="100"/>
                <w:kern w:val="0"/>
                <w:sz w:val="18"/>
                <w:lang w:val="es-ES_tradnl" w:eastAsia="es-ES_tradnl"/>
              </w:rPr>
              <w:t>815,42</w:t>
            </w:r>
          </w:p>
        </w:tc>
      </w:tr>
      <w:tr w:rsidR="009F61C6" w:rsidRPr="00B709C8" w:rsidTr="009F61C6">
        <w:trPr>
          <w:trHeight w:val="240"/>
        </w:trPr>
        <w:tc>
          <w:tcPr>
            <w:tcW w:w="4194" w:type="dxa"/>
            <w:shd w:val="clear" w:color="auto" w:fill="auto"/>
          </w:tcPr>
          <w:p w:rsidR="009F61C6" w:rsidRPr="00B709C8" w:rsidRDefault="009F61C6" w:rsidP="009F61C6">
            <w:pPr>
              <w:autoSpaceDE w:val="0"/>
              <w:autoSpaceDN w:val="0"/>
              <w:adjustRightInd w:val="0"/>
              <w:spacing w:before="40" w:after="40" w:line="220" w:lineRule="exact"/>
              <w:rPr>
                <w:spacing w:val="0"/>
                <w:w w:val="100"/>
                <w:kern w:val="0"/>
                <w:sz w:val="18"/>
                <w:lang w:val="es-ES_tradnl" w:eastAsia="es-ES_tradnl"/>
              </w:rPr>
            </w:pPr>
            <w:r w:rsidRPr="00B709C8">
              <w:rPr>
                <w:spacing w:val="0"/>
                <w:w w:val="100"/>
                <w:kern w:val="0"/>
                <w:sz w:val="18"/>
                <w:lang w:val="es-ES_tradnl" w:eastAsia="es-ES_tradnl"/>
              </w:rPr>
              <w:t>Registro centro sur (Temuco)</w:t>
            </w:r>
          </w:p>
        </w:tc>
        <w:tc>
          <w:tcPr>
            <w:tcW w:w="3176"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spacing w:val="0"/>
                <w:w w:val="100"/>
                <w:kern w:val="0"/>
                <w:sz w:val="18"/>
                <w:lang w:val="es-ES_tradnl" w:eastAsia="es-ES_tradnl"/>
              </w:rPr>
            </w:pPr>
            <w:r w:rsidRPr="00B709C8">
              <w:rPr>
                <w:spacing w:val="0"/>
                <w:w w:val="100"/>
                <w:kern w:val="0"/>
                <w:sz w:val="18"/>
                <w:lang w:val="es-ES_tradnl" w:eastAsia="es-ES_tradnl"/>
              </w:rPr>
              <w:t>863.619,41</w:t>
            </w:r>
          </w:p>
        </w:tc>
      </w:tr>
      <w:tr w:rsidR="009F61C6" w:rsidRPr="00B709C8" w:rsidTr="009F61C6">
        <w:trPr>
          <w:trHeight w:val="240"/>
        </w:trPr>
        <w:tc>
          <w:tcPr>
            <w:tcW w:w="4194" w:type="dxa"/>
            <w:tcBorders>
              <w:bottom w:val="single" w:sz="4" w:space="0" w:color="auto"/>
            </w:tcBorders>
            <w:shd w:val="clear" w:color="auto" w:fill="auto"/>
          </w:tcPr>
          <w:p w:rsidR="009F61C6" w:rsidRPr="00B709C8" w:rsidRDefault="009F61C6" w:rsidP="009F61C6">
            <w:pPr>
              <w:autoSpaceDE w:val="0"/>
              <w:autoSpaceDN w:val="0"/>
              <w:adjustRightInd w:val="0"/>
              <w:spacing w:before="40" w:after="40" w:line="220" w:lineRule="exact"/>
              <w:rPr>
                <w:spacing w:val="0"/>
                <w:w w:val="100"/>
                <w:kern w:val="0"/>
                <w:sz w:val="18"/>
                <w:lang w:val="es-ES_tradnl" w:eastAsia="es-ES_tradnl"/>
              </w:rPr>
            </w:pPr>
            <w:r w:rsidRPr="00B709C8">
              <w:rPr>
                <w:spacing w:val="0"/>
                <w:w w:val="100"/>
                <w:kern w:val="0"/>
                <w:sz w:val="18"/>
                <w:lang w:val="es-ES_tradnl" w:eastAsia="es-ES_tradnl"/>
              </w:rPr>
              <w:t>Registro Norte (Arica)</w:t>
            </w:r>
          </w:p>
        </w:tc>
        <w:tc>
          <w:tcPr>
            <w:tcW w:w="3176" w:type="dxa"/>
            <w:tcBorders>
              <w:bottom w:val="single" w:sz="4"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spacing w:val="0"/>
                <w:w w:val="100"/>
                <w:kern w:val="0"/>
                <w:sz w:val="18"/>
                <w:lang w:val="es-ES_tradnl" w:eastAsia="es-ES_tradnl"/>
              </w:rPr>
            </w:pPr>
            <w:r w:rsidRPr="00B709C8">
              <w:rPr>
                <w:spacing w:val="0"/>
                <w:w w:val="100"/>
                <w:kern w:val="0"/>
                <w:sz w:val="18"/>
                <w:lang w:val="es-ES_tradnl" w:eastAsia="es-ES_tradnl"/>
              </w:rPr>
              <w:t>296.639,54</w:t>
            </w:r>
          </w:p>
        </w:tc>
      </w:tr>
      <w:tr w:rsidR="009F61C6" w:rsidRPr="00B709C8" w:rsidTr="009F61C6">
        <w:trPr>
          <w:trHeight w:val="240"/>
        </w:trPr>
        <w:tc>
          <w:tcPr>
            <w:tcW w:w="4194" w:type="dxa"/>
            <w:tcBorders>
              <w:top w:val="single" w:sz="4" w:space="0" w:color="auto"/>
              <w:bottom w:val="single" w:sz="12" w:space="0" w:color="auto"/>
            </w:tcBorders>
            <w:shd w:val="clear" w:color="auto" w:fill="auto"/>
          </w:tcPr>
          <w:p w:rsidR="009F61C6" w:rsidRPr="00B709C8" w:rsidRDefault="009F61C6" w:rsidP="009F61C6">
            <w:pPr>
              <w:autoSpaceDE w:val="0"/>
              <w:autoSpaceDN w:val="0"/>
              <w:adjustRightInd w:val="0"/>
              <w:spacing w:before="40" w:after="40" w:line="220" w:lineRule="exact"/>
              <w:ind w:left="284"/>
              <w:rPr>
                <w:b/>
                <w:spacing w:val="0"/>
                <w:w w:val="100"/>
                <w:kern w:val="0"/>
                <w:sz w:val="18"/>
                <w:lang w:val="es-ES_tradnl" w:eastAsia="es-ES_tradnl"/>
              </w:rPr>
            </w:pPr>
            <w:r w:rsidRPr="00B709C8">
              <w:rPr>
                <w:b/>
                <w:spacing w:val="0"/>
                <w:w w:val="100"/>
                <w:kern w:val="0"/>
                <w:sz w:val="18"/>
                <w:lang w:val="es-ES_tradnl" w:eastAsia="es-ES_tradnl"/>
              </w:rPr>
              <w:t xml:space="preserve">Total </w:t>
            </w:r>
          </w:p>
        </w:tc>
        <w:tc>
          <w:tcPr>
            <w:tcW w:w="3176"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
                <w:spacing w:val="0"/>
                <w:w w:val="100"/>
                <w:kern w:val="0"/>
                <w:sz w:val="18"/>
                <w:lang w:val="es-ES_tradnl" w:eastAsia="es-ES_tradnl"/>
              </w:rPr>
            </w:pPr>
            <w:r w:rsidRPr="00B709C8">
              <w:rPr>
                <w:b/>
                <w:spacing w:val="0"/>
                <w:w w:val="100"/>
                <w:kern w:val="0"/>
                <w:sz w:val="18"/>
                <w:lang w:val="es-ES_tradnl" w:eastAsia="es-ES_tradnl"/>
              </w:rPr>
              <w:t>1.161.074,37</w:t>
            </w:r>
          </w:p>
        </w:tc>
      </w:tr>
    </w:tbl>
    <w:p w:rsidR="009F61C6" w:rsidRPr="00841274" w:rsidRDefault="009F61C6" w:rsidP="009F61C6">
      <w:pPr>
        <w:spacing w:before="120" w:after="240"/>
        <w:ind w:left="737" w:firstLine="567"/>
        <w:rPr>
          <w:i/>
          <w:sz w:val="18"/>
          <w:szCs w:val="18"/>
          <w:lang w:val="fr-FR"/>
        </w:rPr>
      </w:pPr>
      <w:r w:rsidRPr="00841274">
        <w:rPr>
          <w:i/>
          <w:sz w:val="18"/>
          <w:szCs w:val="18"/>
          <w:lang w:val="fr-FR"/>
        </w:rPr>
        <w:t xml:space="preserve">Fuente: </w:t>
      </w:r>
      <w:r w:rsidRPr="00841274">
        <w:rPr>
          <w:sz w:val="18"/>
          <w:szCs w:val="18"/>
          <w:lang w:val="fr-FR"/>
        </w:rPr>
        <w:t>Registro público de Tierras de CONADI, 2010</w:t>
      </w:r>
    </w:p>
    <w:p w:rsidR="009F61C6" w:rsidRDefault="009F61C6" w:rsidP="009F61C6">
      <w:pPr>
        <w:pStyle w:val="H1G"/>
        <w:spacing w:before="240"/>
      </w:pPr>
      <w:r>
        <w:br w:type="page"/>
      </w:r>
      <w:r>
        <w:tab/>
        <w:t>V.</w:t>
      </w:r>
      <w:r>
        <w:tab/>
      </w:r>
      <w:r w:rsidRPr="003F0411">
        <w:t>Tierras adquiridas, traspasadas y/o saneadas, años 1994 a 2010</w:t>
      </w:r>
    </w:p>
    <w:tbl>
      <w:tblPr>
        <w:tblW w:w="7370" w:type="dxa"/>
        <w:tblInd w:w="1031" w:type="dxa"/>
        <w:tblBorders>
          <w:top w:val="single" w:sz="4" w:space="0" w:color="auto"/>
        </w:tblBorders>
        <w:tblCellMar>
          <w:left w:w="0" w:type="dxa"/>
          <w:right w:w="0" w:type="dxa"/>
        </w:tblCellMar>
        <w:tblLook w:val="04A0"/>
      </w:tblPr>
      <w:tblGrid>
        <w:gridCol w:w="1500"/>
        <w:gridCol w:w="936"/>
        <w:gridCol w:w="759"/>
        <w:gridCol w:w="1093"/>
        <w:gridCol w:w="974"/>
        <w:gridCol w:w="1211"/>
        <w:gridCol w:w="897"/>
      </w:tblGrid>
      <w:tr w:rsidR="009F61C6" w:rsidRPr="00B709C8" w:rsidTr="009F61C6">
        <w:trPr>
          <w:trHeight w:val="240"/>
          <w:tblHeader/>
        </w:trPr>
        <w:tc>
          <w:tcPr>
            <w:tcW w:w="1500"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rPr>
                <w:bCs/>
                <w:i/>
                <w:spacing w:val="0"/>
                <w:w w:val="100"/>
                <w:kern w:val="0"/>
                <w:sz w:val="16"/>
                <w:lang w:val="es-ES_tradnl" w:eastAsia="es-ES_tradnl"/>
              </w:rPr>
            </w:pPr>
          </w:p>
        </w:tc>
        <w:tc>
          <w:tcPr>
            <w:tcW w:w="936"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Art. 20 b)</w:t>
            </w:r>
          </w:p>
        </w:tc>
        <w:tc>
          <w:tcPr>
            <w:tcW w:w="759"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Art. 20 a)</w:t>
            </w:r>
          </w:p>
        </w:tc>
        <w:tc>
          <w:tcPr>
            <w:tcW w:w="1093"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Concesión de Uso Gratuito</w:t>
            </w:r>
          </w:p>
        </w:tc>
        <w:tc>
          <w:tcPr>
            <w:tcW w:w="974"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 xml:space="preserve">Traspaso Predios </w:t>
            </w:r>
            <w:r w:rsidRPr="00B709C8">
              <w:rPr>
                <w:bCs/>
                <w:i/>
                <w:spacing w:val="0"/>
                <w:w w:val="100"/>
                <w:kern w:val="0"/>
                <w:sz w:val="16"/>
                <w:lang w:val="en-US" w:eastAsia="es-ES_tradnl"/>
              </w:rPr>
              <w:br/>
            </w:r>
            <w:r w:rsidRPr="00B709C8">
              <w:rPr>
                <w:bCs/>
                <w:i/>
                <w:spacing w:val="0"/>
                <w:w w:val="100"/>
                <w:kern w:val="0"/>
                <w:sz w:val="16"/>
                <w:lang w:val="es-ES_tradnl" w:eastAsia="es-ES_tradnl"/>
              </w:rPr>
              <w:t>Fi</w:t>
            </w:r>
            <w:r w:rsidRPr="00B709C8">
              <w:rPr>
                <w:bCs/>
                <w:i/>
                <w:spacing w:val="0"/>
                <w:w w:val="100"/>
                <w:kern w:val="0"/>
                <w:sz w:val="16"/>
                <w:lang w:val="es-ES_tradnl" w:eastAsia="es-ES_tradnl"/>
              </w:rPr>
              <w:t>s</w:t>
            </w:r>
            <w:r w:rsidRPr="00B709C8">
              <w:rPr>
                <w:bCs/>
                <w:i/>
                <w:spacing w:val="0"/>
                <w:w w:val="100"/>
                <w:kern w:val="0"/>
                <w:sz w:val="16"/>
                <w:lang w:val="es-ES_tradnl" w:eastAsia="es-ES_tradnl"/>
              </w:rPr>
              <w:t>cales</w:t>
            </w:r>
          </w:p>
        </w:tc>
        <w:tc>
          <w:tcPr>
            <w:tcW w:w="1211"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 xml:space="preserve">Saneamiento Propiedad </w:t>
            </w:r>
            <w:r>
              <w:rPr>
                <w:bCs/>
                <w:i/>
                <w:spacing w:val="0"/>
                <w:w w:val="100"/>
                <w:kern w:val="0"/>
                <w:sz w:val="16"/>
                <w:lang w:eastAsia="es-ES_tradnl"/>
              </w:rPr>
              <w:br/>
            </w:r>
            <w:r w:rsidRPr="00B709C8">
              <w:rPr>
                <w:bCs/>
                <w:i/>
                <w:spacing w:val="0"/>
                <w:w w:val="100"/>
                <w:kern w:val="0"/>
                <w:sz w:val="16"/>
                <w:lang w:val="es-ES_tradnl" w:eastAsia="es-ES_tradnl"/>
              </w:rPr>
              <w:t>Ind</w:t>
            </w:r>
            <w:r w:rsidRPr="00B709C8">
              <w:rPr>
                <w:bCs/>
                <w:i/>
                <w:spacing w:val="0"/>
                <w:w w:val="100"/>
                <w:kern w:val="0"/>
                <w:sz w:val="16"/>
                <w:lang w:val="es-ES_tradnl" w:eastAsia="es-ES_tradnl"/>
              </w:rPr>
              <w:t>í</w:t>
            </w:r>
            <w:r w:rsidRPr="00B709C8">
              <w:rPr>
                <w:bCs/>
                <w:i/>
                <w:spacing w:val="0"/>
                <w:w w:val="100"/>
                <w:kern w:val="0"/>
                <w:sz w:val="16"/>
                <w:lang w:val="es-ES_tradnl" w:eastAsia="es-ES_tradnl"/>
              </w:rPr>
              <w:t>gena</w:t>
            </w:r>
          </w:p>
        </w:tc>
        <w:tc>
          <w:tcPr>
            <w:tcW w:w="897" w:type="dxa"/>
            <w:tcBorders>
              <w:top w:val="single" w:sz="4" w:space="0" w:color="auto"/>
              <w:bottom w:val="single" w:sz="12" w:space="0" w:color="auto"/>
            </w:tcBorders>
            <w:shd w:val="clear" w:color="auto" w:fill="auto"/>
            <w:vAlign w:val="bottom"/>
          </w:tcPr>
          <w:p w:rsidR="009F61C6" w:rsidRPr="00B709C8" w:rsidRDefault="009F61C6" w:rsidP="009F61C6">
            <w:pPr>
              <w:autoSpaceDE w:val="0"/>
              <w:autoSpaceDN w:val="0"/>
              <w:adjustRightInd w:val="0"/>
              <w:spacing w:before="80" w:after="80" w:line="200" w:lineRule="exact"/>
              <w:ind w:left="113"/>
              <w:jc w:val="right"/>
              <w:rPr>
                <w:bCs/>
                <w:i/>
                <w:spacing w:val="0"/>
                <w:w w:val="100"/>
                <w:kern w:val="0"/>
                <w:sz w:val="16"/>
                <w:lang w:val="es-ES_tradnl" w:eastAsia="es-ES_tradnl"/>
              </w:rPr>
            </w:pPr>
            <w:r w:rsidRPr="00B709C8">
              <w:rPr>
                <w:bCs/>
                <w:i/>
                <w:spacing w:val="0"/>
                <w:w w:val="100"/>
                <w:kern w:val="0"/>
                <w:sz w:val="16"/>
                <w:lang w:val="es-ES_tradnl" w:eastAsia="es-ES_tradnl"/>
              </w:rPr>
              <w:t>TOTAL</w:t>
            </w:r>
          </w:p>
        </w:tc>
      </w:tr>
      <w:tr w:rsidR="009F61C6" w:rsidRPr="00B709C8" w:rsidTr="009F61C6">
        <w:trPr>
          <w:trHeight w:val="240"/>
        </w:trPr>
        <w:tc>
          <w:tcPr>
            <w:tcW w:w="1500" w:type="dxa"/>
            <w:tcBorders>
              <w:top w:val="single" w:sz="12" w:space="0" w:color="auto"/>
            </w:tcBorders>
            <w:shd w:val="clear" w:color="auto" w:fill="auto"/>
          </w:tcPr>
          <w:p w:rsidR="009F61C6" w:rsidRPr="00B709C8" w:rsidRDefault="009F61C6" w:rsidP="009F61C6">
            <w:pPr>
              <w:autoSpaceDE w:val="0"/>
              <w:autoSpaceDN w:val="0"/>
              <w:adjustRightInd w:val="0"/>
              <w:spacing w:before="40" w:after="40" w:line="220" w:lineRule="exact"/>
              <w:rPr>
                <w:bCs/>
                <w:spacing w:val="0"/>
                <w:w w:val="100"/>
                <w:kern w:val="0"/>
                <w:sz w:val="18"/>
                <w:lang w:val="es-ES_tradnl" w:eastAsia="es-ES_tradnl"/>
              </w:rPr>
            </w:pPr>
            <w:r w:rsidRPr="00B709C8">
              <w:rPr>
                <w:bCs/>
                <w:spacing w:val="0"/>
                <w:w w:val="100"/>
                <w:kern w:val="0"/>
                <w:sz w:val="18"/>
                <w:lang w:val="es-ES_tradnl" w:eastAsia="es-ES_tradnl"/>
              </w:rPr>
              <w:t>Total período 1994-2010 (hect</w:t>
            </w:r>
            <w:r w:rsidRPr="00B709C8">
              <w:rPr>
                <w:bCs/>
                <w:spacing w:val="0"/>
                <w:w w:val="100"/>
                <w:kern w:val="0"/>
                <w:sz w:val="18"/>
                <w:lang w:val="es-ES_tradnl" w:eastAsia="es-ES_tradnl"/>
              </w:rPr>
              <w:t>á</w:t>
            </w:r>
            <w:r w:rsidRPr="00B709C8">
              <w:rPr>
                <w:bCs/>
                <w:spacing w:val="0"/>
                <w:w w:val="100"/>
                <w:kern w:val="0"/>
                <w:sz w:val="18"/>
                <w:lang w:val="es-ES_tradnl" w:eastAsia="es-ES_tradnl"/>
              </w:rPr>
              <w:t>reas)</w:t>
            </w:r>
          </w:p>
        </w:tc>
        <w:tc>
          <w:tcPr>
            <w:tcW w:w="936"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95.814</w:t>
            </w:r>
          </w:p>
        </w:tc>
        <w:tc>
          <w:tcPr>
            <w:tcW w:w="759"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27.240</w:t>
            </w:r>
          </w:p>
        </w:tc>
        <w:tc>
          <w:tcPr>
            <w:tcW w:w="1093"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2.286</w:t>
            </w:r>
          </w:p>
        </w:tc>
        <w:tc>
          <w:tcPr>
            <w:tcW w:w="974"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306.735</w:t>
            </w:r>
          </w:p>
        </w:tc>
        <w:tc>
          <w:tcPr>
            <w:tcW w:w="1211"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235.382</w:t>
            </w:r>
          </w:p>
        </w:tc>
        <w:tc>
          <w:tcPr>
            <w:tcW w:w="897" w:type="dxa"/>
            <w:tcBorders>
              <w:top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667.475</w:t>
            </w:r>
          </w:p>
        </w:tc>
      </w:tr>
      <w:tr w:rsidR="009F61C6" w:rsidRPr="00B709C8" w:rsidTr="009F61C6">
        <w:trPr>
          <w:trHeight w:val="240"/>
        </w:trPr>
        <w:tc>
          <w:tcPr>
            <w:tcW w:w="1500" w:type="dxa"/>
            <w:shd w:val="clear" w:color="auto" w:fill="auto"/>
          </w:tcPr>
          <w:p w:rsidR="009F61C6" w:rsidRPr="00B709C8" w:rsidRDefault="009F61C6" w:rsidP="009F61C6">
            <w:pPr>
              <w:autoSpaceDE w:val="0"/>
              <w:autoSpaceDN w:val="0"/>
              <w:adjustRightInd w:val="0"/>
              <w:spacing w:before="40" w:after="40" w:line="220" w:lineRule="exact"/>
              <w:rPr>
                <w:bCs/>
                <w:spacing w:val="0"/>
                <w:w w:val="100"/>
                <w:kern w:val="0"/>
                <w:sz w:val="18"/>
                <w:lang w:val="es-ES_tradnl" w:eastAsia="es-ES_tradnl"/>
              </w:rPr>
            </w:pPr>
            <w:r w:rsidRPr="00B709C8">
              <w:rPr>
                <w:bCs/>
                <w:spacing w:val="0"/>
                <w:w w:val="100"/>
                <w:kern w:val="0"/>
                <w:sz w:val="18"/>
                <w:lang w:val="es-ES_tradnl" w:eastAsia="es-ES_tradnl"/>
              </w:rPr>
              <w:t>Familias (Nº)</w:t>
            </w:r>
          </w:p>
        </w:tc>
        <w:tc>
          <w:tcPr>
            <w:tcW w:w="936"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8.413</w:t>
            </w:r>
          </w:p>
        </w:tc>
        <w:tc>
          <w:tcPr>
            <w:tcW w:w="759"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3.285</w:t>
            </w:r>
          </w:p>
        </w:tc>
        <w:tc>
          <w:tcPr>
            <w:tcW w:w="1093"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974"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1211"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897"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11.698</w:t>
            </w:r>
          </w:p>
        </w:tc>
      </w:tr>
      <w:tr w:rsidR="009F61C6" w:rsidRPr="00B709C8" w:rsidTr="009F61C6">
        <w:trPr>
          <w:trHeight w:val="240"/>
        </w:trPr>
        <w:tc>
          <w:tcPr>
            <w:tcW w:w="1500" w:type="dxa"/>
            <w:shd w:val="clear" w:color="auto" w:fill="auto"/>
          </w:tcPr>
          <w:p w:rsidR="009F61C6" w:rsidRPr="00B709C8" w:rsidRDefault="009F61C6" w:rsidP="009F61C6">
            <w:pPr>
              <w:autoSpaceDE w:val="0"/>
              <w:autoSpaceDN w:val="0"/>
              <w:adjustRightInd w:val="0"/>
              <w:spacing w:before="40" w:after="40" w:line="220" w:lineRule="exact"/>
              <w:rPr>
                <w:bCs/>
                <w:spacing w:val="0"/>
                <w:w w:val="100"/>
                <w:kern w:val="0"/>
                <w:sz w:val="18"/>
                <w:lang w:val="es-ES_tradnl" w:eastAsia="es-ES_tradnl"/>
              </w:rPr>
            </w:pPr>
            <w:r w:rsidRPr="00B709C8">
              <w:rPr>
                <w:bCs/>
                <w:spacing w:val="0"/>
                <w:w w:val="100"/>
                <w:kern w:val="0"/>
                <w:sz w:val="18"/>
                <w:lang w:val="es-ES_tradnl" w:eastAsia="es-ES_tradnl"/>
              </w:rPr>
              <w:t>Comunidades (Nº)</w:t>
            </w:r>
          </w:p>
        </w:tc>
        <w:tc>
          <w:tcPr>
            <w:tcW w:w="936"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271</w:t>
            </w:r>
          </w:p>
        </w:tc>
        <w:tc>
          <w:tcPr>
            <w:tcW w:w="759"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171</w:t>
            </w:r>
          </w:p>
        </w:tc>
        <w:tc>
          <w:tcPr>
            <w:tcW w:w="1093"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974"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1211"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897" w:type="dxa"/>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442</w:t>
            </w:r>
          </w:p>
        </w:tc>
      </w:tr>
      <w:tr w:rsidR="009F61C6" w:rsidRPr="00B709C8" w:rsidTr="009F61C6">
        <w:trPr>
          <w:trHeight w:val="240"/>
        </w:trPr>
        <w:tc>
          <w:tcPr>
            <w:tcW w:w="1500" w:type="dxa"/>
            <w:tcBorders>
              <w:bottom w:val="single" w:sz="12" w:space="0" w:color="auto"/>
            </w:tcBorders>
            <w:shd w:val="clear" w:color="auto" w:fill="auto"/>
          </w:tcPr>
          <w:p w:rsidR="009F61C6" w:rsidRPr="00B709C8" w:rsidRDefault="009F61C6" w:rsidP="009F61C6">
            <w:pPr>
              <w:autoSpaceDE w:val="0"/>
              <w:autoSpaceDN w:val="0"/>
              <w:adjustRightInd w:val="0"/>
              <w:spacing w:before="40" w:after="40" w:line="220" w:lineRule="exact"/>
              <w:rPr>
                <w:bCs/>
                <w:spacing w:val="0"/>
                <w:w w:val="100"/>
                <w:kern w:val="0"/>
                <w:sz w:val="18"/>
                <w:lang w:val="es-ES_tradnl" w:eastAsia="es-ES_tradnl"/>
              </w:rPr>
            </w:pPr>
            <w:r w:rsidRPr="00B709C8">
              <w:rPr>
                <w:bCs/>
                <w:spacing w:val="0"/>
                <w:w w:val="100"/>
                <w:kern w:val="0"/>
                <w:sz w:val="18"/>
                <w:lang w:val="es-ES_tradnl" w:eastAsia="es-ES_tradnl"/>
              </w:rPr>
              <w:t xml:space="preserve">Subsidios </w:t>
            </w:r>
            <w:r>
              <w:rPr>
                <w:bCs/>
                <w:spacing w:val="0"/>
                <w:w w:val="100"/>
                <w:kern w:val="0"/>
                <w:sz w:val="18"/>
                <w:lang w:eastAsia="es-ES_tradnl"/>
              </w:rPr>
              <w:br/>
            </w:r>
            <w:r w:rsidRPr="00B709C8">
              <w:rPr>
                <w:bCs/>
                <w:spacing w:val="0"/>
                <w:w w:val="100"/>
                <w:kern w:val="0"/>
                <w:sz w:val="18"/>
                <w:lang w:val="es-ES_tradnl" w:eastAsia="es-ES_tradnl"/>
              </w:rPr>
              <w:t>Individu</w:t>
            </w:r>
            <w:r w:rsidRPr="00B709C8">
              <w:rPr>
                <w:bCs/>
                <w:spacing w:val="0"/>
                <w:w w:val="100"/>
                <w:kern w:val="0"/>
                <w:sz w:val="18"/>
                <w:lang w:val="es-ES_tradnl" w:eastAsia="es-ES_tradnl"/>
              </w:rPr>
              <w:t>a</w:t>
            </w:r>
            <w:r w:rsidRPr="00B709C8">
              <w:rPr>
                <w:bCs/>
                <w:spacing w:val="0"/>
                <w:w w:val="100"/>
                <w:kern w:val="0"/>
                <w:sz w:val="18"/>
                <w:lang w:val="es-ES_tradnl" w:eastAsia="es-ES_tradnl"/>
              </w:rPr>
              <w:t>les</w:t>
            </w:r>
          </w:p>
        </w:tc>
        <w:tc>
          <w:tcPr>
            <w:tcW w:w="936"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p>
        </w:tc>
        <w:tc>
          <w:tcPr>
            <w:tcW w:w="759"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1.466</w:t>
            </w:r>
          </w:p>
        </w:tc>
        <w:tc>
          <w:tcPr>
            <w:tcW w:w="1093"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1.012</w:t>
            </w:r>
          </w:p>
        </w:tc>
        <w:tc>
          <w:tcPr>
            <w:tcW w:w="974"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4.013</w:t>
            </w:r>
          </w:p>
        </w:tc>
        <w:tc>
          <w:tcPr>
            <w:tcW w:w="1211"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1.108</w:t>
            </w:r>
          </w:p>
        </w:tc>
        <w:tc>
          <w:tcPr>
            <w:tcW w:w="897" w:type="dxa"/>
            <w:tcBorders>
              <w:bottom w:val="single" w:sz="12" w:space="0" w:color="auto"/>
            </w:tcBorders>
            <w:shd w:val="clear" w:color="auto" w:fill="auto"/>
            <w:vAlign w:val="bottom"/>
          </w:tcPr>
          <w:p w:rsidR="009F61C6" w:rsidRPr="00B709C8" w:rsidRDefault="009F61C6" w:rsidP="009F61C6">
            <w:pPr>
              <w:autoSpaceDE w:val="0"/>
              <w:autoSpaceDN w:val="0"/>
              <w:adjustRightInd w:val="0"/>
              <w:spacing w:before="40" w:after="40" w:line="220" w:lineRule="exact"/>
              <w:ind w:left="113"/>
              <w:jc w:val="right"/>
              <w:rPr>
                <w:bCs/>
                <w:spacing w:val="0"/>
                <w:w w:val="100"/>
                <w:kern w:val="0"/>
                <w:sz w:val="18"/>
                <w:lang w:val="es-ES_tradnl" w:eastAsia="es-ES_tradnl"/>
              </w:rPr>
            </w:pPr>
            <w:r w:rsidRPr="00B709C8">
              <w:rPr>
                <w:bCs/>
                <w:spacing w:val="0"/>
                <w:w w:val="100"/>
                <w:kern w:val="0"/>
                <w:sz w:val="18"/>
                <w:lang w:val="es-ES_tradnl" w:eastAsia="es-ES_tradnl"/>
              </w:rPr>
              <w:t>7.599</w:t>
            </w:r>
          </w:p>
        </w:tc>
      </w:tr>
    </w:tbl>
    <w:p w:rsidR="009F61C6" w:rsidRDefault="009F61C6" w:rsidP="009F61C6">
      <w:pPr>
        <w:spacing w:before="120" w:after="240"/>
        <w:ind w:left="567" w:firstLine="567"/>
        <w:rPr>
          <w:sz w:val="18"/>
          <w:szCs w:val="18"/>
        </w:rPr>
      </w:pPr>
      <w:r w:rsidRPr="00AD3396">
        <w:rPr>
          <w:i/>
          <w:sz w:val="18"/>
          <w:szCs w:val="18"/>
        </w:rPr>
        <w:t>Fuente:</w:t>
      </w:r>
      <w:r w:rsidRPr="00AD3396">
        <w:rPr>
          <w:sz w:val="18"/>
          <w:szCs w:val="18"/>
        </w:rPr>
        <w:t xml:space="preserve"> CONADI</w:t>
      </w:r>
    </w:p>
    <w:p w:rsidR="009F61C6" w:rsidRPr="00841274" w:rsidRDefault="009F61C6" w:rsidP="009F61C6">
      <w:pPr>
        <w:pStyle w:val="H1G"/>
        <w:rPr>
          <w:lang w:val="en-US"/>
        </w:rPr>
      </w:pPr>
      <w:r w:rsidRPr="00841274">
        <w:rPr>
          <w:lang w:val="en-US"/>
        </w:rPr>
        <w:tab/>
        <w:t>VI.</w:t>
      </w:r>
      <w:r w:rsidRPr="00841274">
        <w:rPr>
          <w:lang w:val="en-US"/>
        </w:rPr>
        <w:tab/>
        <w:t>Resumen ejecución art. 20 letra b), año 2011, por región</w:t>
      </w:r>
    </w:p>
    <w:tbl>
      <w:tblPr>
        <w:tblW w:w="7370" w:type="dxa"/>
        <w:tblInd w:w="1134" w:type="dxa"/>
        <w:tblBorders>
          <w:top w:val="single" w:sz="4" w:space="0" w:color="auto"/>
        </w:tblBorders>
        <w:tblCellMar>
          <w:left w:w="0" w:type="dxa"/>
          <w:right w:w="0" w:type="dxa"/>
        </w:tblCellMar>
        <w:tblLook w:val="04A0"/>
      </w:tblPr>
      <w:tblGrid>
        <w:gridCol w:w="1696"/>
        <w:gridCol w:w="1801"/>
        <w:gridCol w:w="1238"/>
        <w:gridCol w:w="762"/>
        <w:gridCol w:w="993"/>
        <w:gridCol w:w="880"/>
      </w:tblGrid>
      <w:tr w:rsidR="009F61C6" w:rsidRPr="00B709C8" w:rsidTr="009F61C6">
        <w:trPr>
          <w:trHeight w:val="240"/>
          <w:tblHeader/>
        </w:trPr>
        <w:tc>
          <w:tcPr>
            <w:tcW w:w="1194"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rPr>
                <w:bCs/>
                <w:i/>
                <w:spacing w:val="0"/>
                <w:w w:val="100"/>
                <w:kern w:val="0"/>
                <w:sz w:val="16"/>
                <w:lang w:val="es-ES_tradnl" w:eastAsia="es-CL"/>
              </w:rPr>
            </w:pPr>
            <w:r w:rsidRPr="00B709C8">
              <w:rPr>
                <w:bCs/>
                <w:i/>
                <w:spacing w:val="0"/>
                <w:w w:val="100"/>
                <w:kern w:val="0"/>
                <w:sz w:val="16"/>
                <w:lang w:val="es-ES_tradnl" w:eastAsia="es-CL"/>
              </w:rPr>
              <w:t>Región</w:t>
            </w:r>
          </w:p>
        </w:tc>
        <w:tc>
          <w:tcPr>
            <w:tcW w:w="1265"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Número de predios</w:t>
            </w:r>
          </w:p>
        </w:tc>
        <w:tc>
          <w:tcPr>
            <w:tcW w:w="817"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Inversión</w:t>
            </w:r>
          </w:p>
        </w:tc>
        <w:tc>
          <w:tcPr>
            <w:tcW w:w="443"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Superficie</w:t>
            </w:r>
          </w:p>
        </w:tc>
        <w:tc>
          <w:tcPr>
            <w:tcW w:w="640"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Comunidades</w:t>
            </w:r>
          </w:p>
        </w:tc>
        <w:tc>
          <w:tcPr>
            <w:tcW w:w="640"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Nº familias</w:t>
            </w:r>
          </w:p>
        </w:tc>
      </w:tr>
      <w:tr w:rsidR="009F61C6" w:rsidRPr="00B709C8" w:rsidTr="009F61C6">
        <w:trPr>
          <w:trHeight w:val="240"/>
        </w:trPr>
        <w:tc>
          <w:tcPr>
            <w:tcW w:w="1194" w:type="pct"/>
            <w:tcBorders>
              <w:top w:val="single" w:sz="12" w:space="0" w:color="auto"/>
            </w:tcBorders>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Bío Bío</w:t>
            </w:r>
          </w:p>
        </w:tc>
        <w:tc>
          <w:tcPr>
            <w:tcW w:w="1265"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9</w:t>
            </w:r>
          </w:p>
        </w:tc>
        <w:tc>
          <w:tcPr>
            <w:tcW w:w="817"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587.594.041</w:t>
            </w:r>
          </w:p>
        </w:tc>
        <w:tc>
          <w:tcPr>
            <w:tcW w:w="443"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249,8</w:t>
            </w:r>
          </w:p>
        </w:tc>
        <w:tc>
          <w:tcPr>
            <w:tcW w:w="640"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8</w:t>
            </w:r>
          </w:p>
        </w:tc>
        <w:tc>
          <w:tcPr>
            <w:tcW w:w="640"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26</w:t>
            </w:r>
          </w:p>
        </w:tc>
      </w:tr>
      <w:tr w:rsidR="009F61C6" w:rsidRPr="00B709C8" w:rsidTr="009F61C6">
        <w:trPr>
          <w:trHeight w:val="240"/>
        </w:trPr>
        <w:tc>
          <w:tcPr>
            <w:tcW w:w="1194" w:type="pct"/>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La Araucanía</w:t>
            </w:r>
          </w:p>
        </w:tc>
        <w:tc>
          <w:tcPr>
            <w:tcW w:w="1265"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43</w:t>
            </w:r>
          </w:p>
        </w:tc>
        <w:tc>
          <w:tcPr>
            <w:tcW w:w="817"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25.412.513.946</w:t>
            </w:r>
          </w:p>
        </w:tc>
        <w:tc>
          <w:tcPr>
            <w:tcW w:w="443"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9.596,3</w:t>
            </w:r>
          </w:p>
        </w:tc>
        <w:tc>
          <w:tcPr>
            <w:tcW w:w="640"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34</w:t>
            </w:r>
          </w:p>
        </w:tc>
        <w:tc>
          <w:tcPr>
            <w:tcW w:w="640"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1.113</w:t>
            </w:r>
          </w:p>
        </w:tc>
      </w:tr>
      <w:tr w:rsidR="009F61C6" w:rsidRPr="00B709C8" w:rsidTr="009F61C6">
        <w:trPr>
          <w:trHeight w:val="240"/>
        </w:trPr>
        <w:tc>
          <w:tcPr>
            <w:tcW w:w="1194" w:type="pct"/>
            <w:tcBorders>
              <w:bottom w:val="single" w:sz="4" w:space="0" w:color="auto"/>
            </w:tcBorders>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Los Ríos</w:t>
            </w:r>
          </w:p>
        </w:tc>
        <w:tc>
          <w:tcPr>
            <w:tcW w:w="1265"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2</w:t>
            </w:r>
          </w:p>
        </w:tc>
        <w:tc>
          <w:tcPr>
            <w:tcW w:w="817"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1.407.000.000</w:t>
            </w:r>
          </w:p>
        </w:tc>
        <w:tc>
          <w:tcPr>
            <w:tcW w:w="443"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488,5</w:t>
            </w:r>
          </w:p>
        </w:tc>
        <w:tc>
          <w:tcPr>
            <w:tcW w:w="640"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2</w:t>
            </w:r>
          </w:p>
        </w:tc>
        <w:tc>
          <w:tcPr>
            <w:tcW w:w="640"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42</w:t>
            </w:r>
          </w:p>
        </w:tc>
      </w:tr>
      <w:tr w:rsidR="009F61C6" w:rsidRPr="00B709C8" w:rsidTr="009F61C6">
        <w:trPr>
          <w:trHeight w:val="240"/>
        </w:trPr>
        <w:tc>
          <w:tcPr>
            <w:tcW w:w="1194" w:type="pct"/>
            <w:tcBorders>
              <w:top w:val="single" w:sz="4" w:space="0" w:color="auto"/>
              <w:bottom w:val="single" w:sz="12" w:space="0" w:color="auto"/>
            </w:tcBorders>
            <w:shd w:val="clear" w:color="auto" w:fill="auto"/>
            <w:noWrap/>
          </w:tcPr>
          <w:p w:rsidR="009F61C6" w:rsidRPr="00B709C8" w:rsidRDefault="009F61C6" w:rsidP="009F61C6">
            <w:pPr>
              <w:spacing w:before="40" w:after="40" w:line="220" w:lineRule="exact"/>
              <w:rPr>
                <w:b/>
                <w:bCs/>
                <w:spacing w:val="0"/>
                <w:w w:val="100"/>
                <w:kern w:val="0"/>
                <w:sz w:val="18"/>
                <w:lang w:val="es-ES_tradnl" w:eastAsia="es-CL"/>
              </w:rPr>
            </w:pPr>
            <w:r w:rsidRPr="00B709C8">
              <w:rPr>
                <w:b/>
                <w:bCs/>
                <w:spacing w:val="0"/>
                <w:w w:val="100"/>
                <w:kern w:val="0"/>
                <w:sz w:val="18"/>
                <w:lang w:val="es-ES_tradnl" w:eastAsia="es-CL"/>
              </w:rPr>
              <w:t>Total</w:t>
            </w:r>
          </w:p>
        </w:tc>
        <w:tc>
          <w:tcPr>
            <w:tcW w:w="1265"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54</w:t>
            </w:r>
          </w:p>
        </w:tc>
        <w:tc>
          <w:tcPr>
            <w:tcW w:w="817"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7.407.107.987</w:t>
            </w:r>
          </w:p>
        </w:tc>
        <w:tc>
          <w:tcPr>
            <w:tcW w:w="443"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10.335</w:t>
            </w:r>
          </w:p>
        </w:tc>
        <w:tc>
          <w:tcPr>
            <w:tcW w:w="640"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44</w:t>
            </w:r>
          </w:p>
        </w:tc>
        <w:tc>
          <w:tcPr>
            <w:tcW w:w="640"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1.181</w:t>
            </w:r>
          </w:p>
        </w:tc>
      </w:tr>
    </w:tbl>
    <w:p w:rsidR="009F61C6" w:rsidRPr="00CF1B5B" w:rsidRDefault="009F61C6" w:rsidP="009F61C6">
      <w:pPr>
        <w:spacing w:before="120" w:after="240"/>
        <w:ind w:left="567" w:firstLine="567"/>
        <w:rPr>
          <w:i/>
          <w:sz w:val="18"/>
          <w:szCs w:val="18"/>
        </w:rPr>
      </w:pPr>
      <w:r w:rsidRPr="00CF1B5B">
        <w:rPr>
          <w:i/>
          <w:sz w:val="18"/>
          <w:szCs w:val="18"/>
        </w:rPr>
        <w:t xml:space="preserve">*Incluye: </w:t>
      </w:r>
      <w:r w:rsidRPr="00CF1B5B">
        <w:rPr>
          <w:sz w:val="18"/>
          <w:szCs w:val="18"/>
        </w:rPr>
        <w:t>22 comunidades 115/ 9 sitios culturales / 3 caso lonkos /1 comunidad 308/ 12 otras.</w:t>
      </w:r>
    </w:p>
    <w:p w:rsidR="009F61C6" w:rsidRPr="00841274" w:rsidRDefault="009F61C6" w:rsidP="009F61C6">
      <w:pPr>
        <w:pStyle w:val="H1G"/>
        <w:rPr>
          <w:lang w:val="en-US"/>
        </w:rPr>
      </w:pPr>
      <w:r w:rsidRPr="00841274">
        <w:rPr>
          <w:lang w:val="en-US"/>
        </w:rPr>
        <w:tab/>
        <w:t>VII.</w:t>
      </w:r>
      <w:r w:rsidRPr="00841274">
        <w:rPr>
          <w:lang w:val="en-US"/>
        </w:rPr>
        <w:tab/>
        <w:t>Resumen ejecución art. 20 letra b), año 2011, por unidad operativa</w:t>
      </w:r>
    </w:p>
    <w:tbl>
      <w:tblPr>
        <w:tblW w:w="7370" w:type="dxa"/>
        <w:tblInd w:w="1134" w:type="dxa"/>
        <w:tblBorders>
          <w:top w:val="single" w:sz="4" w:space="0" w:color="auto"/>
        </w:tblBorders>
        <w:tblCellMar>
          <w:left w:w="0" w:type="dxa"/>
          <w:right w:w="0" w:type="dxa"/>
        </w:tblCellMar>
        <w:tblLook w:val="04A0"/>
      </w:tblPr>
      <w:tblGrid>
        <w:gridCol w:w="2070"/>
        <w:gridCol w:w="2648"/>
        <w:gridCol w:w="1726"/>
        <w:gridCol w:w="926"/>
      </w:tblGrid>
      <w:tr w:rsidR="009F61C6" w:rsidRPr="00B709C8" w:rsidTr="009F61C6">
        <w:trPr>
          <w:trHeight w:val="240"/>
          <w:tblHeader/>
        </w:trPr>
        <w:tc>
          <w:tcPr>
            <w:tcW w:w="1404"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rPr>
                <w:bCs/>
                <w:i/>
                <w:spacing w:val="0"/>
                <w:w w:val="100"/>
                <w:kern w:val="0"/>
                <w:sz w:val="16"/>
                <w:lang w:val="es-ES_tradnl" w:eastAsia="es-CL"/>
              </w:rPr>
            </w:pPr>
            <w:r w:rsidRPr="00B709C8">
              <w:rPr>
                <w:bCs/>
                <w:i/>
                <w:spacing w:val="0"/>
                <w:w w:val="100"/>
                <w:kern w:val="0"/>
                <w:sz w:val="16"/>
                <w:lang w:val="es-ES_tradnl" w:eastAsia="es-CL"/>
              </w:rPr>
              <w:t xml:space="preserve">Unidad Operativa </w:t>
            </w:r>
          </w:p>
        </w:tc>
        <w:tc>
          <w:tcPr>
            <w:tcW w:w="1796"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Devengado $</w:t>
            </w:r>
          </w:p>
        </w:tc>
        <w:tc>
          <w:tcPr>
            <w:tcW w:w="1171"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 xml:space="preserve">Superficie </w:t>
            </w:r>
          </w:p>
        </w:tc>
        <w:tc>
          <w:tcPr>
            <w:tcW w:w="628" w:type="pct"/>
            <w:tcBorders>
              <w:top w:val="single" w:sz="4" w:space="0" w:color="auto"/>
              <w:bottom w:val="single" w:sz="12" w:space="0" w:color="auto"/>
            </w:tcBorders>
            <w:shd w:val="clear" w:color="auto" w:fill="auto"/>
            <w:noWrap/>
            <w:vAlign w:val="bottom"/>
          </w:tcPr>
          <w:p w:rsidR="009F61C6" w:rsidRPr="00B709C8" w:rsidRDefault="009F61C6" w:rsidP="009F61C6">
            <w:pPr>
              <w:spacing w:before="80" w:after="80" w:line="200" w:lineRule="exact"/>
              <w:ind w:left="113"/>
              <w:jc w:val="right"/>
              <w:rPr>
                <w:bCs/>
                <w:i/>
                <w:spacing w:val="0"/>
                <w:w w:val="100"/>
                <w:kern w:val="0"/>
                <w:sz w:val="16"/>
                <w:lang w:val="es-ES_tradnl" w:eastAsia="es-CL"/>
              </w:rPr>
            </w:pPr>
            <w:r w:rsidRPr="00B709C8">
              <w:rPr>
                <w:bCs/>
                <w:i/>
                <w:spacing w:val="0"/>
                <w:w w:val="100"/>
                <w:kern w:val="0"/>
                <w:sz w:val="16"/>
                <w:lang w:val="es-ES_tradnl" w:eastAsia="es-CL"/>
              </w:rPr>
              <w:t xml:space="preserve">Familias </w:t>
            </w:r>
          </w:p>
        </w:tc>
      </w:tr>
      <w:tr w:rsidR="009F61C6" w:rsidRPr="00B709C8" w:rsidTr="009F61C6">
        <w:trPr>
          <w:trHeight w:val="240"/>
        </w:trPr>
        <w:tc>
          <w:tcPr>
            <w:tcW w:w="1404" w:type="pct"/>
            <w:tcBorders>
              <w:top w:val="single" w:sz="12" w:space="0" w:color="auto"/>
            </w:tcBorders>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SDNT</w:t>
            </w:r>
          </w:p>
        </w:tc>
        <w:tc>
          <w:tcPr>
            <w:tcW w:w="1796"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$6.780.485.892 </w:t>
            </w:r>
          </w:p>
        </w:tc>
        <w:tc>
          <w:tcPr>
            <w:tcW w:w="1171"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2.567,00   </w:t>
            </w:r>
          </w:p>
        </w:tc>
        <w:tc>
          <w:tcPr>
            <w:tcW w:w="628" w:type="pct"/>
            <w:tcBorders>
              <w:top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367</w:t>
            </w:r>
          </w:p>
        </w:tc>
      </w:tr>
      <w:tr w:rsidR="009F61C6" w:rsidRPr="00B709C8" w:rsidTr="009F61C6">
        <w:trPr>
          <w:trHeight w:val="240"/>
        </w:trPr>
        <w:tc>
          <w:tcPr>
            <w:tcW w:w="1404" w:type="pct"/>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DR Osorno</w:t>
            </w:r>
          </w:p>
        </w:tc>
        <w:tc>
          <w:tcPr>
            <w:tcW w:w="1796"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$771.116.311 </w:t>
            </w:r>
          </w:p>
        </w:tc>
        <w:tc>
          <w:tcPr>
            <w:tcW w:w="1171"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322,11   </w:t>
            </w:r>
          </w:p>
        </w:tc>
        <w:tc>
          <w:tcPr>
            <w:tcW w:w="628"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41</w:t>
            </w:r>
          </w:p>
        </w:tc>
      </w:tr>
      <w:tr w:rsidR="009F61C6" w:rsidRPr="00B709C8" w:rsidTr="009F61C6">
        <w:trPr>
          <w:trHeight w:val="240"/>
        </w:trPr>
        <w:tc>
          <w:tcPr>
            <w:tcW w:w="1404" w:type="pct"/>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DR Cañete</w:t>
            </w:r>
          </w:p>
        </w:tc>
        <w:tc>
          <w:tcPr>
            <w:tcW w:w="1796"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$1.836.337.363 </w:t>
            </w:r>
          </w:p>
        </w:tc>
        <w:tc>
          <w:tcPr>
            <w:tcW w:w="1171"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736,84   </w:t>
            </w:r>
          </w:p>
        </w:tc>
        <w:tc>
          <w:tcPr>
            <w:tcW w:w="628"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87</w:t>
            </w:r>
          </w:p>
        </w:tc>
      </w:tr>
      <w:tr w:rsidR="009F61C6" w:rsidRPr="00B709C8" w:rsidTr="009F61C6">
        <w:trPr>
          <w:trHeight w:val="240"/>
        </w:trPr>
        <w:tc>
          <w:tcPr>
            <w:tcW w:w="1404" w:type="pct"/>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Of. Punta Arenas</w:t>
            </w:r>
          </w:p>
        </w:tc>
        <w:tc>
          <w:tcPr>
            <w:tcW w:w="1796"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$1.038.131.525 </w:t>
            </w:r>
          </w:p>
        </w:tc>
        <w:tc>
          <w:tcPr>
            <w:tcW w:w="1171"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79,48   </w:t>
            </w:r>
          </w:p>
        </w:tc>
        <w:tc>
          <w:tcPr>
            <w:tcW w:w="628" w:type="pct"/>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50</w:t>
            </w:r>
          </w:p>
        </w:tc>
      </w:tr>
      <w:tr w:rsidR="009F61C6" w:rsidRPr="00B709C8" w:rsidTr="009F61C6">
        <w:trPr>
          <w:trHeight w:val="240"/>
        </w:trPr>
        <w:tc>
          <w:tcPr>
            <w:tcW w:w="1404" w:type="pct"/>
            <w:tcBorders>
              <w:bottom w:val="single" w:sz="4" w:space="0" w:color="auto"/>
            </w:tcBorders>
            <w:shd w:val="clear" w:color="auto" w:fill="auto"/>
            <w:noWrap/>
          </w:tcPr>
          <w:p w:rsidR="009F61C6" w:rsidRPr="00B709C8" w:rsidRDefault="009F61C6" w:rsidP="009F61C6">
            <w:pPr>
              <w:spacing w:before="40" w:after="40" w:line="220" w:lineRule="exact"/>
              <w:rPr>
                <w:spacing w:val="0"/>
                <w:w w:val="100"/>
                <w:kern w:val="0"/>
                <w:sz w:val="18"/>
                <w:lang w:val="es-ES_tradnl" w:eastAsia="es-CL"/>
              </w:rPr>
            </w:pPr>
            <w:r w:rsidRPr="00B709C8">
              <w:rPr>
                <w:spacing w:val="0"/>
                <w:w w:val="100"/>
                <w:kern w:val="0"/>
                <w:sz w:val="18"/>
                <w:lang w:val="es-ES_tradnl" w:eastAsia="es-CL"/>
              </w:rPr>
              <w:t xml:space="preserve">DR Valdivia </w:t>
            </w:r>
          </w:p>
        </w:tc>
        <w:tc>
          <w:tcPr>
            <w:tcW w:w="1796"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$1.203.694.271 </w:t>
            </w:r>
          </w:p>
        </w:tc>
        <w:tc>
          <w:tcPr>
            <w:tcW w:w="1171"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 xml:space="preserve">465,39   </w:t>
            </w:r>
          </w:p>
        </w:tc>
        <w:tc>
          <w:tcPr>
            <w:tcW w:w="628" w:type="pct"/>
            <w:tcBorders>
              <w:bottom w:val="single" w:sz="4" w:space="0" w:color="auto"/>
            </w:tcBorders>
            <w:shd w:val="clear" w:color="auto" w:fill="auto"/>
            <w:noWrap/>
            <w:vAlign w:val="bottom"/>
          </w:tcPr>
          <w:p w:rsidR="009F61C6" w:rsidRPr="00B709C8" w:rsidRDefault="009F61C6" w:rsidP="009F61C6">
            <w:pPr>
              <w:spacing w:before="40" w:after="40" w:line="220" w:lineRule="exact"/>
              <w:ind w:left="113"/>
              <w:jc w:val="right"/>
              <w:rPr>
                <w:spacing w:val="0"/>
                <w:w w:val="100"/>
                <w:kern w:val="0"/>
                <w:sz w:val="18"/>
                <w:lang w:val="es-ES_tradnl" w:eastAsia="es-CL"/>
              </w:rPr>
            </w:pPr>
            <w:r w:rsidRPr="00B709C8">
              <w:rPr>
                <w:spacing w:val="0"/>
                <w:w w:val="100"/>
                <w:kern w:val="0"/>
                <w:sz w:val="18"/>
                <w:lang w:val="es-ES_tradnl" w:eastAsia="es-CL"/>
              </w:rPr>
              <w:t>63</w:t>
            </w:r>
          </w:p>
        </w:tc>
      </w:tr>
      <w:tr w:rsidR="009F61C6" w:rsidRPr="00B709C8" w:rsidTr="009F61C6">
        <w:trPr>
          <w:trHeight w:val="240"/>
        </w:trPr>
        <w:tc>
          <w:tcPr>
            <w:tcW w:w="1404" w:type="pct"/>
            <w:tcBorders>
              <w:top w:val="single" w:sz="4" w:space="0" w:color="auto"/>
              <w:bottom w:val="single" w:sz="12" w:space="0" w:color="auto"/>
            </w:tcBorders>
            <w:shd w:val="clear" w:color="auto" w:fill="auto"/>
            <w:noWrap/>
          </w:tcPr>
          <w:p w:rsidR="009F61C6" w:rsidRPr="00B709C8" w:rsidRDefault="009F61C6" w:rsidP="009F61C6">
            <w:pPr>
              <w:spacing w:before="40" w:after="40" w:line="220" w:lineRule="exact"/>
              <w:rPr>
                <w:b/>
                <w:bCs/>
                <w:spacing w:val="0"/>
                <w:w w:val="100"/>
                <w:kern w:val="0"/>
                <w:sz w:val="18"/>
                <w:lang w:val="es-ES_tradnl" w:eastAsia="es-CL"/>
              </w:rPr>
            </w:pPr>
            <w:r w:rsidRPr="00B709C8">
              <w:rPr>
                <w:b/>
                <w:bCs/>
                <w:spacing w:val="0"/>
                <w:w w:val="100"/>
                <w:kern w:val="0"/>
                <w:sz w:val="18"/>
                <w:lang w:val="es-ES_tradnl" w:eastAsia="es-CL"/>
              </w:rPr>
              <w:t xml:space="preserve">Total </w:t>
            </w:r>
          </w:p>
        </w:tc>
        <w:tc>
          <w:tcPr>
            <w:tcW w:w="1796"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 xml:space="preserve">$11.629.765.362 </w:t>
            </w:r>
          </w:p>
        </w:tc>
        <w:tc>
          <w:tcPr>
            <w:tcW w:w="1171"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 xml:space="preserve">4.170,82   </w:t>
            </w:r>
          </w:p>
        </w:tc>
        <w:tc>
          <w:tcPr>
            <w:tcW w:w="628" w:type="pct"/>
            <w:tcBorders>
              <w:top w:val="single" w:sz="4" w:space="0" w:color="auto"/>
              <w:bottom w:val="single" w:sz="12" w:space="0" w:color="auto"/>
            </w:tcBorders>
            <w:shd w:val="clear" w:color="auto" w:fill="auto"/>
            <w:noWrap/>
            <w:vAlign w:val="bottom"/>
          </w:tcPr>
          <w:p w:rsidR="009F61C6" w:rsidRPr="00B709C8" w:rsidRDefault="009F61C6" w:rsidP="009F61C6">
            <w:pPr>
              <w:spacing w:before="40" w:after="40" w:line="220" w:lineRule="exact"/>
              <w:ind w:left="113"/>
              <w:jc w:val="right"/>
              <w:rPr>
                <w:b/>
                <w:bCs/>
                <w:spacing w:val="0"/>
                <w:w w:val="100"/>
                <w:kern w:val="0"/>
                <w:sz w:val="18"/>
                <w:lang w:val="es-ES_tradnl" w:eastAsia="es-CL"/>
              </w:rPr>
            </w:pPr>
            <w:r w:rsidRPr="00B709C8">
              <w:rPr>
                <w:b/>
                <w:bCs/>
                <w:spacing w:val="0"/>
                <w:w w:val="100"/>
                <w:kern w:val="0"/>
                <w:sz w:val="18"/>
                <w:lang w:val="es-ES_tradnl" w:eastAsia="es-CL"/>
              </w:rPr>
              <w:t>608</w:t>
            </w:r>
          </w:p>
        </w:tc>
      </w:tr>
    </w:tbl>
    <w:p w:rsidR="009F61C6" w:rsidRDefault="009F61C6" w:rsidP="009F61C6">
      <w:pPr>
        <w:pStyle w:val="H1G"/>
      </w:pPr>
      <w:r>
        <w:tab/>
        <w:t>VIII.</w:t>
      </w:r>
      <w:r>
        <w:tab/>
      </w:r>
      <w:r w:rsidRPr="00C27B9E">
        <w:t>Modelo desarrollado por el Departamento de Estudios de la Defensoría Nacional</w:t>
      </w:r>
    </w:p>
    <w:p w:rsidR="009F61C6" w:rsidRPr="00C27B9E" w:rsidRDefault="009F61C6" w:rsidP="009F61C6">
      <w:pPr>
        <w:pStyle w:val="H23G"/>
      </w:pPr>
      <w:r>
        <w:tab/>
      </w:r>
      <w:r>
        <w:tab/>
      </w:r>
      <w:r w:rsidRPr="00C27B9E">
        <w:t xml:space="preserve">El Modelo se divide en </w:t>
      </w:r>
      <w:r>
        <w:t>tres</w:t>
      </w:r>
      <w:r w:rsidRPr="00C27B9E">
        <w:t xml:space="preserve"> partes:</w:t>
      </w:r>
    </w:p>
    <w:p w:rsidR="009F61C6" w:rsidRPr="00C27B9E" w:rsidRDefault="009F61C6" w:rsidP="009F61C6">
      <w:pPr>
        <w:pStyle w:val="H4G"/>
      </w:pPr>
      <w:r>
        <w:tab/>
      </w:r>
      <w:r>
        <w:tab/>
        <w:t xml:space="preserve">Parte I: </w:t>
      </w:r>
      <w:r w:rsidRPr="00C27B9E">
        <w:t>Fundamentos de la defensa penal de imputados ind</w:t>
      </w:r>
      <w:r>
        <w:t>í</w:t>
      </w:r>
      <w:r w:rsidRPr="00C27B9E">
        <w:t>genas:</w:t>
      </w:r>
    </w:p>
    <w:p w:rsidR="009F61C6" w:rsidRPr="00C27B9E" w:rsidRDefault="009F61C6" w:rsidP="009F61C6">
      <w:pPr>
        <w:pStyle w:val="SingleTxtG"/>
        <w:ind w:firstLine="567"/>
      </w:pPr>
      <w:r>
        <w:t>a)</w:t>
      </w:r>
      <w:r>
        <w:tab/>
      </w:r>
      <w:r w:rsidRPr="00C27B9E">
        <w:t>Definición de especializada para</w:t>
      </w:r>
      <w:r>
        <w:t xml:space="preserve"> imputados indígenas, elementos;</w:t>
      </w:r>
    </w:p>
    <w:p w:rsidR="009F61C6" w:rsidRPr="00C27B9E" w:rsidRDefault="009F61C6" w:rsidP="009F61C6">
      <w:pPr>
        <w:pStyle w:val="SingleTxtG"/>
        <w:ind w:firstLine="567"/>
      </w:pPr>
      <w:r>
        <w:t>b)</w:t>
      </w:r>
      <w:r>
        <w:tab/>
      </w:r>
      <w:r w:rsidRPr="00C27B9E">
        <w:t>Experiencia en América Latina</w:t>
      </w:r>
      <w:r>
        <w:t>;</w:t>
      </w:r>
    </w:p>
    <w:p w:rsidR="009F61C6" w:rsidRPr="00C366AF" w:rsidRDefault="009F61C6" w:rsidP="009F61C6">
      <w:pPr>
        <w:pStyle w:val="SingleTxtG"/>
        <w:ind w:firstLine="567"/>
      </w:pPr>
      <w:r w:rsidRPr="00C366AF">
        <w:t>c)</w:t>
      </w:r>
      <w:r w:rsidRPr="00C366AF">
        <w:tab/>
        <w:t>Principios jurídicos y normas internacionales aplicables;</w:t>
      </w:r>
    </w:p>
    <w:p w:rsidR="009F61C6" w:rsidRPr="00B06C7A" w:rsidRDefault="009F61C6" w:rsidP="009F61C6">
      <w:pPr>
        <w:pStyle w:val="SingleTxtG"/>
        <w:ind w:firstLine="567"/>
      </w:pPr>
      <w:r w:rsidRPr="00B06C7A">
        <w:t>d)</w:t>
      </w:r>
      <w:r w:rsidRPr="00B06C7A">
        <w:tab/>
        <w:t>Derechos humanos y principios fundamentales;</w:t>
      </w:r>
    </w:p>
    <w:p w:rsidR="009F61C6" w:rsidRPr="00B06C7A" w:rsidRDefault="009F61C6" w:rsidP="009F61C6">
      <w:pPr>
        <w:pStyle w:val="SingleTxtG"/>
        <w:ind w:firstLine="567"/>
      </w:pPr>
      <w:r w:rsidRPr="00B06C7A">
        <w:t>e)</w:t>
      </w:r>
      <w:r w:rsidRPr="00B06C7A">
        <w:tab/>
        <w:t>Jurisprudencia comentada en materia de defensa penal de indígenas;</w:t>
      </w:r>
    </w:p>
    <w:p w:rsidR="009F61C6" w:rsidRPr="00B06C7A" w:rsidRDefault="009F61C6" w:rsidP="009F61C6">
      <w:pPr>
        <w:pStyle w:val="SingleTxtG"/>
        <w:ind w:firstLine="567"/>
      </w:pPr>
      <w:r w:rsidRPr="00B06C7A">
        <w:t>f)</w:t>
      </w:r>
      <w:r w:rsidRPr="00B06C7A">
        <w:tab/>
        <w:t>Enfoque cultural para una defensa jurídica especializada;</w:t>
      </w:r>
    </w:p>
    <w:p w:rsidR="009F61C6" w:rsidRPr="00B06C7A" w:rsidRDefault="009F61C6" w:rsidP="009F61C6">
      <w:pPr>
        <w:pStyle w:val="SingleTxtG"/>
        <w:ind w:firstLine="567"/>
      </w:pPr>
      <w:r w:rsidRPr="00B06C7A">
        <w:t>g)</w:t>
      </w:r>
      <w:r w:rsidRPr="00B06C7A">
        <w:tab/>
        <w:t>Género en pueblos indígenas y consideraciones de género en la estrategia de defensa para indígenas y en la teoría del caso;</w:t>
      </w:r>
    </w:p>
    <w:p w:rsidR="009F61C6" w:rsidRPr="00B06C7A" w:rsidRDefault="009F61C6" w:rsidP="009F61C6">
      <w:pPr>
        <w:pStyle w:val="SingleTxtG"/>
        <w:ind w:firstLine="567"/>
      </w:pPr>
      <w:r w:rsidRPr="00B06C7A">
        <w:t>h)</w:t>
      </w:r>
      <w:r w:rsidRPr="00B06C7A">
        <w:tab/>
        <w:t>Costumbre indígena y sistema penal;</w:t>
      </w:r>
    </w:p>
    <w:p w:rsidR="009F61C6" w:rsidRPr="00B06C7A" w:rsidRDefault="009F61C6" w:rsidP="009F61C6">
      <w:pPr>
        <w:pStyle w:val="SingleTxtG"/>
        <w:ind w:firstLine="567"/>
      </w:pPr>
      <w:r w:rsidRPr="00B06C7A">
        <w:t>i)</w:t>
      </w:r>
      <w:r w:rsidRPr="00B06C7A">
        <w:tab/>
        <w:t>Marco legal internacional y nacional de reconocimiento a la costumbre indí</w:t>
      </w:r>
      <w:r w:rsidR="007D6C19" w:rsidRPr="007D6C19">
        <w:rPr>
          <w:lang w:val="fr-FR"/>
        </w:rPr>
        <w:t xml:space="preserve"> </w:t>
      </w:r>
      <w:r w:rsidRPr="00B06C7A">
        <w:t>gena y su reconocimiento en materia penal;</w:t>
      </w:r>
    </w:p>
    <w:p w:rsidR="009F61C6" w:rsidRPr="00841274" w:rsidRDefault="009F61C6" w:rsidP="009F61C6">
      <w:pPr>
        <w:pStyle w:val="SingleTxtG"/>
        <w:ind w:firstLine="567"/>
        <w:rPr>
          <w:lang w:val="en-US"/>
        </w:rPr>
      </w:pPr>
      <w:r w:rsidRPr="00841274">
        <w:rPr>
          <w:lang w:val="en-US"/>
        </w:rPr>
        <w:t>j)</w:t>
      </w:r>
      <w:r w:rsidRPr="00841274">
        <w:rPr>
          <w:lang w:val="en-US"/>
        </w:rPr>
        <w:tab/>
        <w:t>Subsunción del elemento cultural en categorías dogmáticas;</w:t>
      </w:r>
    </w:p>
    <w:p w:rsidR="009F61C6" w:rsidRPr="00B06C7A" w:rsidRDefault="009F61C6" w:rsidP="009F61C6">
      <w:pPr>
        <w:pStyle w:val="SingleTxtG"/>
        <w:ind w:firstLine="567"/>
      </w:pPr>
      <w:r w:rsidRPr="00B06C7A">
        <w:t>k)</w:t>
      </w:r>
      <w:r w:rsidRPr="00B06C7A">
        <w:tab/>
        <w:t>Consideraciones especiales sobre delitos cometidos en contexto de demandas territoriales;</w:t>
      </w:r>
    </w:p>
    <w:p w:rsidR="009F61C6" w:rsidRPr="00841274" w:rsidRDefault="009F61C6" w:rsidP="009F61C6">
      <w:pPr>
        <w:pStyle w:val="SingleTxtG"/>
        <w:ind w:firstLine="567"/>
        <w:rPr>
          <w:lang w:val="en-US"/>
        </w:rPr>
      </w:pPr>
      <w:r w:rsidRPr="00841274">
        <w:rPr>
          <w:lang w:val="en-US"/>
        </w:rPr>
        <w:t>l)</w:t>
      </w:r>
      <w:r w:rsidRPr="00841274">
        <w:rPr>
          <w:lang w:val="en-US"/>
        </w:rPr>
        <w:tab/>
        <w:t>Proceso penal para indígenas.</w:t>
      </w:r>
    </w:p>
    <w:p w:rsidR="009F61C6" w:rsidRPr="00C27B9E" w:rsidRDefault="009F61C6" w:rsidP="009F61C6">
      <w:pPr>
        <w:pStyle w:val="H4G"/>
      </w:pPr>
      <w:r w:rsidRPr="00841274">
        <w:rPr>
          <w:lang w:val="en-US"/>
        </w:rPr>
        <w:tab/>
      </w:r>
      <w:r w:rsidRPr="00841274">
        <w:rPr>
          <w:lang w:val="en-US"/>
        </w:rPr>
        <w:tab/>
      </w:r>
      <w:r>
        <w:t xml:space="preserve">Parte II: </w:t>
      </w:r>
      <w:r w:rsidRPr="00C27B9E">
        <w:t>Sociedad y cultura mapuche y defensa penal especializada:</w:t>
      </w:r>
    </w:p>
    <w:p w:rsidR="009F61C6" w:rsidRPr="00C27B9E" w:rsidRDefault="009F61C6" w:rsidP="009F61C6">
      <w:pPr>
        <w:pStyle w:val="SingleTxtG"/>
        <w:ind w:firstLine="567"/>
      </w:pPr>
      <w:r>
        <w:t>a)</w:t>
      </w:r>
      <w:r>
        <w:tab/>
      </w:r>
      <w:r w:rsidRPr="00C27B9E">
        <w:t>Contexto socio-político y histórico y jurídico de la región de la Araucanía</w:t>
      </w:r>
      <w:r>
        <w:t>;</w:t>
      </w:r>
    </w:p>
    <w:p w:rsidR="009F61C6" w:rsidRPr="00C27B9E" w:rsidRDefault="009F61C6" w:rsidP="009F61C6">
      <w:pPr>
        <w:pStyle w:val="SingleTxtG"/>
        <w:ind w:firstLine="567"/>
      </w:pPr>
      <w:r>
        <w:t>b)</w:t>
      </w:r>
      <w:r>
        <w:tab/>
      </w:r>
      <w:r w:rsidRPr="00C27B9E">
        <w:t>El conflicto mapuche</w:t>
      </w:r>
      <w:r>
        <w:t>;</w:t>
      </w:r>
    </w:p>
    <w:p w:rsidR="009F61C6" w:rsidRPr="00C27B9E" w:rsidRDefault="009F61C6" w:rsidP="009F61C6">
      <w:pPr>
        <w:pStyle w:val="SingleTxtG"/>
        <w:ind w:firstLine="567"/>
      </w:pPr>
      <w:r>
        <w:t>c)</w:t>
      </w:r>
      <w:r>
        <w:tab/>
      </w:r>
      <w:r w:rsidRPr="00C27B9E">
        <w:t>Población mapuche de la Araucanía (migración, localización, educación, etc.)</w:t>
      </w:r>
      <w:r>
        <w:t>;</w:t>
      </w:r>
    </w:p>
    <w:p w:rsidR="009F61C6" w:rsidRPr="00841274" w:rsidRDefault="009F61C6" w:rsidP="009F61C6">
      <w:pPr>
        <w:pStyle w:val="SingleTxtG"/>
        <w:ind w:firstLine="567"/>
        <w:rPr>
          <w:lang w:val="en-US"/>
        </w:rPr>
      </w:pPr>
      <w:r w:rsidRPr="00841274">
        <w:rPr>
          <w:lang w:val="en-US"/>
        </w:rPr>
        <w:t>d)</w:t>
      </w:r>
      <w:r w:rsidRPr="00841274">
        <w:rPr>
          <w:lang w:val="en-US"/>
        </w:rPr>
        <w:tab/>
        <w:t>Identidad mapuche, cosmovisión indígena;</w:t>
      </w:r>
    </w:p>
    <w:p w:rsidR="009F61C6" w:rsidRPr="00C27B9E" w:rsidRDefault="009F61C6" w:rsidP="009F61C6">
      <w:pPr>
        <w:pStyle w:val="SingleTxtG"/>
        <w:ind w:firstLine="567"/>
      </w:pPr>
      <w:r>
        <w:t>e)</w:t>
      </w:r>
      <w:r>
        <w:tab/>
      </w:r>
      <w:r w:rsidRPr="00C27B9E">
        <w:t>Principios y valores de la cultura mapuche que inciden en la defensa penal</w:t>
      </w:r>
      <w:r>
        <w:t>;</w:t>
      </w:r>
    </w:p>
    <w:p w:rsidR="009F61C6" w:rsidRPr="00C27B9E" w:rsidRDefault="009F61C6" w:rsidP="009F61C6">
      <w:pPr>
        <w:pStyle w:val="SingleTxtG"/>
        <w:ind w:firstLine="567"/>
      </w:pPr>
      <w:r>
        <w:t>f)</w:t>
      </w:r>
      <w:r>
        <w:tab/>
      </w:r>
      <w:r w:rsidRPr="00C27B9E">
        <w:t>Historia y relaciones culturales de la organización social, organización social y estructura familiar mapuche</w:t>
      </w:r>
      <w:r>
        <w:t>;</w:t>
      </w:r>
    </w:p>
    <w:p w:rsidR="009F61C6" w:rsidRPr="00C27B9E" w:rsidRDefault="009F61C6" w:rsidP="009F61C6">
      <w:pPr>
        <w:pStyle w:val="SingleTxtG"/>
        <w:ind w:firstLine="567"/>
      </w:pPr>
      <w:r>
        <w:t>g)</w:t>
      </w:r>
      <w:r>
        <w:tab/>
      </w:r>
      <w:r w:rsidRPr="00C27B9E">
        <w:t>Elementos culturales para una defensa especializada</w:t>
      </w:r>
      <w:r>
        <w:t>;</w:t>
      </w:r>
    </w:p>
    <w:p w:rsidR="009F61C6" w:rsidRPr="00841274" w:rsidRDefault="009F61C6" w:rsidP="009F61C6">
      <w:pPr>
        <w:spacing w:before="120" w:after="240"/>
        <w:ind w:left="1134" w:firstLine="567"/>
        <w:rPr>
          <w:sz w:val="18"/>
          <w:szCs w:val="18"/>
          <w:lang w:val="fr-FR"/>
        </w:rPr>
      </w:pPr>
      <w:r w:rsidRPr="00841274">
        <w:rPr>
          <w:sz w:val="18"/>
          <w:szCs w:val="18"/>
          <w:lang w:val="fr-FR"/>
        </w:rPr>
        <w:t>h)</w:t>
      </w:r>
      <w:r w:rsidRPr="00841274">
        <w:rPr>
          <w:sz w:val="18"/>
          <w:szCs w:val="18"/>
          <w:lang w:val="fr-FR"/>
        </w:rPr>
        <w:tab/>
        <w:t>Análisis de la oficina de defensa penal mapuche;</w:t>
      </w:r>
    </w:p>
    <w:p w:rsidR="009F61C6" w:rsidRPr="00C27B9E" w:rsidRDefault="009F61C6" w:rsidP="009F61C6">
      <w:pPr>
        <w:pStyle w:val="SingleTxtG"/>
        <w:ind w:firstLine="567"/>
      </w:pPr>
      <w:r>
        <w:t>i)</w:t>
      </w:r>
      <w:r>
        <w:tab/>
      </w:r>
      <w:r w:rsidRPr="00C27B9E">
        <w:t>Definiciones del modelo de defensa penal indígena aplicables en el modelo general de defensa mapuche</w:t>
      </w:r>
    </w:p>
    <w:p w:rsidR="009F61C6" w:rsidRPr="00C27B9E" w:rsidRDefault="009F61C6" w:rsidP="009F61C6">
      <w:pPr>
        <w:pStyle w:val="H4G"/>
      </w:pPr>
      <w:r>
        <w:tab/>
      </w:r>
      <w:r>
        <w:tab/>
      </w:r>
      <w:r w:rsidRPr="00C27B9E">
        <w:t>Parte III</w:t>
      </w:r>
      <w:r>
        <w:t xml:space="preserve">: </w:t>
      </w:r>
      <w:r w:rsidRPr="00C27B9E">
        <w:t>Modelo general de defensa</w:t>
      </w:r>
      <w:r>
        <w:t xml:space="preserve"> penal indígena (Marco lógico):</w:t>
      </w:r>
    </w:p>
    <w:p w:rsidR="009F61C6" w:rsidRPr="00C27B9E" w:rsidRDefault="009F61C6" w:rsidP="009F61C6">
      <w:pPr>
        <w:pStyle w:val="SingleTxtG"/>
        <w:ind w:firstLine="567"/>
      </w:pPr>
      <w:r>
        <w:t>a)</w:t>
      </w:r>
      <w:r>
        <w:tab/>
      </w:r>
      <w:r w:rsidRPr="00C27B9E">
        <w:t>Definiciones estratégicas defensoría penal pública: Misión institucional, obj</w:t>
      </w:r>
      <w:r w:rsidRPr="00C27B9E">
        <w:t>e</w:t>
      </w:r>
      <w:r w:rsidRPr="00C27B9E">
        <w:t>tivos estratégicos DPP</w:t>
      </w:r>
      <w:r>
        <w:t>;</w:t>
      </w:r>
    </w:p>
    <w:p w:rsidR="009F61C6" w:rsidRPr="00C27B9E" w:rsidRDefault="009F61C6" w:rsidP="009F61C6">
      <w:pPr>
        <w:pStyle w:val="SingleTxtG"/>
        <w:ind w:firstLine="567"/>
      </w:pPr>
      <w:r>
        <w:t>b)</w:t>
      </w:r>
      <w:r>
        <w:tab/>
      </w:r>
      <w:r w:rsidRPr="00C27B9E">
        <w:t>Matriz de definiciones estratégicas para la defensa penal especializada de i</w:t>
      </w:r>
      <w:r w:rsidRPr="00C27B9E">
        <w:t>m</w:t>
      </w:r>
      <w:r w:rsidRPr="00C27B9E">
        <w:t>putados de pueblos originarios</w:t>
      </w:r>
      <w:r>
        <w:t>;</w:t>
      </w:r>
    </w:p>
    <w:p w:rsidR="009F61C6" w:rsidRPr="00C27B9E" w:rsidRDefault="009F61C6" w:rsidP="009F61C6">
      <w:pPr>
        <w:pStyle w:val="SingleTxtG"/>
        <w:ind w:firstLine="567"/>
      </w:pPr>
      <w:r>
        <w:t>c)</w:t>
      </w:r>
      <w:r>
        <w:tab/>
      </w:r>
      <w:r w:rsidRPr="00C27B9E">
        <w:t>Alternativas de organización y de estructura</w:t>
      </w:r>
      <w:r>
        <w:t>;</w:t>
      </w:r>
    </w:p>
    <w:p w:rsidR="009F61C6" w:rsidRPr="00C27B9E" w:rsidRDefault="009F61C6" w:rsidP="009F61C6">
      <w:pPr>
        <w:pStyle w:val="SingleTxtG"/>
        <w:ind w:firstLine="567"/>
      </w:pPr>
      <w:r>
        <w:t>d)</w:t>
      </w:r>
      <w:r>
        <w:tab/>
      </w:r>
      <w:r w:rsidRPr="00C27B9E">
        <w:t>Procesos (identificación de imputados indígenas y de causas,  derivación o asignación de causa,  atención del imputado de causa indígena, registro de las causas ind</w:t>
      </w:r>
      <w:r w:rsidRPr="00C27B9E">
        <w:t>í</w:t>
      </w:r>
      <w:r w:rsidRPr="00C27B9E">
        <w:t>genas, evaluación y control de gestión)</w:t>
      </w:r>
      <w:r>
        <w:t>;</w:t>
      </w:r>
    </w:p>
    <w:p w:rsidR="009F61C6" w:rsidRPr="00C27B9E" w:rsidRDefault="009F61C6" w:rsidP="009F61C6">
      <w:pPr>
        <w:pStyle w:val="SingleTxtG"/>
        <w:ind w:firstLine="567"/>
      </w:pPr>
      <w:r>
        <w:t>e)</w:t>
      </w:r>
      <w:r>
        <w:tab/>
      </w:r>
      <w:r w:rsidRPr="00C27B9E">
        <w:t>Flujo general de trabajo</w:t>
      </w:r>
      <w:r>
        <w:t>;</w:t>
      </w:r>
    </w:p>
    <w:p w:rsidR="009F61C6" w:rsidRPr="00C27B9E" w:rsidRDefault="009F61C6" w:rsidP="009F61C6">
      <w:pPr>
        <w:pStyle w:val="SingleTxtG"/>
        <w:ind w:firstLine="567"/>
      </w:pPr>
      <w:r>
        <w:t>f)</w:t>
      </w:r>
      <w:r>
        <w:tab/>
      </w:r>
      <w:r w:rsidRPr="00C27B9E">
        <w:t>Perfiles de cargo (defensor especializado, facilitador intercultural, asiste</w:t>
      </w:r>
      <w:r>
        <w:t>nte del defensor especializado);</w:t>
      </w:r>
    </w:p>
    <w:p w:rsidR="009F61C6" w:rsidRPr="00C27B9E" w:rsidRDefault="009F61C6" w:rsidP="009F61C6">
      <w:pPr>
        <w:pStyle w:val="SingleTxtG"/>
        <w:ind w:firstLine="567"/>
      </w:pPr>
      <w:r>
        <w:t>g)</w:t>
      </w:r>
      <w:r>
        <w:tab/>
      </w:r>
      <w:r w:rsidRPr="00C27B9E">
        <w:t>Estándares de defensa aplicados a la defensa penal especializada para indíg</w:t>
      </w:r>
      <w:r w:rsidRPr="00C27B9E">
        <w:t>e</w:t>
      </w:r>
      <w:r w:rsidRPr="00C27B9E">
        <w:t>nas</w:t>
      </w:r>
      <w:r>
        <w:t>;</w:t>
      </w:r>
    </w:p>
    <w:p w:rsidR="009F61C6" w:rsidRDefault="009F61C6" w:rsidP="009F61C6">
      <w:pPr>
        <w:pStyle w:val="SingleTxtG"/>
        <w:ind w:firstLine="567"/>
      </w:pPr>
      <w:r>
        <w:t>h)</w:t>
      </w:r>
      <w:r>
        <w:tab/>
      </w:r>
      <w:r w:rsidRPr="00C27B9E">
        <w:t>Contenidos mínimos para la especialización del defensor y facilitador de i</w:t>
      </w:r>
      <w:r w:rsidRPr="00C27B9E">
        <w:t>m</w:t>
      </w:r>
      <w:r w:rsidRPr="00C27B9E">
        <w:t>putados indígenas y causas indígenas</w:t>
      </w:r>
      <w:r>
        <w:t>.</w:t>
      </w:r>
    </w:p>
    <w:p w:rsidR="009F61C6" w:rsidRPr="001F0ED3" w:rsidRDefault="009F61C6" w:rsidP="009F61C6">
      <w:pPr>
        <w:pStyle w:val="H1G"/>
        <w:spacing w:before="280"/>
        <w:rPr>
          <w:lang w:val="es-ES_tradnl" w:eastAsia="es-ES_tradnl"/>
        </w:rPr>
      </w:pPr>
      <w:bookmarkStart w:id="1" w:name="_Toc334111148"/>
      <w:r>
        <w:rPr>
          <w:lang w:val="es-ES_tradnl" w:eastAsia="es-ES_tradnl"/>
        </w:rPr>
        <w:tab/>
      </w:r>
      <w:r w:rsidRPr="001F0ED3">
        <w:rPr>
          <w:lang w:val="es-ES_tradnl" w:eastAsia="es-ES_tradnl"/>
        </w:rPr>
        <w:t>IX.</w:t>
      </w:r>
      <w:r>
        <w:rPr>
          <w:lang w:val="es-ES_tradnl" w:eastAsia="es-ES_tradnl"/>
        </w:rPr>
        <w:tab/>
      </w:r>
      <w:r w:rsidRPr="001F0ED3">
        <w:rPr>
          <w:lang w:val="es-ES_tradnl" w:eastAsia="es-ES_tradnl"/>
        </w:rPr>
        <w:t>Imputados indígenas representados por un defensor especializado</w:t>
      </w:r>
      <w:bookmarkEnd w:id="1"/>
    </w:p>
    <w:tbl>
      <w:tblPr>
        <w:tblStyle w:val="TabNum"/>
        <w:tblW w:w="7370" w:type="dxa"/>
        <w:tblInd w:w="1134" w:type="dxa"/>
        <w:tblLook w:val="01E0"/>
      </w:tblPr>
      <w:tblGrid>
        <w:gridCol w:w="2819"/>
        <w:gridCol w:w="882"/>
        <w:gridCol w:w="882"/>
        <w:gridCol w:w="664"/>
        <w:gridCol w:w="761"/>
        <w:gridCol w:w="681"/>
        <w:gridCol w:w="681"/>
      </w:tblGrid>
      <w:tr w:rsidR="009F61C6" w:rsidRPr="00B95B6E" w:rsidTr="00B95B6E">
        <w:trPr>
          <w:trHeight w:val="240"/>
        </w:trPr>
        <w:tc>
          <w:tcPr>
            <w:cnfStyle w:val="001000000000"/>
            <w:tcW w:w="0" w:type="auto"/>
            <w:gridSpan w:val="7"/>
            <w:tcBorders>
              <w:bottom w:val="single" w:sz="4" w:space="0" w:color="auto"/>
            </w:tcBorders>
            <w:shd w:val="clear" w:color="auto" w:fill="auto"/>
            <w:noWrap/>
          </w:tcPr>
          <w:p w:rsidR="009F61C6" w:rsidRPr="00B95B6E" w:rsidRDefault="009F61C6" w:rsidP="00B95B6E">
            <w:pPr>
              <w:spacing w:before="80" w:after="80" w:line="200" w:lineRule="exact"/>
              <w:jc w:val="center"/>
              <w:rPr>
                <w:i/>
                <w:sz w:val="16"/>
              </w:rPr>
            </w:pPr>
            <w:r w:rsidRPr="00B95B6E">
              <w:rPr>
                <w:i/>
                <w:sz w:val="16"/>
              </w:rPr>
              <w:t>Imputados indígenas representados por defensor especializado</w:t>
            </w:r>
          </w:p>
        </w:tc>
      </w:tr>
      <w:tr w:rsidR="009F61C6" w:rsidRPr="00B95B6E" w:rsidTr="00B95B6E">
        <w:trPr>
          <w:trHeight w:val="240"/>
        </w:trPr>
        <w:tc>
          <w:tcPr>
            <w:cnfStyle w:val="001000000000"/>
            <w:tcW w:w="0" w:type="auto"/>
            <w:gridSpan w:val="7"/>
            <w:tcBorders>
              <w:top w:val="single" w:sz="4" w:space="0" w:color="auto"/>
              <w:bottom w:val="single" w:sz="4" w:space="0" w:color="auto"/>
            </w:tcBorders>
            <w:shd w:val="clear" w:color="auto" w:fill="auto"/>
            <w:noWrap/>
          </w:tcPr>
          <w:p w:rsidR="009F61C6" w:rsidRPr="00B95B6E" w:rsidRDefault="009F61C6" w:rsidP="00B95B6E">
            <w:pPr>
              <w:spacing w:before="80" w:after="80" w:line="200" w:lineRule="exact"/>
              <w:jc w:val="center"/>
              <w:rPr>
                <w:i/>
                <w:sz w:val="16"/>
              </w:rPr>
            </w:pPr>
            <w:r w:rsidRPr="00B95B6E">
              <w:rPr>
                <w:i/>
                <w:sz w:val="16"/>
              </w:rPr>
              <w:t>Primer trimestre 2012</w:t>
            </w:r>
          </w:p>
        </w:tc>
      </w:tr>
      <w:tr w:rsidR="009F61C6" w:rsidRPr="00B95B6E" w:rsidTr="00B95B6E">
        <w:trPr>
          <w:trHeight w:val="240"/>
        </w:trPr>
        <w:tc>
          <w:tcPr>
            <w:cnfStyle w:val="001000000000"/>
            <w:tcW w:w="0" w:type="auto"/>
            <w:vMerge w:val="restart"/>
            <w:tcBorders>
              <w:top w:val="single" w:sz="4" w:space="0" w:color="auto"/>
            </w:tcBorders>
            <w:shd w:val="clear" w:color="auto" w:fill="auto"/>
          </w:tcPr>
          <w:p w:rsidR="009F61C6" w:rsidRPr="00B95B6E" w:rsidRDefault="009F61C6" w:rsidP="00B95B6E">
            <w:pPr>
              <w:spacing w:before="80" w:after="80" w:line="200" w:lineRule="exact"/>
              <w:rPr>
                <w:i/>
                <w:sz w:val="16"/>
              </w:rPr>
            </w:pPr>
            <w:r w:rsidRPr="00B95B6E">
              <w:rPr>
                <w:i/>
                <w:sz w:val="16"/>
              </w:rPr>
              <w:t>Defensoría</w:t>
            </w:r>
          </w:p>
        </w:tc>
        <w:tc>
          <w:tcPr>
            <w:tcW w:w="0" w:type="auto"/>
            <w:gridSpan w:val="2"/>
            <w:tcBorders>
              <w:top w:val="single" w:sz="4" w:space="0" w:color="auto"/>
              <w:bottom w:val="single" w:sz="4" w:space="0" w:color="auto"/>
            </w:tcBorders>
            <w:shd w:val="clear" w:color="auto" w:fill="auto"/>
            <w:noWrap/>
          </w:tcPr>
          <w:p w:rsidR="009F61C6" w:rsidRPr="00B95B6E" w:rsidRDefault="009F61C6" w:rsidP="00B95B6E">
            <w:pPr>
              <w:spacing w:before="80" w:after="80" w:line="200" w:lineRule="exact"/>
              <w:jc w:val="center"/>
              <w:cnfStyle w:val="000000000000"/>
              <w:rPr>
                <w:i/>
                <w:sz w:val="16"/>
              </w:rPr>
            </w:pPr>
            <w:r w:rsidRPr="00B95B6E">
              <w:rPr>
                <w:i/>
                <w:sz w:val="16"/>
              </w:rPr>
              <w:t>No Especializado</w:t>
            </w:r>
          </w:p>
        </w:tc>
        <w:tc>
          <w:tcPr>
            <w:tcW w:w="0" w:type="auto"/>
            <w:gridSpan w:val="2"/>
            <w:tcBorders>
              <w:top w:val="single" w:sz="4" w:space="0" w:color="auto"/>
              <w:bottom w:val="single" w:sz="4" w:space="0" w:color="auto"/>
            </w:tcBorders>
            <w:shd w:val="clear" w:color="auto" w:fill="auto"/>
            <w:noWrap/>
          </w:tcPr>
          <w:p w:rsidR="009F61C6" w:rsidRPr="00B95B6E" w:rsidRDefault="009F61C6" w:rsidP="00B95B6E">
            <w:pPr>
              <w:spacing w:before="80" w:after="80" w:line="200" w:lineRule="exact"/>
              <w:jc w:val="center"/>
              <w:cnfStyle w:val="000000000000"/>
              <w:rPr>
                <w:i/>
                <w:sz w:val="16"/>
              </w:rPr>
            </w:pPr>
            <w:r w:rsidRPr="00B95B6E">
              <w:rPr>
                <w:i/>
                <w:sz w:val="16"/>
              </w:rPr>
              <w:t>Especializado</w:t>
            </w:r>
          </w:p>
        </w:tc>
        <w:tc>
          <w:tcPr>
            <w:tcW w:w="0" w:type="auto"/>
            <w:gridSpan w:val="2"/>
            <w:tcBorders>
              <w:top w:val="single" w:sz="4" w:space="0" w:color="auto"/>
              <w:bottom w:val="single" w:sz="4" w:space="0" w:color="auto"/>
            </w:tcBorders>
            <w:shd w:val="clear" w:color="auto" w:fill="auto"/>
            <w:noWrap/>
          </w:tcPr>
          <w:p w:rsidR="009F61C6" w:rsidRPr="00B95B6E" w:rsidRDefault="009F61C6" w:rsidP="00B95B6E">
            <w:pPr>
              <w:spacing w:before="80" w:after="80" w:line="200" w:lineRule="exact"/>
              <w:jc w:val="center"/>
              <w:cnfStyle w:val="000000000000"/>
              <w:rPr>
                <w:b/>
                <w:i/>
                <w:sz w:val="16"/>
              </w:rPr>
            </w:pPr>
            <w:r w:rsidRPr="00B95B6E">
              <w:rPr>
                <w:b/>
                <w:i/>
                <w:sz w:val="16"/>
              </w:rPr>
              <w:t>Total</w:t>
            </w:r>
          </w:p>
        </w:tc>
      </w:tr>
      <w:tr w:rsidR="00B95B6E" w:rsidRPr="00B95B6E" w:rsidTr="00B95B6E">
        <w:trPr>
          <w:trHeight w:val="240"/>
        </w:trPr>
        <w:tc>
          <w:tcPr>
            <w:cnfStyle w:val="001000000000"/>
            <w:tcW w:w="0" w:type="auto"/>
            <w:vMerge/>
            <w:tcBorders>
              <w:top w:val="nil"/>
              <w:bottom w:val="single" w:sz="12" w:space="0" w:color="auto"/>
            </w:tcBorders>
            <w:shd w:val="clear" w:color="auto" w:fill="auto"/>
          </w:tcPr>
          <w:p w:rsidR="009F61C6" w:rsidRPr="00B95B6E" w:rsidRDefault="009F61C6" w:rsidP="00B95B6E">
            <w:pPr>
              <w:spacing w:before="80" w:after="80" w:line="200" w:lineRule="exact"/>
              <w:rPr>
                <w:i/>
                <w:sz w:val="16"/>
              </w:rPr>
            </w:pP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i/>
                <w:sz w:val="16"/>
              </w:rPr>
            </w:pPr>
            <w:r w:rsidRPr="00B95B6E">
              <w:rPr>
                <w:i/>
                <w:sz w:val="16"/>
              </w:rPr>
              <w:t>N°</w:t>
            </w: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i/>
                <w:sz w:val="16"/>
              </w:rPr>
            </w:pPr>
            <w:r w:rsidRPr="00B95B6E">
              <w:rPr>
                <w:i/>
                <w:sz w:val="16"/>
              </w:rPr>
              <w:t>%</w:t>
            </w: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i/>
                <w:sz w:val="16"/>
              </w:rPr>
            </w:pPr>
            <w:r w:rsidRPr="00B95B6E">
              <w:rPr>
                <w:i/>
                <w:sz w:val="16"/>
              </w:rPr>
              <w:t>N°</w:t>
            </w: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i/>
                <w:sz w:val="16"/>
              </w:rPr>
            </w:pPr>
            <w:r w:rsidRPr="00B95B6E">
              <w:rPr>
                <w:i/>
                <w:sz w:val="16"/>
              </w:rPr>
              <w:t>%</w:t>
            </w: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b/>
                <w:i/>
                <w:sz w:val="16"/>
              </w:rPr>
            </w:pPr>
            <w:r w:rsidRPr="00B95B6E">
              <w:rPr>
                <w:b/>
                <w:i/>
                <w:sz w:val="16"/>
              </w:rPr>
              <w:t>N°</w:t>
            </w:r>
          </w:p>
        </w:tc>
        <w:tc>
          <w:tcPr>
            <w:tcW w:w="0" w:type="auto"/>
            <w:tcBorders>
              <w:top w:val="nil"/>
              <w:bottom w:val="single" w:sz="12" w:space="0" w:color="auto"/>
            </w:tcBorders>
            <w:shd w:val="clear" w:color="auto" w:fill="auto"/>
            <w:noWrap/>
          </w:tcPr>
          <w:p w:rsidR="009F61C6" w:rsidRPr="00B95B6E" w:rsidRDefault="009F61C6" w:rsidP="00B95B6E">
            <w:pPr>
              <w:spacing w:before="80" w:after="80" w:line="200" w:lineRule="exact"/>
              <w:cnfStyle w:val="000000000000"/>
              <w:rPr>
                <w:b/>
                <w:i/>
                <w:sz w:val="16"/>
              </w:rPr>
            </w:pPr>
            <w:r w:rsidRPr="00B95B6E">
              <w:rPr>
                <w:b/>
                <w:i/>
                <w:sz w:val="16"/>
              </w:rPr>
              <w:t>%</w:t>
            </w:r>
          </w:p>
        </w:tc>
      </w:tr>
      <w:tr w:rsidR="009F61C6" w:rsidRPr="00B95B6E" w:rsidTr="00B95B6E">
        <w:trPr>
          <w:trHeight w:val="240"/>
        </w:trPr>
        <w:tc>
          <w:tcPr>
            <w:cnfStyle w:val="001000000000"/>
            <w:tcW w:w="0" w:type="auto"/>
            <w:tcBorders>
              <w:top w:val="single" w:sz="12" w:space="0" w:color="auto"/>
            </w:tcBorders>
          </w:tcPr>
          <w:p w:rsidR="009F61C6" w:rsidRPr="00B95B6E" w:rsidRDefault="009F61C6" w:rsidP="00B95B6E">
            <w:r w:rsidRPr="00B95B6E">
              <w:t>Tarapacá</w:t>
            </w:r>
          </w:p>
        </w:tc>
        <w:tc>
          <w:tcPr>
            <w:tcW w:w="0" w:type="auto"/>
            <w:tcBorders>
              <w:top w:val="single" w:sz="12" w:space="0" w:color="auto"/>
            </w:tcBorders>
            <w:noWrap/>
          </w:tcPr>
          <w:p w:rsidR="009F61C6" w:rsidRPr="00B95B6E" w:rsidRDefault="009F61C6" w:rsidP="00B95B6E">
            <w:pPr>
              <w:cnfStyle w:val="000000000000"/>
            </w:pPr>
            <w:r w:rsidRPr="00B95B6E">
              <w:t>106</w:t>
            </w:r>
          </w:p>
        </w:tc>
        <w:tc>
          <w:tcPr>
            <w:tcW w:w="0" w:type="auto"/>
            <w:tcBorders>
              <w:top w:val="single" w:sz="12" w:space="0" w:color="auto"/>
            </w:tcBorders>
            <w:noWrap/>
          </w:tcPr>
          <w:p w:rsidR="009F61C6" w:rsidRPr="00B95B6E" w:rsidRDefault="009F61C6" w:rsidP="00B95B6E">
            <w:pPr>
              <w:cnfStyle w:val="000000000000"/>
            </w:pPr>
            <w:r w:rsidRPr="00B95B6E">
              <w:t>61,3</w:t>
            </w:r>
          </w:p>
        </w:tc>
        <w:tc>
          <w:tcPr>
            <w:tcW w:w="0" w:type="auto"/>
            <w:tcBorders>
              <w:top w:val="single" w:sz="12" w:space="0" w:color="auto"/>
            </w:tcBorders>
            <w:noWrap/>
          </w:tcPr>
          <w:p w:rsidR="009F61C6" w:rsidRPr="00B95B6E" w:rsidRDefault="009F61C6" w:rsidP="00B95B6E">
            <w:pPr>
              <w:cnfStyle w:val="000000000000"/>
            </w:pPr>
            <w:r w:rsidRPr="00B95B6E">
              <w:t>67</w:t>
            </w:r>
          </w:p>
        </w:tc>
        <w:tc>
          <w:tcPr>
            <w:tcW w:w="0" w:type="auto"/>
            <w:tcBorders>
              <w:top w:val="single" w:sz="12" w:space="0" w:color="auto"/>
            </w:tcBorders>
            <w:noWrap/>
          </w:tcPr>
          <w:p w:rsidR="009F61C6" w:rsidRPr="00B95B6E" w:rsidRDefault="009F61C6" w:rsidP="00B95B6E">
            <w:pPr>
              <w:cnfStyle w:val="000000000000"/>
            </w:pPr>
            <w:r w:rsidRPr="00B95B6E">
              <w:t xml:space="preserve">38,7 </w:t>
            </w:r>
          </w:p>
        </w:tc>
        <w:tc>
          <w:tcPr>
            <w:tcW w:w="0" w:type="auto"/>
            <w:tcBorders>
              <w:top w:val="single" w:sz="12" w:space="0" w:color="auto"/>
            </w:tcBorders>
            <w:noWrap/>
          </w:tcPr>
          <w:p w:rsidR="009F61C6" w:rsidRPr="00B95B6E" w:rsidRDefault="009F61C6" w:rsidP="00B95B6E">
            <w:pPr>
              <w:cnfStyle w:val="000000000000"/>
              <w:rPr>
                <w:b/>
              </w:rPr>
            </w:pPr>
            <w:r w:rsidRPr="00B95B6E">
              <w:rPr>
                <w:b/>
              </w:rPr>
              <w:t>173</w:t>
            </w:r>
          </w:p>
        </w:tc>
        <w:tc>
          <w:tcPr>
            <w:tcW w:w="0" w:type="auto"/>
            <w:tcBorders>
              <w:top w:val="single" w:sz="12" w:space="0" w:color="auto"/>
            </w:tcBorders>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Antofagasta</w:t>
            </w:r>
          </w:p>
        </w:tc>
        <w:tc>
          <w:tcPr>
            <w:tcW w:w="0" w:type="auto"/>
            <w:noWrap/>
          </w:tcPr>
          <w:p w:rsidR="009F61C6" w:rsidRPr="00B95B6E" w:rsidRDefault="009F61C6" w:rsidP="00B95B6E">
            <w:pPr>
              <w:cnfStyle w:val="000000000000"/>
            </w:pPr>
            <w:r w:rsidRPr="00B95B6E">
              <w:t>106</w:t>
            </w:r>
          </w:p>
        </w:tc>
        <w:tc>
          <w:tcPr>
            <w:tcW w:w="0" w:type="auto"/>
            <w:noWrap/>
          </w:tcPr>
          <w:p w:rsidR="009F61C6" w:rsidRPr="00B95B6E" w:rsidRDefault="009F61C6" w:rsidP="00B95B6E">
            <w:pPr>
              <w:cnfStyle w:val="000000000000"/>
            </w:pPr>
            <w:r w:rsidRPr="00B95B6E">
              <w:t>74,1</w:t>
            </w:r>
          </w:p>
        </w:tc>
        <w:tc>
          <w:tcPr>
            <w:tcW w:w="0" w:type="auto"/>
            <w:noWrap/>
          </w:tcPr>
          <w:p w:rsidR="009F61C6" w:rsidRPr="00B95B6E" w:rsidRDefault="009F61C6" w:rsidP="00B95B6E">
            <w:pPr>
              <w:cnfStyle w:val="000000000000"/>
            </w:pPr>
            <w:r w:rsidRPr="00B95B6E">
              <w:t>37</w:t>
            </w:r>
          </w:p>
        </w:tc>
        <w:tc>
          <w:tcPr>
            <w:tcW w:w="0" w:type="auto"/>
            <w:noWrap/>
          </w:tcPr>
          <w:p w:rsidR="009F61C6" w:rsidRPr="00B95B6E" w:rsidRDefault="009F61C6" w:rsidP="00B95B6E">
            <w:pPr>
              <w:cnfStyle w:val="000000000000"/>
            </w:pPr>
            <w:r w:rsidRPr="00B95B6E">
              <w:t>25,9</w:t>
            </w:r>
          </w:p>
        </w:tc>
        <w:tc>
          <w:tcPr>
            <w:tcW w:w="0" w:type="auto"/>
            <w:noWrap/>
          </w:tcPr>
          <w:p w:rsidR="009F61C6" w:rsidRPr="00B95B6E" w:rsidRDefault="009F61C6" w:rsidP="00B95B6E">
            <w:pPr>
              <w:cnfStyle w:val="000000000000"/>
              <w:rPr>
                <w:b/>
              </w:rPr>
            </w:pPr>
            <w:r w:rsidRPr="00B95B6E">
              <w:rPr>
                <w:b/>
              </w:rPr>
              <w:t>143</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Atacama</w:t>
            </w:r>
          </w:p>
        </w:tc>
        <w:tc>
          <w:tcPr>
            <w:tcW w:w="0" w:type="auto"/>
            <w:noWrap/>
          </w:tcPr>
          <w:p w:rsidR="009F61C6" w:rsidRPr="00B95B6E" w:rsidRDefault="009F61C6" w:rsidP="00B95B6E">
            <w:pPr>
              <w:cnfStyle w:val="000000000000"/>
            </w:pPr>
            <w:r w:rsidRPr="00B95B6E">
              <w:t>2</w:t>
            </w:r>
          </w:p>
        </w:tc>
        <w:tc>
          <w:tcPr>
            <w:tcW w:w="0" w:type="auto"/>
            <w:noWrap/>
          </w:tcPr>
          <w:p w:rsidR="009F61C6" w:rsidRPr="00B95B6E" w:rsidRDefault="009F61C6" w:rsidP="00B95B6E">
            <w:pPr>
              <w:cnfStyle w:val="000000000000"/>
            </w:pPr>
            <w:r w:rsidRPr="00B95B6E">
              <w:t>100,0</w:t>
            </w:r>
          </w:p>
        </w:tc>
        <w:tc>
          <w:tcPr>
            <w:tcW w:w="0" w:type="auto"/>
            <w:noWrap/>
          </w:tcPr>
          <w:p w:rsidR="009F61C6" w:rsidRPr="00B95B6E" w:rsidRDefault="009F61C6" w:rsidP="00B95B6E">
            <w:pPr>
              <w:cnfStyle w:val="000000000000"/>
            </w:pPr>
            <w:r w:rsidRPr="00B95B6E">
              <w:t>0</w:t>
            </w:r>
          </w:p>
        </w:tc>
        <w:tc>
          <w:tcPr>
            <w:tcW w:w="0" w:type="auto"/>
            <w:noWrap/>
          </w:tcPr>
          <w:p w:rsidR="009F61C6" w:rsidRPr="00B95B6E" w:rsidRDefault="009F61C6" w:rsidP="00B95B6E">
            <w:pPr>
              <w:cnfStyle w:val="000000000000"/>
            </w:pPr>
            <w:r w:rsidRPr="00B95B6E">
              <w:t>0,0</w:t>
            </w:r>
          </w:p>
        </w:tc>
        <w:tc>
          <w:tcPr>
            <w:tcW w:w="0" w:type="auto"/>
            <w:noWrap/>
          </w:tcPr>
          <w:p w:rsidR="009F61C6" w:rsidRPr="00B95B6E" w:rsidRDefault="009F61C6" w:rsidP="00B95B6E">
            <w:pPr>
              <w:cnfStyle w:val="000000000000"/>
              <w:rPr>
                <w:b/>
              </w:rPr>
            </w:pPr>
            <w:r w:rsidRPr="00B95B6E">
              <w:rPr>
                <w:b/>
              </w:rPr>
              <w:t>2</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Coquimbo</w:t>
            </w:r>
          </w:p>
        </w:tc>
        <w:tc>
          <w:tcPr>
            <w:tcW w:w="0" w:type="auto"/>
            <w:noWrap/>
          </w:tcPr>
          <w:p w:rsidR="009F61C6" w:rsidRPr="00B95B6E" w:rsidRDefault="009F61C6" w:rsidP="00B95B6E">
            <w:pPr>
              <w:cnfStyle w:val="000000000000"/>
            </w:pPr>
            <w:r w:rsidRPr="00B95B6E">
              <w:t>8</w:t>
            </w:r>
          </w:p>
        </w:tc>
        <w:tc>
          <w:tcPr>
            <w:tcW w:w="0" w:type="auto"/>
            <w:noWrap/>
          </w:tcPr>
          <w:p w:rsidR="009F61C6" w:rsidRPr="00B95B6E" w:rsidRDefault="009F61C6" w:rsidP="00B95B6E">
            <w:pPr>
              <w:cnfStyle w:val="000000000000"/>
            </w:pPr>
            <w:r w:rsidRPr="00B95B6E">
              <w:t>100,0</w:t>
            </w:r>
          </w:p>
        </w:tc>
        <w:tc>
          <w:tcPr>
            <w:tcW w:w="0" w:type="auto"/>
            <w:noWrap/>
          </w:tcPr>
          <w:p w:rsidR="009F61C6" w:rsidRPr="00B95B6E" w:rsidRDefault="009F61C6" w:rsidP="00B95B6E">
            <w:pPr>
              <w:cnfStyle w:val="000000000000"/>
            </w:pPr>
            <w:r w:rsidRPr="00B95B6E">
              <w:t>0</w:t>
            </w:r>
          </w:p>
        </w:tc>
        <w:tc>
          <w:tcPr>
            <w:tcW w:w="0" w:type="auto"/>
            <w:noWrap/>
          </w:tcPr>
          <w:p w:rsidR="009F61C6" w:rsidRPr="00B95B6E" w:rsidRDefault="009F61C6" w:rsidP="00B95B6E">
            <w:pPr>
              <w:cnfStyle w:val="000000000000"/>
            </w:pPr>
            <w:r w:rsidRPr="00B95B6E">
              <w:t>0,0</w:t>
            </w:r>
          </w:p>
        </w:tc>
        <w:tc>
          <w:tcPr>
            <w:tcW w:w="0" w:type="auto"/>
            <w:noWrap/>
          </w:tcPr>
          <w:p w:rsidR="009F61C6" w:rsidRPr="00B95B6E" w:rsidRDefault="009F61C6" w:rsidP="00B95B6E">
            <w:pPr>
              <w:cnfStyle w:val="000000000000"/>
              <w:rPr>
                <w:b/>
              </w:rPr>
            </w:pPr>
            <w:r w:rsidRPr="00B95B6E">
              <w:rPr>
                <w:b/>
              </w:rPr>
              <w:t>8</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Valparaíso</w:t>
            </w:r>
          </w:p>
        </w:tc>
        <w:tc>
          <w:tcPr>
            <w:tcW w:w="0" w:type="auto"/>
            <w:noWrap/>
          </w:tcPr>
          <w:p w:rsidR="009F61C6" w:rsidRPr="00B95B6E" w:rsidRDefault="009F61C6" w:rsidP="00B95B6E">
            <w:pPr>
              <w:cnfStyle w:val="000000000000"/>
            </w:pPr>
            <w:r w:rsidRPr="00B95B6E">
              <w:t>125</w:t>
            </w:r>
          </w:p>
        </w:tc>
        <w:tc>
          <w:tcPr>
            <w:tcW w:w="0" w:type="auto"/>
            <w:noWrap/>
          </w:tcPr>
          <w:p w:rsidR="009F61C6" w:rsidRPr="00B95B6E" w:rsidRDefault="009F61C6" w:rsidP="00B95B6E">
            <w:pPr>
              <w:cnfStyle w:val="000000000000"/>
            </w:pPr>
            <w:r w:rsidRPr="00B95B6E">
              <w:t>65,4</w:t>
            </w:r>
          </w:p>
        </w:tc>
        <w:tc>
          <w:tcPr>
            <w:tcW w:w="0" w:type="auto"/>
            <w:noWrap/>
          </w:tcPr>
          <w:p w:rsidR="009F61C6" w:rsidRPr="00B95B6E" w:rsidRDefault="009F61C6" w:rsidP="00B95B6E">
            <w:pPr>
              <w:cnfStyle w:val="000000000000"/>
            </w:pPr>
            <w:r w:rsidRPr="00B95B6E">
              <w:t>66</w:t>
            </w:r>
          </w:p>
        </w:tc>
        <w:tc>
          <w:tcPr>
            <w:tcW w:w="0" w:type="auto"/>
            <w:noWrap/>
          </w:tcPr>
          <w:p w:rsidR="009F61C6" w:rsidRPr="00B95B6E" w:rsidRDefault="009F61C6" w:rsidP="00B95B6E">
            <w:pPr>
              <w:cnfStyle w:val="000000000000"/>
            </w:pPr>
            <w:r w:rsidRPr="00B95B6E">
              <w:t>34,6</w:t>
            </w:r>
          </w:p>
        </w:tc>
        <w:tc>
          <w:tcPr>
            <w:tcW w:w="0" w:type="auto"/>
            <w:noWrap/>
          </w:tcPr>
          <w:p w:rsidR="009F61C6" w:rsidRPr="00B95B6E" w:rsidRDefault="009F61C6" w:rsidP="00B95B6E">
            <w:pPr>
              <w:cnfStyle w:val="000000000000"/>
              <w:rPr>
                <w:b/>
              </w:rPr>
            </w:pPr>
            <w:r w:rsidRPr="00B95B6E">
              <w:rPr>
                <w:b/>
              </w:rPr>
              <w:t>191</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Lib. Gral. Bdo. O'higgins</w:t>
            </w:r>
          </w:p>
        </w:tc>
        <w:tc>
          <w:tcPr>
            <w:tcW w:w="0" w:type="auto"/>
            <w:noWrap/>
          </w:tcPr>
          <w:p w:rsidR="009F61C6" w:rsidRPr="00B95B6E" w:rsidRDefault="009F61C6" w:rsidP="00B95B6E">
            <w:pPr>
              <w:cnfStyle w:val="000000000000"/>
            </w:pPr>
            <w:r w:rsidRPr="00B95B6E">
              <w:t>17</w:t>
            </w:r>
          </w:p>
        </w:tc>
        <w:tc>
          <w:tcPr>
            <w:tcW w:w="0" w:type="auto"/>
            <w:noWrap/>
          </w:tcPr>
          <w:p w:rsidR="009F61C6" w:rsidRPr="00B95B6E" w:rsidRDefault="009F61C6" w:rsidP="00B95B6E">
            <w:pPr>
              <w:cnfStyle w:val="000000000000"/>
            </w:pPr>
            <w:r w:rsidRPr="00B95B6E">
              <w:t>100,0</w:t>
            </w:r>
          </w:p>
        </w:tc>
        <w:tc>
          <w:tcPr>
            <w:tcW w:w="0" w:type="auto"/>
            <w:noWrap/>
          </w:tcPr>
          <w:p w:rsidR="009F61C6" w:rsidRPr="00B95B6E" w:rsidRDefault="009F61C6" w:rsidP="00B95B6E">
            <w:pPr>
              <w:cnfStyle w:val="000000000000"/>
            </w:pPr>
            <w:r w:rsidRPr="00B95B6E">
              <w:t>0</w:t>
            </w:r>
          </w:p>
        </w:tc>
        <w:tc>
          <w:tcPr>
            <w:tcW w:w="0" w:type="auto"/>
            <w:noWrap/>
          </w:tcPr>
          <w:p w:rsidR="009F61C6" w:rsidRPr="00B95B6E" w:rsidRDefault="009F61C6" w:rsidP="00B95B6E">
            <w:pPr>
              <w:cnfStyle w:val="000000000000"/>
            </w:pPr>
            <w:r w:rsidRPr="00B95B6E">
              <w:t>0,0</w:t>
            </w:r>
          </w:p>
        </w:tc>
        <w:tc>
          <w:tcPr>
            <w:tcW w:w="0" w:type="auto"/>
            <w:noWrap/>
          </w:tcPr>
          <w:p w:rsidR="009F61C6" w:rsidRPr="00B95B6E" w:rsidRDefault="009F61C6" w:rsidP="00B95B6E">
            <w:pPr>
              <w:cnfStyle w:val="000000000000"/>
              <w:rPr>
                <w:b/>
              </w:rPr>
            </w:pPr>
            <w:r w:rsidRPr="00B95B6E">
              <w:rPr>
                <w:b/>
              </w:rPr>
              <w:t>17</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Del Maule</w:t>
            </w:r>
          </w:p>
        </w:tc>
        <w:tc>
          <w:tcPr>
            <w:tcW w:w="0" w:type="auto"/>
            <w:noWrap/>
          </w:tcPr>
          <w:p w:rsidR="009F61C6" w:rsidRPr="00B95B6E" w:rsidRDefault="009F61C6" w:rsidP="00B95B6E">
            <w:pPr>
              <w:cnfStyle w:val="000000000000"/>
            </w:pPr>
            <w:r w:rsidRPr="00B95B6E">
              <w:t>15</w:t>
            </w:r>
          </w:p>
        </w:tc>
        <w:tc>
          <w:tcPr>
            <w:tcW w:w="0" w:type="auto"/>
            <w:noWrap/>
          </w:tcPr>
          <w:p w:rsidR="009F61C6" w:rsidRPr="00B95B6E" w:rsidRDefault="009F61C6" w:rsidP="00B95B6E">
            <w:pPr>
              <w:cnfStyle w:val="000000000000"/>
            </w:pPr>
            <w:r w:rsidRPr="00B95B6E">
              <w:t>88,2</w:t>
            </w:r>
          </w:p>
        </w:tc>
        <w:tc>
          <w:tcPr>
            <w:tcW w:w="0" w:type="auto"/>
            <w:noWrap/>
          </w:tcPr>
          <w:p w:rsidR="009F61C6" w:rsidRPr="00B95B6E" w:rsidRDefault="009F61C6" w:rsidP="00B95B6E">
            <w:pPr>
              <w:cnfStyle w:val="000000000000"/>
            </w:pPr>
            <w:r w:rsidRPr="00B95B6E">
              <w:t>2</w:t>
            </w:r>
          </w:p>
        </w:tc>
        <w:tc>
          <w:tcPr>
            <w:tcW w:w="0" w:type="auto"/>
            <w:noWrap/>
          </w:tcPr>
          <w:p w:rsidR="009F61C6" w:rsidRPr="00B95B6E" w:rsidRDefault="009F61C6" w:rsidP="00B95B6E">
            <w:pPr>
              <w:cnfStyle w:val="000000000000"/>
            </w:pPr>
            <w:r w:rsidRPr="00B95B6E">
              <w:t>11,8</w:t>
            </w:r>
          </w:p>
        </w:tc>
        <w:tc>
          <w:tcPr>
            <w:tcW w:w="0" w:type="auto"/>
            <w:noWrap/>
          </w:tcPr>
          <w:p w:rsidR="009F61C6" w:rsidRPr="00B95B6E" w:rsidRDefault="009F61C6" w:rsidP="00B95B6E">
            <w:pPr>
              <w:cnfStyle w:val="000000000000"/>
              <w:rPr>
                <w:b/>
              </w:rPr>
            </w:pPr>
            <w:r w:rsidRPr="00B95B6E">
              <w:rPr>
                <w:b/>
              </w:rPr>
              <w:t>17</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Del Bío Bío</w:t>
            </w:r>
          </w:p>
        </w:tc>
        <w:tc>
          <w:tcPr>
            <w:tcW w:w="0" w:type="auto"/>
            <w:noWrap/>
          </w:tcPr>
          <w:p w:rsidR="009F61C6" w:rsidRPr="00B95B6E" w:rsidRDefault="009F61C6" w:rsidP="00B95B6E">
            <w:pPr>
              <w:cnfStyle w:val="000000000000"/>
            </w:pPr>
            <w:r w:rsidRPr="00B95B6E">
              <w:t>72</w:t>
            </w:r>
          </w:p>
        </w:tc>
        <w:tc>
          <w:tcPr>
            <w:tcW w:w="0" w:type="auto"/>
            <w:noWrap/>
          </w:tcPr>
          <w:p w:rsidR="009F61C6" w:rsidRPr="00B95B6E" w:rsidRDefault="009F61C6" w:rsidP="00B95B6E">
            <w:pPr>
              <w:cnfStyle w:val="000000000000"/>
            </w:pPr>
            <w:r w:rsidRPr="00B95B6E">
              <w:t>44,7</w:t>
            </w:r>
          </w:p>
        </w:tc>
        <w:tc>
          <w:tcPr>
            <w:tcW w:w="0" w:type="auto"/>
            <w:noWrap/>
          </w:tcPr>
          <w:p w:rsidR="009F61C6" w:rsidRPr="00B95B6E" w:rsidRDefault="009F61C6" w:rsidP="00B95B6E">
            <w:pPr>
              <w:cnfStyle w:val="000000000000"/>
            </w:pPr>
            <w:r w:rsidRPr="00B95B6E">
              <w:t>89</w:t>
            </w:r>
          </w:p>
        </w:tc>
        <w:tc>
          <w:tcPr>
            <w:tcW w:w="0" w:type="auto"/>
            <w:noWrap/>
          </w:tcPr>
          <w:p w:rsidR="009F61C6" w:rsidRPr="00B95B6E" w:rsidRDefault="009F61C6" w:rsidP="00B95B6E">
            <w:pPr>
              <w:cnfStyle w:val="000000000000"/>
            </w:pPr>
            <w:r w:rsidRPr="00B95B6E">
              <w:t>55,3</w:t>
            </w:r>
          </w:p>
        </w:tc>
        <w:tc>
          <w:tcPr>
            <w:tcW w:w="0" w:type="auto"/>
            <w:noWrap/>
          </w:tcPr>
          <w:p w:rsidR="009F61C6" w:rsidRPr="00B95B6E" w:rsidRDefault="009F61C6" w:rsidP="00B95B6E">
            <w:pPr>
              <w:cnfStyle w:val="000000000000"/>
              <w:rPr>
                <w:b/>
              </w:rPr>
            </w:pPr>
            <w:r w:rsidRPr="00B95B6E">
              <w:rPr>
                <w:b/>
              </w:rPr>
              <w:t>161</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De La Araucanía</w:t>
            </w:r>
          </w:p>
        </w:tc>
        <w:tc>
          <w:tcPr>
            <w:tcW w:w="0" w:type="auto"/>
            <w:noWrap/>
          </w:tcPr>
          <w:p w:rsidR="009F61C6" w:rsidRPr="00B95B6E" w:rsidRDefault="009F61C6" w:rsidP="00B95B6E">
            <w:pPr>
              <w:cnfStyle w:val="000000000000"/>
            </w:pPr>
            <w:r w:rsidRPr="00B95B6E">
              <w:t>263</w:t>
            </w:r>
          </w:p>
        </w:tc>
        <w:tc>
          <w:tcPr>
            <w:tcW w:w="0" w:type="auto"/>
            <w:noWrap/>
          </w:tcPr>
          <w:p w:rsidR="009F61C6" w:rsidRPr="00B95B6E" w:rsidRDefault="009F61C6" w:rsidP="00B95B6E">
            <w:pPr>
              <w:cnfStyle w:val="000000000000"/>
            </w:pPr>
            <w:r w:rsidRPr="00B95B6E">
              <w:t>41,9</w:t>
            </w:r>
          </w:p>
        </w:tc>
        <w:tc>
          <w:tcPr>
            <w:tcW w:w="0" w:type="auto"/>
            <w:noWrap/>
          </w:tcPr>
          <w:p w:rsidR="009F61C6" w:rsidRPr="00B95B6E" w:rsidRDefault="009F61C6" w:rsidP="00B95B6E">
            <w:pPr>
              <w:cnfStyle w:val="000000000000"/>
            </w:pPr>
            <w:r w:rsidRPr="00B95B6E">
              <w:t>364</w:t>
            </w:r>
          </w:p>
        </w:tc>
        <w:tc>
          <w:tcPr>
            <w:tcW w:w="0" w:type="auto"/>
            <w:noWrap/>
          </w:tcPr>
          <w:p w:rsidR="009F61C6" w:rsidRPr="00B95B6E" w:rsidRDefault="009F61C6" w:rsidP="00B95B6E">
            <w:pPr>
              <w:cnfStyle w:val="000000000000"/>
            </w:pPr>
            <w:r w:rsidRPr="00B95B6E">
              <w:t>58,1</w:t>
            </w:r>
          </w:p>
        </w:tc>
        <w:tc>
          <w:tcPr>
            <w:tcW w:w="0" w:type="auto"/>
            <w:noWrap/>
          </w:tcPr>
          <w:p w:rsidR="009F61C6" w:rsidRPr="00B95B6E" w:rsidRDefault="009F61C6" w:rsidP="00B95B6E">
            <w:pPr>
              <w:cnfStyle w:val="000000000000"/>
              <w:rPr>
                <w:b/>
              </w:rPr>
            </w:pPr>
            <w:r w:rsidRPr="00B95B6E">
              <w:rPr>
                <w:b/>
              </w:rPr>
              <w:t>627</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De Los Lagos</w:t>
            </w:r>
          </w:p>
        </w:tc>
        <w:tc>
          <w:tcPr>
            <w:tcW w:w="0" w:type="auto"/>
            <w:noWrap/>
          </w:tcPr>
          <w:p w:rsidR="009F61C6" w:rsidRPr="00B95B6E" w:rsidRDefault="009F61C6" w:rsidP="00B95B6E">
            <w:pPr>
              <w:cnfStyle w:val="000000000000"/>
            </w:pPr>
            <w:r w:rsidRPr="00B95B6E">
              <w:t>157</w:t>
            </w:r>
          </w:p>
        </w:tc>
        <w:tc>
          <w:tcPr>
            <w:tcW w:w="0" w:type="auto"/>
            <w:noWrap/>
          </w:tcPr>
          <w:p w:rsidR="009F61C6" w:rsidRPr="00B95B6E" w:rsidRDefault="009F61C6" w:rsidP="00B95B6E">
            <w:pPr>
              <w:cnfStyle w:val="000000000000"/>
            </w:pPr>
            <w:r w:rsidRPr="00B95B6E">
              <w:t>92,9</w:t>
            </w:r>
          </w:p>
        </w:tc>
        <w:tc>
          <w:tcPr>
            <w:tcW w:w="0" w:type="auto"/>
            <w:noWrap/>
          </w:tcPr>
          <w:p w:rsidR="009F61C6" w:rsidRPr="00B95B6E" w:rsidRDefault="009F61C6" w:rsidP="00B95B6E">
            <w:pPr>
              <w:cnfStyle w:val="000000000000"/>
            </w:pPr>
            <w:r w:rsidRPr="00B95B6E">
              <w:t>12</w:t>
            </w:r>
          </w:p>
        </w:tc>
        <w:tc>
          <w:tcPr>
            <w:tcW w:w="0" w:type="auto"/>
            <w:noWrap/>
          </w:tcPr>
          <w:p w:rsidR="009F61C6" w:rsidRPr="00B95B6E" w:rsidRDefault="009F61C6" w:rsidP="00B95B6E">
            <w:pPr>
              <w:cnfStyle w:val="000000000000"/>
            </w:pPr>
            <w:r w:rsidRPr="00B95B6E">
              <w:t>7,1</w:t>
            </w:r>
          </w:p>
        </w:tc>
        <w:tc>
          <w:tcPr>
            <w:tcW w:w="0" w:type="auto"/>
            <w:noWrap/>
          </w:tcPr>
          <w:p w:rsidR="009F61C6" w:rsidRPr="00B95B6E" w:rsidRDefault="009F61C6" w:rsidP="00B95B6E">
            <w:pPr>
              <w:cnfStyle w:val="000000000000"/>
              <w:rPr>
                <w:b/>
              </w:rPr>
            </w:pPr>
            <w:r w:rsidRPr="00B95B6E">
              <w:rPr>
                <w:b/>
              </w:rPr>
              <w:t>169</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 xml:space="preserve">Aysén </w:t>
            </w:r>
          </w:p>
        </w:tc>
        <w:tc>
          <w:tcPr>
            <w:tcW w:w="0" w:type="auto"/>
            <w:noWrap/>
          </w:tcPr>
          <w:p w:rsidR="009F61C6" w:rsidRPr="00B95B6E" w:rsidRDefault="009F61C6" w:rsidP="00B95B6E">
            <w:pPr>
              <w:cnfStyle w:val="000000000000"/>
            </w:pPr>
            <w:r w:rsidRPr="00B95B6E">
              <w:t>3</w:t>
            </w:r>
          </w:p>
        </w:tc>
        <w:tc>
          <w:tcPr>
            <w:tcW w:w="0" w:type="auto"/>
            <w:noWrap/>
          </w:tcPr>
          <w:p w:rsidR="009F61C6" w:rsidRPr="00B95B6E" w:rsidRDefault="009F61C6" w:rsidP="00B95B6E">
            <w:pPr>
              <w:cnfStyle w:val="000000000000"/>
            </w:pPr>
            <w:r w:rsidRPr="00B95B6E">
              <w:t>18,8</w:t>
            </w:r>
          </w:p>
        </w:tc>
        <w:tc>
          <w:tcPr>
            <w:tcW w:w="0" w:type="auto"/>
            <w:noWrap/>
          </w:tcPr>
          <w:p w:rsidR="009F61C6" w:rsidRPr="00B95B6E" w:rsidRDefault="009F61C6" w:rsidP="00B95B6E">
            <w:pPr>
              <w:cnfStyle w:val="000000000000"/>
            </w:pPr>
            <w:r w:rsidRPr="00B95B6E">
              <w:t>13</w:t>
            </w:r>
          </w:p>
        </w:tc>
        <w:tc>
          <w:tcPr>
            <w:tcW w:w="0" w:type="auto"/>
            <w:noWrap/>
          </w:tcPr>
          <w:p w:rsidR="009F61C6" w:rsidRPr="00B95B6E" w:rsidRDefault="009F61C6" w:rsidP="00B95B6E">
            <w:pPr>
              <w:cnfStyle w:val="000000000000"/>
            </w:pPr>
            <w:r w:rsidRPr="00B95B6E">
              <w:t>81,3</w:t>
            </w:r>
          </w:p>
        </w:tc>
        <w:tc>
          <w:tcPr>
            <w:tcW w:w="0" w:type="auto"/>
            <w:noWrap/>
          </w:tcPr>
          <w:p w:rsidR="009F61C6" w:rsidRPr="00B95B6E" w:rsidRDefault="009F61C6" w:rsidP="00B95B6E">
            <w:pPr>
              <w:cnfStyle w:val="000000000000"/>
              <w:rPr>
                <w:b/>
              </w:rPr>
            </w:pPr>
            <w:r w:rsidRPr="00B95B6E">
              <w:rPr>
                <w:b/>
              </w:rPr>
              <w:t>16</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Magallanes</w:t>
            </w:r>
          </w:p>
        </w:tc>
        <w:tc>
          <w:tcPr>
            <w:tcW w:w="0" w:type="auto"/>
            <w:noWrap/>
          </w:tcPr>
          <w:p w:rsidR="009F61C6" w:rsidRPr="00B95B6E" w:rsidRDefault="009F61C6" w:rsidP="00B95B6E">
            <w:pPr>
              <w:cnfStyle w:val="000000000000"/>
            </w:pPr>
            <w:r w:rsidRPr="00B95B6E">
              <w:t>2</w:t>
            </w:r>
          </w:p>
        </w:tc>
        <w:tc>
          <w:tcPr>
            <w:tcW w:w="0" w:type="auto"/>
            <w:noWrap/>
          </w:tcPr>
          <w:p w:rsidR="009F61C6" w:rsidRPr="00B95B6E" w:rsidRDefault="009F61C6" w:rsidP="00B95B6E">
            <w:pPr>
              <w:cnfStyle w:val="000000000000"/>
            </w:pPr>
            <w:r w:rsidRPr="00B95B6E">
              <w:t>28,6</w:t>
            </w:r>
          </w:p>
        </w:tc>
        <w:tc>
          <w:tcPr>
            <w:tcW w:w="0" w:type="auto"/>
            <w:noWrap/>
          </w:tcPr>
          <w:p w:rsidR="009F61C6" w:rsidRPr="00B95B6E" w:rsidRDefault="009F61C6" w:rsidP="00B95B6E">
            <w:pPr>
              <w:cnfStyle w:val="000000000000"/>
            </w:pPr>
            <w:r w:rsidRPr="00B95B6E">
              <w:t>5</w:t>
            </w:r>
          </w:p>
        </w:tc>
        <w:tc>
          <w:tcPr>
            <w:tcW w:w="0" w:type="auto"/>
            <w:noWrap/>
          </w:tcPr>
          <w:p w:rsidR="009F61C6" w:rsidRPr="00B95B6E" w:rsidRDefault="009F61C6" w:rsidP="00B95B6E">
            <w:pPr>
              <w:cnfStyle w:val="000000000000"/>
            </w:pPr>
            <w:r w:rsidRPr="00B95B6E">
              <w:t>71,4</w:t>
            </w:r>
          </w:p>
        </w:tc>
        <w:tc>
          <w:tcPr>
            <w:tcW w:w="0" w:type="auto"/>
            <w:noWrap/>
          </w:tcPr>
          <w:p w:rsidR="009F61C6" w:rsidRPr="00B95B6E" w:rsidRDefault="009F61C6" w:rsidP="00B95B6E">
            <w:pPr>
              <w:cnfStyle w:val="000000000000"/>
              <w:rPr>
                <w:b/>
              </w:rPr>
            </w:pPr>
            <w:r w:rsidRPr="00B95B6E">
              <w:rPr>
                <w:b/>
              </w:rPr>
              <w:t>7</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Metropolitana Norte</w:t>
            </w:r>
          </w:p>
        </w:tc>
        <w:tc>
          <w:tcPr>
            <w:tcW w:w="0" w:type="auto"/>
            <w:noWrap/>
          </w:tcPr>
          <w:p w:rsidR="009F61C6" w:rsidRPr="00B95B6E" w:rsidRDefault="009F61C6" w:rsidP="00B95B6E">
            <w:pPr>
              <w:cnfStyle w:val="000000000000"/>
            </w:pPr>
            <w:r w:rsidRPr="00B95B6E">
              <w:t>540</w:t>
            </w:r>
          </w:p>
        </w:tc>
        <w:tc>
          <w:tcPr>
            <w:tcW w:w="0" w:type="auto"/>
            <w:noWrap/>
          </w:tcPr>
          <w:p w:rsidR="009F61C6" w:rsidRPr="00B95B6E" w:rsidRDefault="009F61C6" w:rsidP="00B95B6E">
            <w:pPr>
              <w:cnfStyle w:val="000000000000"/>
            </w:pPr>
            <w:r w:rsidRPr="00B95B6E">
              <w:t>99,1</w:t>
            </w:r>
          </w:p>
        </w:tc>
        <w:tc>
          <w:tcPr>
            <w:tcW w:w="0" w:type="auto"/>
            <w:noWrap/>
          </w:tcPr>
          <w:p w:rsidR="009F61C6" w:rsidRPr="00B95B6E" w:rsidRDefault="009F61C6" w:rsidP="00B95B6E">
            <w:pPr>
              <w:cnfStyle w:val="000000000000"/>
            </w:pPr>
            <w:r w:rsidRPr="00B95B6E">
              <w:t>5</w:t>
            </w:r>
          </w:p>
        </w:tc>
        <w:tc>
          <w:tcPr>
            <w:tcW w:w="0" w:type="auto"/>
            <w:noWrap/>
          </w:tcPr>
          <w:p w:rsidR="009F61C6" w:rsidRPr="00B95B6E" w:rsidRDefault="009F61C6" w:rsidP="00B95B6E">
            <w:pPr>
              <w:cnfStyle w:val="000000000000"/>
            </w:pPr>
            <w:r w:rsidRPr="00B95B6E">
              <w:t>0,9</w:t>
            </w:r>
          </w:p>
        </w:tc>
        <w:tc>
          <w:tcPr>
            <w:tcW w:w="0" w:type="auto"/>
            <w:noWrap/>
          </w:tcPr>
          <w:p w:rsidR="009F61C6" w:rsidRPr="00B95B6E" w:rsidRDefault="009F61C6" w:rsidP="00B95B6E">
            <w:pPr>
              <w:cnfStyle w:val="000000000000"/>
              <w:rPr>
                <w:b/>
              </w:rPr>
            </w:pPr>
            <w:r w:rsidRPr="00B95B6E">
              <w:rPr>
                <w:b/>
              </w:rPr>
              <w:t>545</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Metropolitana Sur</w:t>
            </w:r>
          </w:p>
        </w:tc>
        <w:tc>
          <w:tcPr>
            <w:tcW w:w="0" w:type="auto"/>
            <w:noWrap/>
          </w:tcPr>
          <w:p w:rsidR="009F61C6" w:rsidRPr="00B95B6E" w:rsidRDefault="009F61C6" w:rsidP="00B95B6E">
            <w:pPr>
              <w:cnfStyle w:val="000000000000"/>
            </w:pPr>
            <w:r w:rsidRPr="00B95B6E">
              <w:t>406</w:t>
            </w:r>
          </w:p>
        </w:tc>
        <w:tc>
          <w:tcPr>
            <w:tcW w:w="0" w:type="auto"/>
            <w:noWrap/>
          </w:tcPr>
          <w:p w:rsidR="009F61C6" w:rsidRPr="00B95B6E" w:rsidRDefault="009F61C6" w:rsidP="00B95B6E">
            <w:pPr>
              <w:cnfStyle w:val="000000000000"/>
            </w:pPr>
            <w:r w:rsidRPr="00B95B6E">
              <w:t>99,3</w:t>
            </w:r>
          </w:p>
        </w:tc>
        <w:tc>
          <w:tcPr>
            <w:tcW w:w="0" w:type="auto"/>
            <w:noWrap/>
          </w:tcPr>
          <w:p w:rsidR="009F61C6" w:rsidRPr="00B95B6E" w:rsidRDefault="009F61C6" w:rsidP="00B95B6E">
            <w:pPr>
              <w:cnfStyle w:val="000000000000"/>
            </w:pPr>
            <w:r w:rsidRPr="00B95B6E">
              <w:t>3</w:t>
            </w:r>
          </w:p>
        </w:tc>
        <w:tc>
          <w:tcPr>
            <w:tcW w:w="0" w:type="auto"/>
            <w:noWrap/>
          </w:tcPr>
          <w:p w:rsidR="009F61C6" w:rsidRPr="00B95B6E" w:rsidRDefault="009F61C6" w:rsidP="00B95B6E">
            <w:pPr>
              <w:cnfStyle w:val="000000000000"/>
            </w:pPr>
            <w:r w:rsidRPr="00B95B6E">
              <w:t>0,7</w:t>
            </w:r>
          </w:p>
        </w:tc>
        <w:tc>
          <w:tcPr>
            <w:tcW w:w="0" w:type="auto"/>
            <w:noWrap/>
          </w:tcPr>
          <w:p w:rsidR="009F61C6" w:rsidRPr="00B95B6E" w:rsidRDefault="009F61C6" w:rsidP="00B95B6E">
            <w:pPr>
              <w:cnfStyle w:val="000000000000"/>
              <w:rPr>
                <w:b/>
              </w:rPr>
            </w:pPr>
            <w:r w:rsidRPr="00B95B6E">
              <w:rPr>
                <w:b/>
              </w:rPr>
              <w:t>409</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Los Ríos</w:t>
            </w:r>
          </w:p>
        </w:tc>
        <w:tc>
          <w:tcPr>
            <w:tcW w:w="0" w:type="auto"/>
            <w:noWrap/>
          </w:tcPr>
          <w:p w:rsidR="009F61C6" w:rsidRPr="00B95B6E" w:rsidRDefault="009F61C6" w:rsidP="00B95B6E">
            <w:pPr>
              <w:cnfStyle w:val="000000000000"/>
            </w:pPr>
            <w:r w:rsidRPr="00B95B6E">
              <w:t>58</w:t>
            </w:r>
          </w:p>
        </w:tc>
        <w:tc>
          <w:tcPr>
            <w:tcW w:w="0" w:type="auto"/>
            <w:noWrap/>
          </w:tcPr>
          <w:p w:rsidR="009F61C6" w:rsidRPr="00B95B6E" w:rsidRDefault="009F61C6" w:rsidP="00B95B6E">
            <w:pPr>
              <w:cnfStyle w:val="000000000000"/>
            </w:pPr>
            <w:r w:rsidRPr="00B95B6E">
              <w:t>69,9</w:t>
            </w:r>
          </w:p>
        </w:tc>
        <w:tc>
          <w:tcPr>
            <w:tcW w:w="0" w:type="auto"/>
            <w:noWrap/>
          </w:tcPr>
          <w:p w:rsidR="009F61C6" w:rsidRPr="00B95B6E" w:rsidRDefault="009F61C6" w:rsidP="00B95B6E">
            <w:pPr>
              <w:cnfStyle w:val="000000000000"/>
            </w:pPr>
            <w:r w:rsidRPr="00B95B6E">
              <w:t>25</w:t>
            </w:r>
          </w:p>
        </w:tc>
        <w:tc>
          <w:tcPr>
            <w:tcW w:w="0" w:type="auto"/>
            <w:noWrap/>
          </w:tcPr>
          <w:p w:rsidR="009F61C6" w:rsidRPr="00B95B6E" w:rsidRDefault="009F61C6" w:rsidP="00B95B6E">
            <w:pPr>
              <w:cnfStyle w:val="000000000000"/>
            </w:pPr>
            <w:r w:rsidRPr="00B95B6E">
              <w:t>30,1</w:t>
            </w:r>
          </w:p>
        </w:tc>
        <w:tc>
          <w:tcPr>
            <w:tcW w:w="0" w:type="auto"/>
            <w:noWrap/>
          </w:tcPr>
          <w:p w:rsidR="009F61C6" w:rsidRPr="00B95B6E" w:rsidRDefault="009F61C6" w:rsidP="00B95B6E">
            <w:pPr>
              <w:cnfStyle w:val="000000000000"/>
              <w:rPr>
                <w:b/>
              </w:rPr>
            </w:pPr>
            <w:r w:rsidRPr="00B95B6E">
              <w:rPr>
                <w:b/>
              </w:rPr>
              <w:t>83</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9F61C6" w:rsidP="00B95B6E">
            <w:r w:rsidRPr="00B95B6E">
              <w:t>Arica y Parinacota</w:t>
            </w:r>
          </w:p>
        </w:tc>
        <w:tc>
          <w:tcPr>
            <w:tcW w:w="0" w:type="auto"/>
            <w:noWrap/>
          </w:tcPr>
          <w:p w:rsidR="009F61C6" w:rsidRPr="00B95B6E" w:rsidRDefault="009F61C6" w:rsidP="00B95B6E">
            <w:pPr>
              <w:cnfStyle w:val="000000000000"/>
            </w:pPr>
            <w:r w:rsidRPr="00B95B6E">
              <w:t>43</w:t>
            </w:r>
          </w:p>
        </w:tc>
        <w:tc>
          <w:tcPr>
            <w:tcW w:w="0" w:type="auto"/>
            <w:noWrap/>
          </w:tcPr>
          <w:p w:rsidR="009F61C6" w:rsidRPr="00B95B6E" w:rsidRDefault="009F61C6" w:rsidP="00B95B6E">
            <w:pPr>
              <w:cnfStyle w:val="000000000000"/>
            </w:pPr>
            <w:r w:rsidRPr="00B95B6E">
              <w:t>70,5</w:t>
            </w:r>
          </w:p>
        </w:tc>
        <w:tc>
          <w:tcPr>
            <w:tcW w:w="0" w:type="auto"/>
            <w:noWrap/>
          </w:tcPr>
          <w:p w:rsidR="009F61C6" w:rsidRPr="00B95B6E" w:rsidRDefault="009F61C6" w:rsidP="00B95B6E">
            <w:pPr>
              <w:cnfStyle w:val="000000000000"/>
            </w:pPr>
            <w:r w:rsidRPr="00B95B6E">
              <w:t>18</w:t>
            </w:r>
          </w:p>
        </w:tc>
        <w:tc>
          <w:tcPr>
            <w:tcW w:w="0" w:type="auto"/>
            <w:noWrap/>
          </w:tcPr>
          <w:p w:rsidR="009F61C6" w:rsidRPr="00B95B6E" w:rsidRDefault="009F61C6" w:rsidP="00B95B6E">
            <w:pPr>
              <w:cnfStyle w:val="000000000000"/>
            </w:pPr>
            <w:r w:rsidRPr="00B95B6E">
              <w:t>29,5</w:t>
            </w:r>
          </w:p>
        </w:tc>
        <w:tc>
          <w:tcPr>
            <w:tcW w:w="0" w:type="auto"/>
            <w:noWrap/>
          </w:tcPr>
          <w:p w:rsidR="009F61C6" w:rsidRPr="00B95B6E" w:rsidRDefault="009F61C6" w:rsidP="00B95B6E">
            <w:pPr>
              <w:cnfStyle w:val="000000000000"/>
              <w:rPr>
                <w:b/>
              </w:rPr>
            </w:pPr>
            <w:r w:rsidRPr="00B95B6E">
              <w:rPr>
                <w:b/>
              </w:rPr>
              <w:t>61</w:t>
            </w:r>
          </w:p>
        </w:tc>
        <w:tc>
          <w:tcPr>
            <w:tcW w:w="0" w:type="auto"/>
            <w:noWrap/>
          </w:tcPr>
          <w:p w:rsidR="009F61C6" w:rsidRPr="00B95B6E" w:rsidRDefault="009F61C6" w:rsidP="00B95B6E">
            <w:pPr>
              <w:cnfStyle w:val="000000000000"/>
              <w:rPr>
                <w:b/>
              </w:rPr>
            </w:pPr>
            <w:r w:rsidRPr="00B95B6E">
              <w:rPr>
                <w:b/>
              </w:rPr>
              <w:t>100,0</w:t>
            </w:r>
          </w:p>
        </w:tc>
      </w:tr>
      <w:tr w:rsidR="009F61C6" w:rsidRPr="00B95B6E" w:rsidTr="00B95B6E">
        <w:trPr>
          <w:trHeight w:val="240"/>
        </w:trPr>
        <w:tc>
          <w:tcPr>
            <w:cnfStyle w:val="001000000000"/>
            <w:tcW w:w="0" w:type="auto"/>
          </w:tcPr>
          <w:p w:rsidR="009F61C6" w:rsidRPr="00B95B6E" w:rsidRDefault="00B95B6E" w:rsidP="00330D38">
            <w:pPr>
              <w:tabs>
                <w:tab w:val="left" w:pos="281"/>
              </w:tabs>
              <w:rPr>
                <w:b/>
              </w:rPr>
            </w:pPr>
            <w:r>
              <w:rPr>
                <w:b/>
              </w:rPr>
              <w:tab/>
            </w:r>
            <w:r w:rsidR="009F61C6" w:rsidRPr="00B95B6E">
              <w:rPr>
                <w:b/>
              </w:rPr>
              <w:t>Total</w:t>
            </w:r>
          </w:p>
        </w:tc>
        <w:tc>
          <w:tcPr>
            <w:tcW w:w="0" w:type="auto"/>
            <w:noWrap/>
          </w:tcPr>
          <w:p w:rsidR="009F61C6" w:rsidRPr="00B95B6E" w:rsidRDefault="009F61C6" w:rsidP="00B95B6E">
            <w:pPr>
              <w:cnfStyle w:val="000000000000"/>
              <w:rPr>
                <w:b/>
              </w:rPr>
            </w:pPr>
            <w:r w:rsidRPr="00B95B6E">
              <w:rPr>
                <w:b/>
              </w:rPr>
              <w:t>1</w:t>
            </w:r>
            <w:r w:rsidR="00B95B6E">
              <w:rPr>
                <w:b/>
              </w:rPr>
              <w:t xml:space="preserve"> </w:t>
            </w:r>
            <w:r w:rsidRPr="00B95B6E">
              <w:rPr>
                <w:b/>
              </w:rPr>
              <w:t>923</w:t>
            </w:r>
          </w:p>
        </w:tc>
        <w:tc>
          <w:tcPr>
            <w:tcW w:w="0" w:type="auto"/>
            <w:noWrap/>
          </w:tcPr>
          <w:p w:rsidR="009F61C6" w:rsidRPr="00B95B6E" w:rsidRDefault="009F61C6" w:rsidP="00B95B6E">
            <w:pPr>
              <w:cnfStyle w:val="000000000000"/>
              <w:rPr>
                <w:b/>
              </w:rPr>
            </w:pPr>
            <w:r w:rsidRPr="00B95B6E">
              <w:rPr>
                <w:b/>
              </w:rPr>
              <w:t>73,1</w:t>
            </w:r>
          </w:p>
        </w:tc>
        <w:tc>
          <w:tcPr>
            <w:tcW w:w="0" w:type="auto"/>
            <w:noWrap/>
          </w:tcPr>
          <w:p w:rsidR="009F61C6" w:rsidRPr="00B95B6E" w:rsidRDefault="009F61C6" w:rsidP="00B95B6E">
            <w:pPr>
              <w:cnfStyle w:val="000000000000"/>
              <w:rPr>
                <w:b/>
              </w:rPr>
            </w:pPr>
            <w:r w:rsidRPr="00B95B6E">
              <w:rPr>
                <w:b/>
              </w:rPr>
              <w:t>706</w:t>
            </w:r>
          </w:p>
        </w:tc>
        <w:tc>
          <w:tcPr>
            <w:tcW w:w="0" w:type="auto"/>
            <w:noWrap/>
          </w:tcPr>
          <w:p w:rsidR="009F61C6" w:rsidRPr="00B95B6E" w:rsidRDefault="009F61C6" w:rsidP="00B95B6E">
            <w:pPr>
              <w:cnfStyle w:val="000000000000"/>
              <w:rPr>
                <w:b/>
              </w:rPr>
            </w:pPr>
            <w:r w:rsidRPr="00B95B6E">
              <w:rPr>
                <w:b/>
              </w:rPr>
              <w:t>26,9</w:t>
            </w:r>
          </w:p>
        </w:tc>
        <w:tc>
          <w:tcPr>
            <w:tcW w:w="0" w:type="auto"/>
            <w:noWrap/>
          </w:tcPr>
          <w:p w:rsidR="009F61C6" w:rsidRPr="00B95B6E" w:rsidRDefault="009F61C6" w:rsidP="00B95B6E">
            <w:pPr>
              <w:cnfStyle w:val="000000000000"/>
              <w:rPr>
                <w:b/>
              </w:rPr>
            </w:pPr>
            <w:r w:rsidRPr="00B95B6E">
              <w:rPr>
                <w:b/>
              </w:rPr>
              <w:t>2</w:t>
            </w:r>
            <w:r w:rsidR="00B95B6E">
              <w:rPr>
                <w:b/>
              </w:rPr>
              <w:t xml:space="preserve"> </w:t>
            </w:r>
            <w:r w:rsidRPr="00B95B6E">
              <w:rPr>
                <w:b/>
              </w:rPr>
              <w:t>629</w:t>
            </w:r>
          </w:p>
        </w:tc>
        <w:tc>
          <w:tcPr>
            <w:tcW w:w="0" w:type="auto"/>
            <w:noWrap/>
          </w:tcPr>
          <w:p w:rsidR="009F61C6" w:rsidRPr="00B95B6E" w:rsidRDefault="009F61C6" w:rsidP="00B95B6E">
            <w:pPr>
              <w:cnfStyle w:val="000000000000"/>
              <w:rPr>
                <w:b/>
              </w:rPr>
            </w:pPr>
            <w:r w:rsidRPr="00B95B6E">
              <w:rPr>
                <w:b/>
              </w:rPr>
              <w:t>100,0</w:t>
            </w:r>
          </w:p>
        </w:tc>
      </w:tr>
    </w:tbl>
    <w:p w:rsidR="009F61C6" w:rsidRDefault="009F61C6" w:rsidP="009F61C6">
      <w:pPr>
        <w:pStyle w:val="H1G"/>
        <w:spacing w:before="280"/>
        <w:rPr>
          <w:lang w:eastAsia="es-ES_tradnl"/>
        </w:rPr>
      </w:pPr>
      <w:r>
        <w:rPr>
          <w:lang w:eastAsia="es-ES_tradnl"/>
        </w:rPr>
        <w:tab/>
      </w:r>
      <w:r w:rsidRPr="009228AA">
        <w:rPr>
          <w:lang w:eastAsia="es-ES_tradnl"/>
        </w:rPr>
        <w:t>X.</w:t>
      </w:r>
      <w:r>
        <w:rPr>
          <w:lang w:eastAsia="es-ES_tradnl"/>
        </w:rPr>
        <w:tab/>
      </w:r>
      <w:r w:rsidRPr="009228AA">
        <w:rPr>
          <w:lang w:eastAsia="es-ES_tradnl"/>
        </w:rPr>
        <w:t>Modificaciones a la Ley antiterrorista</w:t>
      </w:r>
    </w:p>
    <w:p w:rsidR="009F61C6" w:rsidRPr="009228AA" w:rsidRDefault="009F61C6" w:rsidP="009F61C6">
      <w:pPr>
        <w:pStyle w:val="H23G"/>
        <w:rPr>
          <w:lang w:val="es-ES_tradnl" w:eastAsia="es-ES_tradnl"/>
        </w:rPr>
      </w:pPr>
      <w:r>
        <w:rPr>
          <w:lang w:val="es-ES_tradnl" w:eastAsia="es-ES_tradnl"/>
        </w:rPr>
        <w:tab/>
      </w:r>
      <w:r>
        <w:rPr>
          <w:lang w:val="es-ES_tradnl" w:eastAsia="es-ES_tradnl"/>
        </w:rPr>
        <w:tab/>
      </w:r>
      <w:r w:rsidRPr="009228AA">
        <w:rPr>
          <w:lang w:val="es-ES_tradnl" w:eastAsia="es-ES_tradnl"/>
        </w:rPr>
        <w:t>Las principales modificaciones son las siguientes:</w:t>
      </w:r>
    </w:p>
    <w:p w:rsidR="009F61C6" w:rsidRPr="007C3895" w:rsidRDefault="009F61C6" w:rsidP="009F61C6">
      <w:pPr>
        <w:pStyle w:val="H4G"/>
        <w:rPr>
          <w:lang w:val="es-ES_tradnl" w:eastAsia="es-ES_tradnl"/>
        </w:rPr>
      </w:pPr>
      <w:r>
        <w:rPr>
          <w:lang w:val="es-ES_tradnl" w:eastAsia="es-ES_tradnl"/>
        </w:rPr>
        <w:tab/>
        <w:t>a)</w:t>
      </w:r>
      <w:r w:rsidRPr="009228AA">
        <w:rPr>
          <w:lang w:val="es-ES_tradnl" w:eastAsia="es-ES_tradnl"/>
        </w:rPr>
        <w:tab/>
      </w:r>
      <w:r w:rsidRPr="007C3895">
        <w:rPr>
          <w:lang w:val="es-ES_tradnl" w:eastAsia="es-ES_tradnl"/>
        </w:rPr>
        <w:t>Se restring</w:t>
      </w:r>
      <w:r>
        <w:rPr>
          <w:lang w:val="es-ES_tradnl" w:eastAsia="es-ES_tradnl"/>
        </w:rPr>
        <w:t>e el tipo del delito terrorista</w:t>
      </w:r>
    </w:p>
    <w:p w:rsidR="009F61C6" w:rsidRPr="009228AA" w:rsidRDefault="009F61C6" w:rsidP="009F61C6">
      <w:pPr>
        <w:pStyle w:val="SingleTxtG"/>
        <w:ind w:firstLine="567"/>
        <w:rPr>
          <w:lang w:val="es-ES_tradnl" w:eastAsia="es-ES_tradnl"/>
        </w:rPr>
      </w:pPr>
      <w:r w:rsidRPr="009228AA">
        <w:rPr>
          <w:lang w:val="es-ES_tradnl" w:eastAsia="es-ES_tradnl"/>
        </w:rPr>
        <w:t>Previo a la modificación, el artículo 1° de la Ley Antiterrorista contemplaba dos ci</w:t>
      </w:r>
      <w:r w:rsidRPr="009228AA">
        <w:rPr>
          <w:lang w:val="es-ES_tradnl" w:eastAsia="es-ES_tradnl"/>
        </w:rPr>
        <w:t>r</w:t>
      </w:r>
      <w:r w:rsidRPr="009228AA">
        <w:rPr>
          <w:lang w:val="es-ES_tradnl" w:eastAsia="es-ES_tradnl"/>
        </w:rPr>
        <w:t>cunstancias alternativas bajo las cuales una conducta podía ser calificada como “terrorista”: (i) por una parte, si el hecho era cometido con la finalidad de producir en la población o en  una parte de ella el temor justificado de ser víctima de delitos de la misma especie; y (ii) por otra parte, si el delito era cometido para arrancar resoluciones de la autoridad o imp</w:t>
      </w:r>
      <w:r w:rsidRPr="009228AA">
        <w:rPr>
          <w:lang w:val="es-ES_tradnl" w:eastAsia="es-ES_tradnl"/>
        </w:rPr>
        <w:t>o</w:t>
      </w:r>
      <w:r w:rsidRPr="009228AA">
        <w:rPr>
          <w:lang w:val="es-ES_tradnl" w:eastAsia="es-ES_tradnl"/>
        </w:rPr>
        <w:t>nerle exigencias.</w:t>
      </w:r>
    </w:p>
    <w:p w:rsidR="009F61C6" w:rsidRPr="009228AA" w:rsidRDefault="009F61C6" w:rsidP="009F61C6">
      <w:pPr>
        <w:pStyle w:val="SingleTxtG"/>
        <w:ind w:firstLine="567"/>
        <w:rPr>
          <w:lang w:val="es-ES_tradnl" w:eastAsia="es-ES_tradnl"/>
        </w:rPr>
      </w:pPr>
      <w:r w:rsidRPr="009228AA">
        <w:rPr>
          <w:lang w:val="es-ES_tradnl" w:eastAsia="es-ES_tradnl"/>
        </w:rPr>
        <w:t>Asimismo, se presumía la finalidad de producir temor en la población cuando el hecho era cometido por alguno de los medios enumerados en el inciso segundo del artículo 1°, entre ellos, “</w:t>
      </w:r>
      <w:r w:rsidRPr="007C3895">
        <w:rPr>
          <w:lang w:val="es-ES_tradnl" w:eastAsia="es-ES_tradnl"/>
        </w:rPr>
        <w:t>artificios explosivos o incendiarios</w:t>
      </w:r>
      <w:r w:rsidRPr="009228AA">
        <w:rPr>
          <w:lang w:val="es-ES_tradnl" w:eastAsia="es-ES_tradnl"/>
        </w:rPr>
        <w:t>”.</w:t>
      </w:r>
    </w:p>
    <w:p w:rsidR="009F61C6" w:rsidRPr="009228AA" w:rsidRDefault="009F61C6" w:rsidP="009F61C6">
      <w:pPr>
        <w:pStyle w:val="SingleTxtG"/>
        <w:ind w:firstLine="567"/>
        <w:rPr>
          <w:lang w:val="es-ES_tradnl" w:eastAsia="es-ES_tradnl"/>
        </w:rPr>
      </w:pPr>
      <w:r w:rsidRPr="009228AA">
        <w:rPr>
          <w:lang w:val="es-ES_tradnl" w:eastAsia="es-ES_tradnl"/>
        </w:rPr>
        <w:t>En virtud de la modificación, el artículo 1° fue reemplazado por el siguiente: “</w:t>
      </w:r>
      <w:r w:rsidRPr="007C3895">
        <w:rPr>
          <w:lang w:val="es-ES_tradnl" w:eastAsia="es-ES_tradnl"/>
        </w:rPr>
        <w:t>Con</w:t>
      </w:r>
      <w:r w:rsidRPr="007C3895">
        <w:rPr>
          <w:lang w:val="es-ES_tradnl" w:eastAsia="es-ES_tradnl"/>
        </w:rPr>
        <w:t>s</w:t>
      </w:r>
      <w:r w:rsidRPr="007C3895">
        <w:rPr>
          <w:lang w:val="es-ES_tradnl" w:eastAsia="es-ES_tradnl"/>
        </w:rPr>
        <w:t>tituirán delitos terroristas los enumerados en el artículo 2º, cuando el hecho se cometa con la finalidad de producir en la población o en una parte de ella el temor justificado de ser víctima de delitos de la misma especie, sea por la naturaleza y efectos de los medios e</w:t>
      </w:r>
      <w:r w:rsidRPr="007C3895">
        <w:rPr>
          <w:lang w:val="es-ES_tradnl" w:eastAsia="es-ES_tradnl"/>
        </w:rPr>
        <w:t>m</w:t>
      </w:r>
      <w:r w:rsidRPr="007C3895">
        <w:rPr>
          <w:lang w:val="es-ES_tradnl" w:eastAsia="es-ES_tradnl"/>
        </w:rPr>
        <w:t>pleados, sea por la evidencia de que obedece a un plan premeditado de atentar contra una categoría o grupo determinado de personas, sea porque se cometa para arrancar o inhibir r</w:t>
      </w:r>
      <w:r w:rsidRPr="007C3895">
        <w:rPr>
          <w:lang w:val="es-ES_tradnl" w:eastAsia="es-ES_tradnl"/>
        </w:rPr>
        <w:t>e</w:t>
      </w:r>
      <w:r w:rsidRPr="007C3895">
        <w:rPr>
          <w:lang w:val="es-ES_tradnl" w:eastAsia="es-ES_tradnl"/>
        </w:rPr>
        <w:t>soluciones de la autoridad o imponerle exigencias”.</w:t>
      </w:r>
    </w:p>
    <w:p w:rsidR="009F61C6" w:rsidRPr="009228AA" w:rsidRDefault="009F61C6" w:rsidP="009F61C6">
      <w:pPr>
        <w:pStyle w:val="SingleTxtG"/>
        <w:ind w:firstLine="567"/>
        <w:rPr>
          <w:lang w:val="es-ES_tradnl" w:eastAsia="es-ES_tradnl"/>
        </w:rPr>
      </w:pPr>
      <w:r w:rsidRPr="009228AA">
        <w:rPr>
          <w:lang w:val="es-ES_tradnl" w:eastAsia="es-ES_tradnl"/>
        </w:rPr>
        <w:t>La modificación al artículo 1° de la Ley Antiterrorista implica: (i) que la finalidad de producir temor justificado en la población o en una parte de ella, de ser víctima de delitos de la misma especie (el denominado “dolo terrorista”), es requisito imperativo para que una conducta pueda ser considerada como “terrorista”, y (ii) que la finalidad de producir temor no se presumirá a partir del hecho de utilizar determinado medio.</w:t>
      </w:r>
    </w:p>
    <w:p w:rsidR="009F61C6" w:rsidRPr="009228AA" w:rsidRDefault="009F61C6" w:rsidP="009F61C6">
      <w:pPr>
        <w:pStyle w:val="SingleTxtG"/>
        <w:ind w:firstLine="567"/>
        <w:rPr>
          <w:lang w:val="es-ES_tradnl" w:eastAsia="es-ES_tradnl"/>
        </w:rPr>
      </w:pPr>
      <w:r w:rsidRPr="009228AA">
        <w:rPr>
          <w:lang w:val="es-ES_tradnl" w:eastAsia="es-ES_tradnl"/>
        </w:rPr>
        <w:t>En consecuencia, corresponderá al Ministerio Público o al querellante probar, en el marco del juicio oral, y más allá de cualquier duda razonable, la existencia del elemento subjetivo que permite calificar penalmente una conducta como “terrorista”, lo que corrige posibles conflictos con el principio de presunción de inocencia. Asimismo, y según lo di</w:t>
      </w:r>
      <w:r w:rsidRPr="009228AA">
        <w:rPr>
          <w:lang w:val="es-ES_tradnl" w:eastAsia="es-ES_tradnl"/>
        </w:rPr>
        <w:t>s</w:t>
      </w:r>
      <w:r w:rsidRPr="009228AA">
        <w:rPr>
          <w:lang w:val="es-ES_tradnl" w:eastAsia="es-ES_tradnl"/>
        </w:rPr>
        <w:t>puesto en el artículo 340 del Código Procesal Penal, dicha prueba debe llevar a un conve</w:t>
      </w:r>
      <w:r w:rsidRPr="009228AA">
        <w:rPr>
          <w:lang w:val="es-ES_tradnl" w:eastAsia="es-ES_tradnl"/>
        </w:rPr>
        <w:t>n</w:t>
      </w:r>
      <w:r w:rsidRPr="009228AA">
        <w:rPr>
          <w:lang w:val="es-ES_tradnl" w:eastAsia="es-ES_tradnl"/>
        </w:rPr>
        <w:t>cimiento del tribunal oral que se sustente más allá de toda duda razonable, para que proceda la condena. Cabe señalar que la necesidad de probar el denominado “dolo terrorista” más allá de toda duda razonable era igualmente aplicable con anterioridad a la modificación de la Ley Antiterrorista.</w:t>
      </w:r>
    </w:p>
    <w:p w:rsidR="009F61C6" w:rsidRPr="009228AA" w:rsidRDefault="009F61C6" w:rsidP="009F61C6">
      <w:pPr>
        <w:pStyle w:val="H4G"/>
        <w:rPr>
          <w:lang w:val="es-ES_tradnl" w:eastAsia="es-ES_tradnl"/>
        </w:rPr>
      </w:pPr>
      <w:r>
        <w:rPr>
          <w:lang w:val="es-ES_tradnl" w:eastAsia="es-ES_tradnl"/>
        </w:rPr>
        <w:tab/>
        <w:t>b)</w:t>
      </w:r>
      <w:r>
        <w:rPr>
          <w:lang w:val="es-ES_tradnl" w:eastAsia="es-ES_tradnl"/>
        </w:rPr>
        <w:tab/>
      </w:r>
      <w:r w:rsidRPr="009228AA">
        <w:rPr>
          <w:lang w:val="es-ES_tradnl" w:eastAsia="es-ES_tradnl"/>
        </w:rPr>
        <w:t>Eliminación de conductas típicas.</w:t>
      </w:r>
    </w:p>
    <w:p w:rsidR="009F61C6" w:rsidRDefault="009F61C6" w:rsidP="009F61C6">
      <w:pPr>
        <w:pStyle w:val="SingleTxtG"/>
        <w:ind w:firstLine="567"/>
        <w:rPr>
          <w:lang w:val="es-ES_tradnl" w:eastAsia="es-ES_tradnl"/>
        </w:rPr>
      </w:pPr>
      <w:r w:rsidRPr="009228AA">
        <w:rPr>
          <w:lang w:val="es-ES_tradnl" w:eastAsia="es-ES_tradnl"/>
        </w:rPr>
        <w:t>Adicionalmente, se eliminaron algunos delitos susceptibles de ser calificados como “terroristas”:</w:t>
      </w:r>
    </w:p>
    <w:p w:rsidR="009F61C6" w:rsidRDefault="009F61C6" w:rsidP="009F61C6">
      <w:pPr>
        <w:pStyle w:val="SingleTxtG"/>
        <w:ind w:left="1701"/>
        <w:rPr>
          <w:lang w:val="es-ES_tradnl" w:eastAsia="es-ES_tradnl"/>
        </w:rPr>
      </w:pPr>
      <w:r>
        <w:rPr>
          <w:lang w:val="es-ES_tradnl" w:eastAsia="es-ES_tradnl"/>
        </w:rPr>
        <w:t>(i)</w:t>
      </w:r>
      <w:r>
        <w:rPr>
          <w:lang w:val="es-ES_tradnl" w:eastAsia="es-ES_tradnl"/>
        </w:rPr>
        <w:tab/>
      </w:r>
      <w:r w:rsidRPr="009228AA">
        <w:rPr>
          <w:lang w:val="es-ES_tradnl" w:eastAsia="es-ES_tradnl"/>
        </w:rPr>
        <w:t>dentro de las hipótesis de homicidio terroris</w:t>
      </w:r>
      <w:r>
        <w:rPr>
          <w:lang w:val="es-ES_tradnl" w:eastAsia="es-ES_tradnl"/>
        </w:rPr>
        <w:t>ta, se eliminó el parricidio; y</w:t>
      </w:r>
    </w:p>
    <w:p w:rsidR="009F61C6" w:rsidRPr="009228AA" w:rsidRDefault="009F61C6" w:rsidP="009F61C6">
      <w:pPr>
        <w:pStyle w:val="SingleTxtG"/>
        <w:ind w:left="1701"/>
        <w:rPr>
          <w:lang w:val="es-ES_tradnl" w:eastAsia="es-ES_tradnl"/>
        </w:rPr>
      </w:pPr>
      <w:r>
        <w:rPr>
          <w:lang w:val="es-ES_tradnl" w:eastAsia="es-ES_tradnl"/>
        </w:rPr>
        <w:t>(ii)</w:t>
      </w:r>
      <w:r>
        <w:rPr>
          <w:lang w:val="es-ES_tradnl" w:eastAsia="es-ES_tradnl"/>
        </w:rPr>
        <w:tab/>
      </w:r>
      <w:r w:rsidRPr="009228AA">
        <w:rPr>
          <w:lang w:val="es-ES_tradnl" w:eastAsia="es-ES_tradnl"/>
        </w:rPr>
        <w:t>dentro de los delitos de lesiones terroristas, se eliminaron las lesiones menos graves. Asimismo, se modificó la penalidad asociada a los delitos de incendio de bosques, mieses, pastos, montes, cerro o plantíos, de modo que estos delitos sólo pueden recibir la penalidad que les corresponde de acuerdo a la legislación penal com</w:t>
      </w:r>
      <w:r>
        <w:rPr>
          <w:lang w:val="es-ES_tradnl" w:eastAsia="es-ES_tradnl"/>
        </w:rPr>
        <w:t>ún, pero no en su grado mínimo.</w:t>
      </w:r>
    </w:p>
    <w:p w:rsidR="009F61C6" w:rsidRPr="009228AA" w:rsidRDefault="009F61C6" w:rsidP="009F61C6">
      <w:pPr>
        <w:pStyle w:val="H4G"/>
        <w:rPr>
          <w:lang w:val="es-ES_tradnl" w:eastAsia="es-ES_tradnl"/>
        </w:rPr>
      </w:pPr>
      <w:r>
        <w:rPr>
          <w:lang w:val="es-ES_tradnl" w:eastAsia="es-ES_tradnl"/>
        </w:rPr>
        <w:tab/>
      </w:r>
      <w:r w:rsidRPr="009228AA">
        <w:rPr>
          <w:lang w:val="es-ES_tradnl" w:eastAsia="es-ES_tradnl"/>
        </w:rPr>
        <w:t>c.</w:t>
      </w:r>
      <w:r w:rsidRPr="009228AA">
        <w:rPr>
          <w:lang w:val="es-ES_tradnl" w:eastAsia="es-ES_tradnl"/>
        </w:rPr>
        <w:tab/>
        <w:t>Eliminación de circunstancia modificatoria de determinación de la pena.</w:t>
      </w:r>
    </w:p>
    <w:p w:rsidR="009F61C6" w:rsidRPr="009228AA" w:rsidRDefault="009F61C6" w:rsidP="009F61C6">
      <w:pPr>
        <w:pStyle w:val="SingleTxtG"/>
        <w:ind w:firstLine="567"/>
        <w:rPr>
          <w:lang w:val="es-ES_tradnl" w:eastAsia="es-ES_tradnl"/>
        </w:rPr>
      </w:pPr>
      <w:r w:rsidRPr="009228AA">
        <w:rPr>
          <w:lang w:val="es-ES_tradnl" w:eastAsia="es-ES_tradnl"/>
        </w:rPr>
        <w:t>Se eliminó la circunstancia establecida en el artículo 3° bis de la Ley Antiterrorista, que permitía al tribunal determinar la pena según la forma innecesariamente cruel de la ej</w:t>
      </w:r>
      <w:r w:rsidRPr="009228AA">
        <w:rPr>
          <w:lang w:val="es-ES_tradnl" w:eastAsia="es-ES_tradnl"/>
        </w:rPr>
        <w:t>e</w:t>
      </w:r>
      <w:r w:rsidRPr="009228AA">
        <w:rPr>
          <w:lang w:val="es-ES_tradnl" w:eastAsia="es-ES_tradnl"/>
        </w:rPr>
        <w:t>cución del delito y la mayor o menor probabilidad de la comisión de nuevos delitos sem</w:t>
      </w:r>
      <w:r w:rsidRPr="009228AA">
        <w:rPr>
          <w:lang w:val="es-ES_tradnl" w:eastAsia="es-ES_tradnl"/>
        </w:rPr>
        <w:t>e</w:t>
      </w:r>
      <w:r w:rsidRPr="009228AA">
        <w:rPr>
          <w:lang w:val="es-ES_tradnl" w:eastAsia="es-ES_tradnl"/>
        </w:rPr>
        <w:t>jantes, de acuerdo a los antecedentes y personalidad del procesado. Esto eliminó un factor adicional que se tenía en consideración al momento de aplicar la pena en concreto por el tribunal oral.</w:t>
      </w:r>
    </w:p>
    <w:p w:rsidR="009F61C6" w:rsidRPr="009228AA" w:rsidRDefault="009F61C6" w:rsidP="009F61C6">
      <w:pPr>
        <w:pStyle w:val="H4G"/>
        <w:rPr>
          <w:lang w:val="es-ES_tradnl" w:eastAsia="es-ES_tradnl"/>
        </w:rPr>
      </w:pPr>
      <w:r>
        <w:rPr>
          <w:lang w:val="es-ES_tradnl" w:eastAsia="es-ES_tradnl"/>
        </w:rPr>
        <w:tab/>
      </w:r>
      <w:r w:rsidRPr="009228AA">
        <w:rPr>
          <w:lang w:val="es-ES_tradnl" w:eastAsia="es-ES_tradnl"/>
        </w:rPr>
        <w:t>d.</w:t>
      </w:r>
      <w:r w:rsidRPr="009228AA">
        <w:rPr>
          <w:lang w:val="es-ES_tradnl" w:eastAsia="es-ES_tradnl"/>
        </w:rPr>
        <w:tab/>
        <w:t>No Aplicación a Menores de Edad</w:t>
      </w:r>
    </w:p>
    <w:p w:rsidR="009F61C6" w:rsidRPr="009228AA" w:rsidRDefault="009F61C6" w:rsidP="009F61C6">
      <w:pPr>
        <w:pStyle w:val="SingleTxtG"/>
        <w:ind w:firstLine="567"/>
        <w:rPr>
          <w:lang w:val="es-ES_tradnl" w:eastAsia="es-ES_tradnl"/>
        </w:rPr>
      </w:pPr>
      <w:r w:rsidRPr="009228AA">
        <w:rPr>
          <w:lang w:val="es-ES_tradnl" w:eastAsia="es-ES_tradnl"/>
        </w:rPr>
        <w:t>La Ley Nº 20.519 ratificó la adecuación de la Ley Antiterrorista con los principios del derecho penal especial de adolescentes,  la Convención Sobre los derechos del Niño y  las normas contenidas en los Tratados Internacionales ratificados por Chile sobre Infancia que se encuentran vigentes.</w:t>
      </w:r>
    </w:p>
    <w:p w:rsidR="009F61C6" w:rsidRPr="009228AA" w:rsidRDefault="009F61C6" w:rsidP="009F61C6">
      <w:pPr>
        <w:pStyle w:val="SingleTxtG"/>
        <w:ind w:firstLine="567"/>
        <w:rPr>
          <w:lang w:val="es-ES_tradnl" w:eastAsia="es-ES_tradnl"/>
        </w:rPr>
      </w:pPr>
      <w:r w:rsidRPr="009228AA">
        <w:rPr>
          <w:lang w:val="es-ES_tradnl" w:eastAsia="es-ES_tradnl"/>
        </w:rPr>
        <w:t xml:space="preserve">La norma incorporó los siguientes incisos segundo y tercero al artículo 1º de la Ley Nº 18.314: </w:t>
      </w:r>
      <w:r w:rsidRPr="009228AA">
        <w:rPr>
          <w:i/>
          <w:lang w:val="es-ES_tradnl" w:eastAsia="es-ES_tradnl"/>
        </w:rPr>
        <w:t>“</w:t>
      </w:r>
      <w:r w:rsidRPr="007C3895">
        <w:rPr>
          <w:lang w:val="es-ES_tradnl" w:eastAsia="es-ES_tradnl"/>
        </w:rPr>
        <w:t>La presente ley no se aplicará a las conductas ejecutadas por personas menores de 18 años. / La exclusión contenida en el inciso anterior no será aplicable a los mayores de edad que sean autores, cómplices o encubridores del mismo hecho punible. En dicho caso, la determinación de la pena se realizará en relación al delito cometido de conformidad a e</w:t>
      </w:r>
      <w:r w:rsidRPr="007C3895">
        <w:rPr>
          <w:lang w:val="es-ES_tradnl" w:eastAsia="es-ES_tradnl"/>
        </w:rPr>
        <w:t>s</w:t>
      </w:r>
      <w:r w:rsidRPr="007C3895">
        <w:rPr>
          <w:lang w:val="es-ES_tradnl" w:eastAsia="es-ES_tradnl"/>
        </w:rPr>
        <w:t>ta ley”.</w:t>
      </w:r>
    </w:p>
    <w:p w:rsidR="009F61C6" w:rsidRPr="00D022B6" w:rsidRDefault="009F61C6" w:rsidP="009F61C6">
      <w:pPr>
        <w:pStyle w:val="H1G"/>
        <w:rPr>
          <w:lang w:val="es-ES_tradnl" w:eastAsia="es-ES_tradnl"/>
        </w:rPr>
      </w:pPr>
      <w:bookmarkStart w:id="2" w:name="_Toc334111150"/>
      <w:r>
        <w:rPr>
          <w:lang w:val="es-ES_tradnl" w:eastAsia="es-ES_tradnl"/>
        </w:rPr>
        <w:tab/>
      </w:r>
      <w:r w:rsidRPr="00D022B6">
        <w:rPr>
          <w:lang w:val="es-ES_tradnl" w:eastAsia="es-ES_tradnl"/>
        </w:rPr>
        <w:t>XI.</w:t>
      </w:r>
      <w:r>
        <w:rPr>
          <w:lang w:val="es-ES_tradnl" w:eastAsia="es-ES_tradnl"/>
        </w:rPr>
        <w:tab/>
      </w:r>
      <w:r w:rsidRPr="00D022B6">
        <w:rPr>
          <w:lang w:val="es-ES_tradnl" w:eastAsia="es-ES_tradnl"/>
        </w:rPr>
        <w:t>Temas de interés indígena, según Mesas de Diálogo</w:t>
      </w:r>
      <w:bookmarkEnd w:id="2"/>
    </w:p>
    <w:p w:rsidR="009F61C6" w:rsidRDefault="009F61C6" w:rsidP="009F61C6">
      <w:pPr>
        <w:pStyle w:val="SingleTxtG"/>
        <w:ind w:firstLine="567"/>
        <w:rPr>
          <w:lang w:val="ru-RU"/>
        </w:rPr>
      </w:pPr>
      <w:r w:rsidRPr="00D022B6">
        <w:rPr>
          <w:lang w:val="es-ES_tradnl"/>
        </w:rPr>
        <w:t>La recurrencia de los temas tratados tanto a nivel comunal, provincial y regional que se detalla a continuación coincide con las preocupaciones fundamentales que ha tratado la mesa nacional:</w:t>
      </w:r>
    </w:p>
    <w:p w:rsidR="006162AC" w:rsidRPr="006162AC" w:rsidRDefault="007B65B8" w:rsidP="009F61C6">
      <w:pPr>
        <w:pStyle w:val="SingleTxtG"/>
        <w:ind w:firstLine="567"/>
        <w:rPr>
          <w:lang w:val="ru-RU"/>
        </w:rPr>
      </w:pPr>
      <w:r>
        <w:rPr>
          <w:noProof/>
          <w:lang w:val="ru-RU" w:eastAsia="ru-RU"/>
        </w:rPr>
      </w:r>
      <w:r w:rsidRPr="007B65B8">
        <w:rPr>
          <w:lang w:val="ru-RU"/>
        </w:rPr>
        <w:pict>
          <v:shape id="_x0000_s1030" type="#_x0000_t75" style="width:347.55pt;height:190.35pt;mso-position-horizontal-relative:char;mso-position-vertical-relative:line">
            <v:imagedata r:id="rId17" o:title=""/>
            <w10:anchorlock/>
          </v:shape>
        </w:pict>
      </w:r>
    </w:p>
    <w:p w:rsidR="009F61C6" w:rsidRPr="00D022B6" w:rsidRDefault="009F61C6" w:rsidP="009F61C6">
      <w:pPr>
        <w:pStyle w:val="H1G"/>
        <w:spacing w:before="240"/>
        <w:rPr>
          <w:lang w:val="es-ES_tradnl" w:eastAsia="es-ES_tradnl"/>
        </w:rPr>
      </w:pPr>
      <w:bookmarkStart w:id="3" w:name="_Toc334111151"/>
      <w:r>
        <w:rPr>
          <w:lang w:val="es-ES_tradnl" w:eastAsia="es-ES_tradnl"/>
        </w:rPr>
        <w:tab/>
      </w:r>
      <w:r w:rsidRPr="00D022B6">
        <w:rPr>
          <w:lang w:val="es-ES_tradnl" w:eastAsia="es-ES_tradnl"/>
        </w:rPr>
        <w:t>XII.</w:t>
      </w:r>
      <w:r>
        <w:rPr>
          <w:lang w:val="es-ES_tradnl" w:eastAsia="es-ES_tradnl"/>
        </w:rPr>
        <w:tab/>
      </w:r>
      <w:r w:rsidRPr="00D022B6">
        <w:rPr>
          <w:lang w:val="es-ES_tradnl" w:eastAsia="es-ES_tradnl"/>
        </w:rPr>
        <w:t>Política de compra de tierras para indígenas</w:t>
      </w:r>
      <w:bookmarkEnd w:id="3"/>
    </w:p>
    <w:p w:rsidR="009F61C6" w:rsidRPr="00D022B6" w:rsidRDefault="009F61C6" w:rsidP="009F61C6">
      <w:pPr>
        <w:pStyle w:val="SingleTxtG"/>
        <w:ind w:firstLine="567"/>
        <w:rPr>
          <w:lang w:val="es-ES_tradnl"/>
        </w:rPr>
      </w:pPr>
      <w:r w:rsidRPr="00D022B6">
        <w:rPr>
          <w:lang w:val="es-ES_tradnl"/>
        </w:rPr>
        <w:t>El Gobierno reactivó los mecanismos de entrega de tierras a indígenas bajo cond</w:t>
      </w:r>
      <w:r w:rsidRPr="00D022B6">
        <w:rPr>
          <w:lang w:val="es-ES_tradnl"/>
        </w:rPr>
        <w:t>i</w:t>
      </w:r>
      <w:r w:rsidRPr="00D022B6">
        <w:rPr>
          <w:lang w:val="es-ES_tradnl"/>
        </w:rPr>
        <w:t>ciones transparentes y objetivas. Un elemento central de este nuevo enfoque es que ahora cada entrega de tierras irá siempre acompañada de un convenio de apoyo productivo y asi</w:t>
      </w:r>
      <w:r w:rsidRPr="00D022B6">
        <w:rPr>
          <w:lang w:val="es-ES_tradnl"/>
        </w:rPr>
        <w:t>s</w:t>
      </w:r>
      <w:r w:rsidRPr="00D022B6">
        <w:rPr>
          <w:lang w:val="es-ES_tradnl"/>
        </w:rPr>
        <w:t>tencia técnica.</w:t>
      </w:r>
    </w:p>
    <w:p w:rsidR="009F61C6" w:rsidRPr="00D022B6" w:rsidRDefault="009F61C6" w:rsidP="009F61C6">
      <w:pPr>
        <w:pStyle w:val="SingleTxtG"/>
        <w:ind w:firstLine="567"/>
        <w:rPr>
          <w:lang w:val="es-ES_tradnl"/>
        </w:rPr>
      </w:pPr>
      <w:r w:rsidRPr="00D022B6">
        <w:rPr>
          <w:lang w:val="es-ES_tradnl"/>
        </w:rPr>
        <w:t xml:space="preserve">Al 31 de diciembre de 2011 la ejecución de compra de tierras vía articulo 20 letra b) de la Ley Indígena alcanzó a 27.407 millones de pesos </w:t>
      </w:r>
      <w:r>
        <w:rPr>
          <w:lang w:val="es-ES_tradnl"/>
        </w:rPr>
        <w:t xml:space="preserve">(aproximadamente </w:t>
      </w:r>
      <w:r w:rsidRPr="00D022B6">
        <w:rPr>
          <w:lang w:val="es-ES_tradnl"/>
        </w:rPr>
        <w:t xml:space="preserve">54.814.000 </w:t>
      </w:r>
      <w:r>
        <w:rPr>
          <w:lang w:val="es-ES_tradnl"/>
        </w:rPr>
        <w:t>dól</w:t>
      </w:r>
      <w:r>
        <w:rPr>
          <w:lang w:val="es-ES_tradnl"/>
        </w:rPr>
        <w:t>a</w:t>
      </w:r>
      <w:r>
        <w:rPr>
          <w:lang w:val="es-ES_tradnl"/>
        </w:rPr>
        <w:t>res)</w:t>
      </w:r>
      <w:r w:rsidRPr="00D022B6">
        <w:rPr>
          <w:lang w:val="es-ES_tradnl"/>
        </w:rPr>
        <w:t>. Esto equivale a la compra de 54 predios y 10.335 hectáreas con las que fueron benef</w:t>
      </w:r>
      <w:r w:rsidRPr="00D022B6">
        <w:rPr>
          <w:lang w:val="es-ES_tradnl"/>
        </w:rPr>
        <w:t>i</w:t>
      </w:r>
      <w:r w:rsidRPr="00D022B6">
        <w:rPr>
          <w:lang w:val="es-ES_tradnl"/>
        </w:rPr>
        <w:t>ciadas 44 comunidades, que representan a 1.181 familias.</w:t>
      </w:r>
    </w:p>
    <w:p w:rsidR="009F61C6" w:rsidRPr="00D022B6" w:rsidRDefault="009F61C6" w:rsidP="009F61C6">
      <w:pPr>
        <w:pStyle w:val="SingleTxtG"/>
        <w:ind w:firstLine="567"/>
        <w:rPr>
          <w:lang w:val="es-ES_tradnl"/>
        </w:rPr>
      </w:pPr>
      <w:r w:rsidRPr="00D022B6">
        <w:rPr>
          <w:lang w:val="es-ES_tradnl"/>
        </w:rPr>
        <w:t>Asimismo, el Gobierno decidió potenciar fuertemente el mecanismo de subsidio p</w:t>
      </w:r>
      <w:r w:rsidRPr="00D022B6">
        <w:rPr>
          <w:lang w:val="es-ES_tradnl"/>
        </w:rPr>
        <w:t>a</w:t>
      </w:r>
      <w:r w:rsidRPr="00D022B6">
        <w:rPr>
          <w:lang w:val="es-ES_tradnl"/>
        </w:rPr>
        <w:t>ra la adquisición de tierras para indígenas y comunidades porque lo considera un mecani</w:t>
      </w:r>
      <w:r w:rsidRPr="00D022B6">
        <w:rPr>
          <w:lang w:val="es-ES_tradnl"/>
        </w:rPr>
        <w:t>s</w:t>
      </w:r>
      <w:r w:rsidRPr="00D022B6">
        <w:rPr>
          <w:lang w:val="es-ES_tradnl"/>
        </w:rPr>
        <w:t xml:space="preserve">mo justo y transparente. En esta línea durante el 2011 el Gobierno compró 4.170 hectáreas, equivalentes a 11.626 millones </w:t>
      </w:r>
      <w:r>
        <w:rPr>
          <w:lang w:val="es-ES_tradnl"/>
        </w:rPr>
        <w:t>de pesos (</w:t>
      </w:r>
      <w:r w:rsidRPr="00D022B6">
        <w:rPr>
          <w:lang w:val="es-ES_tradnl"/>
        </w:rPr>
        <w:t xml:space="preserve">23.252.000 </w:t>
      </w:r>
      <w:r>
        <w:rPr>
          <w:lang w:val="es-ES_tradnl"/>
        </w:rPr>
        <w:t xml:space="preserve">dólares </w:t>
      </w:r>
      <w:r w:rsidRPr="00D022B6">
        <w:rPr>
          <w:lang w:val="es-ES_tradnl"/>
        </w:rPr>
        <w:t>aprox</w:t>
      </w:r>
      <w:r>
        <w:rPr>
          <w:lang w:val="es-ES_tradnl"/>
        </w:rPr>
        <w:t>imadamente)</w:t>
      </w:r>
      <w:r w:rsidRPr="00D022B6">
        <w:rPr>
          <w:lang w:val="es-ES_tradnl"/>
        </w:rPr>
        <w:t xml:space="preserve"> benef</w:t>
      </w:r>
      <w:r w:rsidRPr="00D022B6">
        <w:rPr>
          <w:lang w:val="es-ES_tradnl"/>
        </w:rPr>
        <w:t>i</w:t>
      </w:r>
      <w:r w:rsidRPr="00D022B6">
        <w:rPr>
          <w:lang w:val="es-ES_tradnl"/>
        </w:rPr>
        <w:t>ciando a 608 familias, lo que equivale a un 50 % más que en años anteriores.</w:t>
      </w:r>
    </w:p>
    <w:p w:rsidR="009F61C6" w:rsidRPr="00D022B6" w:rsidRDefault="009F61C6" w:rsidP="009F61C6">
      <w:pPr>
        <w:pStyle w:val="SingleTxtG"/>
        <w:ind w:firstLine="567"/>
        <w:rPr>
          <w:lang w:val="es-ES_tradnl"/>
        </w:rPr>
      </w:pPr>
      <w:r w:rsidRPr="00D022B6">
        <w:rPr>
          <w:lang w:val="es-ES_tradnl"/>
        </w:rPr>
        <w:t>Además, se realizó el 13 concurso de tierras, cuyo monto total supera los 30 mill</w:t>
      </w:r>
      <w:r w:rsidRPr="00D022B6">
        <w:rPr>
          <w:lang w:val="es-ES_tradnl"/>
        </w:rPr>
        <w:t>o</w:t>
      </w:r>
      <w:r w:rsidRPr="00D022B6">
        <w:rPr>
          <w:lang w:val="es-ES_tradnl"/>
        </w:rPr>
        <w:t>nes</w:t>
      </w:r>
      <w:r>
        <w:rPr>
          <w:lang w:val="es-ES_tradnl"/>
        </w:rPr>
        <w:t xml:space="preserve"> de dólares</w:t>
      </w:r>
      <w:r w:rsidRPr="00D022B6">
        <w:rPr>
          <w:lang w:val="es-ES_tradnl"/>
        </w:rPr>
        <w:t>, cifra que equivale a la asignada el año 2011, la que es más de un 50% mayor a la de los concursos realizados durante años anteriores. Este subsidio para compra de ti</w:t>
      </w:r>
      <w:r w:rsidRPr="00D022B6">
        <w:rPr>
          <w:lang w:val="es-ES_tradnl"/>
        </w:rPr>
        <w:t>e</w:t>
      </w:r>
      <w:r w:rsidRPr="00D022B6">
        <w:rPr>
          <w:lang w:val="es-ES_tradnl"/>
        </w:rPr>
        <w:t>rras contemplado en la Ley Indígena establece mecanismos transparentes y objetivos para su entrega, asignándose en base a un sistema de puntajes establecidos en la ley, lo que pe</w:t>
      </w:r>
      <w:r w:rsidRPr="00D022B6">
        <w:rPr>
          <w:lang w:val="es-ES_tradnl"/>
        </w:rPr>
        <w:t>r</w:t>
      </w:r>
      <w:r w:rsidRPr="00D022B6">
        <w:rPr>
          <w:lang w:val="es-ES_tradnl"/>
        </w:rPr>
        <w:t>mite a los postulantes conocer de antemano las reglas que se aplican.</w:t>
      </w:r>
    </w:p>
    <w:p w:rsidR="009F61C6" w:rsidRPr="00D022B6" w:rsidRDefault="009F61C6" w:rsidP="009F61C6">
      <w:pPr>
        <w:pStyle w:val="H1G"/>
        <w:rPr>
          <w:lang w:val="es-ES_tradnl" w:eastAsia="es-ES_tradnl"/>
        </w:rPr>
      </w:pPr>
      <w:bookmarkStart w:id="4" w:name="_Toc334111152"/>
      <w:r>
        <w:rPr>
          <w:lang w:val="es-ES_tradnl" w:eastAsia="es-ES_tradnl"/>
        </w:rPr>
        <w:tab/>
      </w:r>
      <w:r w:rsidRPr="00D022B6">
        <w:rPr>
          <w:lang w:val="es-ES_tradnl" w:eastAsia="es-ES_tradnl"/>
        </w:rPr>
        <w:t>XIII.</w:t>
      </w:r>
      <w:r>
        <w:rPr>
          <w:lang w:val="es-ES_tradnl" w:eastAsia="es-ES_tradnl"/>
        </w:rPr>
        <w:tab/>
      </w:r>
      <w:r w:rsidRPr="00D022B6">
        <w:rPr>
          <w:lang w:val="es-ES_tradnl" w:eastAsia="es-ES_tradnl"/>
        </w:rPr>
        <w:t>Cambios reglamentarios propuestos por el Servicio de Evaluación Ambiental y que han sido sometidos a consulta indígena</w:t>
      </w:r>
      <w:bookmarkEnd w:id="4"/>
    </w:p>
    <w:p w:rsidR="009F61C6" w:rsidRPr="00D022B6" w:rsidRDefault="009F61C6" w:rsidP="009F61C6">
      <w:pPr>
        <w:pStyle w:val="SingleTxtG"/>
        <w:ind w:firstLine="567"/>
        <w:rPr>
          <w:lang w:val="es-ES_tradnl" w:eastAsia="es-ES_tradnl"/>
        </w:rPr>
      </w:pPr>
      <w:r w:rsidRPr="00D022B6">
        <w:rPr>
          <w:lang w:val="es-ES_tradnl" w:eastAsia="es-ES_tradnl"/>
        </w:rPr>
        <w:t>El 26 de enero del año 2010, entró en vigencia en Chile la Ley Nº 20417 que  mod</w:t>
      </w:r>
      <w:r w:rsidRPr="00D022B6">
        <w:rPr>
          <w:lang w:val="es-ES_tradnl" w:eastAsia="es-ES_tradnl"/>
        </w:rPr>
        <w:t>i</w:t>
      </w:r>
      <w:r w:rsidRPr="00D022B6">
        <w:rPr>
          <w:lang w:val="es-ES_tradnl" w:eastAsia="es-ES_tradnl"/>
        </w:rPr>
        <w:t>fica la Ley Nº 19.300 sobre Bases Generales del Medio Ambiente. Esta Ley dio origen a tres</w:t>
      </w:r>
      <w:r w:rsidRPr="00D022B6">
        <w:rPr>
          <w:lang w:val="es-MX" w:eastAsia="es-ES_tradnl"/>
        </w:rPr>
        <w:t xml:space="preserve"> organismos distintos: Ministerio del Medio Ambiente: cuyo objetivo es proponer las políticas y normativas ambientales; Servicio de Evaluación Ambiental (SEA): a cargo de administrar el SEIA; y, Superintendencia de Medio Ambiente: organismo con potestad fi</w:t>
      </w:r>
      <w:r w:rsidRPr="00D022B6">
        <w:rPr>
          <w:lang w:val="es-MX" w:eastAsia="es-ES_tradnl"/>
        </w:rPr>
        <w:t>s</w:t>
      </w:r>
      <w:r w:rsidRPr="00D022B6">
        <w:rPr>
          <w:lang w:val="es-MX" w:eastAsia="es-ES_tradnl"/>
        </w:rPr>
        <w:t>calizadora y sancionatoria en materia ambiental.</w:t>
      </w:r>
    </w:p>
    <w:p w:rsidR="009F61C6" w:rsidRPr="00D022B6" w:rsidRDefault="009F61C6" w:rsidP="009F61C6">
      <w:pPr>
        <w:pStyle w:val="SingleTxtG"/>
        <w:ind w:firstLine="567"/>
        <w:rPr>
          <w:lang w:val="es-ES_tradnl" w:eastAsia="es-ES_tradnl"/>
        </w:rPr>
      </w:pPr>
      <w:r w:rsidRPr="00D022B6">
        <w:rPr>
          <w:lang w:val="es-MX" w:eastAsia="es-ES_tradnl"/>
        </w:rPr>
        <w:t>Asimismo, en una disposición transitoria de la ley, se dispuso que el Gobierno envíe al Congreso Nacional para su discusión, un proyecto de ley que creara un Tribunal Ambie</w:t>
      </w:r>
      <w:r w:rsidRPr="00D022B6">
        <w:rPr>
          <w:lang w:val="es-MX" w:eastAsia="es-ES_tradnl"/>
        </w:rPr>
        <w:t>n</w:t>
      </w:r>
      <w:r w:rsidRPr="00D022B6">
        <w:rPr>
          <w:lang w:val="es-MX" w:eastAsia="es-ES_tradnl"/>
        </w:rPr>
        <w:t>tal con jurisdicción especial en materias medio ambientales y que sirva de contrapeso a los poderes de fiscalización de la Superintendencia del Medio Ambiente. Dicho proyecto se encuentra actualmente en discusión en el Congreso.</w:t>
      </w:r>
    </w:p>
    <w:p w:rsidR="009F61C6" w:rsidRPr="00D022B6" w:rsidRDefault="009F61C6" w:rsidP="009F61C6">
      <w:pPr>
        <w:pStyle w:val="SingleTxtG"/>
        <w:ind w:firstLine="567"/>
        <w:rPr>
          <w:lang w:val="es-ES_tradnl" w:eastAsia="es-ES_tradnl"/>
        </w:rPr>
      </w:pPr>
      <w:r w:rsidRPr="00D022B6">
        <w:rPr>
          <w:lang w:val="es-ES_tradnl" w:eastAsia="es-ES_tradnl"/>
        </w:rPr>
        <w:t>Considerando estas modificaciones legales y la creación del SEA, se hizo necesario modificar el actual Reglamento del Sistema de Evaluación de Impacto Ambiental, incorp</w:t>
      </w:r>
      <w:r w:rsidRPr="00D022B6">
        <w:rPr>
          <w:lang w:val="es-ES_tradnl" w:eastAsia="es-ES_tradnl"/>
        </w:rPr>
        <w:t>o</w:t>
      </w:r>
      <w:r w:rsidRPr="00D022B6">
        <w:rPr>
          <w:lang w:val="es-ES_tradnl" w:eastAsia="es-ES_tradnl"/>
        </w:rPr>
        <w:t>rando los nuevos requerimientos y ajustes que la ley antes mencionada efectuó en este in</w:t>
      </w:r>
      <w:r w:rsidRPr="00D022B6">
        <w:rPr>
          <w:lang w:val="es-ES_tradnl" w:eastAsia="es-ES_tradnl"/>
        </w:rPr>
        <w:t>s</w:t>
      </w:r>
      <w:r w:rsidRPr="00D022B6">
        <w:rPr>
          <w:lang w:val="es-ES_tradnl" w:eastAsia="es-ES_tradnl"/>
        </w:rPr>
        <w:t xml:space="preserve">trumento de gestión ambiental. </w:t>
      </w:r>
    </w:p>
    <w:p w:rsidR="009F61C6" w:rsidRPr="00D022B6" w:rsidRDefault="009F61C6" w:rsidP="009F61C6">
      <w:pPr>
        <w:pStyle w:val="SingleTxtG"/>
        <w:ind w:firstLine="567"/>
        <w:rPr>
          <w:lang w:val="es-ES_tradnl" w:eastAsia="es-ES_tradnl"/>
        </w:rPr>
      </w:pPr>
      <w:r w:rsidRPr="00D022B6">
        <w:rPr>
          <w:lang w:val="es-ES_tradnl" w:eastAsia="es-ES_tradnl"/>
        </w:rPr>
        <w:t>En razón de lo anterior, el SEA ha realizado un trabajo que permite plasmar regl</w:t>
      </w:r>
      <w:r w:rsidRPr="00D022B6">
        <w:rPr>
          <w:lang w:val="es-ES_tradnl" w:eastAsia="es-ES_tradnl"/>
        </w:rPr>
        <w:t>a</w:t>
      </w:r>
      <w:r w:rsidRPr="00D022B6">
        <w:rPr>
          <w:lang w:val="es-ES_tradnl" w:eastAsia="es-ES_tradnl"/>
        </w:rPr>
        <w:t>mentariamente algunos aspectos referidos a los pueblos indígenas en el Sistema de Evalu</w:t>
      </w:r>
      <w:r w:rsidRPr="00D022B6">
        <w:rPr>
          <w:lang w:val="es-ES_tradnl" w:eastAsia="es-ES_tradnl"/>
        </w:rPr>
        <w:t>a</w:t>
      </w:r>
      <w:r w:rsidRPr="00D022B6">
        <w:rPr>
          <w:lang w:val="es-ES_tradnl" w:eastAsia="es-ES_tradnl"/>
        </w:rPr>
        <w:t>ción de Impacto Ambiental que, por de pronto, la institucionalidad ambiental ha venido ej</w:t>
      </w:r>
      <w:r w:rsidRPr="00D022B6">
        <w:rPr>
          <w:lang w:val="es-ES_tradnl" w:eastAsia="es-ES_tradnl"/>
        </w:rPr>
        <w:t>e</w:t>
      </w:r>
      <w:r w:rsidRPr="00D022B6">
        <w:rPr>
          <w:lang w:val="es-ES_tradnl" w:eastAsia="es-ES_tradnl"/>
        </w:rPr>
        <w:t>cutando en el curso de estos años y, a su turno, los tribunales de la República así lo han r</w:t>
      </w:r>
      <w:r w:rsidRPr="00D022B6">
        <w:rPr>
          <w:lang w:val="es-ES_tradnl" w:eastAsia="es-ES_tradnl"/>
        </w:rPr>
        <w:t>e</w:t>
      </w:r>
      <w:r w:rsidRPr="00D022B6">
        <w:rPr>
          <w:lang w:val="es-ES_tradnl" w:eastAsia="es-ES_tradnl"/>
        </w:rPr>
        <w:t>conocido. Los referidos aspectos se encuentran asociados a la evaluación de impactos a</w:t>
      </w:r>
      <w:r w:rsidRPr="00D022B6">
        <w:rPr>
          <w:lang w:val="es-ES_tradnl" w:eastAsia="es-ES_tradnl"/>
        </w:rPr>
        <w:t>m</w:t>
      </w:r>
      <w:r w:rsidRPr="00D022B6">
        <w:rPr>
          <w:lang w:val="es-ES_tradnl" w:eastAsia="es-ES_tradnl"/>
        </w:rPr>
        <w:t>bientales de los proyectos, destacando aquéllos que se puedan generar sobre los pueblos i</w:t>
      </w:r>
      <w:r w:rsidRPr="00D022B6">
        <w:rPr>
          <w:lang w:val="es-ES_tradnl" w:eastAsia="es-ES_tradnl"/>
        </w:rPr>
        <w:t>n</w:t>
      </w:r>
      <w:r w:rsidRPr="00D022B6">
        <w:rPr>
          <w:lang w:val="es-ES_tradnl" w:eastAsia="es-ES_tradnl"/>
        </w:rPr>
        <w:t>dígenas, así como la elaboración y ejecución de procesos de participación ciudadana que consideren de manera adecuada a los pueblos indígenas, etc. Todo ello se traduce en inco</w:t>
      </w:r>
      <w:r w:rsidRPr="00D022B6">
        <w:rPr>
          <w:lang w:val="es-ES_tradnl" w:eastAsia="es-ES_tradnl"/>
        </w:rPr>
        <w:t>r</w:t>
      </w:r>
      <w:r w:rsidRPr="00D022B6">
        <w:rPr>
          <w:lang w:val="es-ES_tradnl" w:eastAsia="es-ES_tradnl"/>
        </w:rPr>
        <w:t xml:space="preserve">porar nuevos artículos al Reglamento del SEIA. </w:t>
      </w:r>
    </w:p>
    <w:p w:rsidR="009F61C6" w:rsidRPr="00D022B6" w:rsidRDefault="009F61C6" w:rsidP="009F61C6">
      <w:pPr>
        <w:pStyle w:val="SingleTxtG"/>
        <w:ind w:firstLine="567"/>
        <w:rPr>
          <w:lang w:val="es-ES_tradnl" w:eastAsia="es-ES_tradnl"/>
        </w:rPr>
      </w:pPr>
      <w:r w:rsidRPr="00D022B6">
        <w:rPr>
          <w:lang w:val="es-ES_tradnl" w:eastAsia="es-ES_tradnl"/>
        </w:rPr>
        <w:t>Además, a objeto de uniformar los criterios, requisitos, condiciones, antecedentes, trámites, exigencias técnicas, procedimientos y facilitar el cumplimiento de dicha normat</w:t>
      </w:r>
      <w:r w:rsidRPr="00D022B6">
        <w:rPr>
          <w:lang w:val="es-ES_tradnl" w:eastAsia="es-ES_tradnl"/>
        </w:rPr>
        <w:t>i</w:t>
      </w:r>
      <w:r w:rsidRPr="00D022B6">
        <w:rPr>
          <w:lang w:val="es-ES_tradnl" w:eastAsia="es-ES_tradnl"/>
        </w:rPr>
        <w:t>va, se han elaborado dos propuestas de guías referidas al procedimiento de participación ciudadana y al apoyo para la evaluación de efectos significativos sobre pueblos originarios en el SEIA.</w:t>
      </w:r>
    </w:p>
    <w:p w:rsidR="009F61C6" w:rsidRPr="00D022B6" w:rsidRDefault="009F61C6" w:rsidP="009F61C6">
      <w:pPr>
        <w:pStyle w:val="H1G"/>
        <w:rPr>
          <w:lang w:val="es-ES_tradnl" w:eastAsia="es-ES_tradnl"/>
        </w:rPr>
      </w:pPr>
      <w:bookmarkStart w:id="5" w:name="_Toc334111153"/>
      <w:r>
        <w:rPr>
          <w:lang w:val="es-ES_tradnl" w:eastAsia="es-ES_tradnl"/>
        </w:rPr>
        <w:tab/>
      </w:r>
      <w:r w:rsidRPr="00D022B6">
        <w:rPr>
          <w:lang w:val="es-ES_tradnl" w:eastAsia="es-ES_tradnl"/>
        </w:rPr>
        <w:t>XIV.</w:t>
      </w:r>
      <w:r>
        <w:rPr>
          <w:lang w:val="es-ES_tradnl" w:eastAsia="es-ES_tradnl"/>
        </w:rPr>
        <w:tab/>
      </w:r>
      <w:r w:rsidRPr="00D022B6">
        <w:rPr>
          <w:lang w:val="es-ES_tradnl" w:eastAsia="es-ES_tradnl"/>
        </w:rPr>
        <w:t>Medidas específicas para el desarrollo indígena</w:t>
      </w:r>
      <w:bookmarkEnd w:id="5"/>
    </w:p>
    <w:p w:rsidR="009F61C6" w:rsidRPr="00D022B6" w:rsidRDefault="009F61C6" w:rsidP="009F61C6">
      <w:pPr>
        <w:pStyle w:val="SingleTxtG"/>
        <w:ind w:firstLine="567"/>
        <w:rPr>
          <w:lang w:val="es-ES_tradnl" w:eastAsia="es-ES_tradnl"/>
        </w:rPr>
      </w:pPr>
      <w:r w:rsidRPr="00D022B6">
        <w:rPr>
          <w:lang w:val="es-ES_tradnl" w:eastAsia="es-ES_tradnl"/>
        </w:rPr>
        <w:t>El año 2011 la Corporación de Fomento (CORFO) lanzó el programa de garantías para inversión en tierras indígenas, el cual tiene como objetivo fomentar las alianzas entre comunidades indígenas y empresas privadas para el desarrollo de modelos de negocios que beneficien a los pueblos indígenas. Actualmente existen 1.000 hectáreas en producción de lupino en la región de La Araucanía bajo este concepto, y otras 5.000 hectáreas estas en proceso de alianzas productivas.</w:t>
      </w:r>
    </w:p>
    <w:p w:rsidR="009F61C6" w:rsidRPr="00D022B6" w:rsidRDefault="009F61C6" w:rsidP="009F61C6">
      <w:pPr>
        <w:pStyle w:val="SingleTxtG"/>
        <w:ind w:firstLine="567"/>
        <w:rPr>
          <w:lang w:val="es-ES_tradnl"/>
        </w:rPr>
      </w:pPr>
      <w:r w:rsidRPr="00D022B6">
        <w:rPr>
          <w:lang w:val="es-ES_tradnl" w:eastAsia="es-ES_tradnl"/>
        </w:rPr>
        <w:t xml:space="preserve">En referencia a la conectividad, en los dos últimos años se han construido en La Araucanía 1.268,5 </w:t>
      </w:r>
      <w:r>
        <w:rPr>
          <w:lang w:val="es-ES_tradnl" w:eastAsia="es-ES_tradnl"/>
        </w:rPr>
        <w:t>kilómetros</w:t>
      </w:r>
      <w:r w:rsidRPr="00D022B6">
        <w:rPr>
          <w:lang w:val="es-ES_tradnl" w:eastAsia="es-ES_tradnl"/>
        </w:rPr>
        <w:t xml:space="preserve">. de caminos rurales indígenas, incrementándose el promedio de años anteriores de 188 </w:t>
      </w:r>
      <w:r>
        <w:rPr>
          <w:lang w:val="es-ES_tradnl" w:eastAsia="es-ES_tradnl"/>
        </w:rPr>
        <w:t>kilómetros</w:t>
      </w:r>
      <w:r w:rsidRPr="00D022B6">
        <w:rPr>
          <w:lang w:val="es-ES_tradnl" w:eastAsia="es-ES_tradnl"/>
        </w:rPr>
        <w:t>. por año. A nivel nacional el Ministerio de Obras P</w:t>
      </w:r>
      <w:r w:rsidRPr="00D022B6">
        <w:rPr>
          <w:lang w:val="es-ES_tradnl" w:eastAsia="es-ES_tradnl"/>
        </w:rPr>
        <w:t>ú</w:t>
      </w:r>
      <w:r w:rsidRPr="00D022B6">
        <w:rPr>
          <w:lang w:val="es-ES_tradnl" w:eastAsia="es-ES_tradnl"/>
        </w:rPr>
        <w:t>blicas considera para el año 2012 un aumento del 45% del programa de caminos vecinales indígenas.</w:t>
      </w:r>
    </w:p>
    <w:p w:rsidR="009F61C6" w:rsidRPr="00D022B6" w:rsidRDefault="009F61C6" w:rsidP="009F61C6">
      <w:pPr>
        <w:pStyle w:val="SingleTxtG"/>
        <w:ind w:firstLine="567"/>
        <w:rPr>
          <w:lang w:val="es-ES_tradnl"/>
        </w:rPr>
      </w:pPr>
      <w:r w:rsidRPr="00D022B6">
        <w:rPr>
          <w:lang w:val="es-ES_tradnl"/>
        </w:rPr>
        <w:t>En materia de habitabilidad el año 2011 se implementó el sistema de abastos de agua. Esto corresponde a la construcción de pozos de agua o un sistema de recolección y desinfección de agua que permite abastecer en forma individual cuando no hay acceso al agua potable rural.</w:t>
      </w:r>
    </w:p>
    <w:p w:rsidR="009F61C6" w:rsidRPr="00D022B6" w:rsidRDefault="009F61C6" w:rsidP="009F61C6">
      <w:pPr>
        <w:pStyle w:val="SingleTxtG"/>
        <w:ind w:firstLine="567"/>
        <w:rPr>
          <w:lang w:val="es-ES_tradnl" w:eastAsia="es-ES_tradnl"/>
        </w:rPr>
      </w:pPr>
      <w:r w:rsidRPr="00D022B6">
        <w:rPr>
          <w:lang w:val="es-ES_tradnl" w:eastAsia="es-ES_tradnl"/>
        </w:rPr>
        <w:t>La Comisión Nacional de Riego organizó un concurso de proyectos de riego para el desarrollo de áreas indígena y creó un subsidio para la regularización de los derechos de agua de los postulantes. Se flexibilizó el criterio de derechos de agua regularizados sino que se permite la figura en trámite en la Dirección General de Aguas.</w:t>
      </w:r>
    </w:p>
    <w:p w:rsidR="009F61C6" w:rsidRPr="00D022B6" w:rsidRDefault="009F61C6" w:rsidP="009F61C6">
      <w:pPr>
        <w:pStyle w:val="SingleTxtG"/>
        <w:ind w:firstLine="567"/>
        <w:rPr>
          <w:lang w:val="es-ES_tradnl"/>
        </w:rPr>
      </w:pPr>
      <w:r w:rsidRPr="00D022B6">
        <w:rPr>
          <w:lang w:val="es-ES_tradnl"/>
        </w:rPr>
        <w:t>Estos proyectos que comenzaron a ejecutarse durante el año 2011 contemplan sol</w:t>
      </w:r>
      <w:r w:rsidRPr="00D022B6">
        <w:rPr>
          <w:lang w:val="es-ES_tradnl"/>
        </w:rPr>
        <w:t>u</w:t>
      </w:r>
      <w:r w:rsidRPr="00D022B6">
        <w:rPr>
          <w:lang w:val="es-ES_tradnl"/>
        </w:rPr>
        <w:t>ciones de abastecimiento de agua para 66 comunidades indígenas en la región de La Ara</w:t>
      </w:r>
      <w:r w:rsidRPr="00D022B6">
        <w:rPr>
          <w:lang w:val="es-ES_tradnl"/>
        </w:rPr>
        <w:t>u</w:t>
      </w:r>
      <w:r w:rsidRPr="00D022B6">
        <w:rPr>
          <w:lang w:val="es-ES_tradnl"/>
        </w:rPr>
        <w:t>canía, por un monto que beneficiará a 2.000 familias.</w:t>
      </w:r>
    </w:p>
    <w:p w:rsidR="009F61C6" w:rsidRPr="00D022B6" w:rsidRDefault="009F61C6" w:rsidP="009F61C6">
      <w:pPr>
        <w:pStyle w:val="SingleTxtG"/>
        <w:ind w:firstLine="567"/>
        <w:rPr>
          <w:lang w:val="es-ES_tradnl"/>
        </w:rPr>
      </w:pPr>
      <w:r w:rsidRPr="00D022B6">
        <w:rPr>
          <w:lang w:val="es-ES_tradnl"/>
        </w:rPr>
        <w:t>En materia de habitabilidad se duplicaron los recursos para el equipamiento predial, para los beneficiarios del subsidio de compra 20 a) de CONADI.</w:t>
      </w:r>
    </w:p>
    <w:p w:rsidR="009F61C6" w:rsidRPr="00D022B6" w:rsidRDefault="009F61C6" w:rsidP="009F61C6">
      <w:pPr>
        <w:pStyle w:val="SingleTxtG"/>
        <w:ind w:firstLine="567"/>
        <w:rPr>
          <w:lang w:val="es-ES_tradnl" w:eastAsia="es-ES_tradnl"/>
        </w:rPr>
      </w:pPr>
      <w:r w:rsidRPr="00D022B6">
        <w:rPr>
          <w:lang w:val="es-ES_tradnl" w:eastAsia="es-ES_tradnl"/>
        </w:rPr>
        <w:t>La Subsecretaría de Desarrollo Regional potenció el programa de energización rural el cual cubre en gran parte a las comunidades indígenas pues beneficia a población que habita el territorio de f</w:t>
      </w:r>
      <w:r>
        <w:rPr>
          <w:lang w:val="es-ES_tradnl" w:eastAsia="es-ES_tradnl"/>
        </w:rPr>
        <w:t>orma dispersa y desconcentrada.</w:t>
      </w:r>
    </w:p>
    <w:p w:rsidR="009F61C6" w:rsidRPr="00D022B6" w:rsidRDefault="009F61C6" w:rsidP="009F61C6">
      <w:pPr>
        <w:pStyle w:val="SingleTxtG"/>
        <w:ind w:firstLine="567"/>
        <w:rPr>
          <w:lang w:val="es-ES_tradnl"/>
        </w:rPr>
      </w:pPr>
      <w:r w:rsidRPr="00D022B6">
        <w:rPr>
          <w:lang w:val="es-ES_tradnl" w:eastAsia="es-ES_tradnl"/>
        </w:rPr>
        <w:t>A partir del 2011 se amplía la glosa 09 para todo el país, lo que permite inversión en tierras indígenas tanto para desarrollo productivo como habitabilidad. Además, para agilizar los proyectos se cambió la forma de evolución por proyectos integrales y que son evaluados por la Dirección de Presupuesto.</w:t>
      </w:r>
    </w:p>
    <w:p w:rsidR="009F61C6" w:rsidRPr="00D022B6" w:rsidRDefault="009F61C6" w:rsidP="009F61C6">
      <w:pPr>
        <w:pStyle w:val="SingleTxtG"/>
        <w:ind w:firstLine="567"/>
        <w:rPr>
          <w:lang w:val="es-ES_tradnl"/>
        </w:rPr>
      </w:pPr>
      <w:r w:rsidRPr="00D022B6">
        <w:rPr>
          <w:lang w:val="es-ES_tradnl"/>
        </w:rPr>
        <w:t>Ahora bien, las medidas destinadas al mundo rural en los últimos años se han co</w:t>
      </w:r>
      <w:r w:rsidRPr="00D022B6">
        <w:rPr>
          <w:lang w:val="es-ES_tradnl"/>
        </w:rPr>
        <w:t>m</w:t>
      </w:r>
      <w:r w:rsidRPr="00D022B6">
        <w:rPr>
          <w:lang w:val="es-ES_tradnl"/>
        </w:rPr>
        <w:t>plementado con una preocupación especial por la población indígena urbana, de forma que en el presupuesto 2011 se han destinado más recursos de los distintos fondos de CONADI a concursos dirigidos a la población indígena urbana y entre el 2010 y 2011 se triplicó el pr</w:t>
      </w:r>
      <w:r w:rsidRPr="00D022B6">
        <w:rPr>
          <w:lang w:val="es-ES_tradnl"/>
        </w:rPr>
        <w:t>e</w:t>
      </w:r>
      <w:r w:rsidRPr="00D022B6">
        <w:rPr>
          <w:lang w:val="es-ES_tradnl"/>
        </w:rPr>
        <w:t>supuesto para la Dirección Regional de CONADI en Santiago. Este aumento se ha mant</w:t>
      </w:r>
      <w:r w:rsidRPr="00D022B6">
        <w:rPr>
          <w:lang w:val="es-ES_tradnl"/>
        </w:rPr>
        <w:t>e</w:t>
      </w:r>
      <w:r w:rsidRPr="00D022B6">
        <w:rPr>
          <w:lang w:val="es-ES_tradnl"/>
        </w:rPr>
        <w:t>nido para el año 2012.</w:t>
      </w:r>
    </w:p>
    <w:p w:rsidR="009F61C6" w:rsidRPr="00D022B6" w:rsidRDefault="009F61C6" w:rsidP="009F61C6">
      <w:pPr>
        <w:pStyle w:val="SingleTxtG"/>
        <w:ind w:firstLine="567"/>
        <w:rPr>
          <w:lang w:val="es-ES_tradnl"/>
        </w:rPr>
      </w:pPr>
      <w:r w:rsidRPr="00D022B6">
        <w:rPr>
          <w:lang w:val="es-ES_tradnl" w:eastAsia="es-CL"/>
        </w:rPr>
        <w:t>Por otra parte, e</w:t>
      </w:r>
      <w:r w:rsidRPr="00D022B6">
        <w:rPr>
          <w:lang w:val="es-ES_tradnl"/>
        </w:rPr>
        <w:t>l 2011 se realizó un aumento significativo en la entrega de becas i</w:t>
      </w:r>
      <w:r w:rsidRPr="00D022B6">
        <w:rPr>
          <w:lang w:val="es-ES_tradnl"/>
        </w:rPr>
        <w:t>n</w:t>
      </w:r>
      <w:r w:rsidRPr="00D022B6">
        <w:rPr>
          <w:lang w:val="es-ES_tradnl"/>
        </w:rPr>
        <w:t>dígenas, principalmente para los alumnos de educación superior, registrándose un incr</w:t>
      </w:r>
      <w:r w:rsidRPr="00D022B6">
        <w:rPr>
          <w:lang w:val="es-ES_tradnl"/>
        </w:rPr>
        <w:t>e</w:t>
      </w:r>
      <w:r w:rsidRPr="00D022B6">
        <w:rPr>
          <w:lang w:val="es-ES_tradnl"/>
        </w:rPr>
        <w:t>mento de 1974 a 3.057 alumnos becados. Las becas para alumnos de básica aumentaron de 5.965 a 7003; y en educación media de  5.175 se aumentó a 5.897 becas. En efecto, entre el 2010 y 2011 se aumentó en un 34,6%  el presupuesto para el Programa de Becas Indígenas. Entre el 2011 y 2012 el presupuesto de becas indígenas de JUNAEB se incrementó en un 13%.</w:t>
      </w:r>
    </w:p>
    <w:p w:rsidR="009F61C6" w:rsidRPr="00D022B6" w:rsidRDefault="009F61C6" w:rsidP="009F61C6">
      <w:pPr>
        <w:pStyle w:val="SingleTxtG"/>
        <w:ind w:firstLine="567"/>
        <w:rPr>
          <w:lang w:val="es-ES_tradnl"/>
        </w:rPr>
      </w:pPr>
      <w:r w:rsidRPr="00D022B6">
        <w:rPr>
          <w:lang w:val="es-ES_tradnl"/>
        </w:rPr>
        <w:t>En cuanto a residencias indígenas, el año 2011 se mantuvo la cobertura y el  monto del año 2010, otorgándose un total de 700 becas a nivel nacional por un monto mensual de 184</w:t>
      </w:r>
      <w:r>
        <w:rPr>
          <w:lang w:val="es-ES_tradnl"/>
        </w:rPr>
        <w:t xml:space="preserve"> dólares</w:t>
      </w:r>
      <w:r w:rsidRPr="00D022B6">
        <w:rPr>
          <w:lang w:val="es-ES_tradnl"/>
        </w:rPr>
        <w:t xml:space="preserve">. En hogares indígenas el presupuesto del año 2011 consideró el funcionamiento de trece hogares a nivel nacional: </w:t>
      </w:r>
      <w:r>
        <w:rPr>
          <w:lang w:val="es-ES_tradnl"/>
        </w:rPr>
        <w:t>Bío Bío</w:t>
      </w:r>
      <w:r w:rsidRPr="00D022B6">
        <w:rPr>
          <w:lang w:val="es-ES_tradnl"/>
        </w:rPr>
        <w:t>: 5; La Araucanía: 5; Los Ríos: 1 y Metropolitana: 2, lo que permitió beneficiar a 412 estudiantes.</w:t>
      </w:r>
    </w:p>
    <w:p w:rsidR="009F61C6" w:rsidRPr="00D022B6" w:rsidRDefault="009F61C6" w:rsidP="009F61C6">
      <w:pPr>
        <w:pStyle w:val="SingleTxtG"/>
        <w:ind w:firstLine="567"/>
        <w:rPr>
          <w:lang w:val="es-ES_tradnl"/>
        </w:rPr>
      </w:pPr>
      <w:r w:rsidRPr="00D022B6">
        <w:rPr>
          <w:lang w:val="es-ES_tradnl"/>
        </w:rPr>
        <w:t>Entre el 2010 y 2011 se aumentó en un 19,7%  el presupuesto para el Fondo de Cu</w:t>
      </w:r>
      <w:r w:rsidRPr="00D022B6">
        <w:rPr>
          <w:lang w:val="es-ES_tradnl"/>
        </w:rPr>
        <w:t>l</w:t>
      </w:r>
      <w:r w:rsidRPr="00D022B6">
        <w:rPr>
          <w:lang w:val="es-ES_tradnl"/>
        </w:rPr>
        <w:t>tura y Educación. Entre el 2011 y 2012 este presupuesto se incrementó en un 2,8%.</w:t>
      </w:r>
    </w:p>
    <w:p w:rsidR="009F61C6" w:rsidRPr="00D022B6" w:rsidRDefault="009F61C6" w:rsidP="009F61C6">
      <w:pPr>
        <w:pStyle w:val="SingleTxtG"/>
        <w:ind w:firstLine="567"/>
        <w:rPr>
          <w:lang w:val="es-ES_tradnl"/>
        </w:rPr>
      </w:pPr>
      <w:r w:rsidRPr="00D022B6">
        <w:rPr>
          <w:lang w:val="es-ES_tradnl"/>
        </w:rPr>
        <w:t>El Ministerio de Educación a través de su programa de educación intercultural bili</w:t>
      </w:r>
      <w:r w:rsidRPr="00D022B6">
        <w:rPr>
          <w:lang w:val="es-ES_tradnl"/>
        </w:rPr>
        <w:t>n</w:t>
      </w:r>
      <w:r w:rsidRPr="00D022B6">
        <w:rPr>
          <w:lang w:val="es-ES_tradnl"/>
        </w:rPr>
        <w:t>güe continuó promoviendo la conservación de la cultura y las lenguas, e incrementó su pr</w:t>
      </w:r>
      <w:r w:rsidRPr="00D022B6">
        <w:rPr>
          <w:lang w:val="es-ES_tradnl"/>
        </w:rPr>
        <w:t>e</w:t>
      </w:r>
      <w:r w:rsidRPr="00D022B6">
        <w:rPr>
          <w:lang w:val="es-ES_tradnl"/>
        </w:rPr>
        <w:t xml:space="preserve">supuesto en un 2,8% entre el 2011 y 2012. </w:t>
      </w:r>
    </w:p>
    <w:p w:rsidR="009F61C6" w:rsidRPr="00D022B6" w:rsidRDefault="009F61C6" w:rsidP="009F61C6">
      <w:pPr>
        <w:pStyle w:val="SingleTxtG"/>
        <w:ind w:firstLine="567"/>
        <w:rPr>
          <w:lang w:val="es-ES_tradnl"/>
        </w:rPr>
      </w:pPr>
      <w:r w:rsidRPr="00D022B6">
        <w:rPr>
          <w:lang w:val="es-ES_tradnl"/>
        </w:rPr>
        <w:t xml:space="preserve">Actualmente existen 43 jardines infantiles </w:t>
      </w:r>
      <w:r>
        <w:rPr>
          <w:lang w:val="es-ES_tradnl"/>
        </w:rPr>
        <w:t>—</w:t>
      </w:r>
      <w:r w:rsidRPr="00D022B6">
        <w:rPr>
          <w:lang w:val="es-ES_tradnl"/>
        </w:rPr>
        <w:t>enseñanza preescolar</w:t>
      </w:r>
      <w:r>
        <w:rPr>
          <w:lang w:val="es-ES_tradnl"/>
        </w:rPr>
        <w:t>—</w:t>
      </w:r>
      <w:r w:rsidRPr="00D022B6">
        <w:rPr>
          <w:lang w:val="es-ES_tradnl"/>
        </w:rPr>
        <w:t xml:space="preserve"> interculturales a nivel nacional, con un total de 1.266 matrículas.</w:t>
      </w:r>
    </w:p>
    <w:p w:rsidR="009F61C6" w:rsidRDefault="009F61C6" w:rsidP="009F61C6">
      <w:pPr>
        <w:pStyle w:val="SingleTxtG"/>
        <w:ind w:firstLine="567"/>
        <w:rPr>
          <w:lang w:val="es-ES_tradnl"/>
        </w:rPr>
      </w:pPr>
      <w:r w:rsidRPr="00D022B6">
        <w:rPr>
          <w:lang w:val="es-ES_tradnl"/>
        </w:rPr>
        <w:t>Finalmente, el Ministerio de Salud en su estrategia nacional de salud puso énfasis en salud intercultural, promoviendo la conservación e incorporación de la medicina ancestral.</w:t>
      </w:r>
    </w:p>
    <w:p w:rsidR="009F61C6" w:rsidRPr="00B709C8" w:rsidRDefault="009F61C6" w:rsidP="009F61C6">
      <w:pPr>
        <w:spacing w:before="240"/>
        <w:jc w:val="center"/>
        <w:rPr>
          <w:u w:val="single"/>
        </w:rPr>
      </w:pPr>
      <w:r>
        <w:rPr>
          <w:u w:val="single"/>
        </w:rPr>
        <w:tab/>
      </w:r>
      <w:r>
        <w:rPr>
          <w:u w:val="single"/>
        </w:rPr>
        <w:tab/>
      </w:r>
      <w:r>
        <w:rPr>
          <w:u w:val="single"/>
        </w:rPr>
        <w:tab/>
      </w:r>
    </w:p>
    <w:p w:rsidR="009F61C6" w:rsidRPr="00660E39" w:rsidRDefault="009F61C6" w:rsidP="00660E39">
      <w:pPr>
        <w:pStyle w:val="SingleTxtGR"/>
      </w:pPr>
    </w:p>
    <w:sectPr w:rsidR="009F61C6" w:rsidRPr="00660E39" w:rsidSect="007511D7">
      <w:headerReference w:type="even" r:id="rId18"/>
      <w:headerReference w:type="default" r:id="rId19"/>
      <w:footerReference w:type="even" r:id="rId20"/>
      <w:footerReference w:type="default" r:id="rId21"/>
      <w:footerReference w:type="first" r:id="rId2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EE" w:rsidRDefault="008425EE">
      <w:r>
        <w:rPr>
          <w:lang w:val="en-US"/>
        </w:rPr>
        <w:tab/>
      </w:r>
      <w:r>
        <w:separator/>
      </w:r>
    </w:p>
  </w:endnote>
  <w:endnote w:type="continuationSeparator" w:id="0">
    <w:p w:rsidR="008425EE" w:rsidRDefault="00842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LDC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6C" w:rsidRPr="009A6F4A" w:rsidRDefault="008F426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2006FD">
      <w:rPr>
        <w:rStyle w:val="PageNumber"/>
        <w:noProof/>
      </w:rPr>
      <w:t>2</w:t>
    </w:r>
    <w:r>
      <w:rPr>
        <w:rStyle w:val="PageNumber"/>
      </w:rPr>
      <w:fldChar w:fldCharType="end"/>
    </w:r>
    <w:r>
      <w:rPr>
        <w:lang w:val="en-US"/>
      </w:rPr>
      <w:tab/>
      <w:t>GE.13-42857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6C" w:rsidRPr="009A6F4A" w:rsidRDefault="008F426C">
    <w:pPr>
      <w:pStyle w:val="Footer"/>
      <w:rPr>
        <w:lang w:val="en-US"/>
      </w:rPr>
    </w:pPr>
    <w:r>
      <w:rPr>
        <w:lang w:val="en-US"/>
      </w:rPr>
      <w:t>GE.13-42857</w:t>
    </w:r>
    <w:r>
      <w:rPr>
        <w:lang w:val="en-US"/>
      </w:rPr>
      <w:tab/>
    </w:r>
    <w:r>
      <w:rPr>
        <w:rStyle w:val="PageNumber"/>
      </w:rPr>
      <w:fldChar w:fldCharType="begin"/>
    </w:r>
    <w:r>
      <w:rPr>
        <w:rStyle w:val="PageNumber"/>
      </w:rPr>
      <w:instrText xml:space="preserve"> PAGE </w:instrText>
    </w:r>
    <w:r>
      <w:rPr>
        <w:rStyle w:val="PageNumber"/>
      </w:rPr>
      <w:fldChar w:fldCharType="separate"/>
    </w:r>
    <w:r w:rsidR="002006FD">
      <w:rPr>
        <w:rStyle w:val="PageNumber"/>
        <w:noProof/>
      </w:rPr>
      <w:t>63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6C" w:rsidRPr="009A6F4A" w:rsidRDefault="008F426C">
    <w:pPr>
      <w:pStyle w:val="Footer"/>
      <w:rPr>
        <w:sz w:val="20"/>
        <w:lang w:val="en-US"/>
      </w:rPr>
    </w:pPr>
    <w:r>
      <w:rPr>
        <w:sz w:val="20"/>
        <w:lang w:val="en-US"/>
      </w:rPr>
      <w:t>GE.13-42857  (R)  100713  110713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EE" w:rsidRPr="00F71F63" w:rsidRDefault="008425E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425EE" w:rsidRPr="00F71F63" w:rsidRDefault="008425EE" w:rsidP="00635E86">
      <w:pPr>
        <w:tabs>
          <w:tab w:val="right" w:pos="2155"/>
        </w:tabs>
        <w:spacing w:after="80" w:line="240" w:lineRule="auto"/>
        <w:rPr>
          <w:u w:val="single"/>
          <w:lang w:val="en-US"/>
        </w:rPr>
      </w:pPr>
      <w:r w:rsidRPr="00F71F63">
        <w:rPr>
          <w:u w:val="single"/>
          <w:lang w:val="en-US"/>
        </w:rPr>
        <w:tab/>
      </w:r>
    </w:p>
    <w:p w:rsidR="008425EE" w:rsidRPr="00635E86" w:rsidRDefault="008425EE" w:rsidP="00635E86">
      <w:pPr>
        <w:pStyle w:val="Footer"/>
      </w:pPr>
    </w:p>
  </w:footnote>
  <w:footnote w:id="1">
    <w:p w:rsidR="008F426C" w:rsidRPr="005D6461" w:rsidRDefault="008F426C">
      <w:pPr>
        <w:pStyle w:val="FootnoteText"/>
        <w:rPr>
          <w:lang w:val="ru-RU"/>
        </w:rPr>
      </w:pPr>
      <w:r>
        <w:rPr>
          <w:lang w:val="ru-RU"/>
        </w:rPr>
        <w:tab/>
      </w:r>
      <w:r w:rsidRPr="005D6461">
        <w:rPr>
          <w:rStyle w:val="FootnoteReference"/>
          <w:vertAlign w:val="baseline"/>
          <w:lang w:val="ru-RU"/>
        </w:rPr>
        <w:t>*</w:t>
      </w:r>
      <w:r>
        <w:rPr>
          <w:lang w:val="ru-RU"/>
        </w:rPr>
        <w:tab/>
      </w:r>
      <w:r w:rsidRPr="007636FE">
        <w:rPr>
          <w:lang w:val="ru-RU"/>
        </w:rPr>
        <w:t xml:space="preserve">Настоящий документ содержит девятнадцатый, двадцатый и двадцать первый периодические доклады Чили, которые должны были быть представлены 31 августа 2012 года. Пятнадцатый - восемнадцатый периодические доклады </w:t>
      </w:r>
      <w:r w:rsidRPr="007636FE">
        <w:rPr>
          <w:bCs/>
          <w:lang w:val="ru-RU"/>
        </w:rPr>
        <w:t xml:space="preserve">Чили и краткие отчеты о заседаниях, на которых Комитет рассматривал эти доклады, см. в документах </w:t>
      </w:r>
      <w:r w:rsidRPr="00CF5497">
        <w:t>CERD</w:t>
      </w:r>
      <w:r w:rsidRPr="007636FE">
        <w:rPr>
          <w:lang w:val="ru-RU"/>
        </w:rPr>
        <w:t>/</w:t>
      </w:r>
      <w:r w:rsidRPr="00CF5497">
        <w:t>C</w:t>
      </w:r>
      <w:r w:rsidRPr="007636FE">
        <w:rPr>
          <w:lang w:val="ru-RU"/>
        </w:rPr>
        <w:t>/</w:t>
      </w:r>
      <w:r w:rsidRPr="00CF5497">
        <w:t>CHL</w:t>
      </w:r>
      <w:r w:rsidRPr="007636FE">
        <w:rPr>
          <w:lang w:val="ru-RU"/>
        </w:rPr>
        <w:t xml:space="preserve">/15-18 и </w:t>
      </w:r>
      <w:r w:rsidRPr="00CF5497">
        <w:t>CERD</w:t>
      </w:r>
      <w:r w:rsidRPr="007636FE">
        <w:rPr>
          <w:lang w:val="ru-RU"/>
        </w:rPr>
        <w:t>/</w:t>
      </w:r>
      <w:r w:rsidRPr="00CF5497">
        <w:t>C</w:t>
      </w:r>
      <w:r w:rsidRPr="007636FE">
        <w:rPr>
          <w:lang w:val="ru-RU"/>
        </w:rPr>
        <w:t>/</w:t>
      </w:r>
      <w:r w:rsidRPr="00CF5497">
        <w:t>SR</w:t>
      </w:r>
      <w:r w:rsidRPr="007636FE">
        <w:rPr>
          <w:lang w:val="ru-RU"/>
        </w:rPr>
        <w:t>.1950 и 1951.</w:t>
      </w:r>
    </w:p>
  </w:footnote>
  <w:footnote w:id="2">
    <w:p w:rsidR="008F426C" w:rsidRPr="005D6461" w:rsidRDefault="008F426C">
      <w:pPr>
        <w:pStyle w:val="FootnoteText"/>
        <w:rPr>
          <w:lang w:val="ru-RU"/>
        </w:rPr>
      </w:pPr>
      <w:r>
        <w:rPr>
          <w:lang w:val="ru-RU"/>
        </w:rPr>
        <w:tab/>
      </w:r>
      <w:r w:rsidRPr="005D6461">
        <w:rPr>
          <w:rStyle w:val="FootnoteReference"/>
          <w:vertAlign w:val="baseline"/>
          <w:lang w:val="ru-RU"/>
        </w:rPr>
        <w:t>**</w:t>
      </w:r>
      <w:r w:rsidRPr="005D6461">
        <w:rPr>
          <w:lang w:val="ru-RU"/>
        </w:rPr>
        <w:tab/>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3">
    <w:p w:rsidR="008F426C" w:rsidRPr="003B31BF" w:rsidRDefault="008F426C">
      <w:pPr>
        <w:pStyle w:val="FootnoteText"/>
        <w:rPr>
          <w:lang w:val="ru-RU"/>
        </w:rPr>
      </w:pPr>
      <w:r>
        <w:rPr>
          <w:lang w:val="ru-RU"/>
        </w:rPr>
        <w:tab/>
      </w:r>
      <w:r w:rsidRPr="003B31BF">
        <w:rPr>
          <w:rStyle w:val="FootnoteReference"/>
          <w:vertAlign w:val="baseline"/>
          <w:lang w:val="ru-RU"/>
        </w:rPr>
        <w:t>*</w:t>
      </w:r>
      <w:r>
        <w:rPr>
          <w:lang w:val="ru-RU"/>
        </w:rPr>
        <w:tab/>
      </w:r>
      <w:r w:rsidRPr="003B31BF">
        <w:rPr>
          <w:lang w:val="ru-RU"/>
        </w:rPr>
        <w:t>Приложения приводятся только на языке оригинала.</w:t>
      </w:r>
    </w:p>
  </w:footnote>
  <w:footnote w:id="4">
    <w:p w:rsidR="008F426C" w:rsidRPr="005C6B8E" w:rsidRDefault="008F426C">
      <w:pPr>
        <w:pStyle w:val="FootnoteText"/>
        <w:rPr>
          <w:lang w:val="ru-RU"/>
        </w:rPr>
      </w:pPr>
      <w:r>
        <w:tab/>
      </w:r>
      <w:r>
        <w:rPr>
          <w:rStyle w:val="FootnoteReference"/>
        </w:rPr>
        <w:footnoteRef/>
      </w:r>
      <w:r w:rsidRPr="005C6B8E">
        <w:rPr>
          <w:lang w:val="ru-RU"/>
        </w:rPr>
        <w:tab/>
        <w:t>Конвенция принята на двадцатой сессии Генеральной Ассамблеи Организации Объединенных Наций</w:t>
      </w:r>
      <w:r>
        <w:rPr>
          <w:lang w:val="ru-RU"/>
        </w:rPr>
        <w:t xml:space="preserve"> резолюцией 2106 А </w:t>
      </w:r>
      <w:r w:rsidRPr="00846735">
        <w:rPr>
          <w:lang w:val="ru-RU"/>
        </w:rPr>
        <w:t>[</w:t>
      </w:r>
      <w:r w:rsidRPr="005C6B8E">
        <w:rPr>
          <w:lang w:val="ru-RU"/>
        </w:rPr>
        <w:t>ХХ</w:t>
      </w:r>
      <w:r w:rsidRPr="00846735">
        <w:rPr>
          <w:lang w:val="ru-RU"/>
        </w:rPr>
        <w:t>]</w:t>
      </w:r>
      <w:r w:rsidRPr="005C6B8E">
        <w:rPr>
          <w:lang w:val="ru-RU"/>
        </w:rPr>
        <w:t xml:space="preserve"> от 21 декабря 1965 года.</w:t>
      </w:r>
      <w:r>
        <w:rPr>
          <w:lang w:val="ru-RU"/>
        </w:rPr>
        <w:t xml:space="preserve"> В </w:t>
      </w:r>
      <w:r w:rsidRPr="005C6B8E">
        <w:rPr>
          <w:lang w:val="ru-RU"/>
        </w:rPr>
        <w:t>соответствии с положениями статьи 19 этой резолюции Конвенция вступила в силу 4 января 1969 года – на тридцатый день после сдачи на хранение депозитарию двадцать седьмой ратификационной грамоты. Республика Чили подписала Конвенцию одной из первых – 3 октября 1996 года. Ратификация состоялась 26 октября 1971 года, и Конвенция вступила в силу в следующем месяце. Decreto Nº 747 del Ministerio de Relaciones Exteriores (D.O. 12/11/1971).</w:t>
      </w:r>
    </w:p>
  </w:footnote>
  <w:footnote w:id="5">
    <w:p w:rsidR="008F426C" w:rsidRPr="005C6B8E" w:rsidRDefault="008F426C">
      <w:pPr>
        <w:pStyle w:val="FootnoteText"/>
        <w:rPr>
          <w:lang w:val="en-US"/>
        </w:rPr>
      </w:pPr>
      <w:r>
        <w:tab/>
      </w:r>
      <w:r>
        <w:rPr>
          <w:rStyle w:val="FootnoteReference"/>
        </w:rPr>
        <w:footnoteRef/>
      </w:r>
      <w:r>
        <w:tab/>
      </w:r>
      <w:r w:rsidRPr="005C6B8E">
        <w:rPr>
          <w:lang w:val="en-US"/>
        </w:rPr>
        <w:t xml:space="preserve">CERD/C/2007/1 </w:t>
      </w:r>
      <w:r w:rsidRPr="005C6B8E">
        <w:rPr>
          <w:lang w:val="ru-RU"/>
        </w:rPr>
        <w:t>и</w:t>
      </w:r>
      <w:r w:rsidRPr="005C6B8E">
        <w:rPr>
          <w:lang w:val="en-US"/>
        </w:rPr>
        <w:t xml:space="preserve"> HRI/GEN/2/Rev.6.</w:t>
      </w:r>
    </w:p>
  </w:footnote>
  <w:footnote w:id="6">
    <w:p w:rsidR="008F426C" w:rsidRPr="005C6B8E" w:rsidRDefault="008F426C">
      <w:pPr>
        <w:pStyle w:val="FootnoteText"/>
        <w:rPr>
          <w:lang w:val="en-US"/>
        </w:rPr>
      </w:pPr>
      <w:r>
        <w:tab/>
      </w:r>
      <w:r>
        <w:rPr>
          <w:rStyle w:val="FootnoteReference"/>
        </w:rPr>
        <w:footnoteRef/>
      </w:r>
      <w:r>
        <w:tab/>
      </w:r>
      <w:r w:rsidRPr="005C6B8E">
        <w:rPr>
          <w:lang w:val="en-US"/>
        </w:rPr>
        <w:t xml:space="preserve">CERD/C/CHL/CO/15-18, </w:t>
      </w:r>
      <w:r w:rsidRPr="005C6B8E">
        <w:rPr>
          <w:lang w:val="ru-RU"/>
        </w:rPr>
        <w:t>пункт</w:t>
      </w:r>
      <w:r w:rsidRPr="005C6B8E">
        <w:rPr>
          <w:lang w:val="en-US"/>
        </w:rPr>
        <w:t xml:space="preserve"> 32.</w:t>
      </w:r>
    </w:p>
  </w:footnote>
  <w:footnote w:id="7">
    <w:p w:rsidR="008F426C" w:rsidRPr="00E26E1C" w:rsidRDefault="008F426C">
      <w:pPr>
        <w:pStyle w:val="FootnoteText"/>
        <w:rPr>
          <w:lang w:val="ru-RU"/>
        </w:rPr>
      </w:pPr>
      <w:r>
        <w:tab/>
      </w:r>
      <w:r>
        <w:rPr>
          <w:rStyle w:val="FootnoteReference"/>
        </w:rPr>
        <w:footnoteRef/>
      </w:r>
      <w:r w:rsidRPr="00E26E1C">
        <w:rPr>
          <w:lang w:val="ru-RU"/>
        </w:rPr>
        <w:tab/>
        <w:t>См. веб-сайт:</w:t>
      </w:r>
      <w:r>
        <w:rPr>
          <w:lang w:val="ru-RU"/>
        </w:rPr>
        <w:t xml:space="preserve"> </w:t>
      </w:r>
      <w:r w:rsidRPr="00E26E1C">
        <w:rPr>
          <w:lang w:val="ru-RU"/>
        </w:rPr>
        <w:t>www.minrel.gob.cl/prontus_minrel/site/edic/base/port/derechos_</w:t>
      </w:r>
      <w:r w:rsidRPr="00581A9D">
        <w:rPr>
          <w:lang w:val="ru-RU"/>
        </w:rPr>
        <w:br/>
      </w:r>
      <w:r w:rsidRPr="00E26E1C">
        <w:rPr>
          <w:lang w:val="ru-RU"/>
        </w:rPr>
        <w:t>humanos.php.</w:t>
      </w:r>
    </w:p>
  </w:footnote>
  <w:footnote w:id="8">
    <w:p w:rsidR="008F426C" w:rsidRPr="00E26E1C" w:rsidRDefault="008F426C">
      <w:pPr>
        <w:pStyle w:val="FootnoteText"/>
        <w:rPr>
          <w:lang w:val="ru-RU"/>
        </w:rPr>
      </w:pPr>
      <w:r w:rsidRPr="000F633B">
        <w:rPr>
          <w:lang w:val="ru-RU"/>
        </w:rPr>
        <w:tab/>
      </w:r>
      <w:r>
        <w:rPr>
          <w:rStyle w:val="FootnoteReference"/>
        </w:rPr>
        <w:footnoteRef/>
      </w:r>
      <w:r w:rsidRPr="00E26E1C">
        <w:rPr>
          <w:lang w:val="ru-RU"/>
        </w:rPr>
        <w:tab/>
        <w:t>Доля женщин в общей численности иммигрантов составляет примерно 53%.</w:t>
      </w:r>
    </w:p>
  </w:footnote>
  <w:footnote w:id="9">
    <w:p w:rsidR="008F426C" w:rsidRPr="00E26E1C" w:rsidRDefault="008F426C">
      <w:pPr>
        <w:pStyle w:val="FootnoteText"/>
        <w:rPr>
          <w:lang w:val="ru-RU"/>
        </w:rPr>
      </w:pPr>
      <w:r>
        <w:tab/>
      </w:r>
      <w:r>
        <w:rPr>
          <w:rStyle w:val="FootnoteReference"/>
        </w:rPr>
        <w:footnoteRef/>
      </w:r>
      <w:r w:rsidRPr="00E26E1C">
        <w:rPr>
          <w:lang w:val="ru-RU"/>
        </w:rPr>
        <w:tab/>
        <w:t>Приведенная информация составлена, главным образом, на основе материалов обзоров социально-экономического положения страны за 2006 и 2009 годы. К моменту представления данного доклада утвержденные данные Национального обзора социально-экономического положения (НОСЭП) за 2011 год еще не были выверены.</w:t>
      </w:r>
    </w:p>
  </w:footnote>
  <w:footnote w:id="10">
    <w:p w:rsidR="008F426C" w:rsidRPr="006D6246" w:rsidRDefault="008F426C">
      <w:pPr>
        <w:pStyle w:val="FootnoteText"/>
        <w:rPr>
          <w:lang w:val="en-US"/>
        </w:rPr>
      </w:pPr>
      <w:r>
        <w:tab/>
      </w:r>
      <w:r>
        <w:rPr>
          <w:rStyle w:val="FootnoteReference"/>
        </w:rPr>
        <w:footnoteRef/>
      </w:r>
      <w:r>
        <w:tab/>
      </w:r>
      <w:r w:rsidRPr="006D6246">
        <w:rPr>
          <w:lang w:val="en-US"/>
        </w:rPr>
        <w:t>Ley 19253. Santiago, Chile: BIBLIOTECA Congreso Nacional (</w:t>
      </w:r>
      <w:r w:rsidRPr="00E26E1C">
        <w:rPr>
          <w:lang w:val="ru-RU"/>
        </w:rPr>
        <w:t>по</w:t>
      </w:r>
      <w:r w:rsidRPr="006D6246">
        <w:rPr>
          <w:lang w:val="en-US"/>
        </w:rPr>
        <w:t xml:space="preserve"> </w:t>
      </w:r>
      <w:r w:rsidRPr="00E26E1C">
        <w:rPr>
          <w:lang w:val="ru-RU"/>
        </w:rPr>
        <w:t>состоянию</w:t>
      </w:r>
      <w:r w:rsidRPr="006D6246">
        <w:rPr>
          <w:lang w:val="en-US"/>
        </w:rPr>
        <w:t xml:space="preserve"> </w:t>
      </w:r>
      <w:r w:rsidRPr="00E26E1C">
        <w:rPr>
          <w:lang w:val="ru-RU"/>
        </w:rPr>
        <w:t>на</w:t>
      </w:r>
      <w:r w:rsidRPr="006D6246">
        <w:rPr>
          <w:lang w:val="en-US"/>
        </w:rPr>
        <w:t xml:space="preserve"> 24</w:t>
      </w:r>
      <w:r w:rsidRPr="006450A8">
        <w:rPr>
          <w:lang w:val="en-US"/>
        </w:rPr>
        <w:t> </w:t>
      </w:r>
      <w:r w:rsidRPr="00E26E1C">
        <w:rPr>
          <w:lang w:val="ru-RU"/>
        </w:rPr>
        <w:t>августа</w:t>
      </w:r>
      <w:r w:rsidRPr="006D6246">
        <w:rPr>
          <w:lang w:val="en-US"/>
        </w:rPr>
        <w:t xml:space="preserve"> 2010 </w:t>
      </w:r>
      <w:r w:rsidRPr="00E26E1C">
        <w:rPr>
          <w:lang w:val="ru-RU"/>
        </w:rPr>
        <w:t>года</w:t>
      </w:r>
      <w:r w:rsidRPr="006D6246">
        <w:rPr>
          <w:lang w:val="en-US"/>
        </w:rPr>
        <w:t xml:space="preserve">). </w:t>
      </w:r>
      <w:r w:rsidRPr="00E26E1C">
        <w:rPr>
          <w:lang w:val="ru-RU"/>
        </w:rPr>
        <w:t>См</w:t>
      </w:r>
      <w:r w:rsidRPr="006D6246">
        <w:rPr>
          <w:lang w:val="en-US"/>
        </w:rPr>
        <w:t>. www.leychile.cl/Navegar?idNorma=30620&amp;buscar=</w:t>
      </w:r>
      <w:r w:rsidRPr="006D6246">
        <w:rPr>
          <w:lang w:val="en-US"/>
        </w:rPr>
        <w:br/>
        <w:t>ley+19.253&amp;r=5.</w:t>
      </w:r>
    </w:p>
  </w:footnote>
  <w:footnote w:id="11">
    <w:p w:rsidR="008F426C" w:rsidRPr="00E125E0" w:rsidRDefault="008F426C">
      <w:pPr>
        <w:pStyle w:val="FootnoteText"/>
        <w:rPr>
          <w:lang w:val="ru-RU"/>
        </w:rPr>
      </w:pPr>
      <w:r>
        <w:tab/>
      </w:r>
      <w:r>
        <w:rPr>
          <w:rStyle w:val="FootnoteReference"/>
        </w:rPr>
        <w:footnoteRef/>
      </w:r>
      <w:r w:rsidRPr="00E125E0">
        <w:rPr>
          <w:lang w:val="ru-RU"/>
        </w:rPr>
        <w:tab/>
        <w:t>Более подробная инфо</w:t>
      </w:r>
      <w:r>
        <w:rPr>
          <w:lang w:val="ru-RU"/>
        </w:rPr>
        <w:t>рмация приведена на веб-сайте</w:t>
      </w:r>
      <w:r w:rsidRPr="00E125E0">
        <w:rPr>
          <w:lang w:val="ru-RU"/>
        </w:rPr>
        <w:t xml:space="preserve"> www.indh.cl/.</w:t>
      </w:r>
    </w:p>
  </w:footnote>
  <w:footnote w:id="12">
    <w:p w:rsidR="008F426C" w:rsidRPr="00B02048" w:rsidRDefault="008F426C">
      <w:pPr>
        <w:pStyle w:val="FootnoteText"/>
        <w:rPr>
          <w:lang w:val="ru-RU"/>
        </w:rPr>
      </w:pPr>
      <w:r>
        <w:tab/>
      </w:r>
      <w:r>
        <w:rPr>
          <w:rStyle w:val="FootnoteReference"/>
        </w:rPr>
        <w:footnoteRef/>
      </w:r>
      <w:r w:rsidRPr="00BE17D5">
        <w:rPr>
          <w:lang w:val="ru-RU"/>
        </w:rPr>
        <w:tab/>
        <w:t xml:space="preserve">В августе 2012 года сумма единицы месячного налога составляла 39 570 чилийских песо, </w:t>
      </w:r>
      <w:r>
        <w:rPr>
          <w:lang w:val="ru-RU"/>
        </w:rPr>
        <w:t>т.е.</w:t>
      </w:r>
      <w:r w:rsidRPr="00BE17D5">
        <w:rPr>
          <w:lang w:val="ru-RU"/>
        </w:rPr>
        <w:t xml:space="preserve"> примерно 79,14 долл. </w:t>
      </w:r>
      <w:r w:rsidRPr="00247578">
        <w:rPr>
          <w:lang w:val="ru-RU"/>
        </w:rPr>
        <w:t>США.</w:t>
      </w:r>
    </w:p>
  </w:footnote>
  <w:footnote w:id="13">
    <w:p w:rsidR="008F426C" w:rsidRPr="00275FF9" w:rsidRDefault="008F426C">
      <w:pPr>
        <w:pStyle w:val="FootnoteText"/>
        <w:rPr>
          <w:lang w:val="ru-RU"/>
        </w:rPr>
      </w:pPr>
      <w:r w:rsidRPr="00B02048">
        <w:rPr>
          <w:lang w:val="ru-RU"/>
        </w:rPr>
        <w:tab/>
      </w:r>
      <w:r>
        <w:rPr>
          <w:rStyle w:val="FootnoteReference"/>
        </w:rPr>
        <w:footnoteRef/>
      </w:r>
      <w:r w:rsidRPr="00275FF9">
        <w:rPr>
          <w:lang w:val="ru-RU"/>
        </w:rPr>
        <w:tab/>
        <w:t>См. резолюции Совета Безопасности 1267 (1999), 1368 (2001), 1373 (2001), 1377 (2001), 1438 (2002), 1440 (2002), 1450 (2002), 1452 (2002), 1455 (2003), 1456 (2003), 1465 (2003), 1516 (2003), 1526 (2004), 1530 (2004), 1535</w:t>
      </w:r>
      <w:r>
        <w:rPr>
          <w:lang w:val="ru-RU"/>
        </w:rPr>
        <w:t xml:space="preserve"> </w:t>
      </w:r>
      <w:r w:rsidRPr="00275FF9">
        <w:rPr>
          <w:lang w:val="ru-RU"/>
        </w:rPr>
        <w:t>(2004), 1540</w:t>
      </w:r>
      <w:r>
        <w:rPr>
          <w:lang w:val="ru-RU"/>
        </w:rPr>
        <w:t xml:space="preserve"> </w:t>
      </w:r>
      <w:r w:rsidRPr="00275FF9">
        <w:rPr>
          <w:lang w:val="ru-RU"/>
        </w:rPr>
        <w:t>(2004), 1617</w:t>
      </w:r>
      <w:r>
        <w:rPr>
          <w:lang w:val="ru-RU"/>
        </w:rPr>
        <w:t xml:space="preserve"> </w:t>
      </w:r>
      <w:r w:rsidRPr="00275FF9">
        <w:rPr>
          <w:lang w:val="ru-RU"/>
        </w:rPr>
        <w:t>(2005), 1618</w:t>
      </w:r>
      <w:r>
        <w:rPr>
          <w:lang w:val="ru-RU"/>
        </w:rPr>
        <w:t xml:space="preserve"> </w:t>
      </w:r>
      <w:r w:rsidRPr="00275FF9">
        <w:rPr>
          <w:lang w:val="ru-RU"/>
        </w:rPr>
        <w:t>(2005), 1624</w:t>
      </w:r>
      <w:r>
        <w:rPr>
          <w:lang w:val="ru-RU"/>
        </w:rPr>
        <w:t xml:space="preserve"> </w:t>
      </w:r>
      <w:r w:rsidRPr="00275FF9">
        <w:rPr>
          <w:lang w:val="ru-RU"/>
        </w:rPr>
        <w:t>(2005), 1625</w:t>
      </w:r>
      <w:r>
        <w:rPr>
          <w:lang w:val="ru-RU"/>
        </w:rPr>
        <w:t xml:space="preserve"> </w:t>
      </w:r>
      <w:r w:rsidRPr="00275FF9">
        <w:rPr>
          <w:lang w:val="ru-RU"/>
        </w:rPr>
        <w:t>(2005), 1735</w:t>
      </w:r>
      <w:r>
        <w:rPr>
          <w:lang w:val="ru-RU"/>
        </w:rPr>
        <w:t xml:space="preserve"> </w:t>
      </w:r>
      <w:r w:rsidRPr="00275FF9">
        <w:rPr>
          <w:lang w:val="ru-RU"/>
        </w:rPr>
        <w:t>(2006), 1787</w:t>
      </w:r>
      <w:r>
        <w:rPr>
          <w:lang w:val="ru-RU"/>
        </w:rPr>
        <w:t xml:space="preserve"> </w:t>
      </w:r>
      <w:r w:rsidRPr="00275FF9">
        <w:rPr>
          <w:lang w:val="ru-RU"/>
        </w:rPr>
        <w:t>(2007), 1805</w:t>
      </w:r>
      <w:r>
        <w:rPr>
          <w:lang w:val="ru-RU"/>
        </w:rPr>
        <w:t xml:space="preserve"> </w:t>
      </w:r>
      <w:r w:rsidRPr="00275FF9">
        <w:rPr>
          <w:lang w:val="ru-RU"/>
        </w:rPr>
        <w:t>(2008), 1810</w:t>
      </w:r>
      <w:r>
        <w:rPr>
          <w:lang w:val="ru-RU"/>
        </w:rPr>
        <w:t xml:space="preserve"> </w:t>
      </w:r>
      <w:r w:rsidRPr="00275FF9">
        <w:rPr>
          <w:lang w:val="ru-RU"/>
        </w:rPr>
        <w:t>(2008), 1822</w:t>
      </w:r>
      <w:r>
        <w:rPr>
          <w:lang w:val="ru-RU"/>
        </w:rPr>
        <w:t xml:space="preserve"> </w:t>
      </w:r>
      <w:r w:rsidRPr="00275FF9">
        <w:rPr>
          <w:lang w:val="ru-RU"/>
        </w:rPr>
        <w:t>(2008), 1904</w:t>
      </w:r>
      <w:r>
        <w:rPr>
          <w:lang w:val="ru-RU"/>
        </w:rPr>
        <w:t xml:space="preserve"> </w:t>
      </w:r>
      <w:r w:rsidRPr="00275FF9">
        <w:rPr>
          <w:lang w:val="ru-RU"/>
        </w:rPr>
        <w:t>(2009), 1963</w:t>
      </w:r>
      <w:r>
        <w:rPr>
          <w:lang w:val="ru-RU"/>
        </w:rPr>
        <w:t xml:space="preserve"> </w:t>
      </w:r>
      <w:r w:rsidRPr="00275FF9">
        <w:rPr>
          <w:lang w:val="ru-RU"/>
        </w:rPr>
        <w:t>(2010), 1988</w:t>
      </w:r>
      <w:r>
        <w:rPr>
          <w:lang w:val="ru-RU"/>
        </w:rPr>
        <w:t xml:space="preserve"> </w:t>
      </w:r>
      <w:r w:rsidRPr="00275FF9">
        <w:rPr>
          <w:lang w:val="ru-RU"/>
        </w:rPr>
        <w:t>(2011) и  1989</w:t>
      </w:r>
      <w:r>
        <w:rPr>
          <w:lang w:val="ru-RU"/>
        </w:rPr>
        <w:t xml:space="preserve"> </w:t>
      </w:r>
      <w:r w:rsidRPr="00275FF9">
        <w:rPr>
          <w:lang w:val="ru-RU"/>
        </w:rPr>
        <w:t xml:space="preserve">(2011). Все эти резолюции размещены на веб-сайте: </w:t>
      </w:r>
      <w:r w:rsidRPr="007D5F8D">
        <w:t>www</w:t>
      </w:r>
      <w:r w:rsidRPr="00275FF9">
        <w:rPr>
          <w:lang w:val="ru-RU"/>
        </w:rPr>
        <w:t>.</w:t>
      </w:r>
      <w:r w:rsidRPr="007D5F8D">
        <w:t>un</w:t>
      </w:r>
      <w:r w:rsidRPr="00275FF9">
        <w:rPr>
          <w:lang w:val="ru-RU"/>
        </w:rPr>
        <w:t>.</w:t>
      </w:r>
      <w:r w:rsidRPr="007D5F8D">
        <w:t>org</w:t>
      </w:r>
      <w:r w:rsidRPr="00275FF9">
        <w:rPr>
          <w:lang w:val="ru-RU"/>
        </w:rPr>
        <w:t>/</w:t>
      </w:r>
      <w:r w:rsidRPr="007D5F8D">
        <w:t>spanish</w:t>
      </w:r>
      <w:r w:rsidRPr="00275FF9">
        <w:rPr>
          <w:lang w:val="ru-RU"/>
        </w:rPr>
        <w:t>/</w:t>
      </w:r>
      <w:r w:rsidRPr="007D5F8D">
        <w:t>terrorism</w:t>
      </w:r>
      <w:r w:rsidRPr="00275FF9">
        <w:rPr>
          <w:lang w:val="ru-RU"/>
        </w:rPr>
        <w:t>/</w:t>
      </w:r>
      <w:r w:rsidRPr="007D5F8D">
        <w:t>sc</w:t>
      </w:r>
      <w:r w:rsidRPr="00275FF9">
        <w:rPr>
          <w:lang w:val="ru-RU"/>
        </w:rPr>
        <w:t>-</w:t>
      </w:r>
      <w:r w:rsidRPr="007D5F8D">
        <w:t>res</w:t>
      </w:r>
      <w:r w:rsidRPr="00275FF9">
        <w:rPr>
          <w:lang w:val="ru-RU"/>
        </w:rPr>
        <w:t>.</w:t>
      </w:r>
      <w:r w:rsidRPr="007D5F8D">
        <w:t>shtml</w:t>
      </w:r>
      <w:r w:rsidRPr="00275FF9">
        <w:rPr>
          <w:lang w:val="ru-RU"/>
        </w:rPr>
        <w:t>.</w:t>
      </w:r>
    </w:p>
  </w:footnote>
  <w:footnote w:id="14">
    <w:p w:rsidR="008F426C" w:rsidRPr="003B383B" w:rsidRDefault="008F426C">
      <w:pPr>
        <w:pStyle w:val="FootnoteText"/>
        <w:rPr>
          <w:lang w:val="ru-RU"/>
        </w:rPr>
      </w:pPr>
      <w:r>
        <w:tab/>
      </w:r>
      <w:r>
        <w:rPr>
          <w:rStyle w:val="FootnoteReference"/>
        </w:rPr>
        <w:footnoteRef/>
      </w:r>
      <w:r w:rsidRPr="003B383B">
        <w:rPr>
          <w:lang w:val="ru-RU"/>
        </w:rPr>
        <w:tab/>
        <w:t xml:space="preserve">Дополнительная информация содержится на веб-сайте: </w:t>
      </w:r>
      <w:r w:rsidRPr="00F7581A">
        <w:t>www</w:t>
      </w:r>
      <w:r w:rsidRPr="003B383B">
        <w:rPr>
          <w:lang w:val="ru-RU"/>
        </w:rPr>
        <w:t>.</w:t>
      </w:r>
      <w:r w:rsidRPr="00F7581A">
        <w:t>conadi</w:t>
      </w:r>
      <w:r w:rsidRPr="003B383B">
        <w:rPr>
          <w:lang w:val="ru-RU"/>
        </w:rPr>
        <w:t>.</w:t>
      </w:r>
      <w:r w:rsidRPr="00F7581A">
        <w:t>gov</w:t>
      </w:r>
      <w:r w:rsidRPr="003B383B">
        <w:rPr>
          <w:lang w:val="ru-RU"/>
        </w:rPr>
        <w:t>.</w:t>
      </w:r>
      <w:r w:rsidRPr="00F7581A">
        <w:t>cl</w:t>
      </w:r>
      <w:r w:rsidRPr="003B383B">
        <w:rPr>
          <w:lang w:val="ru-RU"/>
        </w:rPr>
        <w:t>.</w:t>
      </w:r>
    </w:p>
  </w:footnote>
  <w:footnote w:id="15">
    <w:p w:rsidR="008F426C" w:rsidRDefault="008F426C">
      <w:pPr>
        <w:pStyle w:val="FootnoteText"/>
        <w:rPr>
          <w:lang w:val="ru-RU"/>
        </w:rPr>
      </w:pPr>
      <w:r>
        <w:tab/>
      </w:r>
      <w:r>
        <w:rPr>
          <w:rStyle w:val="FootnoteReference"/>
        </w:rPr>
        <w:footnoteRef/>
      </w:r>
      <w:r w:rsidRPr="00BE17D5">
        <w:rPr>
          <w:lang w:val="ru-RU"/>
        </w:rPr>
        <w:tab/>
        <w:t xml:space="preserve">Комиссия Совета КОНАДИ заслушивает предложения представителей коренных народов и работает как над формулировками принципов процесса консультаций, так и над его форматом. В числе результатов заседаний Комиссии можно отметить следующие: </w:t>
      </w:r>
      <w:r w:rsidRPr="00C74F2F">
        <w:t>i</w:t>
      </w:r>
      <w:r w:rsidRPr="00BE17D5">
        <w:rPr>
          <w:lang w:val="ru-RU"/>
        </w:rPr>
        <w:t xml:space="preserve">) создана группа поддержки Комиссии, большую часть членов которой составляют лидеры коренных народов; </w:t>
      </w:r>
      <w:r w:rsidRPr="00C74F2F">
        <w:t>ii</w:t>
      </w:r>
      <w:r w:rsidRPr="00BE17D5">
        <w:rPr>
          <w:lang w:val="ru-RU"/>
        </w:rPr>
        <w:t xml:space="preserve">) достигнуто согласие относительно основных принципов организации надлежащей процедуры консультаций; </w:t>
      </w:r>
      <w:r w:rsidRPr="00C74F2F">
        <w:t>iii</w:t>
      </w:r>
      <w:r w:rsidRPr="00BE17D5">
        <w:rPr>
          <w:lang w:val="ru-RU"/>
        </w:rPr>
        <w:t xml:space="preserve">) созданы подкомиссии для оказания помощи Комиссии и упомянутой группе поддержки; </w:t>
      </w:r>
      <w:r w:rsidRPr="00C74F2F">
        <w:t>iv</w:t>
      </w:r>
      <w:r>
        <w:rPr>
          <w:lang w:val="ru-RU"/>
        </w:rPr>
        <w:t>) </w:t>
      </w:r>
      <w:r w:rsidRPr="00BE17D5">
        <w:rPr>
          <w:lang w:val="ru-RU"/>
        </w:rPr>
        <w:t xml:space="preserve">дано согласие Комиссии на то, чтобы Служба оценки воздействия на окружающую среду (СЕА) продолжила свои независимые консультации относительно Регламента Системы оценки воздействия на окружающую среду; </w:t>
      </w:r>
      <w:r w:rsidRPr="00C74F2F">
        <w:t>v</w:t>
      </w:r>
      <w:r w:rsidRPr="00BE17D5">
        <w:rPr>
          <w:lang w:val="ru-RU"/>
        </w:rPr>
        <w:t>) направлено обращ</w:t>
      </w:r>
      <w:r>
        <w:rPr>
          <w:lang w:val="ru-RU"/>
        </w:rPr>
        <w:t xml:space="preserve">ение к Специальному докладчику </w:t>
      </w:r>
      <w:r w:rsidRPr="00BE17D5">
        <w:rPr>
          <w:lang w:val="ru-RU"/>
        </w:rPr>
        <w:t>Организации Объединенных Наций по вопросу о коренных народах с просьбой о предоставлении технической помощи.</w:t>
      </w:r>
    </w:p>
    <w:p w:rsidR="008F426C" w:rsidRPr="00BE17D5" w:rsidRDefault="008F426C">
      <w:pPr>
        <w:pStyle w:val="FootnoteText"/>
        <w:rPr>
          <w:lang w:val="ru-RU"/>
        </w:rPr>
      </w:pPr>
      <w:r>
        <w:rPr>
          <w:lang w:val="ru-RU"/>
        </w:rPr>
        <w:tab/>
      </w:r>
      <w:r>
        <w:rPr>
          <w:lang w:val="ru-RU"/>
        </w:rPr>
        <w:tab/>
      </w:r>
      <w:r w:rsidRPr="00BE17D5">
        <w:rPr>
          <w:lang w:val="ru-RU"/>
        </w:rPr>
        <w:t>23 ноября 2011 года Национальный совет КОНАДИ заслушал выводы, к которым пришла Комиссия, и принял решение продолжить ее работу по выработке предложений, касающихся механизма консультаций. Впоследствии, в среду 21 марта 2012 года, Рафаэл Туки, член Совета от народа рапа-нуи и Председатель Комиссии, направил министру г-ну Лавину письмо, в котором изложил свои взгляды на то, каким принципам должны отвечать консультации и новый регламент участия в консультациях, который должен заменить декрет Верховной власти № 124; 18 апреля 2012 года министр дал ответ на это письмо, и таким образом Комиссия возобновила свою работу.</w:t>
      </w:r>
    </w:p>
  </w:footnote>
  <w:footnote w:id="16">
    <w:p w:rsidR="008F426C" w:rsidRPr="00A72B59" w:rsidRDefault="008F426C">
      <w:pPr>
        <w:pStyle w:val="FootnoteText"/>
        <w:rPr>
          <w:lang w:val="ru-RU"/>
        </w:rPr>
      </w:pPr>
      <w:r>
        <w:tab/>
      </w:r>
      <w:r>
        <w:rPr>
          <w:rStyle w:val="FootnoteReference"/>
        </w:rPr>
        <w:footnoteRef/>
      </w:r>
      <w:r w:rsidRPr="00A72B59">
        <w:rPr>
          <w:lang w:val="ru-RU"/>
        </w:rPr>
        <w:tab/>
        <w:t>Следует отметить, что эти переговоры проводились в дополнение к совещаниям правительства с должностными лицами органов законодательной власти, на ко</w:t>
      </w:r>
      <w:r>
        <w:rPr>
          <w:lang w:val="ru-RU"/>
        </w:rPr>
        <w:t>торых в </w:t>
      </w:r>
      <w:r w:rsidRPr="00A72B59">
        <w:rPr>
          <w:lang w:val="ru-RU"/>
        </w:rPr>
        <w:t>соответствии с конституционным мандатом этих органов обсуждались вопросы, касающиеся Конвенции МОТ № 169, стандартов консультаций и их соответствия</w:t>
      </w:r>
      <w:r>
        <w:rPr>
          <w:lang w:val="ru-RU"/>
        </w:rPr>
        <w:t xml:space="preserve"> </w:t>
      </w:r>
      <w:r w:rsidRPr="00A72B59">
        <w:rPr>
          <w:lang w:val="ru-RU"/>
        </w:rPr>
        <w:t>полномочиям и обязанностям указанных органов.</w:t>
      </w:r>
    </w:p>
  </w:footnote>
  <w:footnote w:id="17">
    <w:p w:rsidR="008F426C" w:rsidRPr="00CC18A4" w:rsidRDefault="008F426C">
      <w:pPr>
        <w:pStyle w:val="FootnoteText"/>
        <w:rPr>
          <w:lang w:val="ru-RU"/>
        </w:rPr>
      </w:pPr>
      <w:r>
        <w:tab/>
      </w:r>
      <w:r>
        <w:rPr>
          <w:rStyle w:val="FootnoteReference"/>
        </w:rPr>
        <w:footnoteRef/>
      </w:r>
      <w:r w:rsidRPr="00CC18A4">
        <w:rPr>
          <w:lang w:val="ru-RU"/>
        </w:rPr>
        <w:tab/>
        <w:t xml:space="preserve">См. веб-сайт: </w:t>
      </w:r>
      <w:r w:rsidRPr="0044690B">
        <w:t>http</w:t>
      </w:r>
      <w:r w:rsidRPr="00CC18A4">
        <w:rPr>
          <w:lang w:val="ru-RU"/>
        </w:rPr>
        <w:t>://</w:t>
      </w:r>
      <w:r w:rsidRPr="0044690B">
        <w:t>bcn</w:t>
      </w:r>
      <w:r w:rsidRPr="00CC18A4">
        <w:rPr>
          <w:lang w:val="ru-RU"/>
        </w:rPr>
        <w:t>.</w:t>
      </w:r>
      <w:r w:rsidRPr="0044690B">
        <w:t>cl</w:t>
      </w:r>
      <w:r w:rsidRPr="00CC18A4">
        <w:rPr>
          <w:lang w:val="ru-RU"/>
        </w:rPr>
        <w:t>/4</w:t>
      </w:r>
      <w:r w:rsidRPr="0044690B">
        <w:t>tj</w:t>
      </w:r>
      <w:r w:rsidRPr="00CC18A4">
        <w:rPr>
          <w:lang w:val="ru-RU"/>
        </w:rPr>
        <w:t>0 (по состоянию на август 2012 года).</w:t>
      </w:r>
    </w:p>
  </w:footnote>
  <w:footnote w:id="18">
    <w:p w:rsidR="008F426C" w:rsidRPr="00CC18A4" w:rsidRDefault="008F426C">
      <w:pPr>
        <w:pStyle w:val="FootnoteText"/>
        <w:rPr>
          <w:lang w:val="ru-RU"/>
        </w:rPr>
      </w:pPr>
      <w:r>
        <w:tab/>
      </w:r>
      <w:r>
        <w:rPr>
          <w:rStyle w:val="FootnoteReference"/>
        </w:rPr>
        <w:footnoteRef/>
      </w:r>
      <w:r w:rsidRPr="00CC18A4">
        <w:rPr>
          <w:lang w:val="ru-RU"/>
        </w:rPr>
        <w:tab/>
        <w:t xml:space="preserve">Дополнительная информация относительно политики государства в вопросах выкупа земель для коренных народов приведена в приложении </w:t>
      </w:r>
      <w:r w:rsidRPr="0044690B">
        <w:t>XII</w:t>
      </w:r>
      <w:r w:rsidRPr="00CC18A4">
        <w:rPr>
          <w:lang w:val="ru-RU"/>
        </w:rPr>
        <w:t>.</w:t>
      </w:r>
    </w:p>
  </w:footnote>
  <w:footnote w:id="19">
    <w:p w:rsidR="008F426C" w:rsidRPr="00247578" w:rsidRDefault="008F426C">
      <w:pPr>
        <w:pStyle w:val="FootnoteText"/>
        <w:rPr>
          <w:lang w:val="ru-RU"/>
        </w:rPr>
      </w:pPr>
      <w:r>
        <w:tab/>
      </w:r>
      <w:r>
        <w:rPr>
          <w:rStyle w:val="FootnoteReference"/>
        </w:rPr>
        <w:footnoteRef/>
      </w:r>
      <w:r w:rsidRPr="00247578">
        <w:rPr>
          <w:lang w:val="ru-RU"/>
        </w:rPr>
        <w:tab/>
        <w:t>26 октября 2009 года Вторая палата Верховного суда рассмотрела по форме и по существу кассационную жалобу на решение, вынесенное судом города Посо-Альмонте и подтвержденное аппеляционным судом города Икике, об отказе общине коренных народов Чусмиса Усмагама в удовлетворении ее протеста против использования родовых вод общины для производства бутлированной воды; в своем постановлении Верховный суд принял решение в пользу общины коренных народов, признав ее право на соответствующие водные ресурсы на основании традиционного использования их указанной общиной.</w:t>
      </w:r>
    </w:p>
  </w:footnote>
  <w:footnote w:id="20">
    <w:p w:rsidR="008F426C" w:rsidRPr="00247578" w:rsidRDefault="008F426C">
      <w:pPr>
        <w:pStyle w:val="FootnoteText"/>
        <w:rPr>
          <w:lang w:val="ru-RU"/>
        </w:rPr>
      </w:pPr>
      <w:r>
        <w:tab/>
      </w:r>
      <w:r>
        <w:rPr>
          <w:rStyle w:val="FootnoteReference"/>
        </w:rPr>
        <w:footnoteRef/>
      </w:r>
      <w:r w:rsidRPr="00247578">
        <w:rPr>
          <w:lang w:val="ru-RU"/>
        </w:rPr>
        <w:tab/>
        <w:t xml:space="preserve">Источник: </w:t>
      </w:r>
      <w:r w:rsidRPr="00EB0393">
        <w:t>Encuesta</w:t>
      </w:r>
      <w:r w:rsidRPr="00247578">
        <w:rPr>
          <w:lang w:val="ru-RU"/>
        </w:rPr>
        <w:t xml:space="preserve"> </w:t>
      </w:r>
      <w:r w:rsidRPr="00EB0393">
        <w:t>CASEN</w:t>
      </w:r>
      <w:r w:rsidRPr="00247578">
        <w:rPr>
          <w:lang w:val="ru-RU"/>
        </w:rPr>
        <w:t xml:space="preserve"> 2009. </w:t>
      </w:r>
      <w:r w:rsidRPr="00EB0393">
        <w:t>www</w:t>
      </w:r>
      <w:r w:rsidRPr="00247578">
        <w:rPr>
          <w:lang w:val="ru-RU"/>
        </w:rPr>
        <w:t>.</w:t>
      </w:r>
      <w:r w:rsidRPr="00EB0393">
        <w:t>desarrollosocial</w:t>
      </w:r>
      <w:r w:rsidRPr="00247578">
        <w:rPr>
          <w:lang w:val="ru-RU"/>
        </w:rPr>
        <w:t>.</w:t>
      </w:r>
      <w:r w:rsidRPr="00EB0393">
        <w:t>cl</w:t>
      </w:r>
      <w:r w:rsidRPr="00247578">
        <w:rPr>
          <w:lang w:val="ru-RU"/>
        </w:rPr>
        <w:t xml:space="preserve"> или </w:t>
      </w:r>
      <w:r w:rsidRPr="00EB0393">
        <w:t>http</w:t>
      </w:r>
      <w:r w:rsidRPr="00247578">
        <w:rPr>
          <w:lang w:val="ru-RU"/>
        </w:rPr>
        <w:t>://</w:t>
      </w:r>
      <w:r w:rsidRPr="00EB0393">
        <w:t>celade</w:t>
      </w:r>
      <w:r w:rsidRPr="00247578">
        <w:rPr>
          <w:lang w:val="ru-RU"/>
        </w:rPr>
        <w:t>.</w:t>
      </w:r>
      <w:r w:rsidRPr="00EB0393">
        <w:t>cepal</w:t>
      </w:r>
      <w:r w:rsidRPr="00247578">
        <w:rPr>
          <w:lang w:val="ru-RU"/>
        </w:rPr>
        <w:t>.</w:t>
      </w:r>
      <w:r w:rsidRPr="00EB0393">
        <w:t>org</w:t>
      </w:r>
      <w:r w:rsidRPr="00247578">
        <w:rPr>
          <w:lang w:val="ru-RU"/>
        </w:rPr>
        <w:t>/</w:t>
      </w:r>
      <w:r w:rsidRPr="00EB0393">
        <w:t>redchl</w:t>
      </w:r>
      <w:r w:rsidRPr="00247578">
        <w:rPr>
          <w:lang w:val="ru-RU"/>
        </w:rPr>
        <w:t>/</w:t>
      </w:r>
      <w:r w:rsidRPr="00EB0393">
        <w:t>CASEN</w:t>
      </w:r>
      <w:r w:rsidRPr="00247578">
        <w:rPr>
          <w:lang w:val="ru-RU"/>
        </w:rPr>
        <w:t>/</w:t>
      </w:r>
      <w:r w:rsidRPr="00EB0393">
        <w:t>casen</w:t>
      </w:r>
      <w:r w:rsidRPr="00247578">
        <w:rPr>
          <w:lang w:val="ru-RU"/>
        </w:rPr>
        <w:t>2009/</w:t>
      </w:r>
      <w:r w:rsidRPr="00EB0393">
        <w:t>Index</w:t>
      </w:r>
      <w:r w:rsidRPr="00247578">
        <w:rPr>
          <w:lang w:val="ru-RU"/>
        </w:rPr>
        <w:t>.</w:t>
      </w:r>
      <w:r w:rsidRPr="00EB0393">
        <w:t>html</w:t>
      </w:r>
      <w:r w:rsidRPr="00247578">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6C" w:rsidRPr="005A734F" w:rsidRDefault="008F426C">
    <w:pPr>
      <w:pStyle w:val="Header"/>
      <w:rPr>
        <w:lang w:val="en-US"/>
      </w:rPr>
    </w:pPr>
    <w:r>
      <w:rPr>
        <w:lang w:val="en-US"/>
      </w:rPr>
      <w:t>CERD/C/CHL/19-21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6C" w:rsidRPr="009A6F4A" w:rsidRDefault="008F426C">
    <w:pPr>
      <w:pStyle w:val="Header"/>
      <w:rPr>
        <w:lang w:val="en-US"/>
      </w:rPr>
    </w:pPr>
    <w:r>
      <w:rPr>
        <w:lang w:val="en-US"/>
      </w:rPr>
      <w:tab/>
      <w:t>CERD/C/CHL/19-21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A2080"/>
    <w:multiLevelType w:val="hybridMultilevel"/>
    <w:tmpl w:val="1D0A66D6"/>
    <w:lvl w:ilvl="0" w:tplc="340A0019">
      <w:start w:val="1"/>
      <w:numFmt w:val="lowerLetter"/>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3A2A95"/>
    <w:multiLevelType w:val="hybridMultilevel"/>
    <w:tmpl w:val="234EEDE4"/>
    <w:lvl w:ilvl="0" w:tplc="14381896">
      <w:start w:val="1"/>
      <w:numFmt w:val="decimal"/>
      <w:lvlText w:val="%1."/>
      <w:lvlJc w:val="left"/>
      <w:pPr>
        <w:tabs>
          <w:tab w:val="num" w:pos="810"/>
        </w:tabs>
        <w:ind w:left="810" w:hanging="450"/>
      </w:pPr>
      <w:rPr>
        <w:rFonts w:ascii="Times New Roman" w:hAnsi="Times New Roman" w:cs="Times New Roman"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A7743B"/>
    <w:multiLevelType w:val="hybridMultilevel"/>
    <w:tmpl w:val="165289D8"/>
    <w:lvl w:ilvl="0" w:tplc="14C64E84">
      <w:start w:val="1"/>
      <w:numFmt w:val="bullet"/>
      <w:pStyle w:val="Bullet2G"/>
      <w:lvlText w:val="•"/>
      <w:lvlJc w:val="left"/>
      <w:pPr>
        <w:tabs>
          <w:tab w:val="num" w:pos="4490"/>
        </w:tabs>
        <w:ind w:left="4490"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E669D2"/>
    <w:multiLevelType w:val="hybridMultilevel"/>
    <w:tmpl w:val="EB00E1F8"/>
    <w:lvl w:ilvl="0" w:tplc="340A000F">
      <w:start w:val="1"/>
      <w:numFmt w:val="decimal"/>
      <w:lvlText w:val="%1."/>
      <w:lvlJc w:val="left"/>
      <w:pPr>
        <w:ind w:left="720" w:hanging="360"/>
      </w:pPr>
    </w:lvl>
    <w:lvl w:ilvl="1" w:tplc="340A000F">
      <w:start w:val="1"/>
      <w:numFmt w:val="decimal"/>
      <w:lvlText w:val="%2."/>
      <w:lvlJc w:val="left"/>
      <w:pPr>
        <w:ind w:left="2115" w:hanging="1035"/>
      </w:pPr>
      <w:rPr>
        <w:rFonts w:hint="default"/>
      </w:rPr>
    </w:lvl>
    <w:lvl w:ilvl="2" w:tplc="340A001B">
      <w:start w:val="1"/>
      <w:numFmt w:val="lowerRoman"/>
      <w:lvlText w:val="%3."/>
      <w:lvlJc w:val="right"/>
      <w:pPr>
        <w:ind w:left="2160" w:hanging="180"/>
      </w:pPr>
    </w:lvl>
    <w:lvl w:ilvl="3" w:tplc="14381896">
      <w:start w:val="1"/>
      <w:numFmt w:val="decimal"/>
      <w:lvlText w:val="%4."/>
      <w:lvlJc w:val="left"/>
      <w:pPr>
        <w:ind w:left="928" w:hanging="360"/>
      </w:pPr>
      <w:rPr>
        <w:rFonts w:ascii="Times New Roman" w:hAnsi="Times New Roman" w:cs="Times New Roman" w:hint="default"/>
        <w:b w:val="0"/>
        <w:i w:val="0"/>
        <w:color w:val="auto"/>
        <w:sz w:val="24"/>
        <w:szCs w:val="24"/>
      </w:rPr>
    </w:lvl>
    <w:lvl w:ilvl="4" w:tplc="8ADED638">
      <w:start w:val="1"/>
      <w:numFmt w:val="lowerLetter"/>
      <w:lvlText w:val="%5."/>
      <w:lvlJc w:val="lef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B8C6CF5"/>
    <w:multiLevelType w:val="hybridMultilevel"/>
    <w:tmpl w:val="93FCAD22"/>
    <w:lvl w:ilvl="0" w:tplc="FFFFFFFF">
      <w:start w:val="1"/>
      <w:numFmt w:val="bullet"/>
      <w:pStyle w:val="Bullet2GR"/>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FD0C5992">
      <w:start w:val="1"/>
      <w:numFmt w:val="bullet"/>
      <w:pStyle w:val="Bullet1GR"/>
      <w:lvlText w:val="•"/>
      <w:lvlJc w:val="left"/>
      <w:pPr>
        <w:tabs>
          <w:tab w:val="num" w:pos="1701"/>
        </w:tabs>
        <w:ind w:left="1701" w:hanging="17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7"/>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5"/>
  </w:num>
  <w:num w:numId="19">
    <w:abstractNumId w:val="15"/>
  </w:num>
  <w:num w:numId="20">
    <w:abstractNumId w:val="18"/>
  </w:num>
  <w:num w:numId="21">
    <w:abstractNumId w:val="15"/>
  </w:num>
  <w:num w:numId="22">
    <w:abstractNumId w:val="17"/>
  </w:num>
  <w:num w:numId="23">
    <w:abstractNumId w:val="17"/>
  </w:num>
  <w:num w:numId="24">
    <w:abstractNumId w:val="20"/>
  </w:num>
  <w:num w:numId="25">
    <w:abstractNumId w:val="13"/>
  </w:num>
  <w:num w:numId="26">
    <w:abstractNumId w:val="14"/>
  </w:num>
  <w:num w:numId="27">
    <w:abstractNumId w:val="12"/>
  </w:num>
  <w:num w:numId="2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36FE"/>
    <w:rsid w:val="000033D8"/>
    <w:rsid w:val="00005C1C"/>
    <w:rsid w:val="00016553"/>
    <w:rsid w:val="000233B3"/>
    <w:rsid w:val="00023E9E"/>
    <w:rsid w:val="00026B0C"/>
    <w:rsid w:val="0003638E"/>
    <w:rsid w:val="00036FF2"/>
    <w:rsid w:val="0004010A"/>
    <w:rsid w:val="00043D88"/>
    <w:rsid w:val="00046E4D"/>
    <w:rsid w:val="00056975"/>
    <w:rsid w:val="0006401A"/>
    <w:rsid w:val="00072C27"/>
    <w:rsid w:val="00086182"/>
    <w:rsid w:val="00090891"/>
    <w:rsid w:val="00092E62"/>
    <w:rsid w:val="000933A6"/>
    <w:rsid w:val="00097975"/>
    <w:rsid w:val="000A3DDF"/>
    <w:rsid w:val="000A60A0"/>
    <w:rsid w:val="000C3688"/>
    <w:rsid w:val="000D6863"/>
    <w:rsid w:val="000F633B"/>
    <w:rsid w:val="001160C7"/>
    <w:rsid w:val="00117AEE"/>
    <w:rsid w:val="001463F7"/>
    <w:rsid w:val="0015769C"/>
    <w:rsid w:val="00180752"/>
    <w:rsid w:val="001814B2"/>
    <w:rsid w:val="00185076"/>
    <w:rsid w:val="0018543C"/>
    <w:rsid w:val="00190231"/>
    <w:rsid w:val="00192ABD"/>
    <w:rsid w:val="001A75D5"/>
    <w:rsid w:val="001A7D40"/>
    <w:rsid w:val="001B42B6"/>
    <w:rsid w:val="001D07F7"/>
    <w:rsid w:val="001D7B8F"/>
    <w:rsid w:val="001E48EE"/>
    <w:rsid w:val="001F2D04"/>
    <w:rsid w:val="0020059C"/>
    <w:rsid w:val="002006FD"/>
    <w:rsid w:val="002019BD"/>
    <w:rsid w:val="00232D42"/>
    <w:rsid w:val="00237334"/>
    <w:rsid w:val="002444F4"/>
    <w:rsid w:val="002629A0"/>
    <w:rsid w:val="0028492B"/>
    <w:rsid w:val="00291C8F"/>
    <w:rsid w:val="002B43B0"/>
    <w:rsid w:val="002C5036"/>
    <w:rsid w:val="002C6A71"/>
    <w:rsid w:val="002C6D5F"/>
    <w:rsid w:val="002D15EA"/>
    <w:rsid w:val="002D6C07"/>
    <w:rsid w:val="002E0C53"/>
    <w:rsid w:val="002E0CE6"/>
    <w:rsid w:val="002E0F11"/>
    <w:rsid w:val="002E1163"/>
    <w:rsid w:val="002E43F3"/>
    <w:rsid w:val="002F3766"/>
    <w:rsid w:val="00312EF6"/>
    <w:rsid w:val="003215F5"/>
    <w:rsid w:val="00330D38"/>
    <w:rsid w:val="00332891"/>
    <w:rsid w:val="00356BB2"/>
    <w:rsid w:val="00360477"/>
    <w:rsid w:val="00367FC9"/>
    <w:rsid w:val="003711A1"/>
    <w:rsid w:val="00372123"/>
    <w:rsid w:val="00386581"/>
    <w:rsid w:val="00387100"/>
    <w:rsid w:val="003951D3"/>
    <w:rsid w:val="003978C6"/>
    <w:rsid w:val="003B31BF"/>
    <w:rsid w:val="003B40A9"/>
    <w:rsid w:val="003B7721"/>
    <w:rsid w:val="003C016E"/>
    <w:rsid w:val="003C58E8"/>
    <w:rsid w:val="003D5EBD"/>
    <w:rsid w:val="00401CE0"/>
    <w:rsid w:val="00403234"/>
    <w:rsid w:val="00407AC3"/>
    <w:rsid w:val="00414586"/>
    <w:rsid w:val="00415059"/>
    <w:rsid w:val="00422A0C"/>
    <w:rsid w:val="00424FDD"/>
    <w:rsid w:val="0043033D"/>
    <w:rsid w:val="00435FE4"/>
    <w:rsid w:val="00457634"/>
    <w:rsid w:val="00474F42"/>
    <w:rsid w:val="0048244D"/>
    <w:rsid w:val="004A0DE8"/>
    <w:rsid w:val="004A4CB7"/>
    <w:rsid w:val="004A57B5"/>
    <w:rsid w:val="004B19DA"/>
    <w:rsid w:val="004B77A8"/>
    <w:rsid w:val="004C2A53"/>
    <w:rsid w:val="004C3B35"/>
    <w:rsid w:val="004C43EC"/>
    <w:rsid w:val="004E6729"/>
    <w:rsid w:val="004F0E47"/>
    <w:rsid w:val="0051339C"/>
    <w:rsid w:val="0051412F"/>
    <w:rsid w:val="00522B6F"/>
    <w:rsid w:val="0052430E"/>
    <w:rsid w:val="005276AD"/>
    <w:rsid w:val="00540A9A"/>
    <w:rsid w:val="00543522"/>
    <w:rsid w:val="00545680"/>
    <w:rsid w:val="00564A45"/>
    <w:rsid w:val="0056618E"/>
    <w:rsid w:val="00576F59"/>
    <w:rsid w:val="00577A34"/>
    <w:rsid w:val="00580AAD"/>
    <w:rsid w:val="00581786"/>
    <w:rsid w:val="00581A9D"/>
    <w:rsid w:val="00593A04"/>
    <w:rsid w:val="005A4835"/>
    <w:rsid w:val="005A6D5A"/>
    <w:rsid w:val="005B1B28"/>
    <w:rsid w:val="005B7D51"/>
    <w:rsid w:val="005B7F35"/>
    <w:rsid w:val="005C2081"/>
    <w:rsid w:val="005C678A"/>
    <w:rsid w:val="005C6B8E"/>
    <w:rsid w:val="005D346D"/>
    <w:rsid w:val="005D3EBC"/>
    <w:rsid w:val="005D6461"/>
    <w:rsid w:val="005E74AB"/>
    <w:rsid w:val="00606A3E"/>
    <w:rsid w:val="006115AA"/>
    <w:rsid w:val="006120AE"/>
    <w:rsid w:val="006162AC"/>
    <w:rsid w:val="00616E30"/>
    <w:rsid w:val="00631A31"/>
    <w:rsid w:val="00635E86"/>
    <w:rsid w:val="00636A37"/>
    <w:rsid w:val="006450A8"/>
    <w:rsid w:val="006501A5"/>
    <w:rsid w:val="006567B2"/>
    <w:rsid w:val="0065758A"/>
    <w:rsid w:val="00660052"/>
    <w:rsid w:val="00660E39"/>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D6246"/>
    <w:rsid w:val="006E6860"/>
    <w:rsid w:val="006E7183"/>
    <w:rsid w:val="006F5FBF"/>
    <w:rsid w:val="0070327E"/>
    <w:rsid w:val="00707B5F"/>
    <w:rsid w:val="00735602"/>
    <w:rsid w:val="007511D7"/>
    <w:rsid w:val="0075279B"/>
    <w:rsid w:val="00753748"/>
    <w:rsid w:val="00754034"/>
    <w:rsid w:val="00762446"/>
    <w:rsid w:val="007636FE"/>
    <w:rsid w:val="00781ACB"/>
    <w:rsid w:val="007A6B6B"/>
    <w:rsid w:val="007A79EB"/>
    <w:rsid w:val="007B65B8"/>
    <w:rsid w:val="007D0B61"/>
    <w:rsid w:val="007D4CA0"/>
    <w:rsid w:val="007D6C19"/>
    <w:rsid w:val="007D7A23"/>
    <w:rsid w:val="007E0B04"/>
    <w:rsid w:val="007E38C3"/>
    <w:rsid w:val="007E549E"/>
    <w:rsid w:val="007E71C9"/>
    <w:rsid w:val="007F7553"/>
    <w:rsid w:val="0080451A"/>
    <w:rsid w:val="0080755E"/>
    <w:rsid w:val="008120D4"/>
    <w:rsid w:val="008139A5"/>
    <w:rsid w:val="00817F73"/>
    <w:rsid w:val="00821909"/>
    <w:rsid w:val="0082228E"/>
    <w:rsid w:val="00830402"/>
    <w:rsid w:val="008305D7"/>
    <w:rsid w:val="00834887"/>
    <w:rsid w:val="008425EE"/>
    <w:rsid w:val="00842FED"/>
    <w:rsid w:val="008455CF"/>
    <w:rsid w:val="00846735"/>
    <w:rsid w:val="00847689"/>
    <w:rsid w:val="00861C52"/>
    <w:rsid w:val="008727A1"/>
    <w:rsid w:val="00886B0F"/>
    <w:rsid w:val="00891C08"/>
    <w:rsid w:val="008954F8"/>
    <w:rsid w:val="008A3879"/>
    <w:rsid w:val="008A5FA8"/>
    <w:rsid w:val="008A7575"/>
    <w:rsid w:val="008B5F47"/>
    <w:rsid w:val="008C57C6"/>
    <w:rsid w:val="008C7B87"/>
    <w:rsid w:val="008D6A7A"/>
    <w:rsid w:val="008E3E87"/>
    <w:rsid w:val="008E7F13"/>
    <w:rsid w:val="008F3185"/>
    <w:rsid w:val="008F426C"/>
    <w:rsid w:val="00903870"/>
    <w:rsid w:val="00915B0A"/>
    <w:rsid w:val="00926904"/>
    <w:rsid w:val="009372F0"/>
    <w:rsid w:val="00955022"/>
    <w:rsid w:val="00957B4D"/>
    <w:rsid w:val="00964EEA"/>
    <w:rsid w:val="00980C86"/>
    <w:rsid w:val="00991299"/>
    <w:rsid w:val="009B153B"/>
    <w:rsid w:val="009B1D9B"/>
    <w:rsid w:val="009B4074"/>
    <w:rsid w:val="009C30BB"/>
    <w:rsid w:val="009C60BE"/>
    <w:rsid w:val="009E6279"/>
    <w:rsid w:val="009F00A6"/>
    <w:rsid w:val="009F1DDA"/>
    <w:rsid w:val="009F56A7"/>
    <w:rsid w:val="009F5B05"/>
    <w:rsid w:val="009F61C6"/>
    <w:rsid w:val="00A026CA"/>
    <w:rsid w:val="00A07232"/>
    <w:rsid w:val="00A14800"/>
    <w:rsid w:val="00A156DE"/>
    <w:rsid w:val="00A157ED"/>
    <w:rsid w:val="00A2446A"/>
    <w:rsid w:val="00A3446D"/>
    <w:rsid w:val="00A4025D"/>
    <w:rsid w:val="00A800D1"/>
    <w:rsid w:val="00A92699"/>
    <w:rsid w:val="00AB5BF0"/>
    <w:rsid w:val="00AC1C95"/>
    <w:rsid w:val="00AC2CCB"/>
    <w:rsid w:val="00AC443A"/>
    <w:rsid w:val="00AE60E2"/>
    <w:rsid w:val="00B0169F"/>
    <w:rsid w:val="00B05F21"/>
    <w:rsid w:val="00B14EA9"/>
    <w:rsid w:val="00B30A3C"/>
    <w:rsid w:val="00B81305"/>
    <w:rsid w:val="00B95B6E"/>
    <w:rsid w:val="00BB17DC"/>
    <w:rsid w:val="00BB1AF9"/>
    <w:rsid w:val="00BB4C4A"/>
    <w:rsid w:val="00BD356B"/>
    <w:rsid w:val="00BD3CAE"/>
    <w:rsid w:val="00BD5F3C"/>
    <w:rsid w:val="00BE3577"/>
    <w:rsid w:val="00C07C0F"/>
    <w:rsid w:val="00C145C4"/>
    <w:rsid w:val="00C20D2F"/>
    <w:rsid w:val="00C2131B"/>
    <w:rsid w:val="00C22E8C"/>
    <w:rsid w:val="00C37AF8"/>
    <w:rsid w:val="00C37C79"/>
    <w:rsid w:val="00C41BBC"/>
    <w:rsid w:val="00C51419"/>
    <w:rsid w:val="00C54056"/>
    <w:rsid w:val="00C663A3"/>
    <w:rsid w:val="00C75CB2"/>
    <w:rsid w:val="00C90723"/>
    <w:rsid w:val="00C90D5C"/>
    <w:rsid w:val="00CA519E"/>
    <w:rsid w:val="00CA609E"/>
    <w:rsid w:val="00CA7DA4"/>
    <w:rsid w:val="00CB31FB"/>
    <w:rsid w:val="00CE3D6F"/>
    <w:rsid w:val="00CE79A5"/>
    <w:rsid w:val="00CF0042"/>
    <w:rsid w:val="00CF262F"/>
    <w:rsid w:val="00D025D5"/>
    <w:rsid w:val="00D11629"/>
    <w:rsid w:val="00D158AF"/>
    <w:rsid w:val="00D23B69"/>
    <w:rsid w:val="00D26B13"/>
    <w:rsid w:val="00D26CC1"/>
    <w:rsid w:val="00D30662"/>
    <w:rsid w:val="00D32A0B"/>
    <w:rsid w:val="00D6236B"/>
    <w:rsid w:val="00D809D1"/>
    <w:rsid w:val="00D84ECF"/>
    <w:rsid w:val="00D9110A"/>
    <w:rsid w:val="00DA2851"/>
    <w:rsid w:val="00DA2B7C"/>
    <w:rsid w:val="00DA5686"/>
    <w:rsid w:val="00DA5A9E"/>
    <w:rsid w:val="00DB2FC0"/>
    <w:rsid w:val="00DC48AC"/>
    <w:rsid w:val="00DF18FA"/>
    <w:rsid w:val="00DF49CA"/>
    <w:rsid w:val="00DF49F7"/>
    <w:rsid w:val="00DF4B64"/>
    <w:rsid w:val="00DF775B"/>
    <w:rsid w:val="00E007F3"/>
    <w:rsid w:val="00E00DEA"/>
    <w:rsid w:val="00E04640"/>
    <w:rsid w:val="00E06EF0"/>
    <w:rsid w:val="00E11679"/>
    <w:rsid w:val="00E154CA"/>
    <w:rsid w:val="00E26E1C"/>
    <w:rsid w:val="00E307D1"/>
    <w:rsid w:val="00E46A04"/>
    <w:rsid w:val="00E51046"/>
    <w:rsid w:val="00E54AEB"/>
    <w:rsid w:val="00E63D42"/>
    <w:rsid w:val="00E717F3"/>
    <w:rsid w:val="00E72C5E"/>
    <w:rsid w:val="00E73451"/>
    <w:rsid w:val="00E7489F"/>
    <w:rsid w:val="00E75147"/>
    <w:rsid w:val="00E8167D"/>
    <w:rsid w:val="00E907E9"/>
    <w:rsid w:val="00E96BE7"/>
    <w:rsid w:val="00EA0079"/>
    <w:rsid w:val="00EA2CD0"/>
    <w:rsid w:val="00EC0044"/>
    <w:rsid w:val="00EC6B9F"/>
    <w:rsid w:val="00EE15B9"/>
    <w:rsid w:val="00EE516D"/>
    <w:rsid w:val="00EF4D1B"/>
    <w:rsid w:val="00EF7295"/>
    <w:rsid w:val="00F069D1"/>
    <w:rsid w:val="00F1503D"/>
    <w:rsid w:val="00F22712"/>
    <w:rsid w:val="00F275F5"/>
    <w:rsid w:val="00F33188"/>
    <w:rsid w:val="00F35BDE"/>
    <w:rsid w:val="00F52A0E"/>
    <w:rsid w:val="00F622A8"/>
    <w:rsid w:val="00F71F63"/>
    <w:rsid w:val="00F7339E"/>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 Text Char Char Char Char,Footnote Text Char Char Char,Texto nota pie Car Car Car,Texto nota pie Car Car Car Car,Texto nota pie Car Car,Footnote reference,FA Fu,Footnote Text Char Char Char Char Char,Texto,nota,pie,Ref.,al"/>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BVI fnr,Nota al pi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7636FE"/>
    <w:pPr>
      <w:keepNext/>
      <w:keepLines/>
      <w:tabs>
        <w:tab w:val="right" w:pos="851"/>
      </w:tabs>
      <w:suppressAutoHyphens/>
      <w:spacing w:before="240" w:after="240" w:line="360" w:lineRule="exact"/>
      <w:ind w:left="1134" w:right="1134" w:hanging="1134"/>
    </w:pPr>
    <w:rPr>
      <w:b/>
      <w:spacing w:val="0"/>
      <w:w w:val="100"/>
      <w:kern w:val="0"/>
      <w:sz w:val="34"/>
      <w:lang w:eastAsia="es-ES"/>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rsid w:val="007636FE"/>
    <w:pPr>
      <w:keepNext/>
      <w:keepLines/>
      <w:tabs>
        <w:tab w:val="right" w:pos="851"/>
      </w:tabs>
      <w:suppressAutoHyphens/>
      <w:spacing w:before="360" w:after="240" w:line="300" w:lineRule="exact"/>
      <w:ind w:left="1134" w:right="1134" w:hanging="1134"/>
    </w:pPr>
    <w:rPr>
      <w:b/>
      <w:spacing w:val="0"/>
      <w:w w:val="100"/>
      <w:kern w:val="0"/>
      <w:sz w:val="28"/>
      <w:lang w:eastAsia="es-E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link w:val="HChGR0"/>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1G">
    <w:name w:val="_ H_1_G"/>
    <w:basedOn w:val="Normal"/>
    <w:next w:val="Normal"/>
    <w:rsid w:val="007636FE"/>
    <w:pPr>
      <w:keepNext/>
      <w:keepLines/>
      <w:tabs>
        <w:tab w:val="right" w:pos="851"/>
      </w:tabs>
      <w:suppressAutoHyphens/>
      <w:spacing w:before="360" w:after="240" w:line="270" w:lineRule="exact"/>
      <w:ind w:left="1134" w:right="1134" w:hanging="1134"/>
    </w:pPr>
    <w:rPr>
      <w:b/>
      <w:spacing w:val="0"/>
      <w:w w:val="100"/>
      <w:kern w:val="0"/>
      <w:sz w:val="24"/>
      <w:lang w:eastAsia="es-E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23G">
    <w:name w:val="_ H_2/3_G"/>
    <w:basedOn w:val="Normal"/>
    <w:next w:val="Normal"/>
    <w:rsid w:val="007636FE"/>
    <w:pPr>
      <w:keepNext/>
      <w:keepLines/>
      <w:tabs>
        <w:tab w:val="right" w:pos="851"/>
      </w:tabs>
      <w:suppressAutoHyphens/>
      <w:spacing w:before="240" w:after="120" w:line="240" w:lineRule="exact"/>
      <w:ind w:left="1134" w:right="1134" w:hanging="1134"/>
    </w:pPr>
    <w:rPr>
      <w:b/>
      <w:spacing w:val="0"/>
      <w:w w:val="100"/>
      <w:kern w:val="0"/>
      <w:lang w:eastAsia="es-ES"/>
    </w:rPr>
  </w:style>
  <w:style w:type="paragraph" w:customStyle="1" w:styleId="H4G">
    <w:name w:val="_ H_4_G"/>
    <w:basedOn w:val="Normal"/>
    <w:next w:val="Normal"/>
    <w:rsid w:val="007636FE"/>
    <w:pPr>
      <w:keepNext/>
      <w:keepLines/>
      <w:tabs>
        <w:tab w:val="right" w:pos="851"/>
      </w:tabs>
      <w:suppressAutoHyphens/>
      <w:spacing w:before="240" w:after="120" w:line="240" w:lineRule="exact"/>
      <w:ind w:left="1134" w:right="1134" w:hanging="1134"/>
    </w:pPr>
    <w:rPr>
      <w:i/>
      <w:spacing w:val="0"/>
      <w:w w:val="100"/>
      <w:kern w:val="0"/>
      <w:lang w:eastAsia="es-ES"/>
    </w:rPr>
  </w:style>
  <w:style w:type="paragraph" w:customStyle="1" w:styleId="H56G">
    <w:name w:val="_ H_5/6_G"/>
    <w:basedOn w:val="Normal"/>
    <w:next w:val="Normal"/>
    <w:rsid w:val="007636FE"/>
    <w:pPr>
      <w:keepNext/>
      <w:keepLines/>
      <w:tabs>
        <w:tab w:val="right" w:pos="851"/>
      </w:tabs>
      <w:suppressAutoHyphens/>
      <w:spacing w:before="240" w:after="120" w:line="240" w:lineRule="exact"/>
      <w:ind w:left="1134" w:right="1134" w:hanging="1134"/>
    </w:pPr>
    <w:rPr>
      <w:spacing w:val="0"/>
      <w:w w:val="100"/>
      <w:kern w:val="0"/>
      <w:lang w:eastAsia="es-ES"/>
    </w:rPr>
  </w:style>
  <w:style w:type="paragraph" w:customStyle="1" w:styleId="SingleTxtG">
    <w:name w:val="_ Single Txt_G"/>
    <w:basedOn w:val="Normal"/>
    <w:link w:val="SingleTxtGChar"/>
    <w:qFormat/>
    <w:rsid w:val="007636FE"/>
    <w:pPr>
      <w:spacing w:after="120"/>
      <w:ind w:left="1134" w:right="1134"/>
      <w:jc w:val="both"/>
    </w:pPr>
    <w:rPr>
      <w:spacing w:val="0"/>
      <w:w w:val="100"/>
      <w:kern w:val="0"/>
      <w:lang w:val="es-ES" w:eastAsia="es-ES"/>
    </w:rPr>
  </w:style>
  <w:style w:type="paragraph" w:customStyle="1" w:styleId="SMG">
    <w:name w:val="__S_M_G"/>
    <w:basedOn w:val="Normal"/>
    <w:next w:val="Normal"/>
    <w:rsid w:val="007636FE"/>
    <w:pPr>
      <w:keepNext/>
      <w:keepLines/>
      <w:suppressAutoHyphens/>
      <w:spacing w:before="240" w:after="240" w:line="420" w:lineRule="exact"/>
      <w:ind w:left="1134" w:right="1134"/>
    </w:pPr>
    <w:rPr>
      <w:b/>
      <w:spacing w:val="0"/>
      <w:w w:val="100"/>
      <w:kern w:val="0"/>
      <w:sz w:val="40"/>
      <w:lang w:eastAsia="es-ES"/>
    </w:rPr>
  </w:style>
  <w:style w:type="paragraph" w:customStyle="1" w:styleId="SLG">
    <w:name w:val="__S_L_G"/>
    <w:basedOn w:val="Normal"/>
    <w:next w:val="Normal"/>
    <w:rsid w:val="007636FE"/>
    <w:pPr>
      <w:keepNext/>
      <w:keepLines/>
      <w:spacing w:before="240" w:after="240" w:line="580" w:lineRule="exact"/>
      <w:ind w:left="1134" w:right="1134"/>
    </w:pPr>
    <w:rPr>
      <w:b/>
      <w:spacing w:val="0"/>
      <w:w w:val="100"/>
      <w:kern w:val="0"/>
      <w:sz w:val="56"/>
      <w:lang w:eastAsia="es-ES"/>
    </w:rPr>
  </w:style>
  <w:style w:type="paragraph" w:customStyle="1" w:styleId="SSG">
    <w:name w:val="__S_S_G"/>
    <w:basedOn w:val="Normal"/>
    <w:next w:val="Normal"/>
    <w:rsid w:val="007636FE"/>
    <w:pPr>
      <w:keepNext/>
      <w:keepLines/>
      <w:spacing w:before="240" w:after="240" w:line="300" w:lineRule="exact"/>
      <w:ind w:left="1134" w:right="1134"/>
    </w:pPr>
    <w:rPr>
      <w:b/>
      <w:spacing w:val="0"/>
      <w:w w:val="100"/>
      <w:kern w:val="0"/>
      <w:sz w:val="28"/>
      <w:lang w:eastAsia="es-ES"/>
    </w:rPr>
  </w:style>
  <w:style w:type="paragraph" w:customStyle="1" w:styleId="XLargeG">
    <w:name w:val="__XLarge_G"/>
    <w:basedOn w:val="Normal"/>
    <w:next w:val="Normal"/>
    <w:rsid w:val="007636FE"/>
    <w:pPr>
      <w:keepNext/>
      <w:keepLines/>
      <w:spacing w:before="240" w:after="240" w:line="420" w:lineRule="exact"/>
      <w:ind w:left="1134" w:right="1134"/>
    </w:pPr>
    <w:rPr>
      <w:b/>
      <w:spacing w:val="0"/>
      <w:w w:val="100"/>
      <w:kern w:val="0"/>
      <w:sz w:val="40"/>
      <w:lang w:eastAsia="es-ES"/>
    </w:rPr>
  </w:style>
  <w:style w:type="table" w:styleId="TableWeb3">
    <w:name w:val="Table Web 3"/>
    <w:basedOn w:val="TableNormal"/>
    <w:semiHidden/>
    <w:rsid w:val="007636F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Normal"/>
    <w:rsid w:val="007636FE"/>
    <w:pPr>
      <w:numPr>
        <w:numId w:val="24"/>
      </w:numPr>
      <w:spacing w:after="120"/>
      <w:ind w:right="1134"/>
      <w:jc w:val="both"/>
    </w:pPr>
    <w:rPr>
      <w:spacing w:val="0"/>
      <w:w w:val="100"/>
      <w:kern w:val="0"/>
    </w:rPr>
  </w:style>
  <w:style w:type="paragraph" w:customStyle="1" w:styleId="Bullet2G">
    <w:name w:val="_Bullet 2_G"/>
    <w:basedOn w:val="Normal"/>
    <w:rsid w:val="007636FE"/>
    <w:pPr>
      <w:numPr>
        <w:numId w:val="25"/>
      </w:numPr>
      <w:spacing w:after="120"/>
      <w:ind w:right="1134"/>
      <w:jc w:val="both"/>
    </w:pPr>
    <w:rPr>
      <w:spacing w:val="0"/>
      <w:w w:val="100"/>
      <w:kern w:val="0"/>
      <w:lang w:eastAsia="es-ES"/>
    </w:rPr>
  </w:style>
  <w:style w:type="numbering" w:customStyle="1" w:styleId="1111111">
    <w:name w:val="1 / 1.1 / 1.1.11"/>
    <w:basedOn w:val="NoList"/>
    <w:next w:val="111111"/>
    <w:semiHidden/>
    <w:rsid w:val="007636FE"/>
    <w:pPr>
      <w:numPr>
        <w:numId w:val="3"/>
      </w:numPr>
    </w:pPr>
  </w:style>
  <w:style w:type="character" w:customStyle="1" w:styleId="FootnoteTextChar">
    <w:name w:val="Footnote Text Char"/>
    <w:aliases w:val="5_GR Char,5_G Char,Footnote Text Char Char Char Char Char1,Footnote Text Char Char Char Char1,Texto nota pie Car Car Car Char,Texto nota pie Car Car Car Car Char,Texto nota pie Car Car Char,Footnote reference Char,FA Fu Char,nota Char"/>
    <w:link w:val="FootnoteText"/>
    <w:rsid w:val="007636FE"/>
    <w:rPr>
      <w:spacing w:val="5"/>
      <w:w w:val="104"/>
      <w:kern w:val="14"/>
      <w:sz w:val="18"/>
      <w:lang w:val="en-GB" w:eastAsia="ru-RU" w:bidi="ar-SA"/>
    </w:rPr>
  </w:style>
  <w:style w:type="paragraph" w:styleId="BalloonText">
    <w:name w:val="Balloon Text"/>
    <w:basedOn w:val="Normal"/>
    <w:link w:val="BalloonTextChar"/>
    <w:rsid w:val="007636FE"/>
    <w:pPr>
      <w:spacing w:line="240" w:lineRule="auto"/>
    </w:pPr>
    <w:rPr>
      <w:rFonts w:ascii="Tahoma" w:hAnsi="Tahoma"/>
      <w:spacing w:val="0"/>
      <w:w w:val="100"/>
      <w:kern w:val="0"/>
      <w:sz w:val="16"/>
      <w:szCs w:val="16"/>
      <w:lang w:val="es-ES" w:eastAsia="es-ES"/>
    </w:rPr>
  </w:style>
  <w:style w:type="character" w:customStyle="1" w:styleId="BalloonTextChar">
    <w:name w:val="Balloon Text Char"/>
    <w:link w:val="BalloonText"/>
    <w:rsid w:val="007636FE"/>
    <w:rPr>
      <w:rFonts w:ascii="Tahoma" w:hAnsi="Tahoma"/>
      <w:sz w:val="16"/>
      <w:szCs w:val="16"/>
      <w:lang w:val="es-ES" w:eastAsia="es-ES" w:bidi="ar-SA"/>
    </w:rPr>
  </w:style>
  <w:style w:type="character" w:customStyle="1" w:styleId="SingleTxtGChar">
    <w:name w:val="_ Single Txt_G Char"/>
    <w:link w:val="SingleTxtG"/>
    <w:rsid w:val="007636FE"/>
    <w:rPr>
      <w:lang w:val="es-ES" w:eastAsia="es-ES" w:bidi="ar-SA"/>
    </w:rPr>
  </w:style>
  <w:style w:type="paragraph" w:customStyle="1" w:styleId="Standard">
    <w:name w:val="Standard"/>
    <w:basedOn w:val="Normal"/>
    <w:next w:val="Normal"/>
    <w:rsid w:val="007636FE"/>
    <w:pPr>
      <w:autoSpaceDE w:val="0"/>
      <w:autoSpaceDN w:val="0"/>
      <w:adjustRightInd w:val="0"/>
      <w:spacing w:line="240" w:lineRule="auto"/>
    </w:pPr>
    <w:rPr>
      <w:rFonts w:ascii="EMLDCG+Arial" w:hAnsi="EMLDCG+Arial"/>
      <w:spacing w:val="0"/>
      <w:w w:val="100"/>
      <w:kern w:val="0"/>
      <w:sz w:val="24"/>
      <w:szCs w:val="24"/>
      <w:lang w:val="de-CH" w:eastAsia="de-CH"/>
    </w:rPr>
  </w:style>
  <w:style w:type="paragraph" w:customStyle="1" w:styleId="BodyText21">
    <w:name w:val="Body Text 21"/>
    <w:basedOn w:val="Normal"/>
    <w:rsid w:val="007636FE"/>
    <w:pPr>
      <w:overflowPunct w:val="0"/>
      <w:autoSpaceDE w:val="0"/>
      <w:autoSpaceDN w:val="0"/>
      <w:adjustRightInd w:val="0"/>
      <w:spacing w:line="240" w:lineRule="auto"/>
      <w:jc w:val="both"/>
      <w:textAlignment w:val="baseline"/>
    </w:pPr>
    <w:rPr>
      <w:rFonts w:ascii="Arial" w:hAnsi="Arial"/>
      <w:spacing w:val="0"/>
      <w:w w:val="100"/>
      <w:kern w:val="0"/>
      <w:sz w:val="22"/>
      <w:lang w:eastAsia="es-ES"/>
    </w:rPr>
  </w:style>
  <w:style w:type="character" w:customStyle="1" w:styleId="apple-converted-space">
    <w:name w:val="apple-converted-space"/>
    <w:basedOn w:val="DefaultParagraphFont"/>
    <w:rsid w:val="007636FE"/>
  </w:style>
  <w:style w:type="character" w:customStyle="1" w:styleId="Heading2Char">
    <w:name w:val="Heading 2 Char"/>
    <w:basedOn w:val="DefaultParagraphFont"/>
    <w:link w:val="Heading2"/>
    <w:rsid w:val="007636FE"/>
    <w:rPr>
      <w:rFonts w:ascii="Arial" w:hAnsi="Arial" w:cs="Arial"/>
      <w:b/>
      <w:bCs/>
      <w:i/>
      <w:iCs/>
      <w:spacing w:val="4"/>
      <w:w w:val="103"/>
      <w:kern w:val="14"/>
      <w:sz w:val="28"/>
      <w:szCs w:val="28"/>
      <w:lang w:val="ru-RU" w:eastAsia="en-US" w:bidi="ar-SA"/>
    </w:rPr>
  </w:style>
  <w:style w:type="character" w:customStyle="1" w:styleId="Heading9Char">
    <w:name w:val="Heading 9 Char"/>
    <w:basedOn w:val="DefaultParagraphFont"/>
    <w:link w:val="Heading9"/>
    <w:rsid w:val="007636FE"/>
    <w:rPr>
      <w:rFonts w:ascii="Arial" w:hAnsi="Arial" w:cs="Arial"/>
      <w:spacing w:val="4"/>
      <w:w w:val="103"/>
      <w:kern w:val="14"/>
      <w:sz w:val="22"/>
      <w:szCs w:val="22"/>
      <w:lang w:val="ru-RU" w:eastAsia="en-US" w:bidi="ar-SA"/>
    </w:rPr>
  </w:style>
  <w:style w:type="character" w:customStyle="1" w:styleId="HChGR0">
    <w:name w:val="_ H _Ch_GR Знак"/>
    <w:basedOn w:val="DefaultParagraphFont"/>
    <w:link w:val="HChGR"/>
    <w:rsid w:val="009F61C6"/>
    <w:rPr>
      <w:b/>
      <w:spacing w:val="4"/>
      <w:w w:val="103"/>
      <w:kern w:val="14"/>
      <w:sz w:val="28"/>
      <w:lang w:val="ru-RU" w:eastAsia="ru-RU" w:bidi="ar-SA"/>
    </w:rPr>
  </w:style>
  <w:style w:type="character" w:customStyle="1" w:styleId="SingleTxtGCar">
    <w:name w:val="_ Single Txt_G Car"/>
    <w:locked/>
    <w:rsid w:val="009F61C6"/>
    <w:rPr>
      <w:lang w:val="fr-CH" w:eastAsia="en-US" w:bidi="ar-SA"/>
    </w:rPr>
  </w:style>
  <w:style w:type="character" w:customStyle="1" w:styleId="SingleTxtGR0">
    <w:name w:val="_ Single Txt_GR Знак"/>
    <w:basedOn w:val="DefaultParagraphFont"/>
    <w:link w:val="SingleTxtGR"/>
    <w:rsid w:val="009F61C6"/>
    <w:rPr>
      <w:spacing w:val="4"/>
      <w:w w:val="103"/>
      <w:kern w:val="14"/>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icipemos.gob.cl"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Pages>
  <Words>24873</Words>
  <Characters>141779</Characters>
  <Application>Microsoft Office Outlook</Application>
  <DocSecurity>4</DocSecurity>
  <Lines>1181</Lines>
  <Paragraphs>332</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166320</CharactersWithSpaces>
  <SharedDoc>false</SharedDoc>
  <HLinks>
    <vt:vector size="12" baseType="variant">
      <vt:variant>
        <vt:i4>2097198</vt:i4>
      </vt:variant>
      <vt:variant>
        <vt:i4>11</vt:i4>
      </vt:variant>
      <vt:variant>
        <vt:i4>0</vt:i4>
      </vt:variant>
      <vt:variant>
        <vt:i4>5</vt:i4>
      </vt:variant>
      <vt:variant>
        <vt:lpwstr>http://www.participemos.gob.cl/</vt:lpwstr>
      </vt:variant>
      <vt:variant>
        <vt:lpwstr/>
      </vt:variant>
      <vt:variant>
        <vt:i4>1900601</vt:i4>
      </vt:variant>
      <vt:variant>
        <vt:i4>8</vt:i4>
      </vt:variant>
      <vt:variant>
        <vt:i4>0</vt:i4>
      </vt:variant>
      <vt:variant>
        <vt:i4>5</vt:i4>
      </vt:variant>
      <vt:variant>
        <vt:lpwstr/>
      </vt:variant>
      <vt:variant>
        <vt:lpwstr>_Toc315863902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Elena Izotova</dc:creator>
  <cp:keywords/>
  <dc:description/>
  <cp:lastModifiedBy>Ирина Сафонова</cp:lastModifiedBy>
  <cp:revision>4</cp:revision>
  <cp:lastPrinted>2013-07-11T08:23:00Z</cp:lastPrinted>
  <dcterms:created xsi:type="dcterms:W3CDTF">2013-07-11T08:23:00Z</dcterms:created>
  <dcterms:modified xsi:type="dcterms:W3CDTF">2013-07-11T08:23:00Z</dcterms:modified>
</cp:coreProperties>
</file>