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1" w:type="dxa"/>
        <w:tblInd w:w="8"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9473E1" w:rsidP="00521363">
            <w:pPr>
              <w:bidi w:val="0"/>
              <w:spacing w:after="20"/>
              <w:jc w:val="left"/>
              <w:rPr>
                <w:szCs w:val="20"/>
              </w:rPr>
            </w:pPr>
            <w:r w:rsidRPr="009473E1">
              <w:rPr>
                <w:sz w:val="40"/>
                <w:szCs w:val="20"/>
              </w:rPr>
              <w:t>CAT</w:t>
            </w:r>
            <w:r>
              <w:rPr>
                <w:szCs w:val="20"/>
              </w:rPr>
              <w:t>/C/59/D/634/2014</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521363" w:rsidP="00521363">
            <w:pPr>
              <w:bidi w:val="0"/>
              <w:spacing w:after="20"/>
              <w:jc w:val="left"/>
              <w:rPr>
                <w:szCs w:val="20"/>
              </w:rPr>
            </w:pPr>
            <w:r>
              <w:rPr>
                <w:szCs w:val="20"/>
              </w:rPr>
              <w:t>Distr.: General</w:t>
            </w:r>
          </w:p>
          <w:p w:rsidR="00521363" w:rsidRDefault="00521363" w:rsidP="00521363">
            <w:pPr>
              <w:bidi w:val="0"/>
              <w:jc w:val="left"/>
              <w:rPr>
                <w:szCs w:val="20"/>
              </w:rPr>
            </w:pPr>
            <w:r>
              <w:rPr>
                <w:szCs w:val="20"/>
              </w:rPr>
              <w:t>2017</w:t>
            </w:r>
          </w:p>
          <w:p w:rsidR="00521363" w:rsidRDefault="00521363" w:rsidP="00521363">
            <w:pPr>
              <w:bidi w:val="0"/>
              <w:jc w:val="left"/>
              <w:rPr>
                <w:szCs w:val="20"/>
              </w:rPr>
            </w:pPr>
            <w:r>
              <w:rPr>
                <w:szCs w:val="20"/>
              </w:rPr>
              <w:t>Arabic</w:t>
            </w:r>
          </w:p>
          <w:p w:rsidR="00521363" w:rsidRPr="00243C8A" w:rsidRDefault="00521363" w:rsidP="00521363">
            <w:pPr>
              <w:bidi w:val="0"/>
              <w:jc w:val="left"/>
              <w:rPr>
                <w:szCs w:val="20"/>
              </w:rPr>
            </w:pPr>
            <w:r>
              <w:rPr>
                <w:szCs w:val="20"/>
              </w:rPr>
              <w:t>Original: English</w:t>
            </w:r>
          </w:p>
        </w:tc>
      </w:tr>
    </w:tbl>
    <w:p w:rsidR="00521363" w:rsidRDefault="00521363" w:rsidP="00521363">
      <w:pPr>
        <w:spacing w:line="20" w:lineRule="exact"/>
        <w:rPr>
          <w:rtl/>
        </w:rPr>
      </w:pPr>
    </w:p>
    <w:tbl>
      <w:tblPr>
        <w:tblStyle w:val="TableGrid"/>
        <w:tblpPr w:leftFromText="142" w:rightFromText="142" w:vertAnchor="page" w:horzAnchor="page" w:tblpX="1135" w:tblpY="285"/>
        <w:tblOverlap w:val="never"/>
        <w:bidiVisual/>
        <w:tblW w:w="9631" w:type="dxa"/>
        <w:tblInd w:w="8"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2A33CDF8" wp14:editId="20717BE3">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521363" w:rsidRDefault="00521363" w:rsidP="00521363">
            <w:pPr>
              <w:spacing w:before="240" w:line="240" w:lineRule="exact"/>
              <w:jc w:val="right"/>
              <w:rPr>
                <w:rtl/>
                <w:lang w:eastAsia="zh-TW"/>
              </w:rPr>
            </w:pPr>
            <w:r>
              <w:rPr>
                <w:lang w:eastAsia="zh-TW"/>
              </w:rPr>
              <w:t>Distr.: General</w:t>
            </w:r>
          </w:p>
          <w:p w:rsidR="00521363" w:rsidRDefault="00521363" w:rsidP="00521363">
            <w:pPr>
              <w:jc w:val="right"/>
              <w:rPr>
                <w:rtl/>
                <w:lang w:eastAsia="zh-TW"/>
              </w:rPr>
            </w:pPr>
            <w:r>
              <w:rPr>
                <w:lang w:eastAsia="zh-TW"/>
              </w:rPr>
              <w:t>24 January 2017</w:t>
            </w:r>
          </w:p>
          <w:p w:rsidR="00521363" w:rsidRDefault="00521363" w:rsidP="00521363">
            <w:pPr>
              <w:jc w:val="right"/>
              <w:rPr>
                <w:rtl/>
                <w:lang w:eastAsia="zh-TW"/>
              </w:rPr>
            </w:pPr>
            <w:r>
              <w:rPr>
                <w:lang w:eastAsia="zh-TW"/>
              </w:rPr>
              <w:t>Arabic</w:t>
            </w:r>
          </w:p>
          <w:p w:rsidR="006B3E27" w:rsidRPr="008B4BC6" w:rsidRDefault="00521363" w:rsidP="00521363">
            <w:pPr>
              <w:bidi w:val="0"/>
              <w:jc w:val="left"/>
            </w:pPr>
            <w:r>
              <w:t>Original: English</w:t>
            </w:r>
          </w:p>
        </w:tc>
      </w:tr>
    </w:tbl>
    <w:p w:rsidR="00521363" w:rsidRPr="00521363" w:rsidRDefault="00521363" w:rsidP="00521363">
      <w:pPr>
        <w:pStyle w:val="Caption"/>
        <w:bidi/>
        <w:spacing w:line="380" w:lineRule="exact"/>
        <w:textDirection w:val="tbRlV"/>
        <w:rPr>
          <w:rFonts w:ascii="Traditional Arabic" w:hAnsi="Traditional Arabic" w:hint="default"/>
          <w:sz w:val="36"/>
          <w:szCs w:val="36"/>
          <w:rtl/>
          <w:lang w:eastAsia="zh-TW"/>
        </w:rPr>
      </w:pPr>
      <w:r w:rsidRPr="008F5066">
        <w:rPr>
          <w:rFonts w:ascii="Traditional Arabic" w:hAnsi="Traditional Arabic" w:hint="default"/>
          <w:sz w:val="36"/>
          <w:szCs w:val="36"/>
          <w:rtl/>
          <w:lang w:eastAsia="zh-TW"/>
        </w:rPr>
        <w:t>لجنة مناهضة التعذيب</w:t>
      </w:r>
    </w:p>
    <w:p w:rsidR="00521363" w:rsidRPr="008F5066" w:rsidRDefault="00521363" w:rsidP="00521363">
      <w:pPr>
        <w:pStyle w:val="HChGA"/>
        <w:rPr>
          <w:rtl/>
          <w:lang w:eastAsia="zh-TW"/>
        </w:rPr>
      </w:pPr>
      <w:r>
        <w:rPr>
          <w:rFonts w:hint="cs"/>
          <w:rtl/>
          <w:lang w:eastAsia="zh-TW"/>
        </w:rPr>
        <w:tab/>
      </w:r>
      <w:r>
        <w:rPr>
          <w:rFonts w:hint="cs"/>
          <w:rtl/>
          <w:lang w:eastAsia="zh-TW"/>
        </w:rPr>
        <w:tab/>
      </w:r>
      <w:r w:rsidRPr="008F5066">
        <w:rPr>
          <w:rtl/>
          <w:lang w:eastAsia="zh-TW"/>
        </w:rPr>
        <w:t>قرار اعتمدته اللجنة بموجب المادة 22 من الاتفاقية، بشأن البلاغ رقم 634/2014</w:t>
      </w:r>
      <w:r w:rsidRPr="00521363">
        <w:rPr>
          <w:rStyle w:val="FootnoteReference"/>
          <w:sz w:val="20"/>
          <w:vertAlign w:val="baseline"/>
          <w:rtl/>
          <w:lang w:eastAsia="zh-TW"/>
        </w:rPr>
        <w:footnoteReference w:customMarkFollows="1" w:id="1"/>
        <w:t>*</w:t>
      </w:r>
      <w:r>
        <w:rPr>
          <w:rFonts w:hint="cs"/>
          <w:rtl/>
          <w:lang w:eastAsia="zh-TW"/>
        </w:rPr>
        <w:t xml:space="preserve"> </w:t>
      </w:r>
      <w:r w:rsidRPr="00521363">
        <w:rPr>
          <w:rStyle w:val="FootnoteReference"/>
          <w:sz w:val="20"/>
          <w:vertAlign w:val="baseline"/>
          <w:rtl/>
          <w:lang w:eastAsia="zh-TW"/>
        </w:rPr>
        <w:footnoteReference w:customMarkFollows="1" w:id="2"/>
        <w:t>**</w:t>
      </w:r>
    </w:p>
    <w:p w:rsidR="00521363" w:rsidRPr="008F5066" w:rsidRDefault="008B0E80" w:rsidP="00A96991">
      <w:pPr>
        <w:pStyle w:val="SingleTxtGA"/>
        <w:ind w:left="4649" w:hanging="2609"/>
        <w:rPr>
          <w:rtl/>
          <w:lang w:eastAsia="zh-TW"/>
        </w:rPr>
      </w:pPr>
      <w:r w:rsidRPr="00D3340E">
        <w:rPr>
          <w:rFonts w:hint="cs"/>
          <w:i/>
          <w:iCs/>
          <w:rtl/>
        </w:rPr>
        <w:t>أصحاب</w:t>
      </w:r>
      <w:r>
        <w:rPr>
          <w:rFonts w:hint="cs"/>
          <w:rtl/>
        </w:rPr>
        <w:t xml:space="preserve"> </w:t>
      </w:r>
      <w:dir w:val="rtl">
        <w:r w:rsidR="00521363" w:rsidRPr="006C2946">
          <w:rPr>
            <w:i/>
            <w:iCs/>
            <w:rtl/>
            <w:lang w:eastAsia="zh-TW"/>
          </w:rPr>
          <w:t>البلاغ</w:t>
        </w:r>
        <w:r w:rsidR="00521363" w:rsidRPr="008F5066">
          <w:rPr>
            <w:rtl/>
            <w:lang w:eastAsia="zh-TW"/>
          </w:rPr>
          <w:t>:</w:t>
        </w:r>
        <w:r w:rsidR="00521363">
          <w:rPr>
            <w:rFonts w:cs="Times New Roman" w:hint="cs"/>
            <w:rtl/>
            <w:lang w:eastAsia="zh-TW"/>
          </w:rPr>
          <w:tab/>
        </w:r>
        <w:r w:rsidR="00521363">
          <w:rPr>
            <w:rFonts w:cs="Times New Roman" w:hint="cs"/>
            <w:rtl/>
            <w:lang w:eastAsia="zh-TW"/>
          </w:rPr>
          <w:tab/>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tl/>
            <w:lang w:eastAsia="zh-TW"/>
          </w:rPr>
          <w:t>م.</w:t>
        </w:r>
        <w:r w:rsidR="00521363">
          <w:rPr>
            <w:rFonts w:hint="cs"/>
            <w:rtl/>
            <w:lang w:eastAsia="zh-TW"/>
          </w:rPr>
          <w:t xml:space="preserve"> </w:t>
        </w:r>
        <w:r w:rsidR="00521363" w:rsidRPr="008F5066">
          <w:rPr>
            <w:rtl/>
            <w:lang w:eastAsia="zh-TW"/>
          </w:rPr>
          <w:t>ب</w:t>
        </w:r>
        <w:r w:rsidR="00521363">
          <w:rPr>
            <w:rtl/>
            <w:lang w:eastAsia="zh-TW"/>
          </w:rPr>
          <w:t>.</w:t>
        </w:r>
        <w:r w:rsidR="00521363">
          <w:rPr>
            <w:rFonts w:hint="cs"/>
            <w:rtl/>
            <w:lang w:eastAsia="zh-TW"/>
          </w:rPr>
          <w:t xml:space="preserve"> </w:t>
        </w:r>
        <w:proofErr w:type="spellStart"/>
        <w:r w:rsidR="00521363" w:rsidRPr="008F5066">
          <w:rPr>
            <w:rtl/>
            <w:lang w:eastAsia="zh-TW"/>
          </w:rPr>
          <w:t>وأ</w:t>
        </w:r>
        <w:proofErr w:type="spellEnd"/>
        <w:r w:rsidR="00521363">
          <w:rPr>
            <w:rtl/>
            <w:lang w:eastAsia="zh-TW"/>
          </w:rPr>
          <w:t>.</w:t>
        </w:r>
        <w:r w:rsidR="00521363">
          <w:rPr>
            <w:rFonts w:hint="cs"/>
            <w:rtl/>
            <w:lang w:eastAsia="zh-TW"/>
          </w:rPr>
          <w:t xml:space="preserve"> </w:t>
        </w:r>
        <w:r w:rsidR="00521363" w:rsidRPr="008F5066">
          <w:rPr>
            <w:rtl/>
            <w:lang w:eastAsia="zh-TW"/>
          </w:rPr>
          <w:t>ب</w:t>
        </w:r>
        <w:r w:rsidR="00521363">
          <w:rPr>
            <w:rtl/>
            <w:lang w:eastAsia="zh-TW"/>
          </w:rPr>
          <w:t xml:space="preserve">. </w:t>
        </w:r>
        <w:r w:rsidR="00521363" w:rsidRPr="008F5066">
          <w:rPr>
            <w:rtl/>
            <w:lang w:eastAsia="zh-TW"/>
          </w:rPr>
          <w:t>و</w:t>
        </w:r>
        <w:r w:rsidR="00521363">
          <w:rPr>
            <w:rtl/>
            <w:lang w:eastAsia="zh-TW"/>
          </w:rPr>
          <w:t xml:space="preserve"> </w:t>
        </w:r>
        <w:r w:rsidR="00521363" w:rsidRPr="008F5066">
          <w:rPr>
            <w:rtl/>
            <w:lang w:eastAsia="zh-TW"/>
          </w:rPr>
          <w:t>د.</w:t>
        </w:r>
        <w:r w:rsidR="00521363">
          <w:rPr>
            <w:rFonts w:hint="cs"/>
            <w:rtl/>
            <w:lang w:eastAsia="zh-TW"/>
          </w:rPr>
          <w:t xml:space="preserve"> </w:t>
        </w:r>
        <w:r w:rsidR="00521363" w:rsidRPr="008F5066">
          <w:rPr>
            <w:rtl/>
            <w:lang w:eastAsia="zh-TW"/>
          </w:rPr>
          <w:t>م.</w:t>
        </w:r>
        <w:r w:rsidR="00521363">
          <w:rPr>
            <w:rFonts w:hint="cs"/>
            <w:rtl/>
            <w:lang w:eastAsia="zh-TW"/>
          </w:rPr>
          <w:t xml:space="preserve"> </w:t>
        </w:r>
        <w:r w:rsidR="00521363" w:rsidRPr="008F5066">
          <w:rPr>
            <w:rtl/>
            <w:lang w:eastAsia="zh-TW"/>
          </w:rPr>
          <w:t>ب. و</w:t>
        </w:r>
        <w:r w:rsidR="00521363">
          <w:rPr>
            <w:rtl/>
            <w:lang w:eastAsia="zh-TW"/>
          </w:rPr>
          <w:t xml:space="preserve"> </w:t>
        </w:r>
        <w:r w:rsidR="00521363" w:rsidRPr="008F5066">
          <w:rPr>
            <w:rtl/>
            <w:lang w:eastAsia="zh-TW"/>
          </w:rPr>
          <w:t>د.</w:t>
        </w:r>
        <w:r w:rsidR="002D164F">
          <w:rPr>
            <w:rFonts w:hint="cs"/>
            <w:rtl/>
            <w:lang w:eastAsia="zh-TW"/>
          </w:rPr>
          <w:t xml:space="preserve"> </w:t>
        </w:r>
        <w:r w:rsidR="00521363" w:rsidRPr="008F5066">
          <w:rPr>
            <w:rtl/>
            <w:lang w:eastAsia="zh-TW"/>
          </w:rPr>
          <w:t>ب. (</w:t>
        </w:r>
        <w:r w:rsidR="00521363">
          <w:rPr>
            <w:rtl/>
            <w:lang w:eastAsia="zh-TW"/>
          </w:rPr>
          <w:t>ت</w:t>
        </w:r>
        <w:r w:rsidR="00521363" w:rsidRPr="008F5066">
          <w:rPr>
            <w:rtl/>
            <w:lang w:eastAsia="zh-TW"/>
          </w:rPr>
          <w:t>مثل</w:t>
        </w:r>
        <w:r w:rsidR="00521363">
          <w:rPr>
            <w:rtl/>
            <w:lang w:eastAsia="zh-TW"/>
          </w:rPr>
          <w:t>ه</w:t>
        </w:r>
        <w:r w:rsidR="00521363" w:rsidRPr="008F5066">
          <w:rPr>
            <w:rtl/>
            <w:lang w:eastAsia="zh-TW"/>
          </w:rPr>
          <w:t>م المحامي</w:t>
        </w:r>
        <w:r w:rsidR="00521363">
          <w:rPr>
            <w:rtl/>
            <w:lang w:eastAsia="zh-TW"/>
          </w:rPr>
          <w:t>ة</w:t>
        </w:r>
        <w:r w:rsidR="00521363" w:rsidRPr="008F5066">
          <w:rPr>
            <w:rtl/>
            <w:lang w:eastAsia="zh-TW"/>
          </w:rPr>
          <w:t xml:space="preserve"> جيتي </w:t>
        </w:r>
        <w:proofErr w:type="spellStart"/>
        <w:r w:rsidR="00521363">
          <w:rPr>
            <w:rtl/>
            <w:lang w:eastAsia="zh-TW"/>
          </w:rPr>
          <w:t>ل</w:t>
        </w:r>
        <w:r w:rsidR="00521363" w:rsidRPr="008F5066">
          <w:rPr>
            <w:rtl/>
            <w:lang w:eastAsia="zh-TW"/>
          </w:rPr>
          <w:t>ندغارد</w:t>
        </w:r>
        <w:proofErr w:type="spellEnd"/>
        <w:r w:rsidR="00521363" w:rsidRPr="008F5066">
          <w:rPr>
            <w:rtl/>
            <w:lang w:eastAsia="zh-TW"/>
          </w:rPr>
          <w:t>)</w:t>
        </w:r>
        <w:r w:rsidR="00521363">
          <w:t>‬</w:t>
        </w:r>
        <w:r w:rsidR="00D3340E">
          <w:t>‬</w:t>
        </w:r>
        <w:r w:rsidR="002C3FDD">
          <w:t>‬</w:t>
        </w:r>
      </w:dir>
    </w:p>
    <w:p w:rsidR="00521363" w:rsidRPr="008F5066" w:rsidRDefault="00521363" w:rsidP="00521363">
      <w:pPr>
        <w:pStyle w:val="SingleTxtGA"/>
        <w:ind w:left="2040"/>
        <w:rPr>
          <w:rtl/>
          <w:lang w:eastAsia="zh-TW"/>
        </w:rPr>
      </w:pPr>
      <w:r w:rsidRPr="006C2946">
        <w:rPr>
          <w:i/>
          <w:iCs/>
          <w:rtl/>
          <w:lang w:eastAsia="zh-TW"/>
        </w:rPr>
        <w:t>الأشخاص المدعى أنهم ضحايا</w:t>
      </w:r>
      <w:r w:rsidRPr="00521363">
        <w:rPr>
          <w:i/>
          <w:iCs/>
          <w:rtl/>
          <w:lang w:eastAsia="zh-TW"/>
        </w:rPr>
        <w:t>:</w:t>
      </w:r>
      <w:r>
        <w:rPr>
          <w:rFonts w:hint="cs"/>
          <w:rtl/>
          <w:lang w:eastAsia="zh-TW"/>
        </w:rPr>
        <w:tab/>
      </w:r>
      <w:r w:rsidRPr="008F5066">
        <w:rPr>
          <w:rtl/>
          <w:lang w:eastAsia="zh-TW"/>
        </w:rPr>
        <w:t>أصحاب الشكوى</w:t>
      </w:r>
    </w:p>
    <w:p w:rsidR="00521363" w:rsidRPr="008F5066" w:rsidRDefault="00521363" w:rsidP="00521363">
      <w:pPr>
        <w:pStyle w:val="SingleTxtGA"/>
        <w:ind w:left="2040"/>
        <w:rPr>
          <w:rtl/>
          <w:lang w:eastAsia="zh-TW"/>
        </w:rPr>
      </w:pPr>
      <w:r w:rsidRPr="006C2946">
        <w:rPr>
          <w:i/>
          <w:iCs/>
          <w:rtl/>
          <w:lang w:eastAsia="zh-TW"/>
        </w:rPr>
        <w:t>الدولة الطرف</w:t>
      </w:r>
      <w:r w:rsidRPr="00521363">
        <w:rPr>
          <w:i/>
          <w:iCs/>
          <w:rtl/>
          <w:lang w:eastAsia="zh-TW"/>
        </w:rPr>
        <w:t>:</w:t>
      </w:r>
      <w:r w:rsidRPr="00521363">
        <w:rPr>
          <w:rFonts w:hint="cs"/>
          <w:i/>
          <w:iCs/>
          <w:rtl/>
          <w:lang w:eastAsia="zh-TW"/>
        </w:rPr>
        <w:tab/>
      </w:r>
      <w:r w:rsidRPr="00521363">
        <w:rPr>
          <w:rFonts w:hint="cs"/>
          <w:i/>
          <w:iCs/>
          <w:rtl/>
          <w:lang w:eastAsia="zh-TW"/>
        </w:rPr>
        <w:tab/>
      </w:r>
      <w:r>
        <w:rPr>
          <w:rFonts w:hint="cs"/>
          <w:rtl/>
          <w:lang w:eastAsia="zh-TW"/>
        </w:rPr>
        <w:tab/>
      </w:r>
      <w:r w:rsidRPr="008F5066">
        <w:rPr>
          <w:rtl/>
          <w:lang w:eastAsia="zh-TW"/>
        </w:rPr>
        <w:t>الدانمرك</w:t>
      </w:r>
    </w:p>
    <w:p w:rsidR="00521363" w:rsidRPr="008F5066" w:rsidRDefault="00521363" w:rsidP="00521363">
      <w:pPr>
        <w:pStyle w:val="SingleTxtGA"/>
        <w:ind w:left="5330" w:hanging="3290"/>
        <w:rPr>
          <w:rtl/>
          <w:lang w:eastAsia="zh-TW"/>
        </w:rPr>
      </w:pPr>
      <w:r w:rsidRPr="00D3340E">
        <w:rPr>
          <w:i/>
          <w:iCs/>
          <w:rtl/>
          <w:lang w:eastAsia="zh-TW"/>
        </w:rPr>
        <w:t>تاريخ تقديم</w:t>
      </w:r>
      <w:r w:rsidRPr="008F5066">
        <w:rPr>
          <w:rtl/>
          <w:lang w:eastAsia="zh-TW"/>
        </w:rPr>
        <w:t xml:space="preserve"> </w:t>
      </w:r>
      <w:r w:rsidRPr="00521363">
        <w:rPr>
          <w:i/>
          <w:iCs/>
          <w:rtl/>
          <w:lang w:eastAsia="zh-TW"/>
        </w:rPr>
        <w:t>الشكوى:</w:t>
      </w:r>
      <w:r w:rsidRPr="00521363">
        <w:rPr>
          <w:rFonts w:hint="cs"/>
          <w:i/>
          <w:iCs/>
          <w:rtl/>
          <w:lang w:eastAsia="zh-TW"/>
        </w:rPr>
        <w:tab/>
      </w:r>
      <w:r>
        <w:rPr>
          <w:rFonts w:hint="cs"/>
          <w:rtl/>
          <w:lang w:eastAsia="zh-TW"/>
        </w:rPr>
        <w:tab/>
      </w:r>
      <w:r w:rsidRPr="008F5066">
        <w:rPr>
          <w:rtl/>
          <w:lang w:eastAsia="zh-TW"/>
        </w:rPr>
        <w:t>٣٠ أيلول/سبتمبر ٢٠١٤(تاريخ الرسالة الأولى)</w:t>
      </w:r>
    </w:p>
    <w:p w:rsidR="00521363" w:rsidRPr="008F5066" w:rsidRDefault="002C3FDD" w:rsidP="00521363">
      <w:pPr>
        <w:pStyle w:val="SingleTxtGA"/>
        <w:ind w:left="2040"/>
        <w:rPr>
          <w:rtl/>
          <w:lang w:eastAsia="zh-TW"/>
        </w:rPr>
      </w:pPr>
      <w:dir w:val="rtl">
        <w:r w:rsidR="00521363" w:rsidRPr="006C2946">
          <w:rPr>
            <w:i/>
            <w:iCs/>
            <w:rtl/>
            <w:lang w:eastAsia="zh-TW"/>
          </w:rPr>
          <w:t>تاريخ اعتماد هذا القرار</w:t>
        </w:r>
        <w:r w:rsidR="00521363" w:rsidRPr="00521363">
          <w:rPr>
            <w:i/>
            <w:iCs/>
            <w:rtl/>
            <w:lang w:eastAsia="zh-TW"/>
          </w:rPr>
          <w:t>:</w:t>
        </w:r>
        <w:r w:rsidR="00521363" w:rsidRPr="00521363">
          <w:rPr>
            <w:i/>
            <w:iCs/>
            <w:rtl/>
            <w:lang w:eastAsia="zh-TW"/>
          </w:rPr>
          <w:t>‬</w:t>
        </w:r>
        <w:r w:rsidR="00521363" w:rsidRPr="00521363">
          <w:rPr>
            <w:rFonts w:hint="cs"/>
            <w:i/>
            <w:iCs/>
            <w:rtl/>
            <w:lang w:eastAsia="zh-TW"/>
          </w:rPr>
          <w:tab/>
        </w:r>
        <w:r w:rsidR="00521363">
          <w:rPr>
            <w:rFonts w:hint="cs"/>
            <w:rtl/>
            <w:lang w:eastAsia="zh-TW"/>
          </w:rPr>
          <w:tab/>
        </w:r>
        <w:r w:rsidR="00521363" w:rsidRPr="008F5066">
          <w:rPr>
            <w:rtl/>
            <w:lang w:eastAsia="zh-TW"/>
          </w:rPr>
          <w:t>٢٥ تشرين الثاني/نوفمبر ٢٠١٦</w:t>
        </w:r>
        <w:r w:rsidR="00521363">
          <w:t>‬</w:t>
        </w:r>
        <w:r w:rsidR="00D3340E">
          <w:t>‬</w:t>
        </w:r>
        <w:r>
          <w:t>‬</w:t>
        </w:r>
      </w:dir>
    </w:p>
    <w:p w:rsidR="00521363" w:rsidRPr="008F5066" w:rsidRDefault="00521363" w:rsidP="00521363">
      <w:pPr>
        <w:pStyle w:val="SingleTxtGA"/>
        <w:ind w:left="2040"/>
        <w:rPr>
          <w:rtl/>
          <w:lang w:eastAsia="zh-TW"/>
        </w:rPr>
      </w:pPr>
      <w:r w:rsidRPr="00521363">
        <w:rPr>
          <w:i/>
          <w:iCs/>
          <w:rtl/>
          <w:lang w:eastAsia="zh-TW"/>
        </w:rPr>
        <w:t>الموضوع:</w:t>
      </w:r>
      <w:r w:rsidRPr="00521363">
        <w:rPr>
          <w:rFonts w:hint="cs"/>
          <w:i/>
          <w:iCs/>
          <w:rtl/>
          <w:lang w:eastAsia="zh-TW"/>
        </w:rPr>
        <w:tab/>
      </w:r>
      <w:r>
        <w:rPr>
          <w:rFonts w:hint="cs"/>
          <w:rtl/>
        </w:rPr>
        <w:tab/>
      </w:r>
      <w:r>
        <w:rPr>
          <w:rFonts w:hint="cs"/>
          <w:rtl/>
        </w:rPr>
        <w:tab/>
      </w:r>
      <w:dir w:val="rtl">
        <w:r w:rsidRPr="008F5066">
          <w:rPr>
            <w:rtl/>
            <w:lang w:eastAsia="zh-TW"/>
          </w:rPr>
          <w:t>الترحيل إلى الاتحاد الروسي</w:t>
        </w:r>
        <w:r w:rsidRPr="008F5066">
          <w:rPr>
            <w:rFonts w:cs="Times New Roman"/>
            <w:rtl/>
            <w:lang w:eastAsia="zh-TW"/>
          </w:rPr>
          <w:t>‬</w:t>
        </w:r>
        <w:r>
          <w:t>‬</w:t>
        </w:r>
        <w:r w:rsidR="00D3340E">
          <w:t>‬</w:t>
        </w:r>
        <w:r w:rsidR="002C3FDD">
          <w:t>‬</w:t>
        </w:r>
      </w:dir>
    </w:p>
    <w:p w:rsidR="00521363" w:rsidRPr="008F5066" w:rsidRDefault="002C3FDD" w:rsidP="00521363">
      <w:pPr>
        <w:pStyle w:val="SingleTxtGA"/>
        <w:ind w:left="2040"/>
        <w:rPr>
          <w:rtl/>
          <w:lang w:eastAsia="zh-TW"/>
        </w:rPr>
      </w:pPr>
      <w:dir w:val="rtl">
        <w:r w:rsidR="00521363" w:rsidRPr="006C2946">
          <w:rPr>
            <w:i/>
            <w:iCs/>
            <w:rtl/>
            <w:lang w:eastAsia="zh-TW"/>
          </w:rPr>
          <w:t>المسألة الإجرائية</w:t>
        </w:r>
        <w:r w:rsidR="00521363" w:rsidRPr="00521363">
          <w:rPr>
            <w:i/>
            <w:iCs/>
            <w:rtl/>
            <w:lang w:eastAsia="zh-TW"/>
          </w:rPr>
          <w:t>:</w:t>
        </w:r>
        <w:r w:rsidR="00521363" w:rsidRPr="00521363">
          <w:rPr>
            <w:i/>
            <w:iCs/>
            <w:rtl/>
            <w:lang w:eastAsia="zh-TW"/>
          </w:rPr>
          <w:t>‬</w:t>
        </w:r>
        <w:r w:rsidR="00521363" w:rsidRPr="00521363">
          <w:rPr>
            <w:rFonts w:hint="cs"/>
            <w:i/>
            <w:iCs/>
            <w:rtl/>
            <w:lang w:eastAsia="zh-TW"/>
          </w:rPr>
          <w:tab/>
        </w:r>
        <w:r w:rsidR="00521363">
          <w:rPr>
            <w:rFonts w:hint="cs"/>
            <w:rtl/>
          </w:rPr>
          <w:tab/>
        </w:r>
        <w:dir w:val="rtl">
          <w:r w:rsidR="00521363" w:rsidRPr="008F5066">
            <w:rPr>
              <w:rtl/>
              <w:lang w:eastAsia="zh-TW"/>
            </w:rPr>
            <w:t>عدم إثبات الادعاءات</w:t>
          </w:r>
          <w:r w:rsidR="00521363">
            <w:t>‬</w:t>
          </w:r>
          <w:r w:rsidR="00521363">
            <w:t>‬</w:t>
          </w:r>
          <w:r w:rsidR="00D3340E">
            <w:t>‬</w:t>
          </w:r>
          <w:r w:rsidR="00D3340E">
            <w:t>‬</w:t>
          </w:r>
          <w:r>
            <w:t>‬</w:t>
          </w:r>
          <w:r>
            <w:t>‬</w:t>
          </w:r>
        </w:dir>
      </w:dir>
    </w:p>
    <w:p w:rsidR="00521363" w:rsidRPr="008F5066" w:rsidRDefault="00521363" w:rsidP="00521363">
      <w:pPr>
        <w:pStyle w:val="SingleTxtGA"/>
        <w:ind w:left="2040"/>
        <w:rPr>
          <w:rtl/>
          <w:lang w:eastAsia="zh-TW"/>
        </w:rPr>
      </w:pPr>
      <w:r w:rsidRPr="00D3340E">
        <w:rPr>
          <w:i/>
          <w:iCs/>
          <w:rtl/>
          <w:lang w:eastAsia="zh-TW"/>
        </w:rPr>
        <w:t>المسألة الموضوعية</w:t>
      </w:r>
      <w:r w:rsidRPr="00521363">
        <w:rPr>
          <w:rtl/>
          <w:lang w:eastAsia="zh-TW"/>
        </w:rPr>
        <w:t>:</w:t>
      </w:r>
      <w:r>
        <w:rPr>
          <w:rFonts w:hint="cs"/>
          <w:rtl/>
          <w:lang w:eastAsia="zh-TW"/>
        </w:rPr>
        <w:tab/>
      </w:r>
      <w:r>
        <w:rPr>
          <w:rFonts w:hint="cs"/>
          <w:rtl/>
          <w:lang w:eastAsia="zh-TW"/>
        </w:rPr>
        <w:tab/>
      </w:r>
      <w:r w:rsidRPr="008F5066">
        <w:rPr>
          <w:rtl/>
          <w:lang w:eastAsia="zh-TW"/>
        </w:rPr>
        <w:t>عدم الإعادة القسرية</w:t>
      </w:r>
    </w:p>
    <w:p w:rsidR="00521363" w:rsidRPr="008F5066" w:rsidRDefault="002C3FDD" w:rsidP="00D91FD5">
      <w:pPr>
        <w:pStyle w:val="SingleTxtGA"/>
        <w:spacing w:after="240"/>
        <w:ind w:left="2041"/>
        <w:rPr>
          <w:rtl/>
          <w:lang w:eastAsia="zh-TW"/>
        </w:rPr>
      </w:pPr>
      <w:dir w:val="rtl">
        <w:r w:rsidR="00521363" w:rsidRPr="00521363">
          <w:rPr>
            <w:i/>
            <w:iCs/>
            <w:rtl/>
            <w:lang w:eastAsia="zh-TW"/>
          </w:rPr>
          <w:t>مادة الاتفاقية:</w:t>
        </w:r>
        <w:r w:rsidR="00521363">
          <w:rPr>
            <w:rFonts w:cs="Times New Roman" w:hint="cs"/>
            <w:rtl/>
            <w:lang w:eastAsia="zh-TW"/>
          </w:rPr>
          <w:tab/>
        </w:r>
        <w:r w:rsidR="00521363">
          <w:rPr>
            <w:rFonts w:cs="Times New Roman" w:hint="cs"/>
            <w:rtl/>
            <w:lang w:eastAsia="zh-TW"/>
          </w:rPr>
          <w:tab/>
        </w:r>
        <w:r w:rsidR="00521363">
          <w:rPr>
            <w:rFonts w:cs="Times New Roman" w:hint="cs"/>
            <w:rtl/>
            <w:lang w:eastAsia="zh-TW"/>
          </w:rPr>
          <w:tab/>
        </w:r>
        <w:r w:rsidR="00FC052E">
          <w:rPr>
            <w:rFonts w:hint="cs"/>
            <w:rtl/>
            <w:lang w:eastAsia="zh-TW"/>
          </w:rPr>
          <w:t>3</w:t>
        </w:r>
        <w:r w:rsidR="00D3340E">
          <w:t>‬</w:t>
        </w:r>
        <w:r>
          <w:t>‬</w:t>
        </w:r>
      </w:dir>
    </w:p>
    <w:p w:rsidR="00521363" w:rsidRPr="008F5066" w:rsidRDefault="00A96991" w:rsidP="002A4B7F">
      <w:pPr>
        <w:pStyle w:val="SingleTxtGA"/>
        <w:spacing w:line="360" w:lineRule="exact"/>
        <w:rPr>
          <w:rtl/>
          <w:lang w:eastAsia="zh-TW"/>
        </w:rPr>
      </w:pPr>
      <w:r>
        <w:rPr>
          <w:rtl/>
          <w:lang w:eastAsia="zh-TW"/>
        </w:rPr>
        <w:t>١-١</w:t>
      </w:r>
      <w:r>
        <w:rPr>
          <w:rFonts w:hint="cs"/>
          <w:rtl/>
          <w:lang w:eastAsia="zh-TW"/>
        </w:rPr>
        <w:tab/>
      </w:r>
      <w:r w:rsidR="00521363">
        <w:rPr>
          <w:rtl/>
          <w:lang w:eastAsia="zh-TW"/>
        </w:rPr>
        <w:t>أصحاب الشكوى</w:t>
      </w:r>
      <w:r w:rsidR="00521363" w:rsidRPr="008F5066">
        <w:rPr>
          <w:rtl/>
          <w:lang w:eastAsia="zh-TW"/>
        </w:rPr>
        <w:t xml:space="preserve"> هم م.</w:t>
      </w:r>
      <w:r w:rsidR="00521363">
        <w:rPr>
          <w:rFonts w:hint="cs"/>
          <w:rtl/>
          <w:lang w:eastAsia="zh-TW"/>
        </w:rPr>
        <w:t xml:space="preserve"> </w:t>
      </w:r>
      <w:r w:rsidR="00521363" w:rsidRPr="008F5066">
        <w:rPr>
          <w:rtl/>
          <w:lang w:eastAsia="zh-TW"/>
        </w:rPr>
        <w:t>ب. (صاحب الشكوى الأول) وزوجته، أ.</w:t>
      </w:r>
      <w:r w:rsidR="00521363">
        <w:rPr>
          <w:rFonts w:hint="cs"/>
          <w:rtl/>
          <w:lang w:eastAsia="zh-TW"/>
        </w:rPr>
        <w:t xml:space="preserve"> </w:t>
      </w:r>
      <w:r w:rsidR="00521363" w:rsidRPr="008F5066">
        <w:rPr>
          <w:rtl/>
          <w:lang w:eastAsia="zh-TW"/>
        </w:rPr>
        <w:t xml:space="preserve">ب. (صاحبة الشكوى </w:t>
      </w:r>
      <w:r w:rsidR="00521363">
        <w:rPr>
          <w:rtl/>
          <w:lang w:eastAsia="zh-TW"/>
        </w:rPr>
        <w:t>ا</w:t>
      </w:r>
      <w:r w:rsidR="00521363" w:rsidRPr="008F5066">
        <w:rPr>
          <w:rtl/>
          <w:lang w:eastAsia="zh-TW"/>
        </w:rPr>
        <w:t>لثانية)، وكلاهما من مواطني الاتحاد الروسي، و</w:t>
      </w:r>
      <w:r w:rsidR="00521363">
        <w:rPr>
          <w:rtl/>
          <w:lang w:eastAsia="zh-TW"/>
        </w:rPr>
        <w:t>لد هو ف</w:t>
      </w:r>
      <w:r w:rsidR="00521363" w:rsidRPr="008F5066">
        <w:rPr>
          <w:rtl/>
          <w:lang w:eastAsia="zh-TW"/>
        </w:rPr>
        <w:t>ي</w:t>
      </w:r>
      <w:r w:rsidR="00521363">
        <w:rPr>
          <w:rtl/>
          <w:lang w:eastAsia="zh-TW"/>
        </w:rPr>
        <w:t xml:space="preserve"> عام</w:t>
      </w:r>
      <w:r w:rsidR="00521363" w:rsidRPr="008F5066">
        <w:rPr>
          <w:rtl/>
          <w:lang w:eastAsia="zh-TW"/>
        </w:rPr>
        <w:t xml:space="preserve"> 1966 و</w:t>
      </w:r>
      <w:r w:rsidR="00521363">
        <w:rPr>
          <w:rtl/>
          <w:lang w:eastAsia="zh-TW"/>
        </w:rPr>
        <w:t>هي في عام</w:t>
      </w:r>
      <w:r w:rsidR="00521363">
        <w:rPr>
          <w:rFonts w:hint="cs"/>
          <w:rtl/>
          <w:lang w:eastAsia="zh-TW"/>
        </w:rPr>
        <w:t> </w:t>
      </w:r>
      <w:r w:rsidR="00521363" w:rsidRPr="008F5066">
        <w:rPr>
          <w:rtl/>
          <w:lang w:eastAsia="zh-TW"/>
        </w:rPr>
        <w:t>1975.</w:t>
      </w:r>
      <w:r w:rsidR="00521363" w:rsidRPr="008F5066">
        <w:rPr>
          <w:rFonts w:cs="Times New Roman"/>
          <w:rtl/>
          <w:lang w:eastAsia="zh-TW"/>
        </w:rPr>
        <w:t>‬</w:t>
      </w:r>
      <w:r w:rsidR="00521363" w:rsidRPr="008F5066">
        <w:rPr>
          <w:rtl/>
          <w:lang w:eastAsia="zh-TW"/>
        </w:rPr>
        <w:t xml:space="preserve"> والشكوى </w:t>
      </w:r>
      <w:r w:rsidR="00521363">
        <w:rPr>
          <w:rtl/>
          <w:lang w:eastAsia="zh-TW"/>
        </w:rPr>
        <w:t>مقدمة</w:t>
      </w:r>
      <w:r w:rsidR="00521363" w:rsidRPr="008F5066">
        <w:rPr>
          <w:rtl/>
          <w:lang w:eastAsia="zh-TW"/>
        </w:rPr>
        <w:t xml:space="preserve"> أيض</w:t>
      </w:r>
      <w:r w:rsidR="002D164F">
        <w:rPr>
          <w:rtl/>
          <w:lang w:eastAsia="zh-TW"/>
        </w:rPr>
        <w:t xml:space="preserve">اً </w:t>
      </w:r>
      <w:r w:rsidR="00521363" w:rsidRPr="008F5066">
        <w:rPr>
          <w:rtl/>
          <w:lang w:eastAsia="zh-TW"/>
        </w:rPr>
        <w:t xml:space="preserve">بالنيابة عن ابنيهما </w:t>
      </w:r>
      <w:r w:rsidR="00521363">
        <w:rPr>
          <w:rtl/>
          <w:lang w:eastAsia="zh-TW"/>
        </w:rPr>
        <w:t>د.</w:t>
      </w:r>
      <w:r w:rsidR="00521363">
        <w:rPr>
          <w:rFonts w:hint="cs"/>
          <w:rtl/>
          <w:lang w:eastAsia="zh-TW"/>
        </w:rPr>
        <w:t xml:space="preserve"> </w:t>
      </w:r>
      <w:r w:rsidR="00521363">
        <w:rPr>
          <w:rtl/>
          <w:lang w:eastAsia="zh-TW"/>
        </w:rPr>
        <w:t>م.</w:t>
      </w:r>
      <w:r w:rsidR="00D3340E">
        <w:rPr>
          <w:rFonts w:hint="cs"/>
          <w:rtl/>
          <w:lang w:eastAsia="zh-TW"/>
        </w:rPr>
        <w:t xml:space="preserve"> </w:t>
      </w:r>
      <w:r w:rsidR="00D3340E">
        <w:rPr>
          <w:rtl/>
          <w:lang w:eastAsia="zh-TW"/>
        </w:rPr>
        <w:t>ب.</w:t>
      </w:r>
      <w:r w:rsidR="00D3340E">
        <w:rPr>
          <w:rFonts w:hint="cs"/>
          <w:rtl/>
          <w:lang w:eastAsia="zh-TW"/>
        </w:rPr>
        <w:t xml:space="preserve"> </w:t>
      </w:r>
      <w:r w:rsidR="00521363" w:rsidRPr="008F5066">
        <w:rPr>
          <w:rtl/>
          <w:lang w:eastAsia="zh-TW"/>
        </w:rPr>
        <w:t xml:space="preserve">(صاحب الشكوى الثالث) </w:t>
      </w:r>
      <w:r w:rsidR="00521363">
        <w:rPr>
          <w:rtl/>
          <w:lang w:eastAsia="zh-TW"/>
        </w:rPr>
        <w:t>المولود</w:t>
      </w:r>
      <w:r w:rsidR="00521363" w:rsidRPr="008F5066">
        <w:rPr>
          <w:rtl/>
          <w:lang w:eastAsia="zh-TW"/>
        </w:rPr>
        <w:t xml:space="preserve"> في</w:t>
      </w:r>
      <w:r>
        <w:rPr>
          <w:rFonts w:hint="cs"/>
          <w:rtl/>
          <w:lang w:eastAsia="zh-TW"/>
        </w:rPr>
        <w:t xml:space="preserve"> عام</w:t>
      </w:r>
      <w:r w:rsidR="00521363" w:rsidRPr="008F5066">
        <w:rPr>
          <w:rtl/>
          <w:lang w:eastAsia="zh-TW"/>
        </w:rPr>
        <w:t xml:space="preserve"> 2010 ود.</w:t>
      </w:r>
      <w:r w:rsidR="00521363">
        <w:rPr>
          <w:rFonts w:hint="cs"/>
          <w:rtl/>
          <w:lang w:eastAsia="zh-TW"/>
        </w:rPr>
        <w:t xml:space="preserve"> </w:t>
      </w:r>
      <w:r w:rsidR="00521363" w:rsidRPr="008F5066">
        <w:rPr>
          <w:rtl/>
          <w:lang w:eastAsia="zh-TW"/>
        </w:rPr>
        <w:t>ب. (صاحب الشكوى الرابع)،</w:t>
      </w:r>
      <w:r w:rsidR="00521363">
        <w:rPr>
          <w:rtl/>
          <w:lang w:eastAsia="zh-TW"/>
        </w:rPr>
        <w:t xml:space="preserve"> </w:t>
      </w:r>
      <w:r w:rsidR="00521363" w:rsidRPr="008F5066">
        <w:rPr>
          <w:rtl/>
          <w:lang w:eastAsia="zh-TW"/>
        </w:rPr>
        <w:t>المولود في</w:t>
      </w:r>
      <w:r>
        <w:rPr>
          <w:rFonts w:hint="cs"/>
          <w:rtl/>
          <w:lang w:eastAsia="zh-TW"/>
        </w:rPr>
        <w:t xml:space="preserve"> عام</w:t>
      </w:r>
      <w:r w:rsidR="00521363" w:rsidRPr="008F5066">
        <w:rPr>
          <w:rtl/>
          <w:lang w:eastAsia="zh-TW"/>
        </w:rPr>
        <w:t xml:space="preserve"> </w:t>
      </w:r>
      <w:r w:rsidR="00521363">
        <w:rPr>
          <w:rtl/>
          <w:lang w:eastAsia="zh-TW"/>
        </w:rPr>
        <w:t>2014</w:t>
      </w:r>
      <w:r w:rsidR="00521363" w:rsidRPr="008F5066">
        <w:rPr>
          <w:rtl/>
          <w:lang w:eastAsia="zh-TW"/>
        </w:rPr>
        <w:t>. و</w:t>
      </w:r>
      <w:r w:rsidR="00521363">
        <w:rPr>
          <w:rtl/>
          <w:lang w:eastAsia="zh-TW"/>
        </w:rPr>
        <w:t xml:space="preserve">عندما قدمت </w:t>
      </w:r>
      <w:r w:rsidR="00521363" w:rsidRPr="008F5066">
        <w:rPr>
          <w:rtl/>
          <w:lang w:eastAsia="zh-TW"/>
        </w:rPr>
        <w:t>الشكوى، كان أصحاب الشكوى يقيمون في الدانمرك</w:t>
      </w:r>
      <w:r>
        <w:rPr>
          <w:rFonts w:hint="cs"/>
          <w:rtl/>
          <w:lang w:eastAsia="zh-TW"/>
        </w:rPr>
        <w:t xml:space="preserve"> في</w:t>
      </w:r>
      <w:r w:rsidR="00521363" w:rsidRPr="008F5066">
        <w:rPr>
          <w:rtl/>
          <w:lang w:eastAsia="zh-TW"/>
        </w:rPr>
        <w:t xml:space="preserve"> </w:t>
      </w:r>
      <w:r w:rsidR="00521363">
        <w:rPr>
          <w:rtl/>
          <w:lang w:eastAsia="zh-TW"/>
        </w:rPr>
        <w:t>انتظار</w:t>
      </w:r>
      <w:r w:rsidR="00521363" w:rsidRPr="008F5066">
        <w:rPr>
          <w:rtl/>
          <w:lang w:eastAsia="zh-TW"/>
        </w:rPr>
        <w:t xml:space="preserve"> </w:t>
      </w:r>
      <w:r w:rsidR="00521363">
        <w:rPr>
          <w:rtl/>
          <w:lang w:eastAsia="zh-TW"/>
        </w:rPr>
        <w:t>إبعادهم</w:t>
      </w:r>
      <w:r w:rsidR="00521363" w:rsidRPr="008F5066">
        <w:rPr>
          <w:rtl/>
          <w:lang w:eastAsia="zh-TW"/>
        </w:rPr>
        <w:t xml:space="preserve"> إلى الاتحاد الروسي، </w:t>
      </w:r>
      <w:r w:rsidR="00521363">
        <w:rPr>
          <w:rtl/>
          <w:lang w:eastAsia="zh-TW"/>
        </w:rPr>
        <w:t>بعد أن</w:t>
      </w:r>
      <w:r w:rsidR="00521363" w:rsidRPr="008F5066">
        <w:rPr>
          <w:rtl/>
          <w:lang w:eastAsia="zh-TW"/>
        </w:rPr>
        <w:t xml:space="preserve"> رفض</w:t>
      </w:r>
      <w:r w:rsidR="00521363">
        <w:rPr>
          <w:rtl/>
          <w:lang w:eastAsia="zh-TW"/>
        </w:rPr>
        <w:t xml:space="preserve">ت طلبات اللجوء التي </w:t>
      </w:r>
      <w:r w:rsidR="00521363" w:rsidRPr="008F5066">
        <w:rPr>
          <w:rtl/>
          <w:lang w:eastAsia="zh-TW"/>
        </w:rPr>
        <w:t xml:space="preserve">قدموها. </w:t>
      </w:r>
      <w:dir w:val="rtl">
        <w:r w:rsidR="00521363" w:rsidRPr="008F5066">
          <w:rPr>
            <w:rtl/>
            <w:lang w:eastAsia="zh-TW"/>
          </w:rPr>
          <w:t xml:space="preserve">وهم يدّعون أن </w:t>
        </w:r>
        <w:r w:rsidR="00521363">
          <w:rPr>
            <w:rtl/>
            <w:lang w:eastAsia="zh-TW"/>
          </w:rPr>
          <w:t>إعادتهم</w:t>
        </w:r>
        <w:r w:rsidR="00521363" w:rsidRPr="008F5066">
          <w:rPr>
            <w:rtl/>
            <w:lang w:eastAsia="zh-TW"/>
          </w:rPr>
          <w:t xml:space="preserve"> إلى الاتحاد </w:t>
        </w:r>
        <w:r w:rsidR="00521363" w:rsidRPr="008F5066">
          <w:rPr>
            <w:rtl/>
            <w:lang w:eastAsia="zh-TW"/>
          </w:rPr>
          <w:lastRenderedPageBreak/>
          <w:t xml:space="preserve">الروسي </w:t>
        </w:r>
        <w:r w:rsidR="00521363">
          <w:rPr>
            <w:rtl/>
            <w:lang w:eastAsia="zh-TW"/>
          </w:rPr>
          <w:t>ت</w:t>
        </w:r>
        <w:r w:rsidR="00521363" w:rsidRPr="008F5066">
          <w:rPr>
            <w:rtl/>
            <w:lang w:eastAsia="zh-TW"/>
          </w:rPr>
          <w:t xml:space="preserve">شكل انتهاكاً من جانب الدانمرك </w:t>
        </w:r>
        <w:r w:rsidR="00521363">
          <w:rPr>
            <w:rtl/>
            <w:lang w:eastAsia="zh-TW"/>
          </w:rPr>
          <w:t>ل</w:t>
        </w:r>
        <w:r w:rsidR="00521363" w:rsidRPr="008F5066">
          <w:rPr>
            <w:rtl/>
            <w:lang w:eastAsia="zh-TW"/>
          </w:rPr>
          <w:t>لمادة 3 من الاتفاقية.</w:t>
        </w:r>
        <w:r w:rsidR="00521363" w:rsidRPr="008F5066">
          <w:rPr>
            <w:rFonts w:cs="Times New Roman"/>
            <w:rtl/>
            <w:lang w:eastAsia="zh-TW"/>
          </w:rPr>
          <w:t>‬</w:t>
        </w:r>
        <w:r w:rsidR="00521363" w:rsidRPr="008F5066">
          <w:rPr>
            <w:rtl/>
            <w:lang w:eastAsia="zh-TW"/>
          </w:rPr>
          <w:t xml:space="preserve"> </w:t>
        </w:r>
        <w:dir w:val="rtl">
          <w:r w:rsidR="00521363" w:rsidRPr="008F5066">
            <w:rPr>
              <w:rtl/>
              <w:lang w:eastAsia="zh-TW"/>
            </w:rPr>
            <w:t>و</w:t>
          </w:r>
          <w:r w:rsidR="00521363">
            <w:rPr>
              <w:rtl/>
              <w:lang w:eastAsia="zh-TW"/>
            </w:rPr>
            <w:t>ت</w:t>
          </w:r>
          <w:r w:rsidR="00521363" w:rsidRPr="008F5066">
            <w:rPr>
              <w:rtl/>
              <w:lang w:eastAsia="zh-TW"/>
            </w:rPr>
            <w:t>مثل أصحاب الشكوى المحامي</w:t>
          </w:r>
          <w:r w:rsidR="00521363">
            <w:rPr>
              <w:rtl/>
              <w:lang w:eastAsia="zh-TW"/>
            </w:rPr>
            <w:t>ة</w:t>
          </w:r>
          <w:r w:rsidR="00521363" w:rsidRPr="008F5066">
            <w:rPr>
              <w:rtl/>
              <w:lang w:eastAsia="zh-TW"/>
            </w:rPr>
            <w:t xml:space="preserve"> جيتي </w:t>
          </w:r>
          <w:proofErr w:type="spellStart"/>
          <w:r w:rsidR="00521363" w:rsidRPr="008F5066">
            <w:rPr>
              <w:rtl/>
              <w:lang w:eastAsia="zh-TW"/>
            </w:rPr>
            <w:t>لن</w:t>
          </w:r>
          <w:r w:rsidR="00521363">
            <w:rPr>
              <w:rtl/>
              <w:lang w:eastAsia="zh-TW"/>
            </w:rPr>
            <w:t>د</w:t>
          </w:r>
          <w:r w:rsidR="00521363" w:rsidRPr="008F5066">
            <w:rPr>
              <w:rtl/>
              <w:lang w:eastAsia="zh-TW"/>
            </w:rPr>
            <w:t>غارد</w:t>
          </w:r>
          <w:proofErr w:type="spellEnd"/>
          <w:r w:rsidR="00521363" w:rsidRPr="008F5066">
            <w:rPr>
              <w:rtl/>
              <w:lang w:eastAsia="zh-TW"/>
            </w:rPr>
            <w:t>.</w:t>
          </w:r>
          <w:r w:rsidR="00521363" w:rsidRPr="008F5066">
            <w:rPr>
              <w:rFonts w:cs="Times New Roman"/>
              <w:rtl/>
              <w:lang w:eastAsia="zh-TW"/>
            </w:rPr>
            <w:t>‬</w:t>
          </w:r>
          <w:r w:rsidR="00521363">
            <w:t>‬</w:t>
          </w:r>
          <w:r w:rsidR="00521363">
            <w:t>‬</w:t>
          </w:r>
          <w:r w:rsidR="00D3340E">
            <w:t>‬</w:t>
          </w:r>
          <w:r w:rsidR="00D3340E">
            <w:t>‬</w:t>
          </w:r>
          <w:r w:rsidR="002C3FDD">
            <w:t>‬</w:t>
          </w:r>
          <w:r w:rsidR="002C3FDD">
            <w:t>‬</w:t>
          </w:r>
        </w:dir>
      </w:dir>
    </w:p>
    <w:p w:rsidR="00521363" w:rsidRPr="008F5066" w:rsidRDefault="00A96991" w:rsidP="002A4B7F">
      <w:pPr>
        <w:pStyle w:val="SingleTxtGA"/>
        <w:spacing w:line="360" w:lineRule="exact"/>
        <w:rPr>
          <w:rtl/>
          <w:lang w:eastAsia="zh-TW"/>
        </w:rPr>
      </w:pPr>
      <w:r>
        <w:rPr>
          <w:rtl/>
          <w:lang w:eastAsia="zh-TW"/>
        </w:rPr>
        <w:t>١-٢</w:t>
      </w:r>
      <w:r>
        <w:rPr>
          <w:rFonts w:hint="cs"/>
          <w:rtl/>
          <w:lang w:eastAsia="zh-TW"/>
        </w:rPr>
        <w:tab/>
      </w:r>
      <w:r w:rsidR="00521363" w:rsidRPr="008F5066">
        <w:rPr>
          <w:rtl/>
          <w:lang w:eastAsia="zh-TW"/>
        </w:rPr>
        <w:t xml:space="preserve">وفي 15 تشرين الأول/أكتوبر 2014، </w:t>
      </w:r>
      <w:r w:rsidR="00521363">
        <w:rPr>
          <w:rtl/>
          <w:lang w:eastAsia="zh-TW"/>
        </w:rPr>
        <w:t>أرسلت</w:t>
      </w:r>
      <w:r w:rsidR="00521363" w:rsidRPr="008F5066">
        <w:rPr>
          <w:rtl/>
          <w:lang w:eastAsia="zh-TW"/>
        </w:rPr>
        <w:t xml:space="preserve"> اللجنة، عملاً بالفقرة 1 من المادة</w:t>
      </w:r>
      <w:r>
        <w:rPr>
          <w:rFonts w:hint="cs"/>
          <w:rtl/>
          <w:lang w:eastAsia="zh-TW"/>
        </w:rPr>
        <w:t> </w:t>
      </w:r>
      <w:r w:rsidR="00521363" w:rsidRPr="008F5066">
        <w:rPr>
          <w:rtl/>
          <w:lang w:eastAsia="zh-TW"/>
        </w:rPr>
        <w:t xml:space="preserve">114 من نظامها الداخلي، </w:t>
      </w:r>
      <w:r w:rsidR="00521363">
        <w:rPr>
          <w:rtl/>
          <w:lang w:eastAsia="zh-TW"/>
        </w:rPr>
        <w:t>طلب</w:t>
      </w:r>
      <w:r w:rsidR="002D164F">
        <w:rPr>
          <w:rtl/>
          <w:lang w:eastAsia="zh-TW"/>
        </w:rPr>
        <w:t xml:space="preserve">اً </w:t>
      </w:r>
      <w:r w:rsidR="00521363">
        <w:rPr>
          <w:rtl/>
          <w:lang w:eastAsia="zh-TW"/>
        </w:rPr>
        <w:t>عن طريق</w:t>
      </w:r>
      <w:r w:rsidR="00521363" w:rsidRPr="008F5066">
        <w:rPr>
          <w:rtl/>
          <w:lang w:eastAsia="zh-TW"/>
        </w:rPr>
        <w:t xml:space="preserve"> مقررها المعني بالشكاوى الجديدة والتدابير المؤقتة، إلى الدولة الطرف </w:t>
      </w:r>
      <w:r w:rsidR="00521363">
        <w:rPr>
          <w:rtl/>
          <w:lang w:eastAsia="zh-TW"/>
        </w:rPr>
        <w:t>ب</w:t>
      </w:r>
      <w:r w:rsidR="00521363" w:rsidRPr="008F5066">
        <w:rPr>
          <w:rtl/>
          <w:lang w:eastAsia="zh-TW"/>
        </w:rPr>
        <w:t>ألّا تعيد أصحاب الشك</w:t>
      </w:r>
      <w:r w:rsidR="00521363">
        <w:rPr>
          <w:rtl/>
          <w:lang w:eastAsia="zh-TW"/>
        </w:rPr>
        <w:t xml:space="preserve">وى إلى الاتحاد الروسي ريثما تنظر </w:t>
      </w:r>
      <w:r w:rsidR="00521363" w:rsidRPr="008F5066">
        <w:rPr>
          <w:rtl/>
          <w:lang w:eastAsia="zh-TW"/>
        </w:rPr>
        <w:t>في شكواهم.</w:t>
      </w:r>
      <w:r w:rsidR="00521363" w:rsidRPr="008F5066">
        <w:rPr>
          <w:rFonts w:cs="Times New Roman"/>
          <w:rtl/>
          <w:lang w:eastAsia="zh-TW"/>
        </w:rPr>
        <w:t>‬</w:t>
      </w:r>
      <w:r w:rsidR="00521363" w:rsidRPr="008F5066">
        <w:rPr>
          <w:rtl/>
          <w:lang w:eastAsia="zh-TW"/>
        </w:rPr>
        <w:t xml:space="preserve"> واستجابت الدولة الطرف لهذا الطلب. وفي 12 آب/أغسطس و5 تشرين الثاني/نوفمبر 2015، قررت اللجنة، عن طريق المقرر الخاص، رفض </w:t>
      </w:r>
      <w:r w:rsidR="00521363">
        <w:rPr>
          <w:rtl/>
          <w:lang w:eastAsia="zh-TW"/>
        </w:rPr>
        <w:t>طلب</w:t>
      </w:r>
      <w:r w:rsidR="00521363" w:rsidRPr="008F5066">
        <w:rPr>
          <w:rtl/>
          <w:lang w:eastAsia="zh-TW"/>
        </w:rPr>
        <w:t xml:space="preserve"> الدولة الطرف رفع التدابير المؤقتة.</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t>‬</w:t>
      </w:r>
      <w:r w:rsidR="00D3340E">
        <w:t>‬</w:t>
      </w:r>
    </w:p>
    <w:p w:rsidR="00521363" w:rsidRPr="008F5066" w:rsidRDefault="00521363" w:rsidP="00A96991">
      <w:pPr>
        <w:pStyle w:val="H23GA"/>
        <w:rPr>
          <w:rtl/>
        </w:rPr>
      </w:pPr>
      <w:r w:rsidRPr="008F5066">
        <w:rPr>
          <w:rtl/>
        </w:rPr>
        <w:tab/>
      </w:r>
      <w:r w:rsidRPr="008F5066">
        <w:rPr>
          <w:rtl/>
        </w:rPr>
        <w:tab/>
      </w:r>
      <w:dir w:val="rtl">
        <w:r w:rsidRPr="00A45875">
          <w:rPr>
            <w:rtl/>
          </w:rPr>
          <w:t>بيان الوقائع</w:t>
        </w:r>
        <w:r w:rsidRPr="008F5066">
          <w:rPr>
            <w:rFonts w:cs="Times New Roman"/>
            <w:rtl/>
          </w:rPr>
          <w:t>‬</w:t>
        </w:r>
        <w:r>
          <w:t>‬</w:t>
        </w:r>
        <w:r w:rsidR="00D3340E">
          <w:t>‬</w:t>
        </w:r>
        <w:r w:rsidR="002C3FDD">
          <w:t>‬</w:t>
        </w:r>
      </w:dir>
    </w:p>
    <w:p w:rsidR="00521363" w:rsidRPr="00377B19" w:rsidRDefault="00A96991" w:rsidP="002A4B7F">
      <w:pPr>
        <w:pStyle w:val="SingleTxtGA"/>
        <w:spacing w:line="360" w:lineRule="exact"/>
        <w:rPr>
          <w:sz w:val="30"/>
          <w:rtl/>
          <w:lang w:eastAsia="zh-TW"/>
        </w:rPr>
      </w:pPr>
      <w:r w:rsidRPr="00377B19">
        <w:rPr>
          <w:sz w:val="30"/>
          <w:rtl/>
          <w:lang w:eastAsia="zh-TW"/>
        </w:rPr>
        <w:t>٢-١</w:t>
      </w:r>
      <w:r w:rsidRPr="00377B19">
        <w:rPr>
          <w:rFonts w:hint="cs"/>
          <w:sz w:val="30"/>
          <w:rtl/>
          <w:lang w:eastAsia="zh-TW"/>
        </w:rPr>
        <w:tab/>
      </w:r>
      <w:r w:rsidR="00521363" w:rsidRPr="00377B19">
        <w:rPr>
          <w:sz w:val="30"/>
          <w:rtl/>
          <w:lang w:eastAsia="zh-TW"/>
        </w:rPr>
        <w:t xml:space="preserve">صاحب الشكوى الأول هو مسلم من أصل </w:t>
      </w:r>
      <w:proofErr w:type="spellStart"/>
      <w:r w:rsidR="00521363" w:rsidRPr="00377B19">
        <w:rPr>
          <w:sz w:val="30"/>
          <w:rtl/>
          <w:lang w:eastAsia="zh-TW"/>
        </w:rPr>
        <w:t>إنغوشي</w:t>
      </w:r>
      <w:proofErr w:type="spellEnd"/>
      <w:r w:rsidR="00521363" w:rsidRPr="00377B19">
        <w:rPr>
          <w:sz w:val="30"/>
          <w:rtl/>
          <w:lang w:eastAsia="zh-TW"/>
        </w:rPr>
        <w:t>، ولد في كازاخستان، حيث حصل على شهادة الدراسات العليا في مجال الهندسة الميكانيكية. وكان يعيش، منذ عام</w:t>
      </w:r>
      <w:r w:rsidRPr="00377B19">
        <w:rPr>
          <w:rFonts w:hint="cs"/>
          <w:sz w:val="30"/>
          <w:rtl/>
          <w:lang w:eastAsia="zh-TW"/>
        </w:rPr>
        <w:t> </w:t>
      </w:r>
      <w:r w:rsidR="00521363" w:rsidRPr="00377B19">
        <w:rPr>
          <w:sz w:val="30"/>
          <w:rtl/>
          <w:lang w:eastAsia="zh-TW"/>
        </w:rPr>
        <w:t xml:space="preserve">1992، في مدينة غروزني، </w:t>
      </w:r>
      <w:proofErr w:type="spellStart"/>
      <w:r w:rsidR="00521363" w:rsidRPr="00377B19">
        <w:rPr>
          <w:sz w:val="30"/>
          <w:rtl/>
          <w:lang w:eastAsia="zh-TW"/>
        </w:rPr>
        <w:t>بالشيشان</w:t>
      </w:r>
      <w:proofErr w:type="spellEnd"/>
      <w:r w:rsidR="00521363" w:rsidRPr="00377B19">
        <w:rPr>
          <w:sz w:val="30"/>
          <w:rtl/>
          <w:lang w:eastAsia="zh-TW"/>
        </w:rPr>
        <w:t xml:space="preserve">، في الاتحاد الروسي، حيث عمل في صناعة النفط. وقد فر من </w:t>
      </w:r>
      <w:proofErr w:type="spellStart"/>
      <w:r w:rsidR="00521363" w:rsidRPr="00377B19">
        <w:rPr>
          <w:sz w:val="30"/>
          <w:rtl/>
          <w:lang w:eastAsia="zh-TW"/>
        </w:rPr>
        <w:t>إنغوشتيا</w:t>
      </w:r>
      <w:proofErr w:type="spellEnd"/>
      <w:r w:rsidR="00521363" w:rsidRPr="00377B19">
        <w:rPr>
          <w:sz w:val="30"/>
          <w:rtl/>
          <w:lang w:eastAsia="zh-TW"/>
        </w:rPr>
        <w:t xml:space="preserve">، بالاتحاد الروسي، برفقة والديه وشقيقاته الثلاث في عام 1995 بسبب العمليات العسكرية في الشيشان. وانتقل صاحب الشكوى الأول، برفقة والديه واثنتين من شقيقاته، من مخيم للاجئين في </w:t>
      </w:r>
      <w:proofErr w:type="spellStart"/>
      <w:r w:rsidR="00521363" w:rsidRPr="00377B19">
        <w:rPr>
          <w:sz w:val="30"/>
          <w:rtl/>
          <w:lang w:eastAsia="zh-TW"/>
        </w:rPr>
        <w:t>كارابولاك</w:t>
      </w:r>
      <w:proofErr w:type="spellEnd"/>
      <w:r w:rsidR="00521363" w:rsidRPr="00377B19">
        <w:rPr>
          <w:sz w:val="30"/>
          <w:rtl/>
          <w:lang w:eastAsia="zh-TW"/>
        </w:rPr>
        <w:t xml:space="preserve"> </w:t>
      </w:r>
      <w:proofErr w:type="spellStart"/>
      <w:r w:rsidR="00521363" w:rsidRPr="00377B19">
        <w:rPr>
          <w:sz w:val="30"/>
          <w:rtl/>
          <w:lang w:eastAsia="zh-TW"/>
        </w:rPr>
        <w:t>بإنغوشتيا</w:t>
      </w:r>
      <w:proofErr w:type="spellEnd"/>
      <w:r w:rsidR="00521363" w:rsidRPr="00377B19">
        <w:rPr>
          <w:sz w:val="30"/>
          <w:rtl/>
          <w:lang w:eastAsia="zh-TW"/>
        </w:rPr>
        <w:t>، حيث عاشوا حتى عام 2001، إلى نصير</w:t>
      </w:r>
      <w:r w:rsidR="002D164F">
        <w:rPr>
          <w:rFonts w:hint="eastAsia"/>
          <w:sz w:val="30"/>
          <w:rtl/>
          <w:lang w:eastAsia="zh-TW"/>
        </w:rPr>
        <w:t> </w:t>
      </w:r>
      <w:r w:rsidR="00521363" w:rsidRPr="00377B19">
        <w:rPr>
          <w:sz w:val="30"/>
          <w:rtl/>
          <w:lang w:eastAsia="zh-TW"/>
        </w:rPr>
        <w:t>-</w:t>
      </w:r>
      <w:r w:rsidR="002D164F">
        <w:rPr>
          <w:rFonts w:hint="cs"/>
          <w:sz w:val="30"/>
          <w:rtl/>
          <w:lang w:eastAsia="zh-TW"/>
        </w:rPr>
        <w:t xml:space="preserve"> </w:t>
      </w:r>
      <w:r w:rsidR="00521363" w:rsidRPr="00377B19">
        <w:rPr>
          <w:sz w:val="30"/>
          <w:rtl/>
          <w:lang w:eastAsia="zh-TW"/>
        </w:rPr>
        <w:t xml:space="preserve">كورت، إحدى ضواحي </w:t>
      </w:r>
      <w:proofErr w:type="spellStart"/>
      <w:r w:rsidR="00521363" w:rsidRPr="00377B19">
        <w:rPr>
          <w:sz w:val="30"/>
          <w:rtl/>
          <w:lang w:eastAsia="zh-TW"/>
        </w:rPr>
        <w:t>نازران</w:t>
      </w:r>
      <w:proofErr w:type="spellEnd"/>
      <w:r w:rsidR="00521363" w:rsidRPr="00377B19">
        <w:rPr>
          <w:sz w:val="30"/>
          <w:rtl/>
          <w:lang w:eastAsia="zh-TW"/>
        </w:rPr>
        <w:t>. وشيئ</w:t>
      </w:r>
      <w:r w:rsidR="002D164F">
        <w:rPr>
          <w:sz w:val="30"/>
          <w:rtl/>
          <w:lang w:eastAsia="zh-TW"/>
        </w:rPr>
        <w:t xml:space="preserve">اً </w:t>
      </w:r>
      <w:r w:rsidR="00521363" w:rsidRPr="00377B19">
        <w:rPr>
          <w:sz w:val="30"/>
          <w:rtl/>
          <w:lang w:eastAsia="zh-TW"/>
        </w:rPr>
        <w:t>فشيئ</w:t>
      </w:r>
      <w:r w:rsidR="002D164F">
        <w:rPr>
          <w:sz w:val="30"/>
          <w:rtl/>
          <w:lang w:eastAsia="zh-TW"/>
        </w:rPr>
        <w:t xml:space="preserve">اً </w:t>
      </w:r>
      <w:r w:rsidR="00521363" w:rsidRPr="00377B19">
        <w:rPr>
          <w:sz w:val="30"/>
          <w:rtl/>
          <w:lang w:eastAsia="zh-TW"/>
        </w:rPr>
        <w:t>أطلق مشروع</w:t>
      </w:r>
      <w:r w:rsidR="002D164F">
        <w:rPr>
          <w:sz w:val="30"/>
          <w:rtl/>
          <w:lang w:eastAsia="zh-TW"/>
        </w:rPr>
        <w:t xml:space="preserve">اً </w:t>
      </w:r>
      <w:r w:rsidR="00521363" w:rsidRPr="00377B19">
        <w:rPr>
          <w:sz w:val="30"/>
          <w:rtl/>
          <w:lang w:eastAsia="zh-TW"/>
        </w:rPr>
        <w:t>صغير</w:t>
      </w:r>
      <w:r w:rsidR="002D164F">
        <w:rPr>
          <w:sz w:val="30"/>
          <w:rtl/>
          <w:lang w:eastAsia="zh-TW"/>
        </w:rPr>
        <w:t xml:space="preserve">اً </w:t>
      </w:r>
      <w:r w:rsidR="00521363" w:rsidRPr="00377B19">
        <w:rPr>
          <w:sz w:val="30"/>
          <w:rtl/>
          <w:lang w:eastAsia="zh-TW"/>
        </w:rPr>
        <w:t xml:space="preserve">لتصليح السيارات ثم فتح بقالة في </w:t>
      </w:r>
      <w:proofErr w:type="spellStart"/>
      <w:r w:rsidR="00521363" w:rsidRPr="00377B19">
        <w:rPr>
          <w:sz w:val="30"/>
          <w:rtl/>
          <w:lang w:eastAsia="zh-TW"/>
        </w:rPr>
        <w:t>نازران</w:t>
      </w:r>
      <w:proofErr w:type="spellEnd"/>
      <w:r w:rsidR="00521363" w:rsidRPr="00377B19">
        <w:rPr>
          <w:sz w:val="30"/>
          <w:rtl/>
          <w:lang w:eastAsia="zh-TW"/>
        </w:rPr>
        <w:t xml:space="preserve"> عام 2008. وفي 21 حزيران/يونيه 2009، تزوج صاحبة الشكوى الثانية، وهي أيض</w:t>
      </w:r>
      <w:r w:rsidR="002D164F">
        <w:rPr>
          <w:sz w:val="30"/>
          <w:rtl/>
          <w:lang w:eastAsia="zh-TW"/>
        </w:rPr>
        <w:t xml:space="preserve">اً </w:t>
      </w:r>
      <w:r w:rsidR="00521363" w:rsidRPr="00377B19">
        <w:rPr>
          <w:sz w:val="30"/>
          <w:rtl/>
          <w:lang w:eastAsia="zh-TW"/>
        </w:rPr>
        <w:t xml:space="preserve">مسلمة من أصل </w:t>
      </w:r>
      <w:proofErr w:type="spellStart"/>
      <w:r w:rsidR="00521363" w:rsidRPr="00377B19">
        <w:rPr>
          <w:sz w:val="30"/>
          <w:rtl/>
          <w:lang w:eastAsia="zh-TW"/>
        </w:rPr>
        <w:t>إنغوشي</w:t>
      </w:r>
      <w:proofErr w:type="spellEnd"/>
      <w:r w:rsidR="00521363" w:rsidRPr="00377B19">
        <w:rPr>
          <w:sz w:val="30"/>
          <w:rtl/>
          <w:lang w:eastAsia="zh-TW"/>
        </w:rPr>
        <w:t xml:space="preserve"> ولدت في الاتحاد الروسي. </w:t>
      </w:r>
    </w:p>
    <w:p w:rsidR="00521363" w:rsidRPr="00377B19" w:rsidRDefault="00A96991" w:rsidP="002A4B7F">
      <w:pPr>
        <w:pStyle w:val="SingleTxtGA"/>
        <w:spacing w:line="360" w:lineRule="exact"/>
        <w:rPr>
          <w:sz w:val="30"/>
          <w:rtl/>
          <w:lang w:eastAsia="zh-TW"/>
        </w:rPr>
      </w:pPr>
      <w:r w:rsidRPr="00377B19">
        <w:rPr>
          <w:sz w:val="30"/>
          <w:rtl/>
          <w:lang w:eastAsia="zh-TW"/>
        </w:rPr>
        <w:t>٢-٢</w:t>
      </w:r>
      <w:r w:rsidRPr="00377B19">
        <w:rPr>
          <w:rFonts w:hint="cs"/>
          <w:sz w:val="30"/>
          <w:rtl/>
          <w:lang w:eastAsia="zh-TW"/>
        </w:rPr>
        <w:tab/>
      </w:r>
      <w:r w:rsidR="00521363" w:rsidRPr="00377B19">
        <w:rPr>
          <w:sz w:val="30"/>
          <w:rtl/>
          <w:lang w:eastAsia="zh-TW"/>
        </w:rPr>
        <w:t xml:space="preserve">ويدعي صاحب الشكوى الأول أنه كان في البقالة مع شقيقته الصغرى في يوم 15 أيلول/سبتمبر 2013، حين دخل عليهما رجلان يبدو من سحنتهما أنهما من شمال القوقاز. وكلَّم أحدهما صاحب الشكوى الأول </w:t>
      </w:r>
      <w:proofErr w:type="spellStart"/>
      <w:r w:rsidR="00521363" w:rsidRPr="00377B19">
        <w:rPr>
          <w:sz w:val="30"/>
          <w:rtl/>
          <w:lang w:eastAsia="zh-TW"/>
        </w:rPr>
        <w:t>بالإنغوشية</w:t>
      </w:r>
      <w:proofErr w:type="spellEnd"/>
      <w:r w:rsidR="00521363" w:rsidRPr="00377B19">
        <w:rPr>
          <w:sz w:val="30"/>
          <w:rtl/>
          <w:lang w:eastAsia="zh-TW"/>
        </w:rPr>
        <w:t>. وكان الرجلان يتحدثان بالروسية فيما بينهما. واشتريا كميات كبيرة من المواد الغذائية</w:t>
      </w:r>
      <w:r w:rsidRPr="00377B19">
        <w:rPr>
          <w:rFonts w:hint="cs"/>
          <w:sz w:val="30"/>
          <w:vertAlign w:val="superscript"/>
          <w:rtl/>
          <w:lang w:eastAsia="zh-TW"/>
        </w:rPr>
        <w:t>(</w:t>
      </w:r>
      <w:r w:rsidR="00521363" w:rsidRPr="00377B19">
        <w:rPr>
          <w:rStyle w:val="FootnoteReference"/>
          <w:rFonts w:ascii="Traditional Arabic" w:hAnsi="Traditional Arabic"/>
          <w:sz w:val="30"/>
          <w:szCs w:val="30"/>
          <w:rtl/>
          <w:lang w:eastAsia="zh-TW"/>
        </w:rPr>
        <w:footnoteReference w:id="3"/>
      </w:r>
      <w:r w:rsidRPr="00377B19">
        <w:rPr>
          <w:rFonts w:hint="cs"/>
          <w:sz w:val="30"/>
          <w:vertAlign w:val="superscript"/>
          <w:rtl/>
          <w:lang w:eastAsia="zh-TW"/>
        </w:rPr>
        <w:t>)</w:t>
      </w:r>
      <w:r w:rsidR="00521363" w:rsidRPr="00377B19">
        <w:rPr>
          <w:sz w:val="30"/>
          <w:rtl/>
          <w:lang w:eastAsia="zh-TW"/>
        </w:rPr>
        <w:t xml:space="preserve"> ثم طلبا إلى صاحب الشكوى الأول نقل تلك البضاعة إلى قرية </w:t>
      </w:r>
      <w:proofErr w:type="spellStart"/>
      <w:r w:rsidR="00521363" w:rsidRPr="00377B19">
        <w:rPr>
          <w:sz w:val="30"/>
          <w:rtl/>
          <w:lang w:eastAsia="zh-TW"/>
        </w:rPr>
        <w:t>غالاشكي</w:t>
      </w:r>
      <w:proofErr w:type="spellEnd"/>
      <w:r w:rsidR="00521363" w:rsidRPr="00377B19">
        <w:rPr>
          <w:sz w:val="30"/>
          <w:rtl/>
          <w:lang w:eastAsia="zh-TW"/>
        </w:rPr>
        <w:t>، فلبَّى طلبهما. وفي الطريق، طُلب إليه أن يوقف السيارة عند طرف إحدى الغابات، وأجرى أحد الرجلين اتصال</w:t>
      </w:r>
      <w:r w:rsidR="002D164F">
        <w:rPr>
          <w:sz w:val="30"/>
          <w:rtl/>
          <w:lang w:eastAsia="zh-TW"/>
        </w:rPr>
        <w:t xml:space="preserve">اً </w:t>
      </w:r>
      <w:r w:rsidR="00521363" w:rsidRPr="00377B19">
        <w:rPr>
          <w:sz w:val="30"/>
          <w:rtl/>
          <w:lang w:eastAsia="zh-TW"/>
        </w:rPr>
        <w:t>هاتفي</w:t>
      </w:r>
      <w:r w:rsidR="002D164F">
        <w:rPr>
          <w:sz w:val="30"/>
          <w:rtl/>
          <w:lang w:eastAsia="zh-TW"/>
        </w:rPr>
        <w:t xml:space="preserve">اً </w:t>
      </w:r>
      <w:proofErr w:type="spellStart"/>
      <w:r w:rsidR="00521363" w:rsidRPr="00377B19">
        <w:rPr>
          <w:sz w:val="30"/>
          <w:rtl/>
          <w:lang w:eastAsia="zh-TW"/>
        </w:rPr>
        <w:t>بالإنغوشية</w:t>
      </w:r>
      <w:proofErr w:type="spellEnd"/>
      <w:r w:rsidRPr="00377B19">
        <w:rPr>
          <w:rFonts w:hint="cs"/>
          <w:sz w:val="30"/>
          <w:vertAlign w:val="superscript"/>
          <w:rtl/>
          <w:lang w:eastAsia="zh-TW"/>
        </w:rPr>
        <w:t>(</w:t>
      </w:r>
      <w:r w:rsidR="00521363" w:rsidRPr="00377B19">
        <w:rPr>
          <w:rStyle w:val="FootnoteReference"/>
          <w:rFonts w:ascii="Traditional Arabic" w:hAnsi="Traditional Arabic"/>
          <w:sz w:val="30"/>
          <w:szCs w:val="30"/>
          <w:rtl/>
          <w:lang w:eastAsia="zh-TW"/>
        </w:rPr>
        <w:footnoteReference w:id="4"/>
      </w:r>
      <w:r w:rsidRPr="00377B19">
        <w:rPr>
          <w:rFonts w:hint="cs"/>
          <w:sz w:val="30"/>
          <w:vertAlign w:val="superscript"/>
          <w:rtl/>
          <w:lang w:eastAsia="zh-TW"/>
        </w:rPr>
        <w:t>)</w:t>
      </w:r>
      <w:r w:rsidRPr="00377B19">
        <w:rPr>
          <w:rFonts w:hint="cs"/>
          <w:sz w:val="30"/>
          <w:rtl/>
          <w:lang w:eastAsia="zh-TW"/>
        </w:rPr>
        <w:t>؛</w:t>
      </w:r>
      <w:r w:rsidR="00521363" w:rsidRPr="00377B19">
        <w:rPr>
          <w:sz w:val="30"/>
          <w:rtl/>
          <w:lang w:eastAsia="zh-TW"/>
        </w:rPr>
        <w:t xml:space="preserve"> وبعد بضع دقائق، خرج ثلاثة رجال آخرين من الغابة. وتبين أن أولئك الرجال، الذين كانوا ملتحين ومسلحين ويرتدون زي</w:t>
      </w:r>
      <w:r w:rsidR="002D164F">
        <w:rPr>
          <w:sz w:val="30"/>
          <w:rtl/>
          <w:lang w:eastAsia="zh-TW"/>
        </w:rPr>
        <w:t xml:space="preserve">اً </w:t>
      </w:r>
      <w:r w:rsidR="00521363" w:rsidRPr="00377B19">
        <w:rPr>
          <w:sz w:val="30"/>
          <w:rtl/>
          <w:lang w:eastAsia="zh-TW"/>
        </w:rPr>
        <w:t>مموها</w:t>
      </w:r>
      <w:r w:rsidR="00D3340E">
        <w:rPr>
          <w:rFonts w:hint="cs"/>
          <w:sz w:val="30"/>
          <w:rtl/>
          <w:lang w:eastAsia="zh-TW"/>
        </w:rPr>
        <w:t>ً</w:t>
      </w:r>
      <w:r w:rsidR="00521363" w:rsidRPr="00377B19">
        <w:rPr>
          <w:sz w:val="30"/>
          <w:rtl/>
          <w:lang w:eastAsia="zh-TW"/>
        </w:rPr>
        <w:t>، كانوا من المتمردين. وسمع صاحب الشكوى الأول أحد الرجلين اللذين كان يقلهما بسيارته يطلب منه أن ينسى ما رأت عيناه. وقيل له أيض</w:t>
      </w:r>
      <w:r w:rsidR="002D164F">
        <w:rPr>
          <w:sz w:val="30"/>
          <w:rtl/>
          <w:lang w:eastAsia="zh-TW"/>
        </w:rPr>
        <w:t xml:space="preserve">اً </w:t>
      </w:r>
      <w:r w:rsidR="00521363" w:rsidRPr="00377B19">
        <w:rPr>
          <w:sz w:val="30"/>
          <w:rtl/>
          <w:lang w:eastAsia="zh-TW"/>
        </w:rPr>
        <w:t xml:space="preserve">إن أولئك الرجال يعرفون المكان الذي يعيش فيه مع زوجته وإن الرجل الثاني القابع في السيارة قد صور ما دار من حديث بهاتف نقال. </w:t>
      </w:r>
    </w:p>
    <w:p w:rsidR="00521363" w:rsidRPr="00377B19" w:rsidRDefault="00A96991" w:rsidP="002A4B7F">
      <w:pPr>
        <w:pStyle w:val="SingleTxtGA"/>
        <w:spacing w:line="360" w:lineRule="exact"/>
        <w:rPr>
          <w:sz w:val="30"/>
          <w:rtl/>
          <w:lang w:eastAsia="zh-TW"/>
        </w:rPr>
      </w:pPr>
      <w:r w:rsidRPr="00377B19">
        <w:rPr>
          <w:sz w:val="30"/>
          <w:rtl/>
          <w:lang w:eastAsia="zh-TW"/>
        </w:rPr>
        <w:t>٢-٣</w:t>
      </w:r>
      <w:r w:rsidRPr="00377B19">
        <w:rPr>
          <w:rFonts w:hint="cs"/>
          <w:sz w:val="30"/>
          <w:rtl/>
          <w:lang w:eastAsia="zh-TW"/>
        </w:rPr>
        <w:tab/>
      </w:r>
      <w:r w:rsidR="00521363" w:rsidRPr="00377B19">
        <w:rPr>
          <w:sz w:val="30"/>
          <w:rtl/>
          <w:lang w:eastAsia="zh-TW"/>
        </w:rPr>
        <w:t>وبعيد منتصف ليل 18 تشرين الثاني/نوفمبر 2013، تلقى صاحب الشكوى الأول اتصال</w:t>
      </w:r>
      <w:r w:rsidR="002D164F">
        <w:rPr>
          <w:sz w:val="30"/>
          <w:rtl/>
          <w:lang w:eastAsia="zh-TW"/>
        </w:rPr>
        <w:t xml:space="preserve">اً </w:t>
      </w:r>
      <w:r w:rsidR="00521363" w:rsidRPr="00377B19">
        <w:rPr>
          <w:sz w:val="30"/>
          <w:rtl/>
          <w:lang w:eastAsia="zh-TW"/>
        </w:rPr>
        <w:t>من شقيقته الأكبر تبلغه فيه أن رجال</w:t>
      </w:r>
      <w:r w:rsidR="002D164F">
        <w:rPr>
          <w:sz w:val="30"/>
          <w:rtl/>
          <w:lang w:eastAsia="zh-TW"/>
        </w:rPr>
        <w:t xml:space="preserve">اً </w:t>
      </w:r>
      <w:r w:rsidR="00521363" w:rsidRPr="00377B19">
        <w:rPr>
          <w:sz w:val="30"/>
          <w:rtl/>
          <w:lang w:eastAsia="zh-TW"/>
        </w:rPr>
        <w:t>مسلحين ومقنعين يرتدون زي</w:t>
      </w:r>
      <w:r w:rsidR="002D164F">
        <w:rPr>
          <w:sz w:val="30"/>
          <w:rtl/>
          <w:lang w:eastAsia="zh-TW"/>
        </w:rPr>
        <w:t xml:space="preserve">اً </w:t>
      </w:r>
      <w:r w:rsidR="00521363" w:rsidRPr="00377B19">
        <w:rPr>
          <w:sz w:val="30"/>
          <w:rtl/>
          <w:lang w:eastAsia="zh-TW"/>
        </w:rPr>
        <w:t xml:space="preserve">مموها دخلوا إلى </w:t>
      </w:r>
      <w:r w:rsidR="00521363" w:rsidRPr="00377B19">
        <w:rPr>
          <w:sz w:val="30"/>
          <w:rtl/>
          <w:lang w:eastAsia="zh-TW"/>
        </w:rPr>
        <w:lastRenderedPageBreak/>
        <w:t>منزل والديه، حيث كانت تقيم أسرة أصحاب الشكوى، واعتقلوا شقيقته الصغرى</w:t>
      </w:r>
      <w:r w:rsidR="00242E31" w:rsidRPr="00377B19">
        <w:rPr>
          <w:rFonts w:hint="cs"/>
          <w:sz w:val="30"/>
          <w:vertAlign w:val="superscript"/>
          <w:rtl/>
          <w:lang w:eastAsia="zh-TW"/>
        </w:rPr>
        <w:t>(</w:t>
      </w:r>
      <w:r w:rsidR="00521363" w:rsidRPr="00377B19">
        <w:rPr>
          <w:rStyle w:val="FootnoteReference"/>
          <w:rFonts w:ascii="Traditional Arabic" w:hAnsi="Traditional Arabic"/>
          <w:sz w:val="30"/>
          <w:szCs w:val="30"/>
          <w:rtl/>
          <w:lang w:eastAsia="zh-TW"/>
        </w:rPr>
        <w:footnoteReference w:id="5"/>
      </w:r>
      <w:r w:rsidR="00242E31" w:rsidRPr="00377B19">
        <w:rPr>
          <w:rFonts w:hint="cs"/>
          <w:sz w:val="30"/>
          <w:vertAlign w:val="superscript"/>
          <w:rtl/>
          <w:lang w:eastAsia="zh-TW"/>
        </w:rPr>
        <w:t>)</w:t>
      </w:r>
      <w:r w:rsidR="00242E31" w:rsidRPr="00377B19">
        <w:rPr>
          <w:rFonts w:hint="cs"/>
          <w:sz w:val="30"/>
          <w:rtl/>
          <w:lang w:eastAsia="zh-TW"/>
        </w:rPr>
        <w:t>.</w:t>
      </w:r>
      <w:r w:rsidR="00521363" w:rsidRPr="00377B19">
        <w:rPr>
          <w:sz w:val="30"/>
          <w:rtl/>
          <w:lang w:eastAsia="zh-TW"/>
        </w:rPr>
        <w:t xml:space="preserve"> وعندما وصل إلى المنزل، تلقى ضربة على رقبته ففقد الوعي. وقدم أصحاب الشكوى إلى اللجنة رسالتين مكتوبتين بخط اليد باللغة الروسية وردتا من جيرانهم مفادها أنهم شهدوا الحادث، بتاريخ 18 تشرين الثاني/نوفمبر 2013، وأنهم شاهدوا صاحب الشكوى الأول يُسحب، دون أن يحرك ساكنا</w:t>
      </w:r>
      <w:r w:rsidR="00D3340E">
        <w:rPr>
          <w:rFonts w:hint="cs"/>
          <w:sz w:val="30"/>
          <w:rtl/>
          <w:lang w:eastAsia="zh-TW"/>
        </w:rPr>
        <w:t>ً</w:t>
      </w:r>
      <w:r w:rsidR="00521363" w:rsidRPr="00377B19">
        <w:rPr>
          <w:sz w:val="30"/>
          <w:rtl/>
          <w:lang w:eastAsia="zh-TW"/>
        </w:rPr>
        <w:t>، باتجاه مركبتين لا تحملان أية علامات كانتا متوقفتين بالقرب من منزل والديه، بينما كانت شقيقته الصغرى تتوجه نحو المركبتين برفقة رجال مسلحين.</w:t>
      </w:r>
    </w:p>
    <w:p w:rsidR="00521363" w:rsidRPr="00377B19" w:rsidRDefault="00521363" w:rsidP="002A4B7F">
      <w:pPr>
        <w:pStyle w:val="SingleTxtGA"/>
        <w:spacing w:line="360" w:lineRule="exact"/>
        <w:rPr>
          <w:sz w:val="30"/>
          <w:rtl/>
          <w:lang w:eastAsia="zh-TW"/>
        </w:rPr>
      </w:pPr>
      <w:r w:rsidRPr="00377B19">
        <w:rPr>
          <w:sz w:val="30"/>
          <w:rtl/>
          <w:lang w:eastAsia="zh-TW"/>
        </w:rPr>
        <w:t>٢-٤</w:t>
      </w:r>
      <w:r w:rsidR="00242E31" w:rsidRPr="00377B19">
        <w:rPr>
          <w:rFonts w:hint="cs"/>
          <w:sz w:val="30"/>
          <w:rtl/>
          <w:lang w:eastAsia="zh-TW"/>
        </w:rPr>
        <w:tab/>
      </w:r>
      <w:r w:rsidRPr="00377B19">
        <w:rPr>
          <w:sz w:val="30"/>
          <w:rtl/>
          <w:lang w:eastAsia="zh-TW"/>
        </w:rPr>
        <w:t>واستفاق صاحب الشكوى في السجن، حيث احتجز لمدة 14 يوما</w:t>
      </w:r>
      <w:r w:rsidR="00242E31" w:rsidRPr="00377B19">
        <w:rPr>
          <w:rFonts w:hint="cs"/>
          <w:sz w:val="30"/>
          <w:rtl/>
          <w:lang w:eastAsia="zh-TW"/>
        </w:rPr>
        <w:t>ً</w:t>
      </w:r>
      <w:r w:rsidR="00242E31" w:rsidRPr="00377B19">
        <w:rPr>
          <w:rFonts w:hint="cs"/>
          <w:sz w:val="30"/>
          <w:vertAlign w:val="superscript"/>
          <w:rtl/>
          <w:lang w:eastAsia="zh-TW"/>
        </w:rPr>
        <w:t>(</w:t>
      </w:r>
      <w:r w:rsidRPr="00377B19">
        <w:rPr>
          <w:rStyle w:val="FootnoteReference"/>
          <w:rFonts w:ascii="Traditional Arabic" w:hAnsi="Traditional Arabic"/>
          <w:sz w:val="30"/>
          <w:szCs w:val="30"/>
          <w:rtl/>
          <w:lang w:eastAsia="zh-TW"/>
        </w:rPr>
        <w:footnoteReference w:id="6"/>
      </w:r>
      <w:r w:rsidR="00242E31" w:rsidRPr="00377B19">
        <w:rPr>
          <w:rFonts w:hint="cs"/>
          <w:sz w:val="30"/>
          <w:vertAlign w:val="superscript"/>
          <w:rtl/>
          <w:lang w:eastAsia="zh-TW"/>
        </w:rPr>
        <w:t>)</w:t>
      </w:r>
      <w:r w:rsidR="00242E31" w:rsidRPr="00377B19">
        <w:rPr>
          <w:rFonts w:hint="cs"/>
          <w:sz w:val="30"/>
          <w:rtl/>
          <w:lang w:eastAsia="zh-TW"/>
        </w:rPr>
        <w:t>،</w:t>
      </w:r>
      <w:r w:rsidRPr="00377B19">
        <w:rPr>
          <w:sz w:val="30"/>
          <w:rtl/>
          <w:lang w:eastAsia="zh-TW"/>
        </w:rPr>
        <w:t xml:space="preserve"> استجوبته خلالها دائرة الأمن الاتحادية في الاتحاد الروسي</w:t>
      </w:r>
      <w:r w:rsidR="00242E31" w:rsidRPr="00377B19">
        <w:rPr>
          <w:rFonts w:hint="cs"/>
          <w:sz w:val="30"/>
          <w:vertAlign w:val="superscript"/>
          <w:rtl/>
          <w:lang w:eastAsia="zh-TW"/>
        </w:rPr>
        <w:t>(</w:t>
      </w:r>
      <w:r w:rsidRPr="00377B19">
        <w:rPr>
          <w:rStyle w:val="FootnoteReference"/>
          <w:rFonts w:ascii="Traditional Arabic" w:hAnsi="Traditional Arabic"/>
          <w:sz w:val="30"/>
          <w:szCs w:val="30"/>
          <w:rtl/>
          <w:lang w:eastAsia="zh-TW"/>
        </w:rPr>
        <w:footnoteReference w:id="7"/>
      </w:r>
      <w:r w:rsidR="00242E31" w:rsidRPr="00377B19">
        <w:rPr>
          <w:rFonts w:hint="cs"/>
          <w:sz w:val="30"/>
          <w:vertAlign w:val="superscript"/>
          <w:rtl/>
          <w:lang w:eastAsia="zh-TW"/>
        </w:rPr>
        <w:t>)</w:t>
      </w:r>
      <w:r w:rsidRPr="00377B19">
        <w:rPr>
          <w:sz w:val="30"/>
          <w:rtl/>
          <w:lang w:eastAsia="zh-TW"/>
        </w:rPr>
        <w:t xml:space="preserve"> وعُذِّب مرارا</w:t>
      </w:r>
      <w:r w:rsidR="00242E31" w:rsidRPr="00377B19">
        <w:rPr>
          <w:rFonts w:hint="cs"/>
          <w:sz w:val="30"/>
          <w:rtl/>
          <w:lang w:eastAsia="zh-TW"/>
        </w:rPr>
        <w:t>ً</w:t>
      </w:r>
      <w:r w:rsidR="00242E31" w:rsidRPr="00377B19">
        <w:rPr>
          <w:rFonts w:hint="cs"/>
          <w:sz w:val="30"/>
          <w:vertAlign w:val="superscript"/>
          <w:rtl/>
          <w:lang w:eastAsia="zh-TW"/>
        </w:rPr>
        <w:t>(</w:t>
      </w:r>
      <w:r w:rsidRPr="00377B19">
        <w:rPr>
          <w:rStyle w:val="FootnoteReference"/>
          <w:rFonts w:ascii="Traditional Arabic" w:hAnsi="Traditional Arabic"/>
          <w:sz w:val="30"/>
          <w:szCs w:val="30"/>
          <w:rtl/>
          <w:lang w:eastAsia="zh-TW"/>
        </w:rPr>
        <w:footnoteReference w:id="8"/>
      </w:r>
      <w:r w:rsidR="00242E31" w:rsidRPr="00377B19">
        <w:rPr>
          <w:rFonts w:hint="cs"/>
          <w:sz w:val="30"/>
          <w:vertAlign w:val="superscript"/>
          <w:rtl/>
          <w:lang w:eastAsia="zh-TW"/>
        </w:rPr>
        <w:t>)</w:t>
      </w:r>
      <w:r w:rsidR="00242E31" w:rsidRPr="00377B19">
        <w:rPr>
          <w:rFonts w:hint="cs"/>
          <w:sz w:val="30"/>
          <w:rtl/>
          <w:lang w:eastAsia="zh-TW"/>
        </w:rPr>
        <w:t>.</w:t>
      </w:r>
      <w:r w:rsidRPr="00377B19">
        <w:rPr>
          <w:sz w:val="30"/>
          <w:rtl/>
          <w:lang w:eastAsia="zh-TW"/>
        </w:rPr>
        <w:t xml:space="preserve"> وعُرض أمامه شريط الفيديو المصور في 15 أيلول/سبتمبر 2013، والذي عُثر عليه، فيما يبدو، خلال تنفيذ عملية خاصة لمداهمة منزل أحد المتمردين بعد مقتله. وبعد ذلك، أبلغ صاحب الشكوى الأول السلطات بما حدث في 15 أيلول/سبتمبر 2013. واضطُر صاحب الشكوى الأول إلى التوقيع على إفادة تعهَّد فيها بالتعاون مع السلطات، لكي يضمن إطلاق سراحه. وسحب منه جواز سفره المحلي. </w:t>
      </w:r>
      <w:r w:rsidR="00242E31" w:rsidRPr="00377B19">
        <w:rPr>
          <w:sz w:val="30"/>
          <w:rtl/>
          <w:lang w:eastAsia="zh-TW"/>
        </w:rPr>
        <w:t>وفي 30 تشرين الثاني/نوفمبر 2013</w:t>
      </w:r>
      <w:r w:rsidR="00242E31" w:rsidRPr="00377B19">
        <w:rPr>
          <w:rFonts w:hint="cs"/>
          <w:sz w:val="30"/>
          <w:vertAlign w:val="superscript"/>
          <w:rtl/>
          <w:lang w:eastAsia="zh-TW"/>
        </w:rPr>
        <w:t>(</w:t>
      </w:r>
      <w:r w:rsidRPr="00377B19">
        <w:rPr>
          <w:rStyle w:val="FootnoteReference"/>
          <w:rFonts w:ascii="Traditional Arabic" w:hAnsi="Traditional Arabic"/>
          <w:sz w:val="30"/>
          <w:szCs w:val="30"/>
          <w:rtl/>
          <w:lang w:eastAsia="zh-TW"/>
        </w:rPr>
        <w:footnoteReference w:id="9"/>
      </w:r>
      <w:r w:rsidR="00242E31" w:rsidRPr="00377B19">
        <w:rPr>
          <w:rFonts w:hint="cs"/>
          <w:sz w:val="30"/>
          <w:vertAlign w:val="superscript"/>
          <w:rtl/>
          <w:lang w:eastAsia="zh-TW"/>
        </w:rPr>
        <w:t>)</w:t>
      </w:r>
      <w:r w:rsidR="00242E31" w:rsidRPr="00377B19">
        <w:rPr>
          <w:rFonts w:hint="cs"/>
          <w:sz w:val="30"/>
          <w:rtl/>
          <w:lang w:eastAsia="zh-TW"/>
        </w:rPr>
        <w:t>،</w:t>
      </w:r>
      <w:r w:rsidRPr="00377B19">
        <w:rPr>
          <w:sz w:val="30"/>
          <w:rtl/>
          <w:lang w:eastAsia="zh-TW"/>
        </w:rPr>
        <w:t xml:space="preserve"> أُلقي به في مكان مقفر على الحدود بين </w:t>
      </w:r>
      <w:proofErr w:type="spellStart"/>
      <w:r w:rsidRPr="00377B19">
        <w:rPr>
          <w:sz w:val="30"/>
          <w:rtl/>
          <w:lang w:eastAsia="zh-TW"/>
        </w:rPr>
        <w:t>إنغوشيتيا</w:t>
      </w:r>
      <w:proofErr w:type="spellEnd"/>
      <w:r w:rsidRPr="00377B19">
        <w:rPr>
          <w:sz w:val="30"/>
          <w:rtl/>
          <w:lang w:eastAsia="zh-TW"/>
        </w:rPr>
        <w:t xml:space="preserve"> وشمال </w:t>
      </w:r>
      <w:proofErr w:type="spellStart"/>
      <w:r w:rsidRPr="00377B19">
        <w:rPr>
          <w:sz w:val="30"/>
          <w:rtl/>
          <w:lang w:eastAsia="zh-TW"/>
        </w:rPr>
        <w:t>أوسيتيا</w:t>
      </w:r>
      <w:proofErr w:type="spellEnd"/>
      <w:r w:rsidR="00242E31" w:rsidRPr="00377B19">
        <w:rPr>
          <w:rFonts w:hint="cs"/>
          <w:sz w:val="30"/>
          <w:rtl/>
          <w:lang w:eastAsia="zh-TW"/>
        </w:rPr>
        <w:t xml:space="preserve"> </w:t>
      </w:r>
      <w:r w:rsidRPr="00377B19">
        <w:rPr>
          <w:sz w:val="30"/>
          <w:rtl/>
          <w:lang w:eastAsia="zh-TW"/>
        </w:rPr>
        <w:t>-</w:t>
      </w:r>
      <w:r w:rsidR="00242E31" w:rsidRPr="00377B19">
        <w:rPr>
          <w:rFonts w:hint="cs"/>
          <w:sz w:val="30"/>
          <w:rtl/>
          <w:lang w:eastAsia="zh-TW"/>
        </w:rPr>
        <w:t xml:space="preserve"> </w:t>
      </w:r>
      <w:proofErr w:type="spellStart"/>
      <w:r w:rsidRPr="00377B19">
        <w:rPr>
          <w:sz w:val="30"/>
          <w:rtl/>
          <w:lang w:eastAsia="zh-TW"/>
        </w:rPr>
        <w:t>ألانيا</w:t>
      </w:r>
      <w:proofErr w:type="spellEnd"/>
      <w:r w:rsidRPr="00377B19">
        <w:rPr>
          <w:sz w:val="30"/>
          <w:rtl/>
          <w:lang w:eastAsia="zh-TW"/>
        </w:rPr>
        <w:t>. وقيل له إنه محظوظ لأنه لم يقتل رمي</w:t>
      </w:r>
      <w:r w:rsidR="002D164F">
        <w:rPr>
          <w:sz w:val="30"/>
          <w:rtl/>
          <w:lang w:eastAsia="zh-TW"/>
        </w:rPr>
        <w:t xml:space="preserve">اً </w:t>
      </w:r>
      <w:r w:rsidRPr="00377B19">
        <w:rPr>
          <w:sz w:val="30"/>
          <w:rtl/>
          <w:lang w:eastAsia="zh-TW"/>
        </w:rPr>
        <w:t>بالرصاص، كما هي العادة. وقصد منزل أحد الأصدقاء حيث مكث إلى أن فر من الاتحاد الروسي في 1 كانون الثاني/يناير 2014 برفقة زوجته الحامل وطفلهما</w:t>
      </w:r>
      <w:r w:rsidR="00242E31" w:rsidRPr="00377B19">
        <w:rPr>
          <w:rFonts w:hint="cs"/>
          <w:sz w:val="30"/>
          <w:vertAlign w:val="superscript"/>
          <w:rtl/>
          <w:lang w:eastAsia="zh-TW"/>
        </w:rPr>
        <w:t>(</w:t>
      </w:r>
      <w:r w:rsidRPr="00377B19">
        <w:rPr>
          <w:rStyle w:val="FootnoteReference"/>
          <w:rFonts w:ascii="Traditional Arabic" w:hAnsi="Traditional Arabic"/>
          <w:sz w:val="30"/>
          <w:szCs w:val="30"/>
          <w:rtl/>
          <w:lang w:eastAsia="zh-TW"/>
        </w:rPr>
        <w:footnoteReference w:id="10"/>
      </w:r>
      <w:r w:rsidR="00242E31" w:rsidRPr="00377B19">
        <w:rPr>
          <w:rFonts w:hint="cs"/>
          <w:sz w:val="30"/>
          <w:vertAlign w:val="superscript"/>
          <w:rtl/>
          <w:lang w:eastAsia="zh-TW"/>
        </w:rPr>
        <w:t>)</w:t>
      </w:r>
      <w:r w:rsidR="00242E31" w:rsidRPr="00377B19">
        <w:rPr>
          <w:rFonts w:hint="cs"/>
          <w:sz w:val="30"/>
          <w:rtl/>
          <w:lang w:eastAsia="zh-TW"/>
        </w:rPr>
        <w:t>.</w:t>
      </w:r>
      <w:r w:rsidRPr="00377B19">
        <w:rPr>
          <w:sz w:val="30"/>
          <w:rtl/>
          <w:lang w:eastAsia="zh-TW"/>
        </w:rPr>
        <w:t xml:space="preserve"> </w:t>
      </w:r>
    </w:p>
    <w:p w:rsidR="00521363" w:rsidRPr="00377B19" w:rsidRDefault="000C69DF" w:rsidP="002A4B7F">
      <w:pPr>
        <w:pStyle w:val="SingleTxtGA"/>
        <w:spacing w:line="360" w:lineRule="exact"/>
        <w:rPr>
          <w:sz w:val="30"/>
          <w:rtl/>
          <w:lang w:eastAsia="zh-TW"/>
        </w:rPr>
      </w:pPr>
      <w:r w:rsidRPr="00377B19">
        <w:rPr>
          <w:sz w:val="30"/>
          <w:rtl/>
          <w:lang w:eastAsia="zh-TW"/>
        </w:rPr>
        <w:t>٢-٥</w:t>
      </w:r>
      <w:r w:rsidRPr="00377B19">
        <w:rPr>
          <w:rFonts w:hint="cs"/>
          <w:sz w:val="30"/>
          <w:rtl/>
          <w:lang w:eastAsia="zh-TW"/>
        </w:rPr>
        <w:tab/>
      </w:r>
      <w:r w:rsidR="00521363" w:rsidRPr="00377B19">
        <w:rPr>
          <w:sz w:val="30"/>
          <w:rtl/>
          <w:lang w:eastAsia="zh-TW"/>
        </w:rPr>
        <w:t>ووصل أصحاب الشكوى الأول والثاني والثالث إلى الدانمرك في 5 كانون الثاني/</w:t>
      </w:r>
      <w:r w:rsidR="00242E31" w:rsidRPr="00377B19">
        <w:rPr>
          <w:rFonts w:hint="cs"/>
          <w:sz w:val="30"/>
          <w:rtl/>
          <w:lang w:eastAsia="zh-TW"/>
        </w:rPr>
        <w:t xml:space="preserve">         </w:t>
      </w:r>
      <w:r w:rsidR="00521363" w:rsidRPr="00377B19">
        <w:rPr>
          <w:sz w:val="30"/>
          <w:rtl/>
          <w:lang w:eastAsia="zh-TW"/>
        </w:rPr>
        <w:t>يناير 2014 وطلبوا اللجوء في اليوم نفسه.</w:t>
      </w:r>
      <w:r w:rsidR="00521363" w:rsidRPr="00377B19">
        <w:rPr>
          <w:rFonts w:cs="Times New Roman"/>
          <w:sz w:val="30"/>
          <w:rtl/>
          <w:lang w:eastAsia="zh-TW"/>
        </w:rPr>
        <w:t>‬</w:t>
      </w:r>
      <w:r w:rsidR="00521363" w:rsidRPr="00377B19">
        <w:rPr>
          <w:sz w:val="30"/>
          <w:rtl/>
          <w:lang w:eastAsia="zh-TW"/>
        </w:rPr>
        <w:t xml:space="preserve"> وأجرت دائرة الهجرة </w:t>
      </w:r>
      <w:proofErr w:type="spellStart"/>
      <w:r w:rsidR="00521363" w:rsidRPr="00377B19">
        <w:rPr>
          <w:sz w:val="30"/>
          <w:rtl/>
          <w:lang w:eastAsia="zh-TW"/>
        </w:rPr>
        <w:t>الدانمركية</w:t>
      </w:r>
      <w:proofErr w:type="spellEnd"/>
      <w:r w:rsidR="00521363" w:rsidRPr="00377B19">
        <w:rPr>
          <w:sz w:val="30"/>
          <w:rtl/>
          <w:lang w:eastAsia="zh-TW"/>
        </w:rPr>
        <w:t xml:space="preserve"> مقابلات مع </w:t>
      </w:r>
      <w:r w:rsidR="00521363" w:rsidRPr="00377B19">
        <w:rPr>
          <w:sz w:val="30"/>
          <w:rtl/>
          <w:lang w:eastAsia="zh-TW"/>
        </w:rPr>
        <w:lastRenderedPageBreak/>
        <w:t>صاحبي</w:t>
      </w:r>
      <w:r w:rsidR="00242E31" w:rsidRPr="00377B19">
        <w:rPr>
          <w:rFonts w:hint="cs"/>
          <w:sz w:val="30"/>
          <w:rtl/>
          <w:lang w:eastAsia="zh-TW"/>
        </w:rPr>
        <w:t> </w:t>
      </w:r>
      <w:r w:rsidR="00521363" w:rsidRPr="00377B19">
        <w:rPr>
          <w:sz w:val="30"/>
          <w:rtl/>
          <w:lang w:eastAsia="zh-TW"/>
        </w:rPr>
        <w:t xml:space="preserve">الشكوى الأول والثاني في 7 شباط/فبراير و 24 آذار/مارس 2014. وفي 27 آذار/مارس 2014، رفضت دائرة الهجرة </w:t>
      </w:r>
      <w:proofErr w:type="spellStart"/>
      <w:r w:rsidR="00521363" w:rsidRPr="00377B19">
        <w:rPr>
          <w:sz w:val="30"/>
          <w:rtl/>
          <w:lang w:eastAsia="zh-TW"/>
        </w:rPr>
        <w:t>الدانمركية</w:t>
      </w:r>
      <w:proofErr w:type="spellEnd"/>
      <w:r w:rsidR="00521363" w:rsidRPr="00377B19">
        <w:rPr>
          <w:sz w:val="30"/>
          <w:rtl/>
          <w:lang w:eastAsia="zh-TW"/>
        </w:rPr>
        <w:t xml:space="preserve"> طلب لجوء صاحب الشكوى الأول لإدلائه بإفادات متناقضة بشأن الجوانب الأساسية للحادث الذي أثار حوله شكوك السلطات. وعلاوة على ذلك، قدم أصحاب الشكوى الأول والثاني معلومات متناقضة بشأن تواريخ وظروف مصادرة وثائق هويتيهما على يد مكتب الأمن الاتحادي أثناء إحدى عمليات تفتيش منزل والديهما بعد مغادرة أصحاب الشكوى الاتحاد الروسي. ولذلك رأت دائرة الهجرة </w:t>
      </w:r>
      <w:proofErr w:type="spellStart"/>
      <w:r w:rsidR="00521363" w:rsidRPr="00377B19">
        <w:rPr>
          <w:sz w:val="30"/>
          <w:rtl/>
          <w:lang w:eastAsia="zh-TW"/>
        </w:rPr>
        <w:t>الدانمركية</w:t>
      </w:r>
      <w:proofErr w:type="spellEnd"/>
      <w:r w:rsidR="00521363" w:rsidRPr="00377B19">
        <w:rPr>
          <w:sz w:val="30"/>
          <w:rtl/>
          <w:lang w:eastAsia="zh-TW"/>
        </w:rPr>
        <w:t xml:space="preserve"> أنهم لن يتعرضوا للاضطهاد أو التعذيب لدى عودتهم إلى الاتحاد الروسي.</w:t>
      </w:r>
    </w:p>
    <w:p w:rsidR="00521363" w:rsidRPr="00377B19" w:rsidRDefault="000C69DF" w:rsidP="002A4B7F">
      <w:pPr>
        <w:pStyle w:val="SingleTxtGA"/>
        <w:spacing w:line="360" w:lineRule="exact"/>
        <w:rPr>
          <w:sz w:val="30"/>
          <w:rtl/>
          <w:lang w:eastAsia="zh-TW"/>
        </w:rPr>
      </w:pPr>
      <w:r w:rsidRPr="00377B19">
        <w:rPr>
          <w:sz w:val="30"/>
          <w:rtl/>
          <w:lang w:eastAsia="zh-TW"/>
        </w:rPr>
        <w:t>٢-٦</w:t>
      </w:r>
      <w:r w:rsidRPr="00377B19">
        <w:rPr>
          <w:rFonts w:hint="cs"/>
          <w:sz w:val="30"/>
          <w:rtl/>
          <w:lang w:eastAsia="zh-TW"/>
        </w:rPr>
        <w:tab/>
      </w:r>
      <w:r w:rsidR="00521363" w:rsidRPr="00377B19">
        <w:rPr>
          <w:sz w:val="30"/>
          <w:rtl/>
          <w:lang w:eastAsia="zh-TW"/>
        </w:rPr>
        <w:t>وفي 16 تموز/يوليه 2014، أنجبت صاحبة الشكوى الثانية طفلها الثاني، د.</w:t>
      </w:r>
      <w:r w:rsidR="002D164F">
        <w:rPr>
          <w:rFonts w:hint="cs"/>
          <w:sz w:val="30"/>
          <w:rtl/>
          <w:lang w:eastAsia="zh-TW"/>
        </w:rPr>
        <w:t xml:space="preserve"> </w:t>
      </w:r>
      <w:r w:rsidR="00521363" w:rsidRPr="00377B19">
        <w:rPr>
          <w:sz w:val="30"/>
          <w:rtl/>
          <w:lang w:eastAsia="zh-TW"/>
        </w:rPr>
        <w:t xml:space="preserve">ب.، من صاحب الشكوى الأول. وفي 5 أيلول/سبتمبر 2014، أكدت دائرة الهجرة </w:t>
      </w:r>
      <w:proofErr w:type="spellStart"/>
      <w:r w:rsidR="00521363" w:rsidRPr="00377B19">
        <w:rPr>
          <w:sz w:val="30"/>
          <w:rtl/>
          <w:lang w:eastAsia="zh-TW"/>
        </w:rPr>
        <w:t>الدانمركية</w:t>
      </w:r>
      <w:proofErr w:type="spellEnd"/>
      <w:r w:rsidR="00521363" w:rsidRPr="00377B19">
        <w:rPr>
          <w:sz w:val="30"/>
          <w:rtl/>
          <w:lang w:eastAsia="zh-TW"/>
        </w:rPr>
        <w:t xml:space="preserve"> قرارها الصادر في 27 آذار/مارس 2014، وبذلك اتسع نطاق رفض طلب اللجوء ليشمل صاحب الشكوى الرابع. </w:t>
      </w:r>
      <w:dir w:val="rtl">
        <w:r w:rsidR="00521363" w:rsidRPr="00377B19">
          <w:rPr>
            <w:sz w:val="30"/>
            <w:rtl/>
            <w:lang w:eastAsia="zh-TW"/>
          </w:rPr>
          <w:t>وفي5 أيلول/سبتمبر 2014، طُعن في هذا القرار أمام مجلس طعون اللاجئين.</w:t>
        </w:r>
        <w:r w:rsidR="00521363" w:rsidRPr="00377B19">
          <w:rPr>
            <w:rFonts w:cs="Times New Roman"/>
            <w:sz w:val="30"/>
            <w:rtl/>
            <w:lang w:eastAsia="zh-TW"/>
          </w:rPr>
          <w:t>‬</w:t>
        </w:r>
        <w:r w:rsidR="00521363" w:rsidRPr="00377B19">
          <w:rPr>
            <w:sz w:val="30"/>
          </w:rPr>
          <w:t>‬</w:t>
        </w:r>
        <w:r w:rsidR="00D3340E">
          <w:t>‬</w:t>
        </w:r>
        <w:r w:rsidR="002C3FDD">
          <w:t>‬</w:t>
        </w:r>
      </w:dir>
    </w:p>
    <w:p w:rsidR="00521363" w:rsidRPr="00377B19" w:rsidRDefault="000C69DF" w:rsidP="002A4B7F">
      <w:pPr>
        <w:pStyle w:val="SingleTxtGA"/>
        <w:spacing w:line="360" w:lineRule="exact"/>
        <w:rPr>
          <w:sz w:val="30"/>
          <w:rtl/>
          <w:lang w:eastAsia="zh-TW"/>
        </w:rPr>
      </w:pPr>
      <w:r w:rsidRPr="00377B19">
        <w:rPr>
          <w:sz w:val="30"/>
          <w:rtl/>
          <w:lang w:eastAsia="zh-TW"/>
        </w:rPr>
        <w:t>٢-٧</w:t>
      </w:r>
      <w:r w:rsidRPr="00377B19">
        <w:rPr>
          <w:rFonts w:hint="cs"/>
          <w:sz w:val="30"/>
          <w:rtl/>
          <w:lang w:eastAsia="zh-TW"/>
        </w:rPr>
        <w:tab/>
      </w:r>
      <w:r w:rsidR="00521363" w:rsidRPr="00377B19">
        <w:rPr>
          <w:sz w:val="30"/>
          <w:rtl/>
          <w:lang w:eastAsia="zh-TW"/>
        </w:rPr>
        <w:t>وفي بداية جلسة الاستماع التي عقدها مجلس طعون اللاجئين، في 12 أيلول/</w:t>
      </w:r>
      <w:r w:rsidRPr="00377B19">
        <w:rPr>
          <w:rFonts w:hint="cs"/>
          <w:sz w:val="30"/>
          <w:rtl/>
          <w:lang w:eastAsia="zh-TW"/>
        </w:rPr>
        <w:t xml:space="preserve">    </w:t>
      </w:r>
      <w:r w:rsidR="00521363" w:rsidRPr="00377B19">
        <w:rPr>
          <w:sz w:val="30"/>
          <w:rtl/>
          <w:lang w:eastAsia="zh-TW"/>
        </w:rPr>
        <w:t xml:space="preserve">سبتمبر 2014، طلب محامي أصحاب الشكوى إلى المجلس إصدار الأمر بإجراء فحص طبي لصاحب الشكوى الأول لمعاينة علامات التعذيب. وفي نفس اليوم، أيد المجلس قرار دائرة الهجرة </w:t>
      </w:r>
      <w:proofErr w:type="spellStart"/>
      <w:r w:rsidR="00521363" w:rsidRPr="00377B19">
        <w:rPr>
          <w:sz w:val="30"/>
          <w:rtl/>
          <w:lang w:eastAsia="zh-TW"/>
        </w:rPr>
        <w:t>الدانمركية</w:t>
      </w:r>
      <w:proofErr w:type="spellEnd"/>
      <w:r w:rsidR="00521363" w:rsidRPr="00377B19">
        <w:rPr>
          <w:sz w:val="30"/>
          <w:rtl/>
          <w:lang w:eastAsia="zh-TW"/>
        </w:rPr>
        <w:t xml:space="preserve"> رفض طلب صاحب الشكوى الأول دون أن يُستدعى لإجراء الفحص المذكور أعلاه. وخلص المجلس إلى أنه لم يقدم أدلة تثبت الأسباب التي تبرر طلب اللجوء ورفض الإفادة التي أدلى بها لدعم طلب اللجوء مشككاً في صحتها. وفي هذا الصدد، أكد المجلس أن صاحب الشكوى الأول قدم إفادات متناقضة عن الحادث الذي أثار حوله شكوك السلطات، لا سيما فيما يتعلق بالبضاعة التي سلمها، واللغة التي تحدث بها أحد الرجلين في المكالمة الهاتفية بتاريخ</w:t>
      </w:r>
      <w:r w:rsidRPr="00377B19">
        <w:rPr>
          <w:rFonts w:hint="cs"/>
          <w:sz w:val="30"/>
          <w:rtl/>
          <w:lang w:eastAsia="zh-TW"/>
        </w:rPr>
        <w:t> </w:t>
      </w:r>
      <w:r w:rsidR="00521363" w:rsidRPr="00377B19">
        <w:rPr>
          <w:sz w:val="30"/>
          <w:rtl/>
          <w:lang w:eastAsia="zh-TW"/>
        </w:rPr>
        <w:t xml:space="preserve">15 أيلول/سبتمبر 2013، ومكان تسليم البضاعة. وأكد المجلس كذلك أن صاحب الشكوى الأول كان قد أدلى بإفادات متناقضة بشأن ملابسات استفاقته في السجن، بما في ذلك ما إذا كان </w:t>
      </w:r>
      <w:r w:rsidRPr="00377B19">
        <w:rPr>
          <w:rFonts w:hint="cs"/>
          <w:sz w:val="30"/>
          <w:rtl/>
          <w:lang w:eastAsia="zh-TW"/>
        </w:rPr>
        <w:t>ف</w:t>
      </w:r>
      <w:r w:rsidR="00521363" w:rsidRPr="00377B19">
        <w:rPr>
          <w:sz w:val="30"/>
          <w:rtl/>
          <w:lang w:eastAsia="zh-TW"/>
        </w:rPr>
        <w:t>ي الزنزانة</w:t>
      </w:r>
      <w:r w:rsidRPr="00377B19">
        <w:rPr>
          <w:rFonts w:hint="cs"/>
          <w:sz w:val="30"/>
          <w:rtl/>
          <w:lang w:eastAsia="zh-TW"/>
        </w:rPr>
        <w:t xml:space="preserve"> بمفرده</w:t>
      </w:r>
      <w:r w:rsidR="00521363" w:rsidRPr="00377B19">
        <w:rPr>
          <w:sz w:val="30"/>
          <w:rtl/>
          <w:lang w:eastAsia="zh-TW"/>
        </w:rPr>
        <w:t>، وما إذا كان قد غ</w:t>
      </w:r>
      <w:r w:rsidRPr="00377B19">
        <w:rPr>
          <w:rFonts w:hint="cs"/>
          <w:sz w:val="30"/>
          <w:rtl/>
          <w:lang w:eastAsia="zh-TW"/>
        </w:rPr>
        <w:t>ُ</w:t>
      </w:r>
      <w:r w:rsidR="00521363" w:rsidRPr="00377B19">
        <w:rPr>
          <w:sz w:val="30"/>
          <w:rtl/>
          <w:lang w:eastAsia="zh-TW"/>
        </w:rPr>
        <w:t>ط</w:t>
      </w:r>
      <w:r w:rsidRPr="00377B19">
        <w:rPr>
          <w:rFonts w:hint="cs"/>
          <w:sz w:val="30"/>
          <w:rtl/>
          <w:lang w:eastAsia="zh-TW"/>
        </w:rPr>
        <w:t>ّ</w:t>
      </w:r>
      <w:r w:rsidR="00521363" w:rsidRPr="00377B19">
        <w:rPr>
          <w:sz w:val="30"/>
          <w:rtl/>
          <w:lang w:eastAsia="zh-TW"/>
        </w:rPr>
        <w:t>س في الماء وما إذا كان مكبل اليدين. ولاحظ المجلس أيض</w:t>
      </w:r>
      <w:r w:rsidR="002D164F">
        <w:rPr>
          <w:sz w:val="30"/>
          <w:rtl/>
          <w:lang w:eastAsia="zh-TW"/>
        </w:rPr>
        <w:t xml:space="preserve">اً </w:t>
      </w:r>
      <w:r w:rsidR="00521363" w:rsidRPr="00377B19">
        <w:rPr>
          <w:sz w:val="30"/>
          <w:rtl/>
          <w:lang w:eastAsia="zh-TW"/>
        </w:rPr>
        <w:t xml:space="preserve">أن إفادته تضمنت العديد من التناقضات الطفيفة، لكنها لا تكتسي في حد ذاتها أهمية بالغة. وفي هذا الصدد، قيَّم المجلس مدى إمكانية تفسير سبب التناقضات ككل بتعرض صاحب الشكوى الأول للإيذاء، </w:t>
      </w:r>
      <w:r w:rsidRPr="00377B19">
        <w:rPr>
          <w:sz w:val="30"/>
          <w:rtl/>
          <w:lang w:eastAsia="zh-TW"/>
        </w:rPr>
        <w:t>وفق</w:t>
      </w:r>
      <w:r w:rsidR="002D164F">
        <w:rPr>
          <w:sz w:val="30"/>
          <w:rtl/>
          <w:lang w:eastAsia="zh-TW"/>
        </w:rPr>
        <w:t xml:space="preserve">اً </w:t>
      </w:r>
      <w:r w:rsidRPr="00377B19">
        <w:rPr>
          <w:sz w:val="30"/>
          <w:rtl/>
          <w:lang w:eastAsia="zh-TW"/>
        </w:rPr>
        <w:t>لادعا</w:t>
      </w:r>
      <w:r w:rsidRPr="00377B19">
        <w:rPr>
          <w:rFonts w:hint="cs"/>
          <w:sz w:val="30"/>
          <w:rtl/>
          <w:lang w:eastAsia="zh-TW"/>
        </w:rPr>
        <w:t>ئ</w:t>
      </w:r>
      <w:r w:rsidR="00521363" w:rsidRPr="00377B19">
        <w:rPr>
          <w:sz w:val="30"/>
          <w:rtl/>
          <w:lang w:eastAsia="zh-TW"/>
        </w:rPr>
        <w:t>ه. غير أن المجلس استبعد أن يكون الأمر كذلك استناد</w:t>
      </w:r>
      <w:r w:rsidR="002D164F">
        <w:rPr>
          <w:sz w:val="30"/>
          <w:rtl/>
          <w:lang w:eastAsia="zh-TW"/>
        </w:rPr>
        <w:t xml:space="preserve">اً </w:t>
      </w:r>
      <w:r w:rsidR="00521363" w:rsidRPr="00377B19">
        <w:rPr>
          <w:sz w:val="30"/>
          <w:rtl/>
          <w:lang w:eastAsia="zh-TW"/>
        </w:rPr>
        <w:t xml:space="preserve">إلى الاستنتاج الذي </w:t>
      </w:r>
      <w:r w:rsidRPr="00377B19">
        <w:rPr>
          <w:rFonts w:hint="cs"/>
          <w:sz w:val="30"/>
          <w:rtl/>
          <w:lang w:eastAsia="zh-TW"/>
        </w:rPr>
        <w:t xml:space="preserve">خلص إليه </w:t>
      </w:r>
      <w:r w:rsidR="00521363" w:rsidRPr="00377B19">
        <w:rPr>
          <w:sz w:val="30"/>
          <w:rtl/>
          <w:lang w:eastAsia="zh-TW"/>
        </w:rPr>
        <w:t>من التقييم الشامل الذي أجراه. وبناء على ذلك، خلص المجلس إلى أن صاحب الشكوى الأول لن يكون معرض</w:t>
      </w:r>
      <w:r w:rsidR="002D164F">
        <w:rPr>
          <w:sz w:val="30"/>
          <w:rtl/>
          <w:lang w:eastAsia="zh-TW"/>
        </w:rPr>
        <w:t xml:space="preserve">اً </w:t>
      </w:r>
      <w:r w:rsidR="00521363" w:rsidRPr="00377B19">
        <w:rPr>
          <w:sz w:val="30"/>
          <w:rtl/>
          <w:lang w:eastAsia="zh-TW"/>
        </w:rPr>
        <w:t>للاضطهاد بالمعنى المقصود في المادة 7</w:t>
      </w:r>
      <w:r w:rsidR="00D3340E">
        <w:rPr>
          <w:rFonts w:hint="cs"/>
          <w:sz w:val="30"/>
          <w:rtl/>
          <w:lang w:eastAsia="zh-TW"/>
        </w:rPr>
        <w:t xml:space="preserve">(1) </w:t>
      </w:r>
      <w:r w:rsidR="00521363" w:rsidRPr="00377B19">
        <w:rPr>
          <w:sz w:val="30"/>
          <w:rtl/>
          <w:lang w:eastAsia="zh-TW"/>
        </w:rPr>
        <w:t xml:space="preserve">من قانون الأجانب أو </w:t>
      </w:r>
      <w:r w:rsidRPr="00377B19">
        <w:rPr>
          <w:rFonts w:hint="cs"/>
          <w:sz w:val="30"/>
          <w:rtl/>
          <w:lang w:eastAsia="zh-TW"/>
        </w:rPr>
        <w:t xml:space="preserve">في </w:t>
      </w:r>
      <w:r w:rsidR="00521363" w:rsidRPr="00377B19">
        <w:rPr>
          <w:sz w:val="30"/>
          <w:rtl/>
          <w:lang w:eastAsia="zh-TW"/>
        </w:rPr>
        <w:t xml:space="preserve">حاجة للاستفادة من وضع الحماية بالمعنى المقصود في </w:t>
      </w:r>
      <w:r w:rsidRPr="00377B19">
        <w:rPr>
          <w:sz w:val="30"/>
          <w:rtl/>
          <w:lang w:eastAsia="zh-TW"/>
        </w:rPr>
        <w:t>المادة</w:t>
      </w:r>
      <w:r w:rsidRPr="00377B19">
        <w:rPr>
          <w:rFonts w:hint="cs"/>
          <w:sz w:val="30"/>
          <w:rtl/>
          <w:lang w:eastAsia="zh-TW"/>
        </w:rPr>
        <w:t> </w:t>
      </w:r>
      <w:r w:rsidRPr="00377B19">
        <w:rPr>
          <w:sz w:val="30"/>
          <w:rtl/>
          <w:lang w:eastAsia="zh-TW"/>
        </w:rPr>
        <w:t>7</w:t>
      </w:r>
      <w:r w:rsidR="00521363" w:rsidRPr="00377B19">
        <w:rPr>
          <w:sz w:val="30"/>
          <w:rtl/>
          <w:lang w:eastAsia="zh-TW"/>
        </w:rPr>
        <w:t>(2) من القانون إذا ما عاد إلى الاتحاد الروسي. واستناد</w:t>
      </w:r>
      <w:r w:rsidR="002D164F">
        <w:rPr>
          <w:sz w:val="30"/>
          <w:rtl/>
          <w:lang w:eastAsia="zh-TW"/>
        </w:rPr>
        <w:t xml:space="preserve">اً </w:t>
      </w:r>
      <w:r w:rsidR="00521363" w:rsidRPr="00377B19">
        <w:rPr>
          <w:sz w:val="30"/>
          <w:rtl/>
          <w:lang w:eastAsia="zh-TW"/>
        </w:rPr>
        <w:t>إلى هذه الأسباب نفسها، خلص المجلس إلى ع</w:t>
      </w:r>
      <w:r w:rsidRPr="00377B19">
        <w:rPr>
          <w:sz w:val="30"/>
          <w:rtl/>
          <w:lang w:eastAsia="zh-TW"/>
        </w:rPr>
        <w:t xml:space="preserve">دم وجود ما يستدعي تأجيل القضية </w:t>
      </w:r>
      <w:r w:rsidRPr="00377B19">
        <w:rPr>
          <w:rFonts w:hint="cs"/>
          <w:sz w:val="30"/>
          <w:rtl/>
          <w:lang w:eastAsia="zh-TW"/>
        </w:rPr>
        <w:t xml:space="preserve">في </w:t>
      </w:r>
      <w:r w:rsidR="00521363" w:rsidRPr="00377B19">
        <w:rPr>
          <w:sz w:val="30"/>
          <w:rtl/>
          <w:lang w:eastAsia="zh-TW"/>
        </w:rPr>
        <w:t>انتظار إجراء الفحص الطبي لمعاينة علامات التعذيب.</w:t>
      </w:r>
    </w:p>
    <w:p w:rsidR="00521363" w:rsidRPr="00377B19" w:rsidRDefault="00521363" w:rsidP="002A4B7F">
      <w:pPr>
        <w:pStyle w:val="SingleTxtGA"/>
        <w:spacing w:line="360" w:lineRule="exact"/>
        <w:rPr>
          <w:sz w:val="30"/>
          <w:rtl/>
          <w:lang w:eastAsia="zh-TW"/>
        </w:rPr>
      </w:pPr>
      <w:r w:rsidRPr="00377B19">
        <w:rPr>
          <w:sz w:val="30"/>
          <w:rtl/>
          <w:lang w:eastAsia="zh-TW"/>
        </w:rPr>
        <w:t>٢-٨</w:t>
      </w:r>
      <w:r w:rsidR="000C69DF" w:rsidRPr="00377B19">
        <w:rPr>
          <w:rFonts w:hint="cs"/>
          <w:sz w:val="30"/>
          <w:rtl/>
          <w:lang w:eastAsia="zh-TW"/>
        </w:rPr>
        <w:tab/>
      </w:r>
      <w:r w:rsidRPr="00377B19">
        <w:rPr>
          <w:sz w:val="30"/>
          <w:rtl/>
          <w:lang w:eastAsia="zh-TW"/>
        </w:rPr>
        <w:t>وفي قرار منفصل، مؤرخ أيض</w:t>
      </w:r>
      <w:r w:rsidR="002D164F">
        <w:rPr>
          <w:sz w:val="30"/>
          <w:rtl/>
          <w:lang w:eastAsia="zh-TW"/>
        </w:rPr>
        <w:t xml:space="preserve">اً </w:t>
      </w:r>
      <w:r w:rsidR="000C69DF" w:rsidRPr="00377B19">
        <w:rPr>
          <w:rFonts w:hint="cs"/>
          <w:sz w:val="30"/>
          <w:rtl/>
          <w:lang w:eastAsia="zh-TW"/>
        </w:rPr>
        <w:t xml:space="preserve">في </w:t>
      </w:r>
      <w:r w:rsidRPr="00377B19">
        <w:rPr>
          <w:sz w:val="30"/>
          <w:rtl/>
          <w:lang w:eastAsia="zh-TW"/>
        </w:rPr>
        <w:t xml:space="preserve">12 أيلول/سبتمبر 2014، قيَّم مجلس طعون اللاجئين سبب طلب اللجوء الذي دفعت به صاحبة الشكوى الثانية، أي، خشية زوجها من التعرض للقتل على أيدي السلطات، بما في ذلك مكتب الأمن الاتحادي، إذا ما عاد إلى </w:t>
      </w:r>
      <w:proofErr w:type="spellStart"/>
      <w:r w:rsidRPr="00377B19">
        <w:rPr>
          <w:sz w:val="30"/>
          <w:rtl/>
          <w:lang w:eastAsia="zh-TW"/>
        </w:rPr>
        <w:t>إنغوشتيا</w:t>
      </w:r>
      <w:proofErr w:type="spellEnd"/>
      <w:r w:rsidRPr="00377B19">
        <w:rPr>
          <w:sz w:val="30"/>
          <w:rtl/>
          <w:lang w:eastAsia="zh-TW"/>
        </w:rPr>
        <w:t xml:space="preserve"> في الاتحاد الروسي. ولم يأخذ المجلس بصحة الإفادة التي أدلت بها صاحبة الشكوى الثانية دعم</w:t>
      </w:r>
      <w:r w:rsidR="002D164F">
        <w:rPr>
          <w:sz w:val="30"/>
          <w:rtl/>
          <w:lang w:eastAsia="zh-TW"/>
        </w:rPr>
        <w:t xml:space="preserve">اً </w:t>
      </w:r>
      <w:r w:rsidRPr="00377B19">
        <w:rPr>
          <w:sz w:val="30"/>
          <w:rtl/>
          <w:lang w:eastAsia="zh-TW"/>
        </w:rPr>
        <w:t xml:space="preserve">لطلب اللجوء، لأن إفادتها تضمنت العديد من التناقضات. وبناء على ذلك، </w:t>
      </w:r>
      <w:r w:rsidRPr="00377B19">
        <w:rPr>
          <w:sz w:val="30"/>
          <w:rtl/>
          <w:lang w:eastAsia="zh-TW"/>
        </w:rPr>
        <w:lastRenderedPageBreak/>
        <w:t>خلص المجلس، في ضوء عدم وجود أسباب مستقلة تبرر طلب صاحبة الشكوى الثانية للجوء، إلى أنها لن تكون معرضة للاضطهاد بالمعنى المقصود في المادة 7</w:t>
      </w:r>
      <w:r w:rsidR="00D3340E">
        <w:rPr>
          <w:rFonts w:hint="cs"/>
          <w:sz w:val="30"/>
          <w:rtl/>
          <w:lang w:eastAsia="zh-TW"/>
        </w:rPr>
        <w:t>(1)</w:t>
      </w:r>
      <w:r w:rsidRPr="00377B19">
        <w:rPr>
          <w:sz w:val="30"/>
          <w:rtl/>
          <w:lang w:eastAsia="zh-TW"/>
        </w:rPr>
        <w:t xml:space="preserve"> من قانون الأجانب أو </w:t>
      </w:r>
      <w:r w:rsidR="000C69DF" w:rsidRPr="00377B19">
        <w:rPr>
          <w:rFonts w:hint="cs"/>
          <w:sz w:val="30"/>
          <w:rtl/>
          <w:lang w:eastAsia="zh-TW"/>
        </w:rPr>
        <w:t xml:space="preserve">في </w:t>
      </w:r>
      <w:r w:rsidRPr="00377B19">
        <w:rPr>
          <w:sz w:val="30"/>
          <w:rtl/>
          <w:lang w:eastAsia="zh-TW"/>
        </w:rPr>
        <w:t>حاجة للاستفادة من وضع الحماية بالمعنى المقصود</w:t>
      </w:r>
      <w:r w:rsidR="00377B19" w:rsidRPr="00377B19">
        <w:rPr>
          <w:sz w:val="30"/>
          <w:rtl/>
          <w:lang w:eastAsia="zh-TW"/>
        </w:rPr>
        <w:t xml:space="preserve"> في المادة 7</w:t>
      </w:r>
      <w:r w:rsidRPr="00377B19">
        <w:rPr>
          <w:sz w:val="30"/>
          <w:rtl/>
          <w:lang w:eastAsia="zh-TW"/>
        </w:rPr>
        <w:t>(2) من القانون إذا ما عادت إلى الاتحاد الروسي.</w:t>
      </w:r>
    </w:p>
    <w:p w:rsidR="00521363" w:rsidRPr="00377B19" w:rsidRDefault="000C69DF" w:rsidP="002A4B7F">
      <w:pPr>
        <w:pStyle w:val="SingleTxtGA"/>
        <w:spacing w:line="360" w:lineRule="exact"/>
        <w:rPr>
          <w:sz w:val="30"/>
          <w:rtl/>
          <w:lang w:eastAsia="zh-TW"/>
        </w:rPr>
      </w:pPr>
      <w:r w:rsidRPr="00377B19">
        <w:rPr>
          <w:sz w:val="30"/>
          <w:rtl/>
          <w:lang w:eastAsia="zh-TW"/>
        </w:rPr>
        <w:t>٢-٩</w:t>
      </w:r>
      <w:r w:rsidRPr="00377B19">
        <w:rPr>
          <w:rFonts w:hint="cs"/>
          <w:sz w:val="30"/>
          <w:rtl/>
          <w:lang w:eastAsia="zh-TW"/>
        </w:rPr>
        <w:tab/>
      </w:r>
      <w:r w:rsidR="00521363" w:rsidRPr="00377B19">
        <w:rPr>
          <w:sz w:val="30"/>
          <w:rtl/>
          <w:lang w:eastAsia="zh-TW"/>
        </w:rPr>
        <w:t>وعلم أصحاب الشكوى من الشقيقة الأكبر لصاحب الشكوى الأول أن مكتب الأمن الاتحادي استمر في البحث عنه وعن أسرته الهاربة من الاتحاد الروسي وأن مسؤولي المكتب حضروا إلى منزل الأسرة عدة مرات، بما في ذلك في كانون الأول/ديسمبر 2013، وشباط/فبراير 2014 وآذار/مارس 2014. وخلال إحدى تلك الزيارات، فتشت السلطات المنزل وصادرت وثائق كان بينها شهادة ميلاد صاحب الشكوى الأول وشهادة مدرسية ووثائق تجارية. وحضرت السلطات إلى منزلهم آخر مرة في منتصف أيلول/سبتمبر 2014.</w:t>
      </w:r>
    </w:p>
    <w:p w:rsidR="00521363" w:rsidRPr="008F5066" w:rsidRDefault="000C69DF" w:rsidP="000C69DF">
      <w:pPr>
        <w:pStyle w:val="H23GA"/>
        <w:rPr>
          <w:rtl/>
        </w:rPr>
      </w:pPr>
      <w:r>
        <w:rPr>
          <w:rFonts w:hint="cs"/>
          <w:rtl/>
        </w:rPr>
        <w:tab/>
      </w:r>
      <w:r>
        <w:rPr>
          <w:rFonts w:hint="cs"/>
          <w:rtl/>
        </w:rPr>
        <w:tab/>
      </w:r>
      <w:dir w:val="rtl">
        <w:r w:rsidR="00521363" w:rsidRPr="007C1037">
          <w:rPr>
            <w:rtl/>
          </w:rPr>
          <w:t>الشكوى</w:t>
        </w:r>
        <w:r w:rsidR="00521363">
          <w:t>‬</w:t>
        </w:r>
        <w:r w:rsidR="00D3340E">
          <w:t>‬</w:t>
        </w:r>
        <w:r w:rsidR="002C3FDD">
          <w:t>‬</w:t>
        </w:r>
      </w:dir>
    </w:p>
    <w:p w:rsidR="00521363" w:rsidRPr="008F5066" w:rsidRDefault="000C69DF" w:rsidP="002A4B7F">
      <w:pPr>
        <w:pStyle w:val="SingleTxtGA"/>
        <w:spacing w:line="360" w:lineRule="exact"/>
        <w:rPr>
          <w:rtl/>
          <w:lang w:eastAsia="zh-TW"/>
        </w:rPr>
      </w:pPr>
      <w:r>
        <w:rPr>
          <w:rtl/>
          <w:lang w:eastAsia="zh-TW"/>
        </w:rPr>
        <w:t>٣-١</w:t>
      </w:r>
      <w:r>
        <w:rPr>
          <w:rFonts w:hint="cs"/>
          <w:rtl/>
          <w:lang w:eastAsia="zh-TW"/>
        </w:rPr>
        <w:tab/>
      </w:r>
      <w:r w:rsidR="00521363" w:rsidRPr="008F5066">
        <w:rPr>
          <w:rtl/>
          <w:lang w:eastAsia="zh-TW"/>
        </w:rPr>
        <w:t xml:space="preserve">يدعي </w:t>
      </w:r>
      <w:r w:rsidR="00521363">
        <w:rPr>
          <w:rtl/>
          <w:lang w:eastAsia="zh-TW"/>
        </w:rPr>
        <w:t>أصحاب</w:t>
      </w:r>
      <w:r w:rsidR="00521363" w:rsidRPr="008F5066">
        <w:rPr>
          <w:rtl/>
          <w:lang w:eastAsia="zh-TW"/>
        </w:rPr>
        <w:t xml:space="preserve"> الشكوى أن صاحب الشكوى الأول تعرض للتعذيب في الاتحاد الروسي وأن سلطات الهجرة </w:t>
      </w:r>
      <w:proofErr w:type="spellStart"/>
      <w:r w:rsidR="00521363" w:rsidRPr="008F5066">
        <w:rPr>
          <w:rtl/>
          <w:lang w:eastAsia="zh-TW"/>
        </w:rPr>
        <w:t>الدانمركية</w:t>
      </w:r>
      <w:proofErr w:type="spellEnd"/>
      <w:r w:rsidR="00521363" w:rsidRPr="008F5066">
        <w:rPr>
          <w:rtl/>
          <w:lang w:eastAsia="zh-TW"/>
        </w:rPr>
        <w:t xml:space="preserve"> رفضت </w:t>
      </w:r>
      <w:r w:rsidR="00521363">
        <w:rPr>
          <w:rtl/>
          <w:lang w:eastAsia="zh-TW"/>
        </w:rPr>
        <w:t>طلبات</w:t>
      </w:r>
      <w:r w:rsidR="00521363" w:rsidRPr="008F5066">
        <w:rPr>
          <w:rtl/>
          <w:lang w:eastAsia="zh-TW"/>
        </w:rPr>
        <w:t xml:space="preserve"> لجوئهم دون أن تستدعي صاحب </w:t>
      </w:r>
      <w:r w:rsidR="00521363" w:rsidRPr="00377B19">
        <w:rPr>
          <w:sz w:val="30"/>
          <w:rtl/>
          <w:lang w:eastAsia="zh-TW"/>
        </w:rPr>
        <w:t>الشكوى الأول لمعاينة علامات التعذيب. وأشار أصحاب الشكوى إلى الاجتهادات السابقة للجنة</w:t>
      </w:r>
      <w:r w:rsidRPr="00377B19">
        <w:rPr>
          <w:rFonts w:hint="cs"/>
          <w:sz w:val="30"/>
          <w:vertAlign w:val="superscript"/>
          <w:rtl/>
          <w:lang w:eastAsia="zh-TW"/>
        </w:rPr>
        <w:t>(</w:t>
      </w:r>
      <w:r w:rsidR="00521363" w:rsidRPr="00377B19">
        <w:rPr>
          <w:rStyle w:val="FootnoteReference"/>
          <w:rFonts w:ascii="Traditional Arabic" w:hAnsi="Traditional Arabic"/>
          <w:sz w:val="30"/>
          <w:szCs w:val="30"/>
          <w:rtl/>
          <w:lang w:eastAsia="zh-TW"/>
        </w:rPr>
        <w:footnoteReference w:id="11"/>
      </w:r>
      <w:r w:rsidRPr="00377B19">
        <w:rPr>
          <w:rFonts w:hint="cs"/>
          <w:sz w:val="30"/>
          <w:vertAlign w:val="superscript"/>
          <w:rtl/>
          <w:lang w:eastAsia="zh-TW"/>
        </w:rPr>
        <w:t>)</w:t>
      </w:r>
      <w:r w:rsidRPr="00377B19">
        <w:rPr>
          <w:rFonts w:hint="cs"/>
          <w:sz w:val="30"/>
          <w:rtl/>
          <w:lang w:eastAsia="zh-TW"/>
        </w:rPr>
        <w:t>،</w:t>
      </w:r>
      <w:r w:rsidR="00521363" w:rsidRPr="00377B19">
        <w:rPr>
          <w:sz w:val="30"/>
          <w:rtl/>
          <w:lang w:eastAsia="zh-TW"/>
        </w:rPr>
        <w:t xml:space="preserve"> ودفعوا بأن، مجلس طعون اللاجئين، لم يأخذ في الحسبان، في تقييمه للمصداقية، أن</w:t>
      </w:r>
      <w:r w:rsidR="00521363" w:rsidRPr="008F5066">
        <w:rPr>
          <w:rtl/>
          <w:lang w:eastAsia="zh-TW"/>
        </w:rPr>
        <w:t xml:space="preserve"> الأشخاص الذين تعرضوا للتعذيب يجدون صعوبة في سرد الوقائع، بما في ذلك التواريخ.</w:t>
      </w:r>
      <w:bookmarkStart w:id="0" w:name="_Ref444184328"/>
      <w:bookmarkEnd w:id="0"/>
    </w:p>
    <w:p w:rsidR="00521363" w:rsidRPr="008F5066" w:rsidRDefault="000C69DF" w:rsidP="002A4B7F">
      <w:pPr>
        <w:pStyle w:val="SingleTxtGA"/>
        <w:spacing w:line="360" w:lineRule="exact"/>
        <w:rPr>
          <w:rtl/>
          <w:lang w:eastAsia="zh-TW"/>
        </w:rPr>
      </w:pPr>
      <w:r>
        <w:rPr>
          <w:rtl/>
          <w:lang w:eastAsia="zh-TW"/>
        </w:rPr>
        <w:t>٣-٢</w:t>
      </w:r>
      <w:r>
        <w:rPr>
          <w:rFonts w:hint="cs"/>
          <w:rtl/>
          <w:lang w:eastAsia="zh-TW"/>
        </w:rPr>
        <w:tab/>
      </w:r>
      <w:r w:rsidR="00521363" w:rsidRPr="008F5066">
        <w:rPr>
          <w:rtl/>
          <w:lang w:eastAsia="zh-TW"/>
        </w:rPr>
        <w:t xml:space="preserve">ويدعي </w:t>
      </w:r>
      <w:r w:rsidR="00521363">
        <w:rPr>
          <w:rtl/>
          <w:lang w:eastAsia="zh-TW"/>
        </w:rPr>
        <w:t>أصحاب</w:t>
      </w:r>
      <w:r w:rsidR="00521363" w:rsidRPr="008F5066">
        <w:rPr>
          <w:rtl/>
          <w:lang w:eastAsia="zh-TW"/>
        </w:rPr>
        <w:t xml:space="preserve"> الشكوى أن ترحيل صاحب الشكوى الأول إلى </w:t>
      </w:r>
      <w:proofErr w:type="spellStart"/>
      <w:r w:rsidR="00521363" w:rsidRPr="008F5066">
        <w:rPr>
          <w:rtl/>
          <w:lang w:eastAsia="zh-TW"/>
        </w:rPr>
        <w:t>إنغوشتيا</w:t>
      </w:r>
      <w:proofErr w:type="spellEnd"/>
      <w:r w:rsidR="00521363" w:rsidRPr="008F5066">
        <w:rPr>
          <w:rtl/>
          <w:lang w:eastAsia="zh-TW"/>
        </w:rPr>
        <w:t xml:space="preserve"> في الاتحاد الروسي سيعرضه</w:t>
      </w:r>
      <w:r w:rsidR="00521363">
        <w:rPr>
          <w:rtl/>
          <w:lang w:eastAsia="zh-TW"/>
        </w:rPr>
        <w:t xml:space="preserve"> لخطر التعذيب أو القتل على أيدي عناصر </w:t>
      </w:r>
      <w:r w:rsidR="00521363" w:rsidRPr="008F5066">
        <w:rPr>
          <w:rtl/>
          <w:lang w:eastAsia="zh-TW"/>
        </w:rPr>
        <w:t xml:space="preserve">مكتب الأمن الاتحادي، الذي </w:t>
      </w:r>
      <w:r w:rsidR="00521363">
        <w:rPr>
          <w:rtl/>
          <w:lang w:eastAsia="zh-TW"/>
        </w:rPr>
        <w:t>يحسبه</w:t>
      </w:r>
      <w:r w:rsidR="00521363" w:rsidRPr="008F5066">
        <w:rPr>
          <w:rtl/>
          <w:lang w:eastAsia="zh-TW"/>
        </w:rPr>
        <w:t xml:space="preserve"> من المتمردين. وهو يخشى أيض</w:t>
      </w:r>
      <w:r w:rsidR="002D164F">
        <w:rPr>
          <w:rtl/>
          <w:lang w:eastAsia="zh-TW"/>
        </w:rPr>
        <w:t xml:space="preserve">اً </w:t>
      </w:r>
      <w:r w:rsidR="00521363" w:rsidRPr="008F5066">
        <w:rPr>
          <w:rtl/>
          <w:lang w:eastAsia="zh-TW"/>
        </w:rPr>
        <w:t>التعرض للتعذيب على أيدي المتمردين لأنه وقع اتفاق</w:t>
      </w:r>
      <w:r w:rsidR="00521363">
        <w:rPr>
          <w:rtl/>
          <w:lang w:eastAsia="zh-TW"/>
        </w:rPr>
        <w:t xml:space="preserve"> </w:t>
      </w:r>
      <w:r w:rsidR="00521363" w:rsidRPr="008F5066">
        <w:rPr>
          <w:rtl/>
          <w:lang w:eastAsia="zh-TW"/>
        </w:rPr>
        <w:t>تعاون مع السلطات في إطار بحثها عن المتمردين. وبالإضافة إلى ذلك، يدعي صاحب الشكوى الأول أن السلطات في الاتحاد الروسي لن تحميه من المتمردين، بسبب اتهامه بالتعاون معهم. واستناد</w:t>
      </w:r>
      <w:r w:rsidR="002D164F">
        <w:rPr>
          <w:rtl/>
          <w:lang w:eastAsia="zh-TW"/>
        </w:rPr>
        <w:t xml:space="preserve">اً </w:t>
      </w:r>
      <w:r w:rsidR="00521363" w:rsidRPr="008F5066">
        <w:rPr>
          <w:rtl/>
          <w:lang w:eastAsia="zh-TW"/>
        </w:rPr>
        <w:t xml:space="preserve">إلى هذه الأسباب، </w:t>
      </w:r>
      <w:r w:rsidR="00521363">
        <w:rPr>
          <w:rtl/>
          <w:lang w:eastAsia="zh-TW"/>
        </w:rPr>
        <w:t>يدعي</w:t>
      </w:r>
      <w:r w:rsidR="00521363" w:rsidRPr="008F5066">
        <w:rPr>
          <w:rtl/>
          <w:lang w:eastAsia="zh-TW"/>
        </w:rPr>
        <w:t xml:space="preserve"> صاحب الشكوى </w:t>
      </w:r>
      <w:r w:rsidR="00521363">
        <w:rPr>
          <w:rtl/>
          <w:lang w:eastAsia="zh-TW"/>
        </w:rPr>
        <w:t xml:space="preserve">الأول </w:t>
      </w:r>
      <w:r w:rsidR="00521363" w:rsidRPr="008F5066">
        <w:rPr>
          <w:rtl/>
          <w:lang w:eastAsia="zh-TW"/>
        </w:rPr>
        <w:t xml:space="preserve">أن الدولة الطرف ستقدم على انتهاك التزاماتها </w:t>
      </w:r>
      <w:r>
        <w:rPr>
          <w:rFonts w:hint="cs"/>
          <w:rtl/>
          <w:lang w:eastAsia="zh-TW"/>
        </w:rPr>
        <w:t xml:space="preserve">التي تفرضها </w:t>
      </w:r>
      <w:r w:rsidR="00521363" w:rsidRPr="008F5066">
        <w:rPr>
          <w:rtl/>
          <w:lang w:eastAsia="zh-TW"/>
        </w:rPr>
        <w:t xml:space="preserve">المادة 3 من الاتفاقية إذا ما </w:t>
      </w:r>
      <w:r w:rsidR="00521363">
        <w:rPr>
          <w:rtl/>
          <w:lang w:eastAsia="zh-TW"/>
        </w:rPr>
        <w:t>أعادته</w:t>
      </w:r>
      <w:r w:rsidR="00521363" w:rsidRPr="008F5066">
        <w:rPr>
          <w:rtl/>
          <w:lang w:eastAsia="zh-TW"/>
        </w:rPr>
        <w:t xml:space="preserve"> هو وأسرته إلى الاتحاد الروسي.</w:t>
      </w:r>
    </w:p>
    <w:p w:rsidR="00521363" w:rsidRPr="00253F7B" w:rsidRDefault="00521363" w:rsidP="000C69DF">
      <w:pPr>
        <w:pStyle w:val="H23GA"/>
        <w:rPr>
          <w:rtl/>
        </w:rPr>
      </w:pPr>
      <w:r w:rsidRPr="00253F7B">
        <w:rPr>
          <w:rtl/>
        </w:rPr>
        <w:tab/>
      </w:r>
      <w:r w:rsidRPr="00253F7B">
        <w:rPr>
          <w:rtl/>
        </w:rPr>
        <w:tab/>
        <w:t>ملاحظات الدولة الطرف بشأن المقبولية والأسس الموضوعية</w:t>
      </w:r>
    </w:p>
    <w:p w:rsidR="00521363" w:rsidRPr="008F5066" w:rsidRDefault="000C69DF" w:rsidP="002A4B7F">
      <w:pPr>
        <w:pStyle w:val="SingleTxtGA"/>
        <w:spacing w:line="360" w:lineRule="exact"/>
        <w:rPr>
          <w:rtl/>
          <w:lang w:eastAsia="zh-TW"/>
        </w:rPr>
      </w:pPr>
      <w:r>
        <w:rPr>
          <w:rtl/>
          <w:lang w:eastAsia="zh-TW"/>
        </w:rPr>
        <w:t>٤-١</w:t>
      </w:r>
      <w:r>
        <w:rPr>
          <w:rFonts w:hint="cs"/>
          <w:rtl/>
          <w:lang w:eastAsia="zh-TW"/>
        </w:rPr>
        <w:tab/>
      </w:r>
      <w:r w:rsidR="00521363" w:rsidRPr="008F5066">
        <w:rPr>
          <w:rtl/>
          <w:lang w:eastAsia="zh-TW"/>
        </w:rPr>
        <w:t xml:space="preserve">قدمت الدولة الطرف ملاحظاتها بشأن </w:t>
      </w:r>
      <w:r w:rsidR="00521363">
        <w:rPr>
          <w:rtl/>
          <w:lang w:eastAsia="zh-TW"/>
        </w:rPr>
        <w:t>ال</w:t>
      </w:r>
      <w:r w:rsidR="00521363" w:rsidRPr="008F5066">
        <w:rPr>
          <w:rtl/>
          <w:lang w:eastAsia="zh-TW"/>
        </w:rPr>
        <w:t>مقبولية و</w:t>
      </w:r>
      <w:r w:rsidR="00521363">
        <w:rPr>
          <w:rtl/>
          <w:lang w:eastAsia="zh-TW"/>
        </w:rPr>
        <w:t>ال</w:t>
      </w:r>
      <w:r w:rsidR="00521363" w:rsidRPr="008F5066">
        <w:rPr>
          <w:rtl/>
          <w:lang w:eastAsia="zh-TW"/>
        </w:rPr>
        <w:t>أسس الموضوعية، في 14 نيسان/أبريل 2015.</w:t>
      </w:r>
      <w:r w:rsidR="00521363" w:rsidRPr="008F5066">
        <w:rPr>
          <w:rFonts w:cs="Times New Roman"/>
          <w:rtl/>
          <w:lang w:eastAsia="zh-TW"/>
        </w:rPr>
        <w:t>‬</w:t>
      </w:r>
      <w:r w:rsidR="00521363" w:rsidRPr="008F5066">
        <w:rPr>
          <w:rtl/>
          <w:lang w:eastAsia="zh-TW"/>
        </w:rPr>
        <w:t xml:space="preserve"> أما فيما يتعلق بالوقائع التي يستند إليها هذا البلاغ، فإن الدولة الطرف تشير إلى الإفادات التي أدلى بها </w:t>
      </w:r>
      <w:r w:rsidR="00521363">
        <w:rPr>
          <w:rtl/>
          <w:lang w:eastAsia="zh-TW"/>
        </w:rPr>
        <w:t>أصحاب</w:t>
      </w:r>
      <w:r w:rsidR="00521363" w:rsidRPr="008F5066">
        <w:rPr>
          <w:rtl/>
          <w:lang w:eastAsia="zh-TW"/>
        </w:rPr>
        <w:t xml:space="preserve"> الشكوى أثناء إجراءات اللجوء وتنفي أن يكون صاحب الشكوى الأول أو </w:t>
      </w:r>
      <w:r w:rsidR="00521363">
        <w:rPr>
          <w:rtl/>
          <w:lang w:eastAsia="zh-TW"/>
        </w:rPr>
        <w:t xml:space="preserve">صاحبة الشكوى </w:t>
      </w:r>
      <w:r w:rsidR="00521363" w:rsidRPr="008F5066">
        <w:rPr>
          <w:rtl/>
          <w:lang w:eastAsia="zh-TW"/>
        </w:rPr>
        <w:t>الثاني</w:t>
      </w:r>
      <w:r w:rsidR="00521363">
        <w:rPr>
          <w:rtl/>
          <w:lang w:eastAsia="zh-TW"/>
        </w:rPr>
        <w:t>ة</w:t>
      </w:r>
      <w:r w:rsidR="00521363" w:rsidRPr="008F5066">
        <w:rPr>
          <w:rtl/>
          <w:lang w:eastAsia="zh-TW"/>
        </w:rPr>
        <w:t xml:space="preserve"> قد انتم</w:t>
      </w:r>
      <w:r w:rsidR="00521363">
        <w:rPr>
          <w:rtl/>
          <w:lang w:eastAsia="zh-TW"/>
        </w:rPr>
        <w:t>يا</w:t>
      </w:r>
      <w:r w:rsidR="00521363" w:rsidRPr="008F5066">
        <w:rPr>
          <w:rtl/>
          <w:lang w:eastAsia="zh-TW"/>
        </w:rPr>
        <w:t xml:space="preserve"> إلى أي جمعيات أو منظمات سياسية أو دينية، أو </w:t>
      </w:r>
      <w:r w:rsidR="00521363">
        <w:rPr>
          <w:rtl/>
          <w:lang w:eastAsia="zh-TW"/>
        </w:rPr>
        <w:t>مارسا أ</w:t>
      </w:r>
      <w:r w:rsidR="00521363" w:rsidRPr="008F5066">
        <w:rPr>
          <w:rtl/>
          <w:lang w:eastAsia="zh-TW"/>
        </w:rPr>
        <w:t xml:space="preserve">ي شكل من أشكال </w:t>
      </w:r>
      <w:r w:rsidR="00521363">
        <w:rPr>
          <w:rtl/>
          <w:lang w:eastAsia="zh-TW"/>
        </w:rPr>
        <w:t xml:space="preserve">النشاط السياسي </w:t>
      </w:r>
      <w:r w:rsidR="00521363" w:rsidRPr="008F5066">
        <w:rPr>
          <w:rtl/>
          <w:lang w:eastAsia="zh-TW"/>
        </w:rPr>
        <w:t>الأخرى.</w:t>
      </w:r>
    </w:p>
    <w:p w:rsidR="00521363" w:rsidRPr="008F5066" w:rsidRDefault="000C69DF" w:rsidP="002A4B7F">
      <w:pPr>
        <w:pStyle w:val="SingleTxtGA"/>
        <w:spacing w:line="360" w:lineRule="exact"/>
        <w:rPr>
          <w:rtl/>
          <w:lang w:eastAsia="zh-TW"/>
        </w:rPr>
      </w:pPr>
      <w:r>
        <w:rPr>
          <w:rtl/>
          <w:lang w:eastAsia="zh-TW"/>
        </w:rPr>
        <w:t>٤-٢</w:t>
      </w:r>
      <w:r>
        <w:rPr>
          <w:rFonts w:hint="cs"/>
          <w:rtl/>
          <w:lang w:eastAsia="zh-TW"/>
        </w:rPr>
        <w:tab/>
      </w:r>
      <w:r w:rsidR="00521363" w:rsidRPr="008F5066">
        <w:rPr>
          <w:rtl/>
          <w:lang w:eastAsia="zh-TW"/>
        </w:rPr>
        <w:t>وتبين الدولة الطرف هيكل واختصاص مجلس طعون اللاجئين وتشير إلى أنه يمثل هيئة شبه قضائية مستقلة.</w:t>
      </w:r>
      <w:r w:rsidR="00521363" w:rsidRPr="008F5066">
        <w:rPr>
          <w:rFonts w:cs="Times New Roman"/>
          <w:rtl/>
          <w:lang w:eastAsia="zh-TW"/>
        </w:rPr>
        <w:t>‬</w:t>
      </w:r>
      <w:r w:rsidR="00521363" w:rsidRPr="008F5066">
        <w:rPr>
          <w:rtl/>
          <w:lang w:eastAsia="zh-TW"/>
        </w:rPr>
        <w:t xml:space="preserve"> </w:t>
      </w:r>
      <w:dir w:val="rtl">
        <w:r w:rsidR="00521363" w:rsidRPr="008F5066">
          <w:rPr>
            <w:rtl/>
            <w:lang w:eastAsia="zh-TW"/>
          </w:rPr>
          <w:t xml:space="preserve">ويُعتبر المجلس محكمة بالمعنى المقصود في المادة 39 من "الأمر التوجيهي لمجلس أوروبا رقم </w:t>
        </w:r>
        <w:r w:rsidR="00521363" w:rsidRPr="00377B19">
          <w:rPr>
            <w:szCs w:val="20"/>
          </w:rPr>
          <w:t>2005/85/EC</w:t>
        </w:r>
        <w:r w:rsidR="00521363" w:rsidRPr="00377B19">
          <w:rPr>
            <w:szCs w:val="20"/>
            <w:rtl/>
            <w:lang w:eastAsia="zh-TW"/>
          </w:rPr>
          <w:t xml:space="preserve"> </w:t>
        </w:r>
        <w:r w:rsidR="00521363" w:rsidRPr="008F5066">
          <w:rPr>
            <w:rtl/>
            <w:lang w:eastAsia="zh-TW"/>
          </w:rPr>
          <w:t xml:space="preserve">بشأن المعايير الدنيا المتعلقة بالإجراءات المطبقة في الدول </w:t>
        </w:r>
        <w:r w:rsidR="00521363" w:rsidRPr="008F5066">
          <w:rPr>
            <w:rtl/>
            <w:lang w:eastAsia="zh-TW"/>
          </w:rPr>
          <w:lastRenderedPageBreak/>
          <w:t xml:space="preserve">الأعضاء لمنح </w:t>
        </w:r>
        <w:r w:rsidR="00521363">
          <w:rPr>
            <w:rtl/>
            <w:lang w:eastAsia="zh-TW"/>
          </w:rPr>
          <w:t xml:space="preserve">وإسقاط </w:t>
        </w:r>
        <w:r w:rsidR="00521363" w:rsidRPr="008F5066">
          <w:rPr>
            <w:rtl/>
            <w:lang w:eastAsia="zh-TW"/>
          </w:rPr>
          <w:t>صفة اللاجئ.</w:t>
        </w:r>
        <w:r w:rsidR="00521363" w:rsidRPr="008F5066">
          <w:rPr>
            <w:rFonts w:cs="Times New Roman"/>
            <w:rtl/>
            <w:lang w:eastAsia="zh-TW"/>
          </w:rPr>
          <w:t>‬</w:t>
        </w:r>
        <w:r w:rsidR="00521363" w:rsidRPr="008F5066">
          <w:rPr>
            <w:rtl/>
            <w:lang w:eastAsia="zh-TW"/>
          </w:rPr>
          <w:t xml:space="preserve"> ووفق</w:t>
        </w:r>
        <w:r w:rsidR="002D164F">
          <w:rPr>
            <w:rtl/>
            <w:lang w:eastAsia="zh-TW"/>
          </w:rPr>
          <w:t xml:space="preserve">اً </w:t>
        </w:r>
        <w:r w:rsidR="00521363" w:rsidRPr="008F5066">
          <w:rPr>
            <w:rtl/>
            <w:lang w:eastAsia="zh-TW"/>
          </w:rPr>
          <w:t>للمادة</w:t>
        </w:r>
        <w:r>
          <w:rPr>
            <w:rtl/>
            <w:lang w:eastAsia="zh-TW"/>
          </w:rPr>
          <w:t xml:space="preserve"> 53</w:t>
        </w:r>
        <w:r w:rsidR="00521363" w:rsidRPr="008F5066">
          <w:rPr>
            <w:rtl/>
            <w:lang w:eastAsia="zh-TW"/>
          </w:rPr>
          <w:t xml:space="preserve">(6) من قانون الأجانب، </w:t>
        </w:r>
        <w:r w:rsidR="00521363">
          <w:rPr>
            <w:rtl/>
            <w:lang w:eastAsia="zh-TW"/>
          </w:rPr>
          <w:t>يتولى النظر</w:t>
        </w:r>
        <w:r w:rsidR="00521363" w:rsidRPr="008F5066">
          <w:rPr>
            <w:rtl/>
            <w:lang w:eastAsia="zh-TW"/>
          </w:rPr>
          <w:t xml:space="preserve"> في القضايا المعروضة على المجلس خمسة أعضاء هم: قاض (رئيس المجلس أو نائبه) ومحام وعضو يعينه المجلس </w:t>
        </w:r>
        <w:proofErr w:type="spellStart"/>
        <w:r w:rsidR="00521363" w:rsidRPr="008F5066">
          <w:rPr>
            <w:rtl/>
            <w:lang w:eastAsia="zh-TW"/>
          </w:rPr>
          <w:t>الدانمركي</w:t>
        </w:r>
        <w:proofErr w:type="spellEnd"/>
        <w:r w:rsidR="00521363" w:rsidRPr="008F5066">
          <w:rPr>
            <w:rtl/>
            <w:lang w:eastAsia="zh-TW"/>
          </w:rPr>
          <w:t xml:space="preserve"> للاجئين وعضو يعمل لدى وزارة العدل وعضو يعمل لدى وزارة الخارجية. </w:t>
        </w:r>
        <w:dir w:val="rtl">
          <w:r w:rsidR="00521363" w:rsidRPr="008F5066">
            <w:rPr>
              <w:rtl/>
              <w:lang w:eastAsia="zh-TW"/>
            </w:rPr>
            <w:t>ولا يجوز إعادة تعيين أعضاء المجلس بعد إكمالهم ولايتين مدّتهما أربع سنوات.</w:t>
          </w:r>
          <w:r w:rsidR="00521363" w:rsidRPr="008F5066">
            <w:rPr>
              <w:rFonts w:cs="Times New Roman"/>
              <w:rtl/>
              <w:lang w:eastAsia="zh-TW"/>
            </w:rPr>
            <w:t>‬</w:t>
          </w:r>
          <w:r w:rsidR="00521363" w:rsidRPr="008F5066">
            <w:rPr>
              <w:rtl/>
              <w:lang w:eastAsia="zh-TW"/>
            </w:rPr>
            <w:t xml:space="preserve"> </w:t>
          </w:r>
          <w:dir w:val="rtl">
            <w:r w:rsidR="00521363" w:rsidRPr="008F5066">
              <w:rPr>
                <w:rtl/>
                <w:lang w:eastAsia="zh-TW"/>
              </w:rPr>
              <w:t>ووفق</w:t>
            </w:r>
            <w:r w:rsidR="002D164F">
              <w:rPr>
                <w:rtl/>
                <w:lang w:eastAsia="zh-TW"/>
              </w:rPr>
              <w:t xml:space="preserve">اً </w:t>
            </w:r>
            <w:r w:rsidR="00521363" w:rsidRPr="008F5066">
              <w:rPr>
                <w:rtl/>
                <w:lang w:eastAsia="zh-TW"/>
              </w:rPr>
              <w:t xml:space="preserve">للمادة </w:t>
            </w:r>
            <w:r>
              <w:rPr>
                <w:rFonts w:hint="cs"/>
                <w:rtl/>
                <w:lang w:eastAsia="zh-TW"/>
              </w:rPr>
              <w:t>53</w:t>
            </w:r>
            <w:r w:rsidR="00521363" w:rsidRPr="008F5066">
              <w:rPr>
                <w:rtl/>
                <w:lang w:eastAsia="zh-TW"/>
              </w:rPr>
              <w:t xml:space="preserve">(1) من قانون الأجانب، يتمتع أعضاء المجلس بالاستقلالية ولا </w:t>
            </w:r>
            <w:r w:rsidR="00521363">
              <w:rPr>
                <w:rtl/>
                <w:lang w:eastAsia="zh-TW"/>
              </w:rPr>
              <w:t>يجوز لهم</w:t>
            </w:r>
            <w:r w:rsidR="00521363" w:rsidRPr="008F5066">
              <w:rPr>
                <w:rtl/>
                <w:lang w:eastAsia="zh-TW"/>
              </w:rPr>
              <w:t xml:space="preserve"> قبول أو التماس تعليمات من السلطة أو المنظمة التي عينتهم أو رشحتهم.</w:t>
            </w:r>
            <w:r w:rsidR="00521363" w:rsidRPr="008F5066">
              <w:rPr>
                <w:rFonts w:cs="Times New Roman"/>
                <w:rtl/>
                <w:lang w:eastAsia="zh-TW"/>
              </w:rPr>
              <w:t>‬</w:t>
            </w:r>
            <w:r w:rsidR="00521363" w:rsidRPr="008F5066">
              <w:rPr>
                <w:rtl/>
                <w:lang w:eastAsia="zh-TW"/>
              </w:rPr>
              <w:t xml:space="preserve"> ويصدر المجلس قرار</w:t>
            </w:r>
            <w:r w:rsidR="002D164F">
              <w:rPr>
                <w:rtl/>
                <w:lang w:eastAsia="zh-TW"/>
              </w:rPr>
              <w:t xml:space="preserve">اً </w:t>
            </w:r>
            <w:r w:rsidR="00521363" w:rsidRPr="008F5066">
              <w:rPr>
                <w:rtl/>
                <w:lang w:eastAsia="zh-TW"/>
              </w:rPr>
              <w:t>مكتوب</w:t>
            </w:r>
            <w:r w:rsidR="002D164F">
              <w:rPr>
                <w:rtl/>
                <w:lang w:eastAsia="zh-TW"/>
              </w:rPr>
              <w:t xml:space="preserve">اً </w:t>
            </w:r>
            <w:r w:rsidR="00521363">
              <w:rPr>
                <w:rtl/>
                <w:lang w:eastAsia="zh-TW"/>
              </w:rPr>
              <w:t>غير قابل ل</w:t>
            </w:r>
            <w:r w:rsidR="00521363" w:rsidRPr="008F5066">
              <w:rPr>
                <w:rtl/>
                <w:lang w:eastAsia="zh-TW"/>
              </w:rPr>
              <w:t xml:space="preserve">لطعن؛ </w:t>
            </w:r>
            <w:dir w:val="rtl">
              <w:r w:rsidR="00521363" w:rsidRPr="008F5066">
                <w:rPr>
                  <w:rtl/>
                  <w:lang w:eastAsia="zh-TW"/>
                </w:rPr>
                <w:t>لكن دستور الدان</w:t>
              </w:r>
              <w:r w:rsidR="007145F1">
                <w:rPr>
                  <w:rFonts w:hint="cs"/>
                  <w:rtl/>
                  <w:lang w:eastAsia="zh-TW"/>
                </w:rPr>
                <w:t>م</w:t>
              </w:r>
              <w:r w:rsidR="00521363" w:rsidRPr="008F5066">
                <w:rPr>
                  <w:rtl/>
                  <w:lang w:eastAsia="zh-TW"/>
                </w:rPr>
                <w:t>رك يجيز للأجانب تقديم طعن أمام المحاكم العادية التي تختص بالفصل في أي مسألة تتعلق بحدود اختصاص سلطة عامة.</w:t>
              </w:r>
              <w:r w:rsidR="00521363" w:rsidRPr="008F5066">
                <w:rPr>
                  <w:rFonts w:cs="Times New Roman"/>
                  <w:rtl/>
                  <w:lang w:eastAsia="zh-TW"/>
                </w:rPr>
                <w:t>‬</w:t>
              </w:r>
              <w:r w:rsidR="00521363" w:rsidRPr="008F5066">
                <w:rPr>
                  <w:rtl/>
                  <w:lang w:eastAsia="zh-TW"/>
                </w:rPr>
                <w:t xml:space="preserve"> ووفق</w:t>
              </w:r>
              <w:r w:rsidR="002D164F">
                <w:rPr>
                  <w:rtl/>
                  <w:lang w:eastAsia="zh-TW"/>
                </w:rPr>
                <w:t xml:space="preserve">اً </w:t>
              </w:r>
              <w:r w:rsidR="00521363" w:rsidRPr="008F5066">
                <w:rPr>
                  <w:rtl/>
                  <w:lang w:eastAsia="zh-TW"/>
                </w:rPr>
                <w:t xml:space="preserve">للمبدأ الذي </w:t>
              </w:r>
              <w:proofErr w:type="spellStart"/>
              <w:r w:rsidR="00521363" w:rsidRPr="008F5066">
                <w:rPr>
                  <w:rtl/>
                  <w:lang w:eastAsia="zh-TW"/>
                </w:rPr>
                <w:t>أرسته</w:t>
              </w:r>
              <w:proofErr w:type="spellEnd"/>
              <w:r w:rsidR="00521363" w:rsidRPr="008F5066">
                <w:rPr>
                  <w:rtl/>
                  <w:lang w:eastAsia="zh-TW"/>
                </w:rPr>
                <w:t xml:space="preserve"> المحكمة العليا، تقتصر المراجعة</w:t>
              </w:r>
              <w:r w:rsidR="00521363">
                <w:rPr>
                  <w:rtl/>
                  <w:lang w:eastAsia="zh-TW"/>
                </w:rPr>
                <w:t>،</w:t>
              </w:r>
              <w:r w:rsidR="00521363" w:rsidRPr="008F5066">
                <w:rPr>
                  <w:rtl/>
                  <w:lang w:eastAsia="zh-TW"/>
                </w:rPr>
                <w:t xml:space="preserve"> التي تجريها المحاكم العادية لقرارات المجلس</w:t>
              </w:r>
              <w:r w:rsidR="00521363">
                <w:rPr>
                  <w:rtl/>
                  <w:lang w:eastAsia="zh-TW"/>
                </w:rPr>
                <w:t>،</w:t>
              </w:r>
              <w:r w:rsidR="00521363" w:rsidRPr="008F5066">
                <w:rPr>
                  <w:rtl/>
                  <w:lang w:eastAsia="zh-TW"/>
                </w:rPr>
                <w:t xml:space="preserve"> على استعراض </w:t>
              </w:r>
              <w:r w:rsidR="00521363">
                <w:rPr>
                  <w:rtl/>
                  <w:lang w:eastAsia="zh-TW"/>
                </w:rPr>
                <w:t>يتعلق ب</w:t>
              </w:r>
              <w:r w:rsidR="00521363" w:rsidRPr="008F5066">
                <w:rPr>
                  <w:rtl/>
                  <w:lang w:eastAsia="zh-TW"/>
                </w:rPr>
                <w:t xml:space="preserve">المسائل القانونية، بما في ذلك </w:t>
              </w:r>
              <w:r w:rsidR="00521363">
                <w:rPr>
                  <w:rtl/>
                  <w:lang w:eastAsia="zh-TW"/>
                </w:rPr>
                <w:t xml:space="preserve">مدى </w:t>
              </w:r>
              <w:r w:rsidR="00521363" w:rsidRPr="008F5066">
                <w:rPr>
                  <w:rtl/>
                  <w:lang w:eastAsia="zh-TW"/>
                </w:rPr>
                <w:t>وجود أي قصور في الأساس الذي استند إليه القرار المشار إليه وممارسة السلطة التقديرية بما يخالف القانون، في حين لا يراجع تقييم الأدلة الذي يجريه المجلس.</w:t>
              </w:r>
              <w:r w:rsidR="00521363" w:rsidRPr="008F5066">
                <w:rPr>
                  <w:rFonts w:cs="Times New Roman"/>
                  <w:rtl/>
                  <w:lang w:eastAsia="zh-TW"/>
                </w:rPr>
                <w:t>‬</w:t>
              </w:r>
              <w:r w:rsidR="00521363" w:rsidRPr="008F5066">
                <w:rPr>
                  <w:rtl/>
                  <w:lang w:eastAsia="zh-TW"/>
                </w:rPr>
                <w:t xml:space="preserve"> </w:t>
              </w:r>
              <w:r w:rsidR="00521363">
                <w:t>‬</w:t>
              </w:r>
              <w:r w:rsidR="00521363">
                <w:t>‬</w:t>
              </w:r>
              <w:r w:rsidR="00521363">
                <w:t>‬</w:t>
              </w:r>
              <w:r w:rsidR="00521363">
                <w:t>‬</w:t>
              </w:r>
              <w:r w:rsidR="00D3340E">
                <w:t>‬</w:t>
              </w:r>
              <w:r w:rsidR="00D3340E">
                <w:t>‬</w:t>
              </w:r>
              <w:r w:rsidR="00D3340E">
                <w:t>‬</w:t>
              </w:r>
              <w:r w:rsidR="00D3340E">
                <w:t>‬</w:t>
              </w:r>
              <w:r w:rsidR="002C3FDD">
                <w:t>‬</w:t>
              </w:r>
              <w:r w:rsidR="002C3FDD">
                <w:t>‬</w:t>
              </w:r>
              <w:r w:rsidR="002C3FDD">
                <w:t>‬</w:t>
              </w:r>
              <w:r w:rsidR="002C3FDD">
                <w:t>‬</w:t>
              </w:r>
            </w:dir>
          </w:dir>
        </w:dir>
      </w:dir>
    </w:p>
    <w:p w:rsidR="00521363" w:rsidRPr="00007EC5" w:rsidRDefault="007145F1" w:rsidP="002A4B7F">
      <w:pPr>
        <w:pStyle w:val="SingleTxtGA"/>
        <w:spacing w:line="360" w:lineRule="exact"/>
        <w:rPr>
          <w:rtl/>
          <w:lang w:eastAsia="zh-TW"/>
        </w:rPr>
      </w:pPr>
      <w:r>
        <w:rPr>
          <w:rtl/>
          <w:lang w:eastAsia="zh-TW"/>
        </w:rPr>
        <w:t>٤-٣</w:t>
      </w:r>
      <w:r>
        <w:rPr>
          <w:rFonts w:hint="cs"/>
          <w:rtl/>
          <w:lang w:eastAsia="zh-TW"/>
        </w:rPr>
        <w:tab/>
      </w:r>
      <w:r w:rsidR="00521363" w:rsidRPr="008153E1">
        <w:rPr>
          <w:rtl/>
          <w:lang w:eastAsia="zh-TW"/>
        </w:rPr>
        <w:t>وتش</w:t>
      </w:r>
      <w:r w:rsidR="000C69DF">
        <w:rPr>
          <w:rtl/>
          <w:lang w:eastAsia="zh-TW"/>
        </w:rPr>
        <w:t>ير الدولة الطرف إلى أن المادة 7</w:t>
      </w:r>
      <w:r w:rsidR="00521363" w:rsidRPr="008153E1">
        <w:rPr>
          <w:rtl/>
          <w:lang w:eastAsia="zh-TW"/>
        </w:rPr>
        <w:t>(1) من قانون الأجانب تنصّ على إصدار تصريح الإقامة للأجنبي إذا كانت أحكام الاتفاقية الخاصة بوضع اللاجئين تنطبق عليه.</w:t>
      </w:r>
      <w:r w:rsidR="00521363" w:rsidRPr="008153E1">
        <w:rPr>
          <w:rFonts w:cs="Times New Roman"/>
          <w:rtl/>
          <w:lang w:eastAsia="zh-TW"/>
        </w:rPr>
        <w:t>‬</w:t>
      </w:r>
      <w:r w:rsidR="00521363" w:rsidRPr="008153E1">
        <w:rPr>
          <w:rtl/>
          <w:lang w:eastAsia="zh-TW"/>
        </w:rPr>
        <w:t xml:space="preserve"> ولذلك أُدرجت المادة</w:t>
      </w:r>
      <w:r w:rsidR="000C69DF">
        <w:rPr>
          <w:rtl/>
          <w:lang w:eastAsia="zh-TW"/>
        </w:rPr>
        <w:t xml:space="preserve"> 1</w:t>
      </w:r>
      <w:r w:rsidR="00521363" w:rsidRPr="008153E1">
        <w:rPr>
          <w:rtl/>
          <w:lang w:eastAsia="zh-TW"/>
        </w:rPr>
        <w:t xml:space="preserve">(أ) من الاتفاقية في القانون </w:t>
      </w:r>
      <w:proofErr w:type="spellStart"/>
      <w:r w:rsidR="00521363" w:rsidRPr="008153E1">
        <w:rPr>
          <w:rtl/>
          <w:lang w:eastAsia="zh-TW"/>
        </w:rPr>
        <w:t>الدانمركي</w:t>
      </w:r>
      <w:proofErr w:type="spellEnd"/>
      <w:r w:rsidR="00521363" w:rsidRPr="008153E1">
        <w:rPr>
          <w:rtl/>
          <w:lang w:eastAsia="zh-TW"/>
        </w:rPr>
        <w:t xml:space="preserve">. </w:t>
      </w:r>
      <w:dir w:val="rtl">
        <w:r w:rsidR="00521363" w:rsidRPr="008153E1">
          <w:rPr>
            <w:rtl/>
            <w:lang w:eastAsia="zh-TW"/>
          </w:rPr>
          <w:t>ومع أن تلك المادة لا تذكر التعذيب ضمن الأسباب التي تبرر طلب اللجوء، فإن التعذيب قد يعتبر عنصراً من عناصر الاضطهاد بسبب الآراء السياسية على سبيل المثال.</w:t>
        </w:r>
        <w:r w:rsidR="00521363" w:rsidRPr="008153E1">
          <w:rPr>
            <w:rFonts w:cs="Times New Roman"/>
            <w:rtl/>
            <w:lang w:eastAsia="zh-TW"/>
          </w:rPr>
          <w:t>‬</w:t>
        </w:r>
        <w:r w:rsidR="00521363" w:rsidRPr="008153E1">
          <w:rPr>
            <w:rtl/>
            <w:lang w:eastAsia="zh-TW"/>
          </w:rPr>
          <w:t xml:space="preserve"> ولذلك فإن تعرض ملتمس اللجوء للتعذيب أو لمعاملة مماثلة في بلده الأصلي يمكن أن تكون له أهمية أساسية في تقييم مدى استيفاء ملتمس اللجوء لشروط الحصول على </w:t>
        </w:r>
        <w:r w:rsidR="00521363">
          <w:rPr>
            <w:rtl/>
            <w:lang w:eastAsia="zh-TW"/>
          </w:rPr>
          <w:t xml:space="preserve">تصريح </w:t>
        </w:r>
        <w:r w:rsidR="00521363" w:rsidRPr="008153E1">
          <w:rPr>
            <w:rtl/>
            <w:lang w:eastAsia="zh-TW"/>
          </w:rPr>
          <w:t>الإقامة المنصوص عليها في المادة</w:t>
        </w:r>
        <w:r w:rsidR="000C69DF">
          <w:rPr>
            <w:rtl/>
            <w:lang w:eastAsia="zh-TW"/>
          </w:rPr>
          <w:t xml:space="preserve"> 7</w:t>
        </w:r>
        <w:r w:rsidR="00521363" w:rsidRPr="008153E1">
          <w:rPr>
            <w:rtl/>
            <w:lang w:eastAsia="zh-TW"/>
          </w:rPr>
          <w:t>(1) من قانون الأجانب. كذلك تنص المادة</w:t>
        </w:r>
        <w:r w:rsidR="000C69DF">
          <w:rPr>
            <w:rtl/>
            <w:lang w:eastAsia="zh-TW"/>
          </w:rPr>
          <w:t xml:space="preserve"> 7</w:t>
        </w:r>
        <w:r w:rsidR="00521363" w:rsidRPr="008153E1">
          <w:rPr>
            <w:rtl/>
            <w:lang w:eastAsia="zh-TW"/>
          </w:rPr>
          <w:t>(2) من قانون الأجانب على إصدار تصريح الإقامة للأجنبي، بناء على طلبه إذا كان يواجه خطر التعرض لعقوبة الإعدام أو للتعذيب، أو المعاملة أو العقوبة اللاإنسانية أو المهينة، في حال أعيد إلى بلده الأصلي (وضع الحماية).</w:t>
        </w:r>
        <w:r w:rsidR="00521363" w:rsidRPr="008153E1">
          <w:rPr>
            <w:rFonts w:cs="Times New Roman"/>
            <w:rtl/>
            <w:lang w:eastAsia="zh-TW"/>
          </w:rPr>
          <w:t>‬</w:t>
        </w:r>
        <w:r w:rsidR="00521363" w:rsidRPr="008153E1">
          <w:rPr>
            <w:rtl/>
            <w:lang w:eastAsia="zh-TW"/>
          </w:rPr>
          <w:t xml:space="preserve"> وفي الممارسة العملية، يعتبر مجلس طعون اللاجئين </w:t>
        </w:r>
        <w:proofErr w:type="spellStart"/>
        <w:r w:rsidR="00521363" w:rsidRPr="008153E1">
          <w:rPr>
            <w:rtl/>
            <w:lang w:eastAsia="zh-TW"/>
          </w:rPr>
          <w:t>الدانمركي</w:t>
        </w:r>
        <w:proofErr w:type="spellEnd"/>
        <w:r w:rsidR="00521363" w:rsidRPr="008153E1">
          <w:rPr>
            <w:rtl/>
            <w:lang w:eastAsia="zh-TW"/>
          </w:rPr>
          <w:t xml:space="preserve"> أن تلك الشروط قد استوفيت عندما تكون هناك عوامل خاصة وفردية تثبت أن ثمة خطر</w:t>
        </w:r>
        <w:r>
          <w:rPr>
            <w:rFonts w:hint="cs"/>
            <w:rtl/>
            <w:lang w:eastAsia="zh-TW"/>
          </w:rPr>
          <w:t>اً</w:t>
        </w:r>
        <w:r w:rsidR="00521363" w:rsidRPr="008153E1">
          <w:rPr>
            <w:rtl/>
            <w:lang w:eastAsia="zh-TW"/>
          </w:rPr>
          <w:t xml:space="preserve"> حقيقي</w:t>
        </w:r>
        <w:r>
          <w:rPr>
            <w:rFonts w:hint="cs"/>
            <w:rtl/>
            <w:lang w:eastAsia="zh-TW"/>
          </w:rPr>
          <w:t>اً</w:t>
        </w:r>
        <w:r w:rsidR="00521363" w:rsidRPr="008153E1">
          <w:rPr>
            <w:rtl/>
            <w:lang w:eastAsia="zh-TW"/>
          </w:rPr>
          <w:t xml:space="preserve"> على ملتمس اللجوء من التعرض لعقوبة الإعدام أو للتعذيب أو المعاملة أو العقوبة اللاإنسانية أو المهينة في حال أعيد إلى بلده الأصلي.</w:t>
        </w:r>
        <w:r w:rsidR="00521363" w:rsidRPr="008153E1">
          <w:rPr>
            <w:rFonts w:cs="Times New Roman"/>
            <w:rtl/>
            <w:lang w:eastAsia="zh-TW"/>
          </w:rPr>
          <w:t>‬</w:t>
        </w:r>
        <w:r w:rsidR="00521363">
          <w:t>‬</w:t>
        </w:r>
        <w:r w:rsidR="00D3340E">
          <w:t>‬</w:t>
        </w:r>
        <w:r w:rsidR="002C3FDD">
          <w:t>‬</w:t>
        </w:r>
      </w:dir>
    </w:p>
    <w:p w:rsidR="00521363" w:rsidRPr="008F5066" w:rsidRDefault="000C69DF" w:rsidP="002A4B7F">
      <w:pPr>
        <w:pStyle w:val="SingleTxtGA"/>
        <w:spacing w:line="360" w:lineRule="exact"/>
        <w:rPr>
          <w:rtl/>
          <w:lang w:eastAsia="zh-TW"/>
        </w:rPr>
      </w:pPr>
      <w:r>
        <w:rPr>
          <w:rtl/>
          <w:lang w:eastAsia="zh-TW"/>
        </w:rPr>
        <w:t>٤-٤</w:t>
      </w:r>
      <w:r>
        <w:rPr>
          <w:rFonts w:hint="cs"/>
          <w:rtl/>
          <w:lang w:eastAsia="zh-TW"/>
        </w:rPr>
        <w:tab/>
      </w:r>
      <w:r w:rsidR="00521363" w:rsidRPr="008F5066">
        <w:rPr>
          <w:rtl/>
          <w:lang w:eastAsia="zh-TW"/>
        </w:rPr>
        <w:t xml:space="preserve">غير أنه لا يمكن، وفقاً للاجتهادات السابقة لمجلس طعون اللاجئين، اعتبار أن شروط </w:t>
      </w:r>
      <w:r w:rsidR="00521363">
        <w:rPr>
          <w:rtl/>
          <w:lang w:eastAsia="zh-TW"/>
        </w:rPr>
        <w:t>الموافقة على طلب</w:t>
      </w:r>
      <w:r w:rsidR="00521363" w:rsidRPr="008F5066">
        <w:rPr>
          <w:rtl/>
          <w:lang w:eastAsia="zh-TW"/>
        </w:rPr>
        <w:t xml:space="preserve"> اللجوء أو وضع الحماية قد استوفيت في جميع الحالات التي يكون فيها ملتمس اللجوء قد تعرض للتعذيب في بلده الأصلي.</w:t>
      </w:r>
      <w:r w:rsidR="00521363" w:rsidRPr="008F5066">
        <w:rPr>
          <w:rFonts w:cs="Times New Roman"/>
          <w:rtl/>
          <w:lang w:eastAsia="zh-TW"/>
        </w:rPr>
        <w:t>‬</w:t>
      </w:r>
      <w:r w:rsidR="00521363" w:rsidRPr="008F5066">
        <w:rPr>
          <w:rtl/>
          <w:lang w:eastAsia="zh-TW"/>
        </w:rPr>
        <w:t xml:space="preserve"> </w:t>
      </w:r>
      <w:dir w:val="rtl">
        <w:r w:rsidR="00521363" w:rsidRPr="008F5066">
          <w:rPr>
            <w:rtl/>
            <w:lang w:eastAsia="zh-TW"/>
          </w:rPr>
          <w:t>وعندما يقر المجلس بأن ملتمس اللجوء تعرض للتعذيب و</w:t>
        </w:r>
        <w:r w:rsidR="007145F1">
          <w:rPr>
            <w:rFonts w:hint="cs"/>
            <w:rtl/>
            <w:lang w:eastAsia="zh-TW"/>
          </w:rPr>
          <w:t xml:space="preserve">أنه </w:t>
        </w:r>
        <w:r w:rsidR="00521363" w:rsidRPr="008F5066">
          <w:rPr>
            <w:rtl/>
            <w:lang w:eastAsia="zh-TW"/>
          </w:rPr>
          <w:t xml:space="preserve">يواجه خطر التعذيب في </w:t>
        </w:r>
        <w:r w:rsidR="007145F1">
          <w:rPr>
            <w:rFonts w:hint="cs"/>
            <w:rtl/>
            <w:lang w:eastAsia="zh-TW"/>
          </w:rPr>
          <w:t xml:space="preserve">إطار حملات الاضطهاد </w:t>
        </w:r>
        <w:r w:rsidR="00521363" w:rsidRPr="008F5066">
          <w:rPr>
            <w:rtl/>
            <w:lang w:eastAsia="zh-TW"/>
          </w:rPr>
          <w:t xml:space="preserve">للأسباب المشمولة بالاتفاقية الخاصة بوضع اللاجئين </w:t>
        </w:r>
        <w:r w:rsidR="00521363">
          <w:rPr>
            <w:rtl/>
            <w:lang w:eastAsia="zh-TW"/>
          </w:rPr>
          <w:t>إذا ما</w:t>
        </w:r>
        <w:r w:rsidR="00521363" w:rsidRPr="008F5066">
          <w:rPr>
            <w:rtl/>
            <w:lang w:eastAsia="zh-TW"/>
          </w:rPr>
          <w:t xml:space="preserve"> أعيد إلى بلده الأصلي، فإنه يمنحه </w:t>
        </w:r>
        <w:r w:rsidR="00521363">
          <w:rPr>
            <w:rtl/>
            <w:lang w:eastAsia="zh-TW"/>
          </w:rPr>
          <w:t xml:space="preserve">تصريح </w:t>
        </w:r>
        <w:r w:rsidR="00521363" w:rsidRPr="008F5066">
          <w:rPr>
            <w:rtl/>
            <w:lang w:eastAsia="zh-TW"/>
          </w:rPr>
          <w:t xml:space="preserve">الإقامة بموجب المادة 7(1) من قانون الأجانب، شريطة أن يكون </w:t>
        </w:r>
        <w:r w:rsidR="00521363">
          <w:rPr>
            <w:rtl/>
            <w:lang w:eastAsia="zh-TW"/>
          </w:rPr>
          <w:t>قد استوفى، بوجه من الوجوه الأخرى، ال</w:t>
        </w:r>
        <w:r w:rsidR="00521363" w:rsidRPr="008F5066">
          <w:rPr>
            <w:rtl/>
            <w:lang w:eastAsia="zh-TW"/>
          </w:rPr>
          <w:t>شروط</w:t>
        </w:r>
        <w:r w:rsidR="00521363">
          <w:rPr>
            <w:rtl/>
            <w:lang w:eastAsia="zh-TW"/>
          </w:rPr>
          <w:t xml:space="preserve"> المنصوص عليها في</w:t>
        </w:r>
        <w:r w:rsidR="00521363" w:rsidRPr="008F5066">
          <w:rPr>
            <w:rtl/>
            <w:lang w:eastAsia="zh-TW"/>
          </w:rPr>
          <w:t xml:space="preserve"> هذه المادة.</w:t>
        </w:r>
        <w:r w:rsidR="00521363" w:rsidRPr="008F5066">
          <w:rPr>
            <w:rFonts w:cs="Times New Roman"/>
            <w:rtl/>
            <w:lang w:eastAsia="zh-TW"/>
          </w:rPr>
          <w:t>‬</w:t>
        </w:r>
        <w:r w:rsidR="00521363" w:rsidRPr="008F5066">
          <w:rPr>
            <w:rtl/>
            <w:lang w:eastAsia="zh-TW"/>
          </w:rPr>
          <w:t xml:space="preserve"> وعلاوة على ذلك، يمكن أن يمنح تصريح الإقامة بموجب المادة</w:t>
        </w:r>
        <w:r w:rsidR="007145F1">
          <w:rPr>
            <w:rtl/>
            <w:lang w:eastAsia="zh-TW"/>
          </w:rPr>
          <w:t xml:space="preserve"> 7</w:t>
        </w:r>
        <w:r w:rsidR="00521363" w:rsidRPr="008F5066">
          <w:rPr>
            <w:rtl/>
            <w:lang w:eastAsia="zh-TW"/>
          </w:rPr>
          <w:t xml:space="preserve">(1) من القانون، بعد إجراء تقييم خاص، في الحالات التي يتبين فيها أن ملتمس اللجوء تعرض للتعذيب قبل فراره إلى </w:t>
        </w:r>
        <w:r w:rsidR="007145F1">
          <w:rPr>
            <w:rtl/>
            <w:lang w:eastAsia="zh-TW"/>
          </w:rPr>
          <w:t>الدانمرك</w:t>
        </w:r>
        <w:r w:rsidR="00521363" w:rsidRPr="008F5066">
          <w:rPr>
            <w:rtl/>
            <w:lang w:eastAsia="zh-TW"/>
          </w:rPr>
          <w:t xml:space="preserve"> أو في حال اعتُبر </w:t>
        </w:r>
        <w:r w:rsidR="007145F1">
          <w:rPr>
            <w:rFonts w:hint="cs"/>
            <w:rtl/>
            <w:lang w:eastAsia="zh-TW"/>
          </w:rPr>
          <w:t xml:space="preserve">أن </w:t>
        </w:r>
        <w:r w:rsidR="00521363" w:rsidRPr="008F5066">
          <w:rPr>
            <w:rtl/>
            <w:lang w:eastAsia="zh-TW"/>
          </w:rPr>
          <w:t>خوفه الشديد الناتج عما تعرض له من إيذاء</w:t>
        </w:r>
        <w:r w:rsidR="00521363">
          <w:rPr>
            <w:rtl/>
            <w:lang w:eastAsia="zh-TW"/>
          </w:rPr>
          <w:t>،</w:t>
        </w:r>
        <w:r w:rsidR="00521363" w:rsidRPr="008F5066">
          <w:rPr>
            <w:rtl/>
            <w:lang w:eastAsia="zh-TW"/>
          </w:rPr>
          <w:t xml:space="preserve"> له ما يبرره، حتى لو كانت العودة لا تعتبر، وفق</w:t>
        </w:r>
        <w:r w:rsidR="002D164F">
          <w:rPr>
            <w:rtl/>
            <w:lang w:eastAsia="zh-TW"/>
          </w:rPr>
          <w:t xml:space="preserve">اً </w:t>
        </w:r>
        <w:r w:rsidR="00521363" w:rsidRPr="008F5066">
          <w:rPr>
            <w:rtl/>
            <w:lang w:eastAsia="zh-TW"/>
          </w:rPr>
          <w:t>للتقييم الموضوعي، مصدراً محتملاً ل</w:t>
        </w:r>
        <w:r w:rsidR="00521363">
          <w:rPr>
            <w:rtl/>
            <w:lang w:eastAsia="zh-TW"/>
          </w:rPr>
          <w:t>لتعرض ل</w:t>
        </w:r>
        <w:r w:rsidR="00521363" w:rsidRPr="008F5066">
          <w:rPr>
            <w:rtl/>
            <w:lang w:eastAsia="zh-TW"/>
          </w:rPr>
          <w:t xml:space="preserve">مزيد من الاضطهاد. </w:t>
        </w:r>
        <w:dir w:val="rtl">
          <w:r w:rsidR="00521363" w:rsidRPr="008F5066">
            <w:rPr>
              <w:rtl/>
              <w:lang w:eastAsia="zh-TW"/>
            </w:rPr>
            <w:t xml:space="preserve">وبالإضافة إلى ذلك، يعتبر المجلس أن شروط منح </w:t>
          </w:r>
          <w:r w:rsidR="00521363">
            <w:rPr>
              <w:rtl/>
              <w:lang w:eastAsia="zh-TW"/>
            </w:rPr>
            <w:t xml:space="preserve">تصريح </w:t>
          </w:r>
          <w:r w:rsidR="00521363" w:rsidRPr="008F5066">
            <w:rPr>
              <w:rtl/>
              <w:lang w:eastAsia="zh-TW"/>
            </w:rPr>
            <w:t>الإقامة بموجب المادة</w:t>
          </w:r>
          <w:r>
            <w:rPr>
              <w:rFonts w:hint="cs"/>
              <w:rtl/>
              <w:lang w:eastAsia="zh-TW"/>
            </w:rPr>
            <w:t> </w:t>
          </w:r>
          <w:r>
            <w:rPr>
              <w:rtl/>
              <w:lang w:eastAsia="zh-TW"/>
            </w:rPr>
            <w:t>7</w:t>
          </w:r>
          <w:r w:rsidR="00521363" w:rsidRPr="008F5066">
            <w:rPr>
              <w:rtl/>
              <w:lang w:eastAsia="zh-TW"/>
            </w:rPr>
            <w:t xml:space="preserve">(2) من قانون الأجانب قد استوفيت في حال </w:t>
          </w:r>
          <w:r w:rsidR="00521363">
            <w:rPr>
              <w:rtl/>
              <w:lang w:eastAsia="zh-TW"/>
            </w:rPr>
            <w:t>توفرت</w:t>
          </w:r>
          <w:r w:rsidR="00521363" w:rsidRPr="008F5066">
            <w:rPr>
              <w:rtl/>
              <w:lang w:eastAsia="zh-TW"/>
            </w:rPr>
            <w:t xml:space="preserve"> عوامل </w:t>
          </w:r>
          <w:r w:rsidR="00521363" w:rsidRPr="008F5066">
            <w:rPr>
              <w:rtl/>
              <w:lang w:eastAsia="zh-TW"/>
            </w:rPr>
            <w:lastRenderedPageBreak/>
            <w:t xml:space="preserve">خاصة وفردية ترجح </w:t>
          </w:r>
          <w:r w:rsidR="00521363">
            <w:rPr>
              <w:rtl/>
              <w:lang w:eastAsia="zh-TW"/>
            </w:rPr>
            <w:t xml:space="preserve">وجود </w:t>
          </w:r>
          <w:r w:rsidR="00521363" w:rsidRPr="008F5066">
            <w:rPr>
              <w:rtl/>
              <w:lang w:eastAsia="zh-TW"/>
            </w:rPr>
            <w:t xml:space="preserve">خطر حقيقي </w:t>
          </w:r>
          <w:r w:rsidR="00521363">
            <w:rPr>
              <w:rtl/>
              <w:lang w:eastAsia="zh-TW"/>
            </w:rPr>
            <w:t xml:space="preserve">على </w:t>
          </w:r>
          <w:r w:rsidR="00521363" w:rsidRPr="008F5066">
            <w:rPr>
              <w:rtl/>
              <w:lang w:eastAsia="zh-TW"/>
            </w:rPr>
            <w:t xml:space="preserve">ملتمس اللجوء </w:t>
          </w:r>
          <w:r w:rsidR="00521363">
            <w:rPr>
              <w:rtl/>
              <w:lang w:eastAsia="zh-TW"/>
            </w:rPr>
            <w:t>من التعرض ل</w:t>
          </w:r>
          <w:r w:rsidR="00521363" w:rsidRPr="008F5066">
            <w:rPr>
              <w:rtl/>
              <w:lang w:eastAsia="zh-TW"/>
            </w:rPr>
            <w:t>لتعذيب في حال أعيد إلى بلده الأصلي.</w:t>
          </w:r>
          <w:r w:rsidR="00521363" w:rsidRPr="008F5066">
            <w:rPr>
              <w:rFonts w:cs="Times New Roman"/>
              <w:rtl/>
              <w:lang w:eastAsia="zh-TW"/>
            </w:rPr>
            <w:t>‬</w:t>
          </w:r>
          <w:r w:rsidR="00521363">
            <w:t>‬</w:t>
          </w:r>
          <w:r w:rsidR="00521363">
            <w:t>‬</w:t>
          </w:r>
          <w:r w:rsidR="00D3340E">
            <w:t>‬</w:t>
          </w:r>
          <w:r w:rsidR="00D3340E">
            <w:t>‬</w:t>
          </w:r>
          <w:r w:rsidR="002C3FDD">
            <w:t>‬</w:t>
          </w:r>
          <w:r w:rsidR="002C3FDD">
            <w:t>‬</w:t>
          </w:r>
        </w:dir>
      </w:dir>
    </w:p>
    <w:p w:rsidR="00521363" w:rsidRPr="008F5066" w:rsidRDefault="000C69DF" w:rsidP="002A4B7F">
      <w:pPr>
        <w:pStyle w:val="SingleTxtGA"/>
        <w:spacing w:line="360" w:lineRule="exact"/>
        <w:rPr>
          <w:rtl/>
          <w:lang w:eastAsia="zh-TW"/>
        </w:rPr>
      </w:pPr>
      <w:r>
        <w:rPr>
          <w:rtl/>
          <w:lang w:eastAsia="zh-TW"/>
        </w:rPr>
        <w:t>٤-٥</w:t>
      </w:r>
      <w:r>
        <w:rPr>
          <w:rFonts w:hint="cs"/>
          <w:rtl/>
          <w:lang w:eastAsia="zh-TW"/>
        </w:rPr>
        <w:tab/>
      </w:r>
      <w:r w:rsidR="00521363" w:rsidRPr="008F5066">
        <w:rPr>
          <w:rtl/>
          <w:lang w:eastAsia="zh-TW"/>
        </w:rPr>
        <w:t xml:space="preserve">وتشير الدولة الطرف إلى أن مجلس طعون اللاجئين يستند في </w:t>
      </w:r>
      <w:r w:rsidR="00521363">
        <w:rPr>
          <w:rtl/>
          <w:lang w:eastAsia="zh-TW"/>
        </w:rPr>
        <w:t xml:space="preserve">اتخاذ </w:t>
      </w:r>
      <w:r w:rsidR="00521363" w:rsidRPr="008F5066">
        <w:rPr>
          <w:rtl/>
          <w:lang w:eastAsia="zh-TW"/>
        </w:rPr>
        <w:t xml:space="preserve">قراراته إلى </w:t>
      </w:r>
      <w:r w:rsidR="00521363">
        <w:rPr>
          <w:rtl/>
          <w:lang w:eastAsia="zh-TW"/>
        </w:rPr>
        <w:t xml:space="preserve">إجراء </w:t>
      </w:r>
      <w:r w:rsidR="00521363" w:rsidRPr="008F5066">
        <w:rPr>
          <w:rtl/>
          <w:lang w:eastAsia="zh-TW"/>
        </w:rPr>
        <w:t>تقييم فردي وخاص للحالة.</w:t>
      </w:r>
      <w:r w:rsidR="00521363" w:rsidRPr="008F5066">
        <w:rPr>
          <w:rFonts w:cs="Times New Roman"/>
          <w:rtl/>
          <w:lang w:eastAsia="zh-TW"/>
        </w:rPr>
        <w:t>‬</w:t>
      </w:r>
      <w:r w:rsidR="00521363" w:rsidRPr="008F5066">
        <w:rPr>
          <w:rtl/>
          <w:lang w:eastAsia="zh-TW"/>
        </w:rPr>
        <w:t xml:space="preserve"> و</w:t>
      </w:r>
      <w:r w:rsidR="007145F1">
        <w:rPr>
          <w:rFonts w:hint="cs"/>
          <w:rtl/>
          <w:lang w:eastAsia="zh-TW"/>
        </w:rPr>
        <w:t xml:space="preserve">يستند </w:t>
      </w:r>
      <w:r w:rsidR="00521363" w:rsidRPr="008F5066">
        <w:rPr>
          <w:rtl/>
          <w:lang w:eastAsia="zh-TW"/>
        </w:rPr>
        <w:t xml:space="preserve">تقييم </w:t>
      </w:r>
      <w:r w:rsidR="00521363">
        <w:rPr>
          <w:rtl/>
          <w:lang w:eastAsia="zh-TW"/>
        </w:rPr>
        <w:t>المجلس ل</w:t>
      </w:r>
      <w:r w:rsidR="00521363" w:rsidRPr="008F5066">
        <w:rPr>
          <w:rtl/>
          <w:lang w:eastAsia="zh-TW"/>
        </w:rPr>
        <w:t xml:space="preserve">لأدلة </w:t>
      </w:r>
      <w:r w:rsidR="007145F1">
        <w:rPr>
          <w:rFonts w:hint="cs"/>
          <w:rtl/>
          <w:lang w:eastAsia="zh-TW"/>
        </w:rPr>
        <w:t xml:space="preserve">إلى </w:t>
      </w:r>
      <w:r w:rsidR="00521363" w:rsidRPr="008F5066">
        <w:rPr>
          <w:rtl/>
          <w:lang w:eastAsia="zh-TW"/>
        </w:rPr>
        <w:t xml:space="preserve">تقييم شامل لإفادات وسلوك ملتمس اللجوء أثناء جلسة الاستماع التي يعقدها، </w:t>
      </w:r>
      <w:r w:rsidR="00521363">
        <w:rPr>
          <w:rtl/>
          <w:lang w:eastAsia="zh-TW"/>
        </w:rPr>
        <w:t xml:space="preserve">بالإضافة إلى سائر </w:t>
      </w:r>
      <w:r w:rsidR="00521363" w:rsidRPr="008F5066">
        <w:rPr>
          <w:rtl/>
          <w:lang w:eastAsia="zh-TW"/>
        </w:rPr>
        <w:t>المعلومات المتعلق</w:t>
      </w:r>
      <w:r w:rsidR="00521363">
        <w:rPr>
          <w:rtl/>
          <w:lang w:eastAsia="zh-TW"/>
        </w:rPr>
        <w:t>ة</w:t>
      </w:r>
      <w:r w:rsidR="00521363" w:rsidRPr="008F5066">
        <w:rPr>
          <w:rtl/>
          <w:lang w:eastAsia="zh-TW"/>
        </w:rPr>
        <w:t xml:space="preserve"> بالقضية، بما فيها المعلومات الأساسية المتاحة للمجلس عن </w:t>
      </w:r>
      <w:r w:rsidR="00521363">
        <w:rPr>
          <w:rtl/>
          <w:lang w:eastAsia="zh-TW"/>
        </w:rPr>
        <w:t>الأوضاع</w:t>
      </w:r>
      <w:r w:rsidR="00521363" w:rsidRPr="008F5066">
        <w:rPr>
          <w:rtl/>
          <w:lang w:eastAsia="zh-TW"/>
        </w:rPr>
        <w:t xml:space="preserve"> السائدة في البلد الأصلي.</w:t>
      </w:r>
      <w:r w:rsidR="00521363" w:rsidRPr="008F5066">
        <w:rPr>
          <w:rFonts w:cs="Times New Roman"/>
          <w:rtl/>
          <w:lang w:eastAsia="zh-TW"/>
        </w:rPr>
        <w:t>‬</w:t>
      </w:r>
      <w:r w:rsidR="00521363" w:rsidRPr="008F5066">
        <w:rPr>
          <w:rtl/>
          <w:lang w:eastAsia="zh-TW"/>
        </w:rPr>
        <w:t xml:space="preserve"> </w:t>
      </w:r>
      <w:dir w:val="rtl">
        <w:r w:rsidR="00521363" w:rsidRPr="008F5066">
          <w:rPr>
            <w:rtl/>
            <w:lang w:eastAsia="zh-TW"/>
          </w:rPr>
          <w:t xml:space="preserve">ويجوز للمجلس أن يستمع إلى </w:t>
        </w:r>
        <w:r w:rsidR="00521363">
          <w:rPr>
            <w:rtl/>
            <w:lang w:eastAsia="zh-TW"/>
          </w:rPr>
          <w:t>ال</w:t>
        </w:r>
        <w:r w:rsidR="00521363" w:rsidRPr="008F5066">
          <w:rPr>
            <w:rtl/>
            <w:lang w:eastAsia="zh-TW"/>
          </w:rPr>
          <w:t>شهود أيضاً.</w:t>
        </w:r>
        <w:r w:rsidR="00521363" w:rsidRPr="008F5066">
          <w:rPr>
            <w:rFonts w:cs="Times New Roman"/>
            <w:rtl/>
            <w:lang w:eastAsia="zh-TW"/>
          </w:rPr>
          <w:t>‬</w:t>
        </w:r>
        <w:r w:rsidR="00521363" w:rsidRPr="008F5066">
          <w:rPr>
            <w:rtl/>
            <w:lang w:eastAsia="zh-TW"/>
          </w:rPr>
          <w:t xml:space="preserve"> ويحاول المجلس، لدى البت في القضية</w:t>
        </w:r>
        <w:r w:rsidR="00521363">
          <w:rPr>
            <w:rtl/>
            <w:lang w:eastAsia="zh-TW"/>
          </w:rPr>
          <w:t>،</w:t>
        </w:r>
        <w:r w:rsidR="00521363" w:rsidRPr="008F5066">
          <w:rPr>
            <w:rtl/>
            <w:lang w:eastAsia="zh-TW"/>
          </w:rPr>
          <w:t xml:space="preserve"> تحديد الحيثيات </w:t>
        </w:r>
        <w:proofErr w:type="spellStart"/>
        <w:r w:rsidR="00521363" w:rsidRPr="008F5066">
          <w:rPr>
            <w:rtl/>
            <w:lang w:eastAsia="zh-TW"/>
          </w:rPr>
          <w:t>الوقائعية</w:t>
        </w:r>
        <w:proofErr w:type="spellEnd"/>
        <w:r w:rsidR="00521363" w:rsidRPr="008F5066">
          <w:rPr>
            <w:rtl/>
            <w:lang w:eastAsia="zh-TW"/>
          </w:rPr>
          <w:t xml:space="preserve"> التي ينبغي له أن يستخلصها بالاستناد إلى الأدلة.</w:t>
        </w:r>
        <w:r w:rsidR="00521363" w:rsidRPr="008F5066">
          <w:rPr>
            <w:rFonts w:cs="Times New Roman"/>
            <w:rtl/>
            <w:lang w:eastAsia="zh-TW"/>
          </w:rPr>
          <w:t>‬</w:t>
        </w:r>
        <w:r w:rsidR="00521363" w:rsidRPr="008F5066">
          <w:rPr>
            <w:rtl/>
            <w:lang w:eastAsia="zh-TW"/>
          </w:rPr>
          <w:t xml:space="preserve"> </w:t>
        </w:r>
        <w:dir w:val="rtl">
          <w:r w:rsidR="00521363" w:rsidRPr="008F5066">
            <w:rPr>
              <w:rtl/>
              <w:lang w:eastAsia="zh-TW"/>
            </w:rPr>
            <w:t xml:space="preserve">وإذا بدت إفادات ملتمس اللجوء متماسكة ومتسقة، فإن المجلس </w:t>
          </w:r>
          <w:r w:rsidR="00521363">
            <w:rPr>
              <w:rtl/>
              <w:lang w:eastAsia="zh-TW"/>
            </w:rPr>
            <w:t xml:space="preserve">عادةً ما </w:t>
          </w:r>
          <w:r w:rsidR="00521363" w:rsidRPr="008F5066">
            <w:rPr>
              <w:rtl/>
              <w:lang w:eastAsia="zh-TW"/>
            </w:rPr>
            <w:t>يعتبر تلك الإفادات صحيحة.</w:t>
          </w:r>
          <w:r w:rsidR="00521363" w:rsidRPr="008F5066">
            <w:rPr>
              <w:rFonts w:cs="Times New Roman"/>
              <w:rtl/>
              <w:lang w:eastAsia="zh-TW"/>
            </w:rPr>
            <w:t>‬</w:t>
          </w:r>
          <w:r w:rsidR="00521363" w:rsidRPr="008F5066">
            <w:rPr>
              <w:rtl/>
              <w:lang w:eastAsia="zh-TW"/>
            </w:rPr>
            <w:t xml:space="preserve"> وفي الحالات التي يدلي فيها ملتمس اللجوء بإفادات، في جميع مراحل الإجراءات، </w:t>
          </w:r>
          <w:r w:rsidR="00521363">
            <w:rPr>
              <w:rtl/>
              <w:lang w:eastAsia="zh-TW"/>
            </w:rPr>
            <w:t>تنطوي على تناقض أو تحوير أو زيادة أو نقصان</w:t>
          </w:r>
          <w:r w:rsidR="00521363" w:rsidRPr="008F5066">
            <w:rPr>
              <w:rtl/>
              <w:lang w:eastAsia="zh-TW"/>
            </w:rPr>
            <w:t xml:space="preserve">، </w:t>
          </w:r>
          <w:r w:rsidR="00521363">
            <w:rPr>
              <w:rtl/>
              <w:lang w:eastAsia="zh-TW"/>
            </w:rPr>
            <w:t>فإن</w:t>
          </w:r>
          <w:r w:rsidR="00521363" w:rsidRPr="008F5066">
            <w:rPr>
              <w:rtl/>
              <w:lang w:eastAsia="zh-TW"/>
            </w:rPr>
            <w:t xml:space="preserve"> المجلس </w:t>
          </w:r>
          <w:r w:rsidR="007145F1">
            <w:rPr>
              <w:rtl/>
              <w:lang w:eastAsia="zh-TW"/>
            </w:rPr>
            <w:t>يس</w:t>
          </w:r>
          <w:r w:rsidR="00521363">
            <w:rPr>
              <w:rtl/>
              <w:lang w:eastAsia="zh-TW"/>
            </w:rPr>
            <w:t xml:space="preserve">عى </w:t>
          </w:r>
          <w:r w:rsidR="00521363" w:rsidRPr="008F5066">
            <w:rPr>
              <w:rtl/>
              <w:lang w:eastAsia="zh-TW"/>
            </w:rPr>
            <w:t xml:space="preserve">إلى </w:t>
          </w:r>
          <w:r w:rsidR="00521363">
            <w:rPr>
              <w:rtl/>
              <w:lang w:eastAsia="zh-TW"/>
            </w:rPr>
            <w:t>استيضاح</w:t>
          </w:r>
          <w:r w:rsidR="00521363" w:rsidRPr="008F5066">
            <w:rPr>
              <w:rtl/>
              <w:lang w:eastAsia="zh-TW"/>
            </w:rPr>
            <w:t xml:space="preserve"> أسباب ذلك.</w:t>
          </w:r>
          <w:r w:rsidR="00521363" w:rsidRPr="008F5066">
            <w:rPr>
              <w:rFonts w:cs="Times New Roman"/>
              <w:rtl/>
              <w:lang w:eastAsia="zh-TW"/>
            </w:rPr>
            <w:t>‬</w:t>
          </w:r>
          <w:r w:rsidR="00521363" w:rsidRPr="008F5066">
            <w:rPr>
              <w:rtl/>
              <w:lang w:eastAsia="zh-TW"/>
            </w:rPr>
            <w:t xml:space="preserve"> وفي كثير من الحالات، تصبح إفادات ملتمس اللجوء أكثر تفصيل</w:t>
          </w:r>
          <w:r w:rsidR="002D164F">
            <w:rPr>
              <w:rtl/>
              <w:lang w:eastAsia="zh-TW"/>
            </w:rPr>
            <w:t xml:space="preserve">اً </w:t>
          </w:r>
          <w:r w:rsidR="00521363" w:rsidRPr="008F5066">
            <w:rPr>
              <w:rtl/>
              <w:lang w:eastAsia="zh-TW"/>
            </w:rPr>
            <w:t>ودقة أثناء الإجراءات. وقد تكون هناك أسباب شتى وراء ذلك، مثل سير الإجراءات والحالة الخاصة لملتمس اللجوء، وهو ما يضع</w:t>
          </w:r>
          <w:r w:rsidR="00521363">
            <w:rPr>
              <w:rtl/>
              <w:lang w:eastAsia="zh-TW"/>
            </w:rPr>
            <w:t>ه</w:t>
          </w:r>
          <w:r w:rsidR="00521363" w:rsidRPr="008F5066">
            <w:rPr>
              <w:rtl/>
              <w:lang w:eastAsia="zh-TW"/>
            </w:rPr>
            <w:t xml:space="preserve"> المجلس في اعتباره لدى تقييم مدى مصداقية ملتمس اللجوء. </w:t>
          </w:r>
          <w:dir w:val="rtl">
            <w:r w:rsidR="00521363" w:rsidRPr="008F5066">
              <w:rPr>
                <w:rtl/>
                <w:lang w:eastAsia="zh-TW"/>
              </w:rPr>
              <w:t xml:space="preserve">غير أن تضارب إفادات ملتمس اللجوء بشأن </w:t>
            </w:r>
            <w:r w:rsidR="00521363">
              <w:rPr>
                <w:rtl/>
                <w:lang w:eastAsia="zh-TW"/>
              </w:rPr>
              <w:t>أجزاء</w:t>
            </w:r>
            <w:r w:rsidR="00521363" w:rsidRPr="008F5066">
              <w:rPr>
                <w:rtl/>
                <w:lang w:eastAsia="zh-TW"/>
              </w:rPr>
              <w:t xml:space="preserve"> أساسية </w:t>
            </w:r>
            <w:r w:rsidR="00521363">
              <w:rPr>
                <w:rtl/>
                <w:lang w:eastAsia="zh-TW"/>
              </w:rPr>
              <w:t>من</w:t>
            </w:r>
            <w:r w:rsidR="00521363" w:rsidRPr="008F5066">
              <w:rPr>
                <w:rtl/>
                <w:lang w:eastAsia="zh-TW"/>
              </w:rPr>
              <w:t xml:space="preserve"> </w:t>
            </w:r>
            <w:r w:rsidR="00521363">
              <w:rPr>
                <w:rtl/>
                <w:lang w:eastAsia="zh-TW"/>
              </w:rPr>
              <w:t>ال</w:t>
            </w:r>
            <w:r w:rsidR="00521363" w:rsidRPr="008F5066">
              <w:rPr>
                <w:rtl/>
                <w:lang w:eastAsia="zh-TW"/>
              </w:rPr>
              <w:t xml:space="preserve">أسباب </w:t>
            </w:r>
            <w:r w:rsidR="00521363">
              <w:rPr>
                <w:rtl/>
                <w:lang w:eastAsia="zh-TW"/>
              </w:rPr>
              <w:t>التي دفعته إلى طلب</w:t>
            </w:r>
            <w:r w:rsidR="00521363" w:rsidRPr="008F5066">
              <w:rPr>
                <w:rtl/>
                <w:lang w:eastAsia="zh-TW"/>
              </w:rPr>
              <w:t xml:space="preserve"> اللجوء قد ينال من مصداقيته.</w:t>
            </w:r>
            <w:r w:rsidR="00521363" w:rsidRPr="008F5066">
              <w:rPr>
                <w:rFonts w:cs="Times New Roman"/>
                <w:rtl/>
                <w:lang w:eastAsia="zh-TW"/>
              </w:rPr>
              <w:t>‬</w:t>
            </w:r>
            <w:r w:rsidR="00521363" w:rsidRPr="008F5066">
              <w:rPr>
                <w:rtl/>
                <w:lang w:eastAsia="zh-TW"/>
              </w:rPr>
              <w:t xml:space="preserve"> ومن جملة ما يضعه المجلس في حسبانه</w:t>
            </w:r>
            <w:r w:rsidR="00521363">
              <w:rPr>
                <w:rtl/>
                <w:lang w:eastAsia="zh-TW"/>
              </w:rPr>
              <w:t>،</w:t>
            </w:r>
            <w:r w:rsidR="00521363" w:rsidRPr="008F5066">
              <w:rPr>
                <w:rtl/>
                <w:lang w:eastAsia="zh-TW"/>
              </w:rPr>
              <w:t xml:space="preserve"> لدى تقييم أوجه التناقض في الإفادات، التفسير الذي يقدمه ملتمس اللجوء ل</w:t>
            </w:r>
            <w:r w:rsidR="00521363">
              <w:rPr>
                <w:rtl/>
                <w:lang w:eastAsia="zh-TW"/>
              </w:rPr>
              <w:t>هذه ا</w:t>
            </w:r>
            <w:r w:rsidR="00521363" w:rsidRPr="008F5066">
              <w:rPr>
                <w:rtl/>
                <w:lang w:eastAsia="zh-TW"/>
              </w:rPr>
              <w:t>لتناقضات وحالته الخاصة، مثل الاختلافات الثقافية، والسن والصحة. فعلى سبيل المثال، لا يتوقع دائم</w:t>
            </w:r>
            <w:r w:rsidR="002D164F">
              <w:rPr>
                <w:rtl/>
                <w:lang w:eastAsia="zh-TW"/>
              </w:rPr>
              <w:t xml:space="preserve">اً </w:t>
            </w:r>
            <w:r w:rsidR="00521363" w:rsidRPr="008F5066">
              <w:rPr>
                <w:rtl/>
                <w:lang w:eastAsia="zh-TW"/>
              </w:rPr>
              <w:t xml:space="preserve">من الشخص الذي سبق له أن تعرض للتعذيب أن يسرد وقائع القضية مثلما يسردها </w:t>
            </w:r>
            <w:r w:rsidR="00521363">
              <w:rPr>
                <w:rtl/>
                <w:lang w:eastAsia="zh-TW"/>
              </w:rPr>
              <w:t>من</w:t>
            </w:r>
            <w:r w:rsidR="00521363" w:rsidRPr="008F5066">
              <w:rPr>
                <w:rtl/>
                <w:lang w:eastAsia="zh-TW"/>
              </w:rPr>
              <w:t xml:space="preserve"> لم يتعرض </w:t>
            </w:r>
            <w:r w:rsidR="007145F1">
              <w:rPr>
                <w:rFonts w:hint="cs"/>
                <w:rtl/>
                <w:lang w:eastAsia="zh-TW"/>
              </w:rPr>
              <w:t>له.</w:t>
            </w:r>
            <w:r w:rsidR="00521363" w:rsidRPr="008F5066">
              <w:rPr>
                <w:rtl/>
                <w:lang w:eastAsia="zh-TW"/>
              </w:rPr>
              <w:t xml:space="preserve"> </w:t>
            </w:r>
            <w:dir w:val="rtl">
              <w:r w:rsidR="00521363" w:rsidRPr="008F5066">
                <w:rPr>
                  <w:rFonts w:cs="Times New Roman"/>
                  <w:rtl/>
                  <w:lang w:eastAsia="zh-TW"/>
                </w:rPr>
                <w:t>‬</w:t>
              </w:r>
              <w:r w:rsidR="00521363" w:rsidRPr="008F5066">
                <w:rPr>
                  <w:rtl/>
                  <w:lang w:eastAsia="zh-TW"/>
                </w:rPr>
                <w:t>وفي الأخير، يعمد المجلس دائم</w:t>
              </w:r>
              <w:r w:rsidR="002D164F">
                <w:rPr>
                  <w:rtl/>
                  <w:lang w:eastAsia="zh-TW"/>
                </w:rPr>
                <w:t xml:space="preserve">اً، </w:t>
              </w:r>
              <w:r w:rsidR="00521363" w:rsidRPr="008F5066">
                <w:rPr>
                  <w:rtl/>
                  <w:lang w:eastAsia="zh-TW"/>
                </w:rPr>
                <w:t>إذا ساوره شك في مصداقية ملتمس اللجوء، إلى تقييم مدى إمكانية تطبيق قاعدة وجوب تفسير</w:t>
              </w:r>
              <w:r w:rsidR="002A4B7F">
                <w:rPr>
                  <w:rFonts w:hint="cs"/>
                  <w:rtl/>
                  <w:lang w:eastAsia="zh-TW"/>
                </w:rPr>
                <w:t xml:space="preserve">           </w:t>
              </w:r>
              <w:r w:rsidR="00521363" w:rsidRPr="008F5066">
                <w:rPr>
                  <w:rtl/>
                  <w:lang w:eastAsia="zh-TW"/>
                </w:rPr>
                <w:t xml:space="preserve"> الشك لصالحه.</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Fonts w:cs="Times New Roman"/>
                  <w:rtl/>
                  <w:lang w:eastAsia="zh-TW"/>
                </w:rPr>
                <w:t>‬</w:t>
              </w:r>
              <w:r w:rsidR="00521363" w:rsidRPr="008F5066">
                <w:rPr>
                  <w:rtl/>
                  <w:lang w:eastAsia="zh-TW"/>
                </w:rPr>
                <w:t xml:space="preserve"> </w:t>
              </w:r>
              <w:r w:rsidR="00521363">
                <w:t>‬</w:t>
              </w:r>
              <w:r w:rsidR="00521363">
                <w:t>‬</w:t>
              </w:r>
              <w:r w:rsidR="00521363">
                <w:t>‬</w:t>
              </w:r>
              <w:r w:rsidR="00521363">
                <w:t>‬</w:t>
              </w:r>
              <w:r w:rsidR="00D3340E">
                <w:t>‬</w:t>
              </w:r>
              <w:r w:rsidR="00D3340E">
                <w:t>‬</w:t>
              </w:r>
              <w:r w:rsidR="00D3340E">
                <w:t>‬</w:t>
              </w:r>
              <w:r w:rsidR="00D3340E">
                <w:t>‬</w:t>
              </w:r>
              <w:r w:rsidR="002C3FDD">
                <w:t>‬</w:t>
              </w:r>
              <w:r w:rsidR="002C3FDD">
                <w:t>‬</w:t>
              </w:r>
              <w:r w:rsidR="002C3FDD">
                <w:t>‬</w:t>
              </w:r>
              <w:r w:rsidR="002C3FDD">
                <w:t>‬</w:t>
              </w:r>
            </w:dir>
          </w:dir>
        </w:dir>
      </w:dir>
    </w:p>
    <w:p w:rsidR="00521363" w:rsidRPr="008F5066" w:rsidRDefault="000C69DF" w:rsidP="002A4B7F">
      <w:pPr>
        <w:pStyle w:val="SingleTxtGA"/>
        <w:spacing w:line="360" w:lineRule="exact"/>
        <w:rPr>
          <w:rtl/>
          <w:lang w:eastAsia="zh-TW"/>
        </w:rPr>
      </w:pPr>
      <w:r>
        <w:rPr>
          <w:rtl/>
          <w:lang w:eastAsia="zh-TW"/>
        </w:rPr>
        <w:t>٤-٦</w:t>
      </w:r>
      <w:r>
        <w:rPr>
          <w:rFonts w:hint="cs"/>
          <w:rtl/>
          <w:lang w:eastAsia="zh-TW"/>
        </w:rPr>
        <w:tab/>
      </w:r>
      <w:r w:rsidR="00521363" w:rsidRPr="008F5066">
        <w:rPr>
          <w:rtl/>
          <w:lang w:eastAsia="zh-TW"/>
        </w:rPr>
        <w:t>ولا تقتصر مسؤولية المجلس على تمحيص المعلومات المتعلقة بوقائع محددة في القضية بل تشمل أيض</w:t>
      </w:r>
      <w:r w:rsidR="002D164F">
        <w:rPr>
          <w:rtl/>
          <w:lang w:eastAsia="zh-TW"/>
        </w:rPr>
        <w:t xml:space="preserve">اً </w:t>
      </w:r>
      <w:r w:rsidR="00521363" w:rsidRPr="008F5066">
        <w:rPr>
          <w:rtl/>
          <w:lang w:eastAsia="zh-TW"/>
        </w:rPr>
        <w:t xml:space="preserve">توفير المعلومات الأساسية اللازمة، بما في ذلك </w:t>
      </w:r>
      <w:r w:rsidR="007145F1">
        <w:rPr>
          <w:rFonts w:hint="cs"/>
          <w:rtl/>
          <w:lang w:eastAsia="zh-TW"/>
        </w:rPr>
        <w:t>ال</w:t>
      </w:r>
      <w:r w:rsidR="00521363" w:rsidRPr="008F5066">
        <w:rPr>
          <w:rtl/>
          <w:lang w:eastAsia="zh-TW"/>
        </w:rPr>
        <w:t xml:space="preserve">معلومات </w:t>
      </w:r>
      <w:r w:rsidR="007145F1">
        <w:rPr>
          <w:rFonts w:hint="cs"/>
          <w:rtl/>
          <w:lang w:eastAsia="zh-TW"/>
        </w:rPr>
        <w:t>المتعلقة بال</w:t>
      </w:r>
      <w:r w:rsidR="00521363">
        <w:rPr>
          <w:rtl/>
          <w:lang w:eastAsia="zh-TW"/>
        </w:rPr>
        <w:t>وضع</w:t>
      </w:r>
      <w:r w:rsidR="00521363" w:rsidRPr="008F5066">
        <w:rPr>
          <w:rtl/>
          <w:lang w:eastAsia="zh-TW"/>
        </w:rPr>
        <w:t xml:space="preserve"> السائد في البلد الأصلي لملتمس اللجوء، مثل معرفة ما إذا كان البلد المعني يشهد نمط</w:t>
      </w:r>
      <w:r w:rsidR="002D164F">
        <w:rPr>
          <w:rtl/>
          <w:lang w:eastAsia="zh-TW"/>
        </w:rPr>
        <w:t xml:space="preserve">اً </w:t>
      </w:r>
      <w:r w:rsidR="00521363" w:rsidRPr="008F5066">
        <w:rPr>
          <w:rtl/>
          <w:lang w:eastAsia="zh-TW"/>
        </w:rPr>
        <w:t>ثابت</w:t>
      </w:r>
      <w:r w:rsidR="002D164F">
        <w:rPr>
          <w:rtl/>
          <w:lang w:eastAsia="zh-TW"/>
        </w:rPr>
        <w:t xml:space="preserve">اً </w:t>
      </w:r>
      <w:r w:rsidR="00521363" w:rsidRPr="008F5066">
        <w:rPr>
          <w:rtl/>
          <w:lang w:eastAsia="zh-TW"/>
        </w:rPr>
        <w:t xml:space="preserve">من الانتهاكات </w:t>
      </w:r>
      <w:r w:rsidR="00521363">
        <w:rPr>
          <w:rtl/>
          <w:lang w:eastAsia="zh-TW"/>
        </w:rPr>
        <w:t>الفادحة</w:t>
      </w:r>
      <w:r w:rsidR="00521363" w:rsidRPr="008F5066">
        <w:rPr>
          <w:rtl/>
          <w:lang w:eastAsia="zh-TW"/>
        </w:rPr>
        <w:t xml:space="preserve"> أو الصارخة أو الجماعية لحقوق الإنسان. وت</w:t>
      </w:r>
      <w:r w:rsidR="00521363">
        <w:rPr>
          <w:rtl/>
          <w:lang w:eastAsia="zh-TW"/>
        </w:rPr>
        <w:t>ُ</w:t>
      </w:r>
      <w:r w:rsidR="00521363" w:rsidRPr="008F5066">
        <w:rPr>
          <w:rtl/>
          <w:lang w:eastAsia="zh-TW"/>
        </w:rPr>
        <w:t>ستقى المواد الأساسية من مصادر مختلفة، بما في ذلك التقارير القطرية التي تعدها حكومات</w:t>
      </w:r>
      <w:r w:rsidR="00521363">
        <w:rPr>
          <w:rtl/>
          <w:lang w:eastAsia="zh-TW"/>
        </w:rPr>
        <w:t xml:space="preserve"> أخرى، فضلاً عن المعلومات التي </w:t>
      </w:r>
      <w:proofErr w:type="spellStart"/>
      <w:r w:rsidR="00521363">
        <w:rPr>
          <w:rtl/>
          <w:lang w:eastAsia="zh-TW"/>
        </w:rPr>
        <w:t>ت</w:t>
      </w:r>
      <w:r w:rsidR="00521363" w:rsidRPr="008F5066">
        <w:rPr>
          <w:rtl/>
          <w:lang w:eastAsia="zh-TW"/>
        </w:rPr>
        <w:t>تيحها</w:t>
      </w:r>
      <w:proofErr w:type="spellEnd"/>
      <w:r w:rsidR="00521363" w:rsidRPr="008F5066">
        <w:rPr>
          <w:rtl/>
          <w:lang w:eastAsia="zh-TW"/>
        </w:rPr>
        <w:t xml:space="preserve"> مفوضية الأمم المتحدة السامية لشؤون اللاجئين والمنظمات غير الحكومية التي تتمتع بسمعة طيبة.</w:t>
      </w:r>
      <w:r w:rsidR="00521363" w:rsidRPr="008F5066">
        <w:rPr>
          <w:rFonts w:cs="Times New Roman"/>
          <w:rtl/>
          <w:lang w:eastAsia="zh-TW"/>
        </w:rPr>
        <w:t>‬</w:t>
      </w:r>
      <w:r w:rsidR="00521363" w:rsidRPr="008F5066">
        <w:rPr>
          <w:rtl/>
          <w:lang w:eastAsia="zh-TW"/>
        </w:rPr>
        <w:t xml:space="preserve"> والمجلس ملزم</w:t>
      </w:r>
      <w:r w:rsidR="00521363">
        <w:rPr>
          <w:rtl/>
          <w:lang w:eastAsia="zh-TW"/>
        </w:rPr>
        <w:t>ٌ</w:t>
      </w:r>
      <w:r w:rsidR="00521363" w:rsidRPr="008F5066">
        <w:rPr>
          <w:rtl/>
          <w:lang w:eastAsia="zh-TW"/>
        </w:rPr>
        <w:t xml:space="preserve"> قانوناً أيض</w:t>
      </w:r>
      <w:r w:rsidR="002D164F">
        <w:rPr>
          <w:rtl/>
          <w:lang w:eastAsia="zh-TW"/>
        </w:rPr>
        <w:t xml:space="preserve">اً </w:t>
      </w:r>
      <w:r w:rsidR="00521363" w:rsidRPr="008F5066">
        <w:rPr>
          <w:rtl/>
          <w:lang w:eastAsia="zh-TW"/>
        </w:rPr>
        <w:t>بمراعاة التزامات الدانمرك الدولية عند ممارسة صلاحياته بموجب قانون الأجانب.</w:t>
      </w:r>
      <w:r w:rsidR="00521363" w:rsidRPr="008F5066">
        <w:rPr>
          <w:rFonts w:cs="Times New Roman"/>
          <w:rtl/>
          <w:lang w:eastAsia="zh-TW"/>
        </w:rPr>
        <w:t>‬</w:t>
      </w:r>
      <w:r w:rsidR="00521363" w:rsidRPr="008F5066">
        <w:rPr>
          <w:rtl/>
          <w:lang w:eastAsia="zh-TW"/>
        </w:rPr>
        <w:t xml:space="preserve"> وتحقيق</w:t>
      </w:r>
      <w:r w:rsidR="002D164F">
        <w:rPr>
          <w:rtl/>
          <w:lang w:eastAsia="zh-TW"/>
        </w:rPr>
        <w:t xml:space="preserve">اً </w:t>
      </w:r>
      <w:r w:rsidR="00521363" w:rsidRPr="008F5066">
        <w:rPr>
          <w:rtl/>
          <w:lang w:eastAsia="zh-TW"/>
        </w:rPr>
        <w:t>لهذه الغاية، صاغ المجلس</w:t>
      </w:r>
      <w:r w:rsidR="00521363">
        <w:rPr>
          <w:rtl/>
          <w:lang w:eastAsia="zh-TW"/>
        </w:rPr>
        <w:t>،</w:t>
      </w:r>
      <w:r w:rsidR="00521363" w:rsidRPr="008F5066">
        <w:rPr>
          <w:rtl/>
          <w:lang w:eastAsia="zh-TW"/>
        </w:rPr>
        <w:t xml:space="preserve"> بالتشارك مع دائرة الهجرة </w:t>
      </w:r>
      <w:proofErr w:type="spellStart"/>
      <w:r w:rsidR="00521363" w:rsidRPr="008F5066">
        <w:rPr>
          <w:rtl/>
          <w:lang w:eastAsia="zh-TW"/>
        </w:rPr>
        <w:t>الدانمركية</w:t>
      </w:r>
      <w:proofErr w:type="spellEnd"/>
      <w:r w:rsidR="00521363">
        <w:rPr>
          <w:rtl/>
          <w:lang w:eastAsia="zh-TW"/>
        </w:rPr>
        <w:t>،</w:t>
      </w:r>
      <w:r w:rsidR="00521363" w:rsidRPr="008F5066">
        <w:rPr>
          <w:rtl/>
          <w:lang w:eastAsia="zh-TW"/>
        </w:rPr>
        <w:t xml:space="preserve"> عدد</w:t>
      </w:r>
      <w:r w:rsidR="002D164F">
        <w:rPr>
          <w:rtl/>
          <w:lang w:eastAsia="zh-TW"/>
        </w:rPr>
        <w:t xml:space="preserve">اً </w:t>
      </w:r>
      <w:r w:rsidR="00521363" w:rsidRPr="008F5066">
        <w:rPr>
          <w:rtl/>
          <w:lang w:eastAsia="zh-TW"/>
        </w:rPr>
        <w:t xml:space="preserve">من المذكرات تتناول بالتفصيل الحماية القانونية الدولية </w:t>
      </w:r>
      <w:r w:rsidR="00521363">
        <w:rPr>
          <w:rtl/>
          <w:lang w:eastAsia="zh-TW"/>
        </w:rPr>
        <w:t xml:space="preserve">التي تمنح </w:t>
      </w:r>
      <w:r w:rsidR="00521363" w:rsidRPr="008F5066">
        <w:rPr>
          <w:rtl/>
          <w:lang w:eastAsia="zh-TW"/>
        </w:rPr>
        <w:t xml:space="preserve">لملتمسي اللجوء </w:t>
      </w:r>
      <w:r w:rsidR="00521363">
        <w:rPr>
          <w:rtl/>
          <w:lang w:eastAsia="zh-TW"/>
        </w:rPr>
        <w:t>بموجب</w:t>
      </w:r>
      <w:r w:rsidR="00521363" w:rsidRPr="008F5066">
        <w:rPr>
          <w:rtl/>
          <w:lang w:eastAsia="zh-TW"/>
        </w:rPr>
        <w:t xml:space="preserve"> جملة من الصكوك، منها الاتفاقية الخاصة بوضع اللاجئين واتفاقية مناهضة التعذيب، واتفاقية حماية حقوق الإنسان والحريات الأساسية‏‏ (الاتفاقية الأوروبية لحقوق الإنسان)، والعهد الدولي الخاص بالحقوق المدنية والسياسية.</w:t>
      </w:r>
      <w:r w:rsidR="00521363" w:rsidRPr="008F5066">
        <w:rPr>
          <w:rFonts w:cs="Times New Roman"/>
          <w:rtl/>
          <w:lang w:eastAsia="zh-TW"/>
        </w:rPr>
        <w:t>‬</w:t>
      </w:r>
      <w:r w:rsidR="00521363" w:rsidRPr="008F5066">
        <w:rPr>
          <w:rtl/>
          <w:lang w:eastAsia="zh-TW"/>
        </w:rPr>
        <w:t xml:space="preserve"> </w:t>
      </w:r>
      <w:dir w:val="rtl">
        <w:r w:rsidR="00521363" w:rsidRPr="008F5066">
          <w:rPr>
            <w:rtl/>
            <w:lang w:eastAsia="zh-TW"/>
          </w:rPr>
          <w:t>وتشكل هذه المذكرات جزء</w:t>
        </w:r>
        <w:r w:rsidR="002D164F">
          <w:rPr>
            <w:rtl/>
            <w:lang w:eastAsia="zh-TW"/>
          </w:rPr>
          <w:t xml:space="preserve">اً </w:t>
        </w:r>
        <w:r w:rsidR="00521363" w:rsidRPr="008F5066">
          <w:rPr>
            <w:rtl/>
            <w:lang w:eastAsia="zh-TW"/>
          </w:rPr>
          <w:t>من الأساس الذي يستند إليه المجلس في قراراته، وهي تُحدّث باستمرار.</w:t>
        </w:r>
        <w:r w:rsidR="00521363" w:rsidRPr="008F5066">
          <w:rPr>
            <w:rFonts w:cs="Times New Roman"/>
            <w:rtl/>
            <w:lang w:eastAsia="zh-TW"/>
          </w:rPr>
          <w:t>‬</w:t>
        </w:r>
        <w:r w:rsidR="00521363">
          <w:t>‬</w:t>
        </w:r>
        <w:r w:rsidR="00D3340E">
          <w:t>‬</w:t>
        </w:r>
        <w:r w:rsidR="002C3FDD">
          <w:t>‬</w:t>
        </w:r>
      </w:dir>
    </w:p>
    <w:p w:rsidR="00521363" w:rsidRPr="00377B19" w:rsidRDefault="000C69DF" w:rsidP="002A4B7F">
      <w:pPr>
        <w:pStyle w:val="SingleTxtGA"/>
        <w:spacing w:line="360" w:lineRule="exact"/>
        <w:rPr>
          <w:sz w:val="30"/>
          <w:rtl/>
          <w:lang w:eastAsia="zh-TW"/>
        </w:rPr>
      </w:pPr>
      <w:r>
        <w:rPr>
          <w:rtl/>
          <w:lang w:eastAsia="zh-TW"/>
        </w:rPr>
        <w:t>٤-٧</w:t>
      </w:r>
      <w:r>
        <w:rPr>
          <w:rFonts w:hint="cs"/>
          <w:rtl/>
          <w:lang w:eastAsia="zh-TW"/>
        </w:rPr>
        <w:tab/>
      </w:r>
      <w:r w:rsidR="00521363" w:rsidRPr="008F5066">
        <w:rPr>
          <w:rtl/>
          <w:lang w:eastAsia="zh-TW"/>
        </w:rPr>
        <w:t>وفي الحالات التي يُحتَج فيها بالت</w:t>
      </w:r>
      <w:r w:rsidR="00521363">
        <w:rPr>
          <w:rtl/>
          <w:lang w:eastAsia="zh-TW"/>
        </w:rPr>
        <w:t>عرض للت</w:t>
      </w:r>
      <w:r w:rsidR="00521363" w:rsidRPr="008F5066">
        <w:rPr>
          <w:rtl/>
          <w:lang w:eastAsia="zh-TW"/>
        </w:rPr>
        <w:t xml:space="preserve">عذيب كسبب من أسباب </w:t>
      </w:r>
      <w:r w:rsidR="00521363">
        <w:rPr>
          <w:rtl/>
          <w:lang w:eastAsia="zh-TW"/>
        </w:rPr>
        <w:t>طلب</w:t>
      </w:r>
      <w:r w:rsidR="00521363" w:rsidRPr="008F5066">
        <w:rPr>
          <w:rtl/>
          <w:lang w:eastAsia="zh-TW"/>
        </w:rPr>
        <w:t xml:space="preserve"> اللجوء، قد يرى مجلس طعون اللاجئين أحيان</w:t>
      </w:r>
      <w:r w:rsidR="002D164F">
        <w:rPr>
          <w:rtl/>
          <w:lang w:eastAsia="zh-TW"/>
        </w:rPr>
        <w:t xml:space="preserve">اً </w:t>
      </w:r>
      <w:r w:rsidR="00521363" w:rsidRPr="008F5066">
        <w:rPr>
          <w:rtl/>
          <w:lang w:eastAsia="zh-TW"/>
        </w:rPr>
        <w:t xml:space="preserve">ضرورة للحصول على مزيد من التفاصيل في هذا الصدد قبل </w:t>
      </w:r>
      <w:r w:rsidR="00521363" w:rsidRPr="008F5066">
        <w:rPr>
          <w:rtl/>
          <w:lang w:eastAsia="zh-TW"/>
        </w:rPr>
        <w:lastRenderedPageBreak/>
        <w:t>البت في القضية.</w:t>
      </w:r>
      <w:r w:rsidR="00521363" w:rsidRPr="008F5066">
        <w:rPr>
          <w:rFonts w:cs="Times New Roman"/>
          <w:rtl/>
          <w:lang w:eastAsia="zh-TW"/>
        </w:rPr>
        <w:t>‬</w:t>
      </w:r>
      <w:r w:rsidR="00521363" w:rsidRPr="008F5066">
        <w:rPr>
          <w:rtl/>
          <w:lang w:eastAsia="zh-TW"/>
        </w:rPr>
        <w:t xml:space="preserve"> </w:t>
      </w:r>
      <w:dir w:val="rtl">
        <w:r w:rsidR="00521363" w:rsidRPr="008F5066">
          <w:rPr>
            <w:rtl/>
            <w:lang w:eastAsia="zh-TW"/>
          </w:rPr>
          <w:t>ويجوز للمجلس، على سبيل المثال، أن يأمر، في إطار إجراءات الطعون، ب</w:t>
        </w:r>
        <w:r w:rsidR="00521363">
          <w:rPr>
            <w:rtl/>
            <w:lang w:eastAsia="zh-TW"/>
          </w:rPr>
          <w:t>إجراء الف</w:t>
        </w:r>
        <w:r w:rsidR="00521363" w:rsidRPr="008F5066">
          <w:rPr>
            <w:rtl/>
            <w:lang w:eastAsia="zh-TW"/>
          </w:rPr>
          <w:t xml:space="preserve">حص </w:t>
        </w:r>
        <w:r w:rsidR="00521363">
          <w:rPr>
            <w:rtl/>
            <w:lang w:eastAsia="zh-TW"/>
          </w:rPr>
          <w:t>الطبي ل</w:t>
        </w:r>
        <w:r w:rsidR="00521363" w:rsidRPr="008F5066">
          <w:rPr>
            <w:rtl/>
            <w:lang w:eastAsia="zh-TW"/>
          </w:rPr>
          <w:t>ملتمس اللجوء</w:t>
        </w:r>
        <w:r w:rsidR="00521363">
          <w:rPr>
            <w:rtl/>
            <w:lang w:eastAsia="zh-TW"/>
          </w:rPr>
          <w:t xml:space="preserve"> لمعاينة علامات التعذيب</w:t>
        </w:r>
        <w:r w:rsidR="00521363" w:rsidRPr="008F5066">
          <w:rPr>
            <w:rtl/>
            <w:lang w:eastAsia="zh-TW"/>
          </w:rPr>
          <w:t>.</w:t>
        </w:r>
        <w:r w:rsidR="00521363" w:rsidRPr="008F5066">
          <w:rPr>
            <w:rFonts w:cs="Times New Roman"/>
            <w:rtl/>
            <w:lang w:eastAsia="zh-TW"/>
          </w:rPr>
          <w:t>‬</w:t>
        </w:r>
        <w:r w:rsidR="00521363" w:rsidRPr="008F5066">
          <w:rPr>
            <w:rtl/>
            <w:lang w:eastAsia="zh-TW"/>
          </w:rPr>
          <w:t xml:space="preserve"> ولا يؤخذ أي قرار من هذا القبيل</w:t>
        </w:r>
        <w:r w:rsidR="007145F1">
          <w:rPr>
            <w:rFonts w:hint="cs"/>
            <w:rtl/>
            <w:lang w:eastAsia="zh-TW"/>
          </w:rPr>
          <w:t>،</w:t>
        </w:r>
        <w:r w:rsidR="00521363" w:rsidRPr="008F5066">
          <w:rPr>
            <w:rtl/>
            <w:lang w:eastAsia="zh-TW"/>
          </w:rPr>
          <w:t xml:space="preserve"> عادة</w:t>
        </w:r>
        <w:r w:rsidR="00521363">
          <w:rPr>
            <w:rtl/>
            <w:lang w:eastAsia="zh-TW"/>
          </w:rPr>
          <w:t>ً،</w:t>
        </w:r>
        <w:r w:rsidR="00521363" w:rsidRPr="008F5066">
          <w:rPr>
            <w:rtl/>
            <w:lang w:eastAsia="zh-TW"/>
          </w:rPr>
          <w:t xml:space="preserve"> قبل انعقاد جلسة الاستماع لأن تقييم المجلس لضرورة إجراء هذا الفحص غالب</w:t>
        </w:r>
        <w:r w:rsidR="002D164F">
          <w:rPr>
            <w:rtl/>
            <w:lang w:eastAsia="zh-TW"/>
          </w:rPr>
          <w:t xml:space="preserve">اً </w:t>
        </w:r>
        <w:r w:rsidR="00521363" w:rsidRPr="008F5066">
          <w:rPr>
            <w:rtl/>
            <w:lang w:eastAsia="zh-TW"/>
          </w:rPr>
          <w:t>ما</w:t>
        </w:r>
        <w:r w:rsidR="007145F1">
          <w:rPr>
            <w:rFonts w:hint="cs"/>
            <w:rtl/>
            <w:lang w:eastAsia="zh-TW"/>
          </w:rPr>
          <w:t> </w:t>
        </w:r>
        <w:r w:rsidR="00521363" w:rsidRPr="008F5066">
          <w:rPr>
            <w:rtl/>
            <w:lang w:eastAsia="zh-TW"/>
          </w:rPr>
          <w:t>يتوقف على إفادة ملتمس اللجوء، بما في ذلك مصداقيته؛ ويتوقف إصدار الأمر بإجراء هذا الفحص</w:t>
        </w:r>
        <w:r w:rsidR="007145F1">
          <w:rPr>
            <w:rFonts w:hint="cs"/>
            <w:rtl/>
            <w:lang w:eastAsia="zh-TW"/>
          </w:rPr>
          <w:t>،</w:t>
        </w:r>
        <w:r w:rsidR="00521363" w:rsidRPr="008F5066">
          <w:rPr>
            <w:rtl/>
            <w:lang w:eastAsia="zh-TW"/>
          </w:rPr>
          <w:t xml:space="preserve"> كلي</w:t>
        </w:r>
        <w:r w:rsidR="002D164F">
          <w:rPr>
            <w:rtl/>
            <w:lang w:eastAsia="zh-TW"/>
          </w:rPr>
          <w:t xml:space="preserve">اً، </w:t>
        </w:r>
        <w:r w:rsidR="00521363" w:rsidRPr="008F5066">
          <w:rPr>
            <w:rtl/>
            <w:lang w:eastAsia="zh-TW"/>
          </w:rPr>
          <w:t>على ملابسات كل حالة بعينها. وإذا رأى المجلس أن تعرض ملتمس اللجوء للتعذيب في السابق أمرٌ مثبت أو مرجَّح وخلص</w:t>
        </w:r>
        <w:r w:rsidR="007145F1">
          <w:rPr>
            <w:rFonts w:hint="cs"/>
            <w:rtl/>
            <w:lang w:eastAsia="zh-TW"/>
          </w:rPr>
          <w:t>،</w:t>
        </w:r>
        <w:r w:rsidR="00521363" w:rsidRPr="008F5066">
          <w:rPr>
            <w:rtl/>
            <w:lang w:eastAsia="zh-TW"/>
          </w:rPr>
          <w:t xml:space="preserve"> في المقابل عند إجراء تقييم خاص لحالة </w:t>
        </w:r>
        <w:r w:rsidR="00521363" w:rsidRPr="00377B19">
          <w:rPr>
            <w:sz w:val="30"/>
            <w:rtl/>
            <w:lang w:eastAsia="zh-TW"/>
          </w:rPr>
          <w:t>ملتمس اللجوء، إلى عدم وجود خطر حقيقي، في الوقت الحاضر، من أن يتعرض للتعذيب لدى عودته، فإن المجلس لا يعطي الأمر، عادةً</w:t>
        </w:r>
        <w:r w:rsidR="007145F1" w:rsidRPr="00377B19">
          <w:rPr>
            <w:rFonts w:hint="cs"/>
            <w:sz w:val="30"/>
            <w:rtl/>
            <w:lang w:eastAsia="zh-TW"/>
          </w:rPr>
          <w:t>،</w:t>
        </w:r>
        <w:r w:rsidR="00521363" w:rsidRPr="00377B19">
          <w:rPr>
            <w:sz w:val="30"/>
            <w:rtl/>
            <w:lang w:eastAsia="zh-TW"/>
          </w:rPr>
          <w:t xml:space="preserve"> بإجراء الفحص. </w:t>
        </w:r>
        <w:dir w:val="rtl">
          <w:r w:rsidR="00521363" w:rsidRPr="00377B19">
            <w:rPr>
              <w:sz w:val="30"/>
              <w:rtl/>
              <w:lang w:eastAsia="zh-TW"/>
            </w:rPr>
            <w:t>ولا يأمر المجلس، في أغلب الأحيان، بإجراء الفحص الطبي لمعاينة علامات التعذيب إذا تبين أن ملتمس اللجوء لم يكن ذا مصداقية في جميع مراحل الإجراءات</w:t>
          </w:r>
          <w:r w:rsidRPr="00377B19">
            <w:rPr>
              <w:rFonts w:hint="cs"/>
              <w:sz w:val="30"/>
              <w:vertAlign w:val="superscript"/>
              <w:rtl/>
              <w:lang w:eastAsia="zh-TW"/>
            </w:rPr>
            <w:t>(</w:t>
          </w:r>
          <w:r w:rsidR="00521363" w:rsidRPr="00377B19">
            <w:rPr>
              <w:rStyle w:val="FootnoteReference"/>
              <w:rFonts w:ascii="Traditional Arabic" w:hAnsi="Traditional Arabic"/>
              <w:sz w:val="30"/>
              <w:szCs w:val="30"/>
              <w:rtl/>
              <w:lang w:eastAsia="zh-TW"/>
            </w:rPr>
            <w:footnoteReference w:id="12"/>
          </w:r>
          <w:r w:rsidRPr="00377B19">
            <w:rPr>
              <w:rFonts w:hint="cs"/>
              <w:sz w:val="30"/>
              <w:vertAlign w:val="superscript"/>
              <w:rtl/>
              <w:lang w:eastAsia="zh-TW"/>
            </w:rPr>
            <w:t>)</w:t>
          </w:r>
          <w:r w:rsidRPr="00377B19">
            <w:rPr>
              <w:rFonts w:hint="cs"/>
              <w:sz w:val="30"/>
              <w:rtl/>
              <w:lang w:eastAsia="zh-TW"/>
            </w:rPr>
            <w:t xml:space="preserve">، </w:t>
          </w:r>
          <w:r w:rsidR="00521363" w:rsidRPr="00377B19">
            <w:rPr>
              <w:sz w:val="30"/>
              <w:rtl/>
              <w:lang w:eastAsia="zh-TW"/>
            </w:rPr>
            <w:t>وبالتالي، يتعين على المجلس عدم الأخذ بصحة إفادات ملتمس اللجوء برمتها.</w:t>
          </w:r>
          <w:r w:rsidR="00521363" w:rsidRPr="00377B19">
            <w:rPr>
              <w:rFonts w:cs="Times New Roman"/>
              <w:sz w:val="30"/>
              <w:rtl/>
              <w:lang w:eastAsia="zh-TW"/>
            </w:rPr>
            <w:t>‬</w:t>
          </w:r>
          <w:r w:rsidR="00521363" w:rsidRPr="00377B19">
            <w:rPr>
              <w:sz w:val="30"/>
            </w:rPr>
            <w:t>‬</w:t>
          </w:r>
          <w:r w:rsidR="00521363" w:rsidRPr="00377B19">
            <w:rPr>
              <w:sz w:val="30"/>
            </w:rPr>
            <w:t>‬</w:t>
          </w:r>
          <w:r w:rsidR="00D3340E">
            <w:t>‬</w:t>
          </w:r>
          <w:r w:rsidR="00D3340E">
            <w:t>‬</w:t>
          </w:r>
          <w:r w:rsidR="002C3FDD">
            <w:t>‬</w:t>
          </w:r>
          <w:r w:rsidR="002C3FDD">
            <w:t>‬</w:t>
          </w:r>
        </w:dir>
      </w:dir>
    </w:p>
    <w:p w:rsidR="00521363" w:rsidRPr="008F5066" w:rsidRDefault="000C69DF" w:rsidP="002A4B7F">
      <w:pPr>
        <w:pStyle w:val="SingleTxtGA"/>
        <w:spacing w:line="360" w:lineRule="exact"/>
        <w:rPr>
          <w:rtl/>
          <w:lang w:eastAsia="zh-TW"/>
        </w:rPr>
      </w:pPr>
      <w:r w:rsidRPr="00377B19">
        <w:rPr>
          <w:sz w:val="30"/>
          <w:rtl/>
          <w:lang w:eastAsia="zh-TW"/>
        </w:rPr>
        <w:t>٤-٨</w:t>
      </w:r>
      <w:r w:rsidRPr="00377B19">
        <w:rPr>
          <w:rFonts w:hint="cs"/>
          <w:sz w:val="30"/>
          <w:rtl/>
          <w:lang w:eastAsia="zh-TW"/>
        </w:rPr>
        <w:tab/>
      </w:r>
      <w:r w:rsidR="00521363" w:rsidRPr="00377B19">
        <w:rPr>
          <w:sz w:val="30"/>
          <w:rtl/>
          <w:lang w:eastAsia="zh-TW"/>
        </w:rPr>
        <w:t>وإذا اعتبر مجلس طعون اللاجئين أن ملتمس اللجوء تنطبق عليه أحكام المادة 7 من قانون الأجانب، شرط صحة الإفادات، بما في ذلك إفاداته بشأن التعذيب، لكنه رأى أن ثمة شبهة في دقة مضمون الإفادات، يجوز له أن يقرر تأجيل الإجراءات ريثما يخضع ملتمس اللجوء للفحص الطبي لمعاينة علامات التعذيب التي يمكن أن تدعم ما أدلى به من إفادات. وعندما</w:t>
      </w:r>
      <w:r w:rsidR="002D164F">
        <w:rPr>
          <w:sz w:val="30"/>
          <w:rtl/>
          <w:lang w:eastAsia="zh-TW"/>
        </w:rPr>
        <w:t xml:space="preserve"> </w:t>
      </w:r>
      <w:r w:rsidR="00521363" w:rsidRPr="00377B19">
        <w:rPr>
          <w:sz w:val="30"/>
          <w:rtl/>
          <w:lang w:eastAsia="zh-TW"/>
        </w:rPr>
        <w:t>يُحتج بالتعرض للتعذيب كسبب من أسباب طلب اللجوء، يمكن أن تعطى الأهمية، عند البت في القضية، لعوامل من قبيل طبيعة التعذيب، بما في ذلك درجة الإيذاء وجسامته وتكراره، وسن ملتمس اللجوء. وعلاوة على ذلك، يمكن أن يكون تاريخ وقوع الإيذاء الذي له صلة بمغادرة ملتمس اللجوء، وأي تغييرات في النظام القائم في بلده الأصلي من العناصر الحاسمة في اتخاذ القرار بالموافقة أو عدم الموافقة على منح تصريح الإقامة. ويمكن أن يكون خوف ملتمس اللجوء</w:t>
      </w:r>
      <w:r w:rsidR="00521363" w:rsidRPr="008F5066">
        <w:rPr>
          <w:rtl/>
          <w:lang w:eastAsia="zh-TW"/>
        </w:rPr>
        <w:t xml:space="preserve"> من التعرض للإيذاء في حال عاد إلى بلده الأصلي سبب</w:t>
      </w:r>
      <w:r w:rsidR="002D164F">
        <w:rPr>
          <w:rtl/>
          <w:lang w:eastAsia="zh-TW"/>
        </w:rPr>
        <w:t xml:space="preserve">اً </w:t>
      </w:r>
      <w:r w:rsidR="00521363" w:rsidRPr="008F5066">
        <w:rPr>
          <w:rtl/>
          <w:lang w:eastAsia="zh-TW"/>
        </w:rPr>
        <w:t xml:space="preserve">في الموافقة على طلب اللجوء إذا ارتكز إلى افتراض قائم على مبررات موضوعية </w:t>
      </w:r>
      <w:r w:rsidR="00521363">
        <w:rPr>
          <w:rtl/>
          <w:lang w:eastAsia="zh-TW"/>
        </w:rPr>
        <w:t>يفيد ب</w:t>
      </w:r>
      <w:r w:rsidR="00521363" w:rsidRPr="008F5066">
        <w:rPr>
          <w:rtl/>
          <w:lang w:eastAsia="zh-TW"/>
        </w:rPr>
        <w:t xml:space="preserve">أن ملتمس اللجوء سيتعرض للإيذاء لدى عودته. </w:t>
      </w:r>
    </w:p>
    <w:p w:rsidR="00521363" w:rsidRPr="008F5066" w:rsidRDefault="007145F1" w:rsidP="002A4B7F">
      <w:pPr>
        <w:pStyle w:val="SingleTxtGA"/>
        <w:spacing w:line="360" w:lineRule="exact"/>
        <w:rPr>
          <w:rtl/>
          <w:lang w:eastAsia="zh-TW"/>
        </w:rPr>
      </w:pPr>
      <w:r>
        <w:rPr>
          <w:rtl/>
          <w:lang w:eastAsia="zh-TW"/>
        </w:rPr>
        <w:t>٤-٩</w:t>
      </w:r>
      <w:r>
        <w:rPr>
          <w:rFonts w:hint="cs"/>
          <w:rtl/>
          <w:lang w:eastAsia="zh-TW"/>
        </w:rPr>
        <w:tab/>
      </w:r>
      <w:r w:rsidR="00521363" w:rsidRPr="008F5066">
        <w:rPr>
          <w:rtl/>
          <w:lang w:eastAsia="zh-TW"/>
        </w:rPr>
        <w:t xml:space="preserve">وتشير الدولة الطرف إلى المادة 113 من النظام الداخلي للجنة، </w:t>
      </w:r>
      <w:r w:rsidR="00521363">
        <w:rPr>
          <w:rtl/>
          <w:lang w:eastAsia="zh-TW"/>
        </w:rPr>
        <w:t xml:space="preserve">وتدعي </w:t>
      </w:r>
      <w:r w:rsidR="00521363" w:rsidRPr="008F5066">
        <w:rPr>
          <w:rtl/>
          <w:lang w:eastAsia="zh-TW"/>
        </w:rPr>
        <w:t xml:space="preserve">أن </w:t>
      </w:r>
      <w:r w:rsidR="00521363">
        <w:rPr>
          <w:rtl/>
          <w:lang w:eastAsia="zh-TW"/>
        </w:rPr>
        <w:t xml:space="preserve">أصحاب </w:t>
      </w:r>
      <w:r w:rsidR="00521363" w:rsidRPr="008F5066">
        <w:rPr>
          <w:rtl/>
          <w:lang w:eastAsia="zh-TW"/>
        </w:rPr>
        <w:t xml:space="preserve">الشكوى لم </w:t>
      </w:r>
      <w:r w:rsidR="00521363">
        <w:rPr>
          <w:rtl/>
          <w:lang w:eastAsia="zh-TW"/>
        </w:rPr>
        <w:t xml:space="preserve">يقدموا أدلة كافية </w:t>
      </w:r>
      <w:r w:rsidR="00521363" w:rsidRPr="008F5066">
        <w:rPr>
          <w:rtl/>
          <w:lang w:eastAsia="zh-TW"/>
        </w:rPr>
        <w:t xml:space="preserve">لكي تقبل شكواهم بموجب المادة 3 من الاتفاقية. </w:t>
      </w:r>
      <w:dir w:val="rtl">
        <w:r w:rsidR="00521363" w:rsidRPr="008F5066">
          <w:rPr>
            <w:rtl/>
            <w:lang w:eastAsia="zh-TW"/>
          </w:rPr>
          <w:t>وبالتالي، لم ت</w:t>
        </w:r>
        <w:r w:rsidR="00521363">
          <w:rPr>
            <w:rtl/>
            <w:lang w:eastAsia="zh-TW"/>
          </w:rPr>
          <w:t>ُ</w:t>
        </w:r>
        <w:r w:rsidR="00521363" w:rsidRPr="008F5066">
          <w:rPr>
            <w:rtl/>
            <w:lang w:eastAsia="zh-TW"/>
          </w:rPr>
          <w:t>قد</w:t>
        </w:r>
        <w:r w:rsidR="00521363">
          <w:rPr>
            <w:rtl/>
            <w:lang w:eastAsia="zh-TW"/>
          </w:rPr>
          <w:t>َّ</w:t>
        </w:r>
        <w:r w:rsidR="00521363" w:rsidRPr="008F5066">
          <w:rPr>
            <w:rtl/>
            <w:lang w:eastAsia="zh-TW"/>
          </w:rPr>
          <w:t xml:space="preserve">م أدلة كافية </w:t>
        </w:r>
        <w:r w:rsidR="00521363">
          <w:rPr>
            <w:rtl/>
            <w:lang w:eastAsia="zh-TW"/>
          </w:rPr>
          <w:t>على</w:t>
        </w:r>
        <w:r w:rsidR="00521363" w:rsidRPr="008F5066">
          <w:rPr>
            <w:rtl/>
            <w:lang w:eastAsia="zh-TW"/>
          </w:rPr>
          <w:t xml:space="preserve"> وجود أسباب </w:t>
        </w:r>
        <w:r w:rsidR="00521363">
          <w:rPr>
            <w:rtl/>
            <w:lang w:eastAsia="zh-TW"/>
          </w:rPr>
          <w:t>معقولة</w:t>
        </w:r>
        <w:r w:rsidR="00521363" w:rsidRPr="008F5066">
          <w:rPr>
            <w:rtl/>
            <w:lang w:eastAsia="zh-TW"/>
          </w:rPr>
          <w:t xml:space="preserve"> تدعو إلى الاعتقاد بأنهم يواجه</w:t>
        </w:r>
        <w:r w:rsidR="00521363">
          <w:rPr>
            <w:rtl/>
            <w:lang w:eastAsia="zh-TW"/>
          </w:rPr>
          <w:t>و</w:t>
        </w:r>
        <w:r w:rsidR="00521363" w:rsidRPr="008F5066">
          <w:rPr>
            <w:rtl/>
            <w:lang w:eastAsia="zh-TW"/>
          </w:rPr>
          <w:t>ن خطر التعرض للتعذيب في حال أعيد</w:t>
        </w:r>
        <w:r w:rsidR="00521363">
          <w:rPr>
            <w:rtl/>
            <w:lang w:eastAsia="zh-TW"/>
          </w:rPr>
          <w:t>و</w:t>
        </w:r>
        <w:r w:rsidR="00521363" w:rsidRPr="008F5066">
          <w:rPr>
            <w:rtl/>
            <w:lang w:eastAsia="zh-TW"/>
          </w:rPr>
          <w:t>ا إلى الاتحاد الروسي. ولذلك، تعتبر الشكوى غير مقبولة لأن من الواضح أ</w:t>
        </w:r>
        <w:r w:rsidR="00521363">
          <w:rPr>
            <w:rtl/>
            <w:lang w:eastAsia="zh-TW"/>
          </w:rPr>
          <w:t xml:space="preserve">لا </w:t>
        </w:r>
        <w:r w:rsidR="00521363" w:rsidRPr="008F5066">
          <w:rPr>
            <w:rtl/>
            <w:lang w:eastAsia="zh-TW"/>
          </w:rPr>
          <w:t>أساس</w:t>
        </w:r>
        <w:r w:rsidR="00521363">
          <w:rPr>
            <w:rtl/>
            <w:lang w:eastAsia="zh-TW"/>
          </w:rPr>
          <w:t xml:space="preserve"> لها</w:t>
        </w:r>
        <w:r w:rsidR="00521363" w:rsidRPr="008F5066">
          <w:rPr>
            <w:rtl/>
            <w:lang w:eastAsia="zh-TW"/>
          </w:rPr>
          <w:t>.</w:t>
        </w:r>
        <w:r w:rsidR="00521363">
          <w:t>‬</w:t>
        </w:r>
        <w:r w:rsidR="00D3340E">
          <w:t>‬</w:t>
        </w:r>
        <w:r w:rsidR="002C3FDD">
          <w:t>‬</w:t>
        </w:r>
      </w:dir>
    </w:p>
    <w:p w:rsidR="00521363" w:rsidRPr="008F5066" w:rsidRDefault="00521363" w:rsidP="002A4B7F">
      <w:pPr>
        <w:pStyle w:val="SingleTxtGA"/>
        <w:spacing w:line="360" w:lineRule="exact"/>
        <w:rPr>
          <w:rtl/>
          <w:lang w:eastAsia="zh-TW"/>
        </w:rPr>
      </w:pPr>
      <w:r w:rsidRPr="008F5066">
        <w:rPr>
          <w:rtl/>
          <w:lang w:eastAsia="zh-TW"/>
        </w:rPr>
        <w:t>٤-١٠</w:t>
      </w:r>
      <w:r w:rsidR="007145F1">
        <w:rPr>
          <w:rFonts w:hint="cs"/>
          <w:rtl/>
        </w:rPr>
        <w:tab/>
      </w:r>
      <w:dir w:val="rtl">
        <w:r>
          <w:rPr>
            <w:rtl/>
            <w:lang w:eastAsia="zh-TW"/>
          </w:rPr>
          <w:t>وفي حال</w:t>
        </w:r>
        <w:r w:rsidRPr="008F5066">
          <w:rPr>
            <w:rtl/>
            <w:lang w:eastAsia="zh-TW"/>
          </w:rPr>
          <w:t xml:space="preserve"> ظهر للجنة أن الشكوى </w:t>
        </w:r>
        <w:r w:rsidR="007145F1">
          <w:rPr>
            <w:rtl/>
            <w:lang w:eastAsia="zh-TW"/>
          </w:rPr>
          <w:t>مقبول</w:t>
        </w:r>
        <w:r w:rsidR="00D3340E">
          <w:rPr>
            <w:rFonts w:hint="cs"/>
            <w:rtl/>
            <w:lang w:eastAsia="zh-TW"/>
          </w:rPr>
          <w:t>ة</w:t>
        </w:r>
        <w:r w:rsidRPr="008F5066">
          <w:rPr>
            <w:rtl/>
            <w:lang w:eastAsia="zh-TW"/>
          </w:rPr>
          <w:t xml:space="preserve">، </w:t>
        </w:r>
        <w:r>
          <w:rPr>
            <w:rtl/>
            <w:lang w:eastAsia="zh-TW"/>
          </w:rPr>
          <w:t>تد</w:t>
        </w:r>
        <w:r w:rsidR="007145F1">
          <w:rPr>
            <w:rFonts w:hint="cs"/>
            <w:rtl/>
            <w:lang w:eastAsia="zh-TW"/>
          </w:rPr>
          <w:t>ّ</w:t>
        </w:r>
        <w:r>
          <w:rPr>
            <w:rtl/>
            <w:lang w:eastAsia="zh-TW"/>
          </w:rPr>
          <w:t>عي</w:t>
        </w:r>
        <w:r w:rsidRPr="008F5066">
          <w:rPr>
            <w:rtl/>
            <w:lang w:eastAsia="zh-TW"/>
          </w:rPr>
          <w:t xml:space="preserve"> الدولة الطرف أن </w:t>
        </w:r>
        <w:r>
          <w:rPr>
            <w:rtl/>
            <w:lang w:eastAsia="zh-TW"/>
          </w:rPr>
          <w:t xml:space="preserve">أصحاب </w:t>
        </w:r>
        <w:r w:rsidRPr="008F5066">
          <w:rPr>
            <w:rtl/>
            <w:lang w:eastAsia="zh-TW"/>
          </w:rPr>
          <w:t>الشكوى لم يثبت</w:t>
        </w:r>
        <w:r>
          <w:rPr>
            <w:rtl/>
            <w:lang w:eastAsia="zh-TW"/>
          </w:rPr>
          <w:t>و</w:t>
        </w:r>
        <w:r w:rsidRPr="008F5066">
          <w:rPr>
            <w:rtl/>
            <w:lang w:eastAsia="zh-TW"/>
          </w:rPr>
          <w:t>ا بالقدر الكافي أن إعادتهم إلى الاتحاد الروسي ستشكل انتهاكاً للمادة 3 من الاتفاقية.</w:t>
        </w:r>
        <w:r w:rsidRPr="008F5066">
          <w:rPr>
            <w:rFonts w:cs="Times New Roman"/>
            <w:rtl/>
            <w:lang w:eastAsia="zh-TW"/>
          </w:rPr>
          <w:t>‬</w:t>
        </w:r>
        <w:r w:rsidRPr="008F5066">
          <w:rPr>
            <w:rFonts w:cs="Times New Roman"/>
            <w:rtl/>
            <w:lang w:eastAsia="zh-TW"/>
          </w:rPr>
          <w:t>‬</w:t>
        </w:r>
        <w:r w:rsidRPr="008F5066">
          <w:rPr>
            <w:rtl/>
            <w:lang w:eastAsia="zh-TW"/>
          </w:rPr>
          <w:t xml:space="preserve"> و</w:t>
        </w:r>
        <w:r>
          <w:rPr>
            <w:rtl/>
            <w:lang w:eastAsia="zh-TW"/>
          </w:rPr>
          <w:t xml:space="preserve">تشير </w:t>
        </w:r>
        <w:r w:rsidRPr="008F5066">
          <w:rPr>
            <w:rtl/>
            <w:lang w:eastAsia="zh-TW"/>
          </w:rPr>
          <w:t xml:space="preserve">في هذا الصدد، إلى أن </w:t>
        </w:r>
        <w:r>
          <w:rPr>
            <w:rtl/>
            <w:lang w:eastAsia="zh-TW"/>
          </w:rPr>
          <w:t xml:space="preserve">أصحاب </w:t>
        </w:r>
        <w:r w:rsidRPr="008F5066">
          <w:rPr>
            <w:rtl/>
            <w:lang w:eastAsia="zh-TW"/>
          </w:rPr>
          <w:t>الشكوى لم يزود</w:t>
        </w:r>
        <w:r>
          <w:rPr>
            <w:rtl/>
            <w:lang w:eastAsia="zh-TW"/>
          </w:rPr>
          <w:t>و</w:t>
        </w:r>
        <w:r w:rsidRPr="008F5066">
          <w:rPr>
            <w:rtl/>
            <w:lang w:eastAsia="zh-TW"/>
          </w:rPr>
          <w:t xml:space="preserve">ا اللجنة بأي معلومات جديدة عن نزاعاتهم في الاتحاد الروسي </w:t>
        </w:r>
        <w:r>
          <w:rPr>
            <w:rtl/>
            <w:lang w:eastAsia="zh-TW"/>
          </w:rPr>
          <w:t>فيم</w:t>
        </w:r>
        <w:r w:rsidRPr="008F5066">
          <w:rPr>
            <w:rtl/>
            <w:lang w:eastAsia="zh-TW"/>
          </w:rPr>
          <w:t xml:space="preserve">ا عدا المعلومات التي أُتيحت لمجلس طعون اللاجئين بالفعل عندما أصدر قراراته في 12 أيلول/سبتمبر 2014. </w:t>
        </w:r>
        <w:r>
          <w:t>‬</w:t>
        </w:r>
        <w:r w:rsidR="00D3340E">
          <w:t>‬</w:t>
        </w:r>
        <w:r w:rsidR="002C3FDD">
          <w:t>‬</w:t>
        </w:r>
      </w:dir>
    </w:p>
    <w:p w:rsidR="00521363" w:rsidRPr="00377B19" w:rsidRDefault="00521363" w:rsidP="002A4B7F">
      <w:pPr>
        <w:pStyle w:val="SingleTxtGA"/>
        <w:spacing w:line="360" w:lineRule="exact"/>
        <w:rPr>
          <w:sz w:val="30"/>
          <w:rtl/>
          <w:lang w:eastAsia="zh-TW"/>
        </w:rPr>
      </w:pPr>
      <w:r w:rsidRPr="008F5066">
        <w:rPr>
          <w:rtl/>
          <w:lang w:eastAsia="zh-TW"/>
        </w:rPr>
        <w:lastRenderedPageBreak/>
        <w:t>٤-</w:t>
      </w:r>
      <w:r w:rsidR="007145F1">
        <w:rPr>
          <w:rtl/>
          <w:lang w:eastAsia="zh-TW"/>
        </w:rPr>
        <w:t>١</w:t>
      </w:r>
      <w:r w:rsidR="007145F1">
        <w:rPr>
          <w:rFonts w:hint="cs"/>
          <w:rtl/>
          <w:lang w:eastAsia="zh-TW"/>
        </w:rPr>
        <w:t>1</w:t>
      </w:r>
      <w:r w:rsidR="007145F1">
        <w:rPr>
          <w:rFonts w:hint="cs"/>
          <w:rtl/>
          <w:lang w:eastAsia="zh-TW"/>
        </w:rPr>
        <w:tab/>
      </w:r>
      <w:r w:rsidRPr="008F5066">
        <w:rPr>
          <w:rtl/>
          <w:lang w:eastAsia="zh-TW"/>
        </w:rPr>
        <w:t xml:space="preserve">وفيما يتعلق بحجة </w:t>
      </w:r>
      <w:r>
        <w:rPr>
          <w:rtl/>
          <w:lang w:eastAsia="zh-TW"/>
        </w:rPr>
        <w:t>أصحاب</w:t>
      </w:r>
      <w:r w:rsidRPr="008F5066">
        <w:rPr>
          <w:rtl/>
          <w:lang w:eastAsia="zh-TW"/>
        </w:rPr>
        <w:t xml:space="preserve"> الشكوى </w:t>
      </w:r>
      <w:r w:rsidR="007145F1">
        <w:rPr>
          <w:rFonts w:hint="cs"/>
          <w:rtl/>
          <w:lang w:eastAsia="zh-TW"/>
        </w:rPr>
        <w:t xml:space="preserve">القائلة </w:t>
      </w:r>
      <w:r w:rsidRPr="008F5066">
        <w:rPr>
          <w:rtl/>
          <w:lang w:eastAsia="zh-TW"/>
        </w:rPr>
        <w:t xml:space="preserve">بأن سلطات الهجرة </w:t>
      </w:r>
      <w:proofErr w:type="spellStart"/>
      <w:r w:rsidRPr="008F5066">
        <w:rPr>
          <w:rtl/>
          <w:lang w:eastAsia="zh-TW"/>
        </w:rPr>
        <w:t>الدانمركية</w:t>
      </w:r>
      <w:proofErr w:type="spellEnd"/>
      <w:r w:rsidRPr="008F5066">
        <w:rPr>
          <w:rtl/>
          <w:lang w:eastAsia="zh-TW"/>
        </w:rPr>
        <w:t xml:space="preserve"> رفضت طل</w:t>
      </w:r>
      <w:r>
        <w:rPr>
          <w:rtl/>
          <w:lang w:eastAsia="zh-TW"/>
        </w:rPr>
        <w:t>بات</w:t>
      </w:r>
      <w:r w:rsidRPr="008F5066">
        <w:rPr>
          <w:rtl/>
          <w:lang w:eastAsia="zh-TW"/>
        </w:rPr>
        <w:t xml:space="preserve"> لجوئهم دون أن تستدعي </w:t>
      </w:r>
      <w:r>
        <w:rPr>
          <w:rtl/>
          <w:lang w:eastAsia="zh-TW"/>
        </w:rPr>
        <w:t>صاحب</w:t>
      </w:r>
      <w:r w:rsidRPr="008F5066">
        <w:rPr>
          <w:rtl/>
          <w:lang w:eastAsia="zh-TW"/>
        </w:rPr>
        <w:t xml:space="preserve"> الشكوى الأول ل</w:t>
      </w:r>
      <w:r>
        <w:rPr>
          <w:rtl/>
          <w:lang w:eastAsia="zh-TW"/>
        </w:rPr>
        <w:t>إجراء ال</w:t>
      </w:r>
      <w:r w:rsidRPr="008F5066">
        <w:rPr>
          <w:rtl/>
          <w:lang w:eastAsia="zh-TW"/>
        </w:rPr>
        <w:t xml:space="preserve">فحص </w:t>
      </w:r>
      <w:r>
        <w:rPr>
          <w:rtl/>
          <w:lang w:eastAsia="zh-TW"/>
        </w:rPr>
        <w:t xml:space="preserve">الطبي لمعاينة </w:t>
      </w:r>
      <w:r w:rsidRPr="008F5066">
        <w:rPr>
          <w:rtl/>
          <w:lang w:eastAsia="zh-TW"/>
        </w:rPr>
        <w:t xml:space="preserve">علامات التعذيب، </w:t>
      </w:r>
      <w:r>
        <w:rPr>
          <w:rtl/>
          <w:lang w:eastAsia="zh-TW"/>
        </w:rPr>
        <w:t>تدعي</w:t>
      </w:r>
      <w:r w:rsidRPr="008F5066">
        <w:rPr>
          <w:rtl/>
          <w:lang w:eastAsia="zh-TW"/>
        </w:rPr>
        <w:t xml:space="preserve"> الدولة الطرف أن مجلس طعون اللاجئين لا </w:t>
      </w:r>
      <w:r>
        <w:rPr>
          <w:rtl/>
          <w:lang w:eastAsia="zh-TW"/>
        </w:rPr>
        <w:t>يعمد إلى</w:t>
      </w:r>
      <w:r w:rsidRPr="008F5066">
        <w:rPr>
          <w:rtl/>
          <w:lang w:eastAsia="zh-TW"/>
        </w:rPr>
        <w:t xml:space="preserve"> إجراء </w:t>
      </w:r>
      <w:r>
        <w:rPr>
          <w:rtl/>
          <w:lang w:eastAsia="zh-TW"/>
        </w:rPr>
        <w:t>ال</w:t>
      </w:r>
      <w:r w:rsidRPr="008F5066">
        <w:rPr>
          <w:rtl/>
          <w:lang w:eastAsia="zh-TW"/>
        </w:rPr>
        <w:t>فحص</w:t>
      </w:r>
      <w:r>
        <w:rPr>
          <w:rtl/>
          <w:lang w:eastAsia="zh-TW"/>
        </w:rPr>
        <w:t xml:space="preserve"> الطبي لمعاينة</w:t>
      </w:r>
      <w:r w:rsidRPr="008F5066">
        <w:rPr>
          <w:rtl/>
          <w:lang w:eastAsia="zh-TW"/>
        </w:rPr>
        <w:t xml:space="preserve"> علامات التعذيب في الحالات التي لا يمكنه فيها الأخذ ب</w:t>
      </w:r>
      <w:r>
        <w:rPr>
          <w:rtl/>
          <w:lang w:eastAsia="zh-TW"/>
        </w:rPr>
        <w:t xml:space="preserve">صحة </w:t>
      </w:r>
      <w:r w:rsidRPr="008F5066">
        <w:rPr>
          <w:rtl/>
          <w:lang w:eastAsia="zh-TW"/>
        </w:rPr>
        <w:t xml:space="preserve">إفادة ملتمس اللجوء بشأن أسباب </w:t>
      </w:r>
      <w:r>
        <w:rPr>
          <w:rtl/>
          <w:lang w:eastAsia="zh-TW"/>
        </w:rPr>
        <w:t>طلب</w:t>
      </w:r>
      <w:r w:rsidRPr="008F5066">
        <w:rPr>
          <w:rtl/>
          <w:lang w:eastAsia="zh-TW"/>
        </w:rPr>
        <w:t xml:space="preserve"> اللجوء (انظر أيض</w:t>
      </w:r>
      <w:r w:rsidR="002D164F">
        <w:rPr>
          <w:rtl/>
          <w:lang w:eastAsia="zh-TW"/>
        </w:rPr>
        <w:t xml:space="preserve">اً </w:t>
      </w:r>
      <w:r w:rsidRPr="008F5066">
        <w:rPr>
          <w:rtl/>
          <w:lang w:eastAsia="zh-TW"/>
        </w:rPr>
        <w:t xml:space="preserve">الفقرة 4-7). وتذكر الدولة الطرف بأن المجلس </w:t>
      </w:r>
      <w:r w:rsidRPr="00377B19">
        <w:rPr>
          <w:sz w:val="30"/>
          <w:rtl/>
          <w:lang w:eastAsia="zh-TW"/>
        </w:rPr>
        <w:t>لم يأخذ، في قراره المؤرخ 12 أيلول/سبتمبر 2014، بصحة إفادة صاحب الشكوى الأول بشأن أسباب طلب اللجوء لأنه أدلى بإفادات متناقضة بشأن بعض النقاط الرئيسية، بما في ذلك إفادته بشأن الحادثة التي أثارت اهتمام السلطات به. وأكد المجلس، في جملة أمور، أن صاحب الشكوى الأول أدلى بإفادات متناقضة</w:t>
      </w:r>
      <w:r w:rsidR="007145F1" w:rsidRPr="00377B19">
        <w:rPr>
          <w:rFonts w:hint="cs"/>
          <w:sz w:val="30"/>
          <w:vertAlign w:val="superscript"/>
          <w:rtl/>
          <w:lang w:eastAsia="zh-TW"/>
        </w:rPr>
        <w:t>(</w:t>
      </w:r>
      <w:r w:rsidRPr="00377B19">
        <w:rPr>
          <w:rStyle w:val="FootnoteReference"/>
          <w:rFonts w:ascii="Traditional Arabic" w:hAnsi="Traditional Arabic"/>
          <w:sz w:val="30"/>
          <w:szCs w:val="30"/>
          <w:rtl/>
          <w:lang w:eastAsia="zh-TW"/>
        </w:rPr>
        <w:footnoteReference w:id="13"/>
      </w:r>
      <w:r w:rsidR="007145F1" w:rsidRPr="00377B19">
        <w:rPr>
          <w:rFonts w:hint="cs"/>
          <w:sz w:val="30"/>
          <w:vertAlign w:val="superscript"/>
          <w:rtl/>
          <w:lang w:eastAsia="zh-TW"/>
        </w:rPr>
        <w:t>)</w:t>
      </w:r>
      <w:r w:rsidRPr="00377B19">
        <w:rPr>
          <w:sz w:val="30"/>
          <w:rtl/>
          <w:lang w:eastAsia="zh-TW"/>
        </w:rPr>
        <w:t xml:space="preserve"> عن نوع وكمية البضاعة التي اشتراها رجلان من بقالته في 15 أيلول/سبتمبر 2013، وعن اللغة التي تحدث بها أحد الرجلين الذي اشترى البضاعة في المكالمة الهاتفية، وعن مكان تسليم البضاعة وعما إذا كان قد تلقى تعليمات بشأن مكان ركن السيارة وعن الظروف التي تلت استفاقته في السجن (انظر أيض</w:t>
      </w:r>
      <w:r w:rsidR="002D164F">
        <w:rPr>
          <w:sz w:val="30"/>
          <w:rtl/>
          <w:lang w:eastAsia="zh-TW"/>
        </w:rPr>
        <w:t xml:space="preserve">اً </w:t>
      </w:r>
      <w:r w:rsidRPr="00377B19">
        <w:rPr>
          <w:sz w:val="30"/>
          <w:rtl/>
          <w:lang w:eastAsia="zh-TW"/>
        </w:rPr>
        <w:t>الفقرة 2-7). وتضمنت إفادة صاحب الشكوى الأول أيض</w:t>
      </w:r>
      <w:r w:rsidR="002D164F">
        <w:rPr>
          <w:sz w:val="30"/>
          <w:rtl/>
          <w:lang w:eastAsia="zh-TW"/>
        </w:rPr>
        <w:t xml:space="preserve">اً </w:t>
      </w:r>
      <w:r w:rsidRPr="00377B19">
        <w:rPr>
          <w:sz w:val="30"/>
          <w:rtl/>
          <w:lang w:eastAsia="zh-TW"/>
        </w:rPr>
        <w:t xml:space="preserve">العديد من التناقضات الطفيفة، لكنها لا تكتسي في حد ذاتها أهمية بالغة. </w:t>
      </w:r>
    </w:p>
    <w:p w:rsidR="00521363" w:rsidRPr="00377B19" w:rsidRDefault="007145F1" w:rsidP="002A4B7F">
      <w:pPr>
        <w:pStyle w:val="SingleTxtGA"/>
        <w:spacing w:line="360" w:lineRule="exact"/>
        <w:rPr>
          <w:sz w:val="30"/>
          <w:rtl/>
          <w:lang w:eastAsia="zh-TW"/>
        </w:rPr>
      </w:pPr>
      <w:r w:rsidRPr="00377B19">
        <w:rPr>
          <w:sz w:val="30"/>
          <w:rtl/>
          <w:lang w:eastAsia="zh-TW"/>
        </w:rPr>
        <w:t>٤-١٢</w:t>
      </w:r>
      <w:r w:rsidRPr="00377B19">
        <w:rPr>
          <w:rFonts w:hint="cs"/>
          <w:sz w:val="30"/>
          <w:rtl/>
          <w:lang w:eastAsia="zh-TW"/>
        </w:rPr>
        <w:tab/>
      </w:r>
      <w:r w:rsidR="00521363" w:rsidRPr="00377B19">
        <w:rPr>
          <w:sz w:val="30"/>
          <w:rtl/>
          <w:lang w:eastAsia="zh-TW"/>
        </w:rPr>
        <w:t>وبناء على ذلك، خلص مجلس طعون اللاجئين إلى أن صاحب الشكوى الأول لم</w:t>
      </w:r>
      <w:r w:rsidRPr="00377B19">
        <w:rPr>
          <w:rFonts w:hint="cs"/>
          <w:sz w:val="30"/>
          <w:rtl/>
          <w:lang w:eastAsia="zh-TW"/>
        </w:rPr>
        <w:t> </w:t>
      </w:r>
      <w:r w:rsidR="00521363" w:rsidRPr="00377B19">
        <w:rPr>
          <w:sz w:val="30"/>
          <w:rtl/>
          <w:lang w:eastAsia="zh-TW"/>
        </w:rPr>
        <w:t xml:space="preserve">يتمكن من إقامة الدليل على احتجازه وتعرضه للتعذيب. وقد نظر المجلس، كما أكد في تعليل قراره، في مدى إمكانية تفسير سبب التناقضات المذكورة أعلاه وغيرها من التناقضات التي شابت إفادات صاحب الشكوى الأول بشأن القضية بتعرضه للتعذيب؛ غير أن المجلس خلص إلى </w:t>
      </w:r>
      <w:r w:rsidRPr="00377B19">
        <w:rPr>
          <w:rFonts w:hint="cs"/>
          <w:sz w:val="30"/>
          <w:rtl/>
          <w:lang w:eastAsia="zh-TW"/>
        </w:rPr>
        <w:t xml:space="preserve">أن الأمر </w:t>
      </w:r>
      <w:r w:rsidR="00521363" w:rsidRPr="00377B19">
        <w:rPr>
          <w:sz w:val="30"/>
          <w:rtl/>
          <w:lang w:eastAsia="zh-TW"/>
        </w:rPr>
        <w:t>لا يمكن أن يكون كذلك. ولاحظ</w:t>
      </w:r>
      <w:r w:rsidRPr="00377B19">
        <w:rPr>
          <w:rFonts w:hint="cs"/>
          <w:sz w:val="30"/>
          <w:rtl/>
          <w:lang w:eastAsia="zh-TW"/>
        </w:rPr>
        <w:t>،</w:t>
      </w:r>
      <w:r w:rsidR="00521363" w:rsidRPr="00377B19">
        <w:rPr>
          <w:sz w:val="30"/>
          <w:rtl/>
          <w:lang w:eastAsia="zh-TW"/>
        </w:rPr>
        <w:t xml:space="preserve"> في هذا الصدد، أن التناقضات شابت حادثة معزولة وقعت قبيل مغادرة أصحاب الشكوى في </w:t>
      </w:r>
      <w:r w:rsidRPr="00377B19">
        <w:rPr>
          <w:rFonts w:hint="cs"/>
          <w:sz w:val="30"/>
          <w:rtl/>
          <w:lang w:eastAsia="zh-TW"/>
        </w:rPr>
        <w:t xml:space="preserve">مطلع </w:t>
      </w:r>
      <w:r w:rsidR="00521363" w:rsidRPr="00377B19">
        <w:rPr>
          <w:sz w:val="30"/>
          <w:rtl/>
          <w:lang w:eastAsia="zh-TW"/>
        </w:rPr>
        <w:t xml:space="preserve">كانون الثاني/يناير 2014. وبناء عليه، لم </w:t>
      </w:r>
      <w:r w:rsidRPr="00377B19">
        <w:rPr>
          <w:rFonts w:hint="cs"/>
          <w:sz w:val="30"/>
          <w:rtl/>
          <w:lang w:eastAsia="zh-TW"/>
        </w:rPr>
        <w:t>يتسن ل</w:t>
      </w:r>
      <w:r w:rsidR="00521363" w:rsidRPr="00377B19">
        <w:rPr>
          <w:sz w:val="30"/>
          <w:rtl/>
          <w:lang w:eastAsia="zh-TW"/>
        </w:rPr>
        <w:t>لمجلس، استناد</w:t>
      </w:r>
      <w:r w:rsidR="002D164F">
        <w:rPr>
          <w:sz w:val="30"/>
          <w:rtl/>
          <w:lang w:eastAsia="zh-TW"/>
        </w:rPr>
        <w:t xml:space="preserve">اً </w:t>
      </w:r>
      <w:r w:rsidR="00521363" w:rsidRPr="00377B19">
        <w:rPr>
          <w:sz w:val="30"/>
          <w:rtl/>
          <w:lang w:eastAsia="zh-TW"/>
        </w:rPr>
        <w:t>إلى تقييم المصداقية الذي أجراه، أن يأخذ بصحة إفادة أصحاب الشكوى بشأن توجه السلطات إلى منزلهم بعد مغادرتهم. وفي هذا السياق، تشير الدولة الطرف إلى الرأي الذي أعربت عنه المحكمة الأوروبية لحقوق الإنسان عدة مرات إذ قضت بما يلي: "إنها [المحكمة] تقر بأن السلطات الوطنية هي، كمبدأ عام، أفضل من يقيّم ليس الوقائع فحسب، بل أيض</w:t>
      </w:r>
      <w:r w:rsidR="002D164F">
        <w:rPr>
          <w:sz w:val="30"/>
          <w:rtl/>
          <w:lang w:eastAsia="zh-TW"/>
        </w:rPr>
        <w:t xml:space="preserve">اً </w:t>
      </w:r>
      <w:r w:rsidR="00521363" w:rsidRPr="00377B19">
        <w:rPr>
          <w:sz w:val="30"/>
          <w:rtl/>
          <w:lang w:eastAsia="zh-TW"/>
        </w:rPr>
        <w:t>مصداقية الشهود بوجه أخص، لأن الشهود هم من تسنَّت لهم فرصة رؤية سلوك الشخص المعني وسماعه وتقييمه"</w:t>
      </w:r>
      <w:r w:rsidRPr="00377B19">
        <w:rPr>
          <w:rFonts w:hint="cs"/>
          <w:sz w:val="30"/>
          <w:vertAlign w:val="superscript"/>
          <w:rtl/>
          <w:lang w:eastAsia="zh-TW"/>
        </w:rPr>
        <w:t>(</w:t>
      </w:r>
      <w:r w:rsidR="00521363" w:rsidRPr="00377B19">
        <w:rPr>
          <w:rStyle w:val="FootnoteReference"/>
          <w:rFonts w:ascii="Traditional Arabic" w:hAnsi="Traditional Arabic"/>
          <w:sz w:val="30"/>
          <w:szCs w:val="30"/>
          <w:rtl/>
          <w:lang w:eastAsia="zh-TW"/>
        </w:rPr>
        <w:footnoteReference w:id="14"/>
      </w:r>
      <w:r w:rsidRPr="00377B19">
        <w:rPr>
          <w:rFonts w:hint="cs"/>
          <w:sz w:val="30"/>
          <w:vertAlign w:val="superscript"/>
          <w:rtl/>
          <w:lang w:eastAsia="zh-TW"/>
        </w:rPr>
        <w:t>)</w:t>
      </w:r>
      <w:r w:rsidRPr="00377B19">
        <w:rPr>
          <w:rFonts w:hint="cs"/>
          <w:sz w:val="30"/>
          <w:rtl/>
          <w:lang w:eastAsia="zh-TW"/>
        </w:rPr>
        <w:t>.</w:t>
      </w:r>
      <w:r w:rsidR="00521363" w:rsidRPr="00377B19">
        <w:rPr>
          <w:sz w:val="30"/>
          <w:rtl/>
          <w:lang w:eastAsia="zh-TW"/>
        </w:rPr>
        <w:t xml:space="preserve"> </w:t>
      </w:r>
    </w:p>
    <w:p w:rsidR="00521363" w:rsidRPr="008F5066" w:rsidRDefault="00521363" w:rsidP="002A4B7F">
      <w:pPr>
        <w:pStyle w:val="SingleTxtGA"/>
        <w:spacing w:line="360" w:lineRule="exact"/>
        <w:rPr>
          <w:rtl/>
          <w:lang w:eastAsia="zh-TW"/>
        </w:rPr>
      </w:pPr>
      <w:r w:rsidRPr="00377B19">
        <w:rPr>
          <w:sz w:val="30"/>
          <w:rtl/>
          <w:lang w:eastAsia="zh-TW"/>
        </w:rPr>
        <w:t xml:space="preserve">٤-١٣ وفيما يتعلق بحجة أصحاب الشكوى التي تفيد بأن مجلس طعون اللاجئين، لم يأخذ في حسبانه، لدى إجراء تقييم المصداقية، أن الشخص الذي تعرض للتعذيب يجد صعوبة في سرد الوقائع، تدعي الدولة الطرف أن قضية </w:t>
      </w:r>
      <w:r w:rsidRPr="00377B19">
        <w:rPr>
          <w:i/>
          <w:iCs/>
          <w:sz w:val="30"/>
          <w:rtl/>
          <w:lang w:eastAsia="zh-TW"/>
        </w:rPr>
        <w:t xml:space="preserve">"كي تشون </w:t>
      </w:r>
      <w:proofErr w:type="spellStart"/>
      <w:r w:rsidRPr="00377B19">
        <w:rPr>
          <w:i/>
          <w:iCs/>
          <w:sz w:val="30"/>
          <w:rtl/>
          <w:lang w:eastAsia="zh-TW"/>
        </w:rPr>
        <w:t>رونغ</w:t>
      </w:r>
      <w:proofErr w:type="spellEnd"/>
      <w:r w:rsidRPr="00377B19">
        <w:rPr>
          <w:i/>
          <w:iCs/>
          <w:sz w:val="30"/>
          <w:rtl/>
          <w:lang w:eastAsia="zh-TW"/>
        </w:rPr>
        <w:t xml:space="preserve"> ضد أستراليا"</w:t>
      </w:r>
      <w:r w:rsidRPr="00377B19">
        <w:rPr>
          <w:sz w:val="30"/>
          <w:rtl/>
          <w:lang w:eastAsia="zh-TW"/>
        </w:rPr>
        <w:t xml:space="preserve"> التي أشار إليها أصحاب</w:t>
      </w:r>
      <w:r w:rsidRPr="008F5066">
        <w:rPr>
          <w:rtl/>
          <w:lang w:eastAsia="zh-TW"/>
        </w:rPr>
        <w:t xml:space="preserve"> الشكوى تختلف كثير</w:t>
      </w:r>
      <w:r w:rsidR="002D164F">
        <w:rPr>
          <w:rtl/>
          <w:lang w:eastAsia="zh-TW"/>
        </w:rPr>
        <w:t xml:space="preserve">اً </w:t>
      </w:r>
      <w:r w:rsidRPr="008F5066">
        <w:rPr>
          <w:rtl/>
          <w:lang w:eastAsia="zh-TW"/>
        </w:rPr>
        <w:t xml:space="preserve">عن هذه القضية. فقد أجرت دائرة الهجرة </w:t>
      </w:r>
      <w:proofErr w:type="spellStart"/>
      <w:r w:rsidRPr="008F5066">
        <w:rPr>
          <w:rtl/>
          <w:lang w:eastAsia="zh-TW"/>
        </w:rPr>
        <w:t>الدانمركية</w:t>
      </w:r>
      <w:proofErr w:type="spellEnd"/>
      <w:r w:rsidRPr="008F5066">
        <w:rPr>
          <w:rtl/>
          <w:lang w:eastAsia="zh-TW"/>
        </w:rPr>
        <w:t xml:space="preserve"> عدة مقابلات مع </w:t>
      </w:r>
      <w:r>
        <w:rPr>
          <w:rtl/>
          <w:lang w:eastAsia="zh-TW"/>
        </w:rPr>
        <w:t xml:space="preserve">صاحبيْ </w:t>
      </w:r>
      <w:r w:rsidRPr="008F5066">
        <w:rPr>
          <w:rtl/>
          <w:lang w:eastAsia="zh-TW"/>
        </w:rPr>
        <w:t>الشكوى</w:t>
      </w:r>
      <w:r>
        <w:rPr>
          <w:rtl/>
          <w:lang w:eastAsia="zh-TW"/>
        </w:rPr>
        <w:t>،</w:t>
      </w:r>
      <w:r w:rsidRPr="008F5066">
        <w:rPr>
          <w:rtl/>
          <w:lang w:eastAsia="zh-TW"/>
        </w:rPr>
        <w:t xml:space="preserve"> الأول والثاني، وأدليا بإفادات شفوية شخصي</w:t>
      </w:r>
      <w:r w:rsidR="002D164F">
        <w:rPr>
          <w:rtl/>
          <w:lang w:eastAsia="zh-TW"/>
        </w:rPr>
        <w:t xml:space="preserve">اً </w:t>
      </w:r>
      <w:r w:rsidRPr="008F5066">
        <w:rPr>
          <w:rtl/>
          <w:lang w:eastAsia="zh-TW"/>
        </w:rPr>
        <w:t xml:space="preserve">أمام مجلس طعون اللاجئين، </w:t>
      </w:r>
      <w:r w:rsidRPr="008F5066">
        <w:rPr>
          <w:rtl/>
          <w:lang w:eastAsia="zh-TW"/>
        </w:rPr>
        <w:lastRenderedPageBreak/>
        <w:t>ومن ثم أتيحت لهم</w:t>
      </w:r>
      <w:r>
        <w:rPr>
          <w:rtl/>
          <w:lang w:eastAsia="zh-TW"/>
        </w:rPr>
        <w:t>ا</w:t>
      </w:r>
      <w:r w:rsidRPr="008F5066">
        <w:rPr>
          <w:rtl/>
          <w:lang w:eastAsia="zh-TW"/>
        </w:rPr>
        <w:t xml:space="preserve"> الفرصة </w:t>
      </w:r>
      <w:r>
        <w:rPr>
          <w:rtl/>
          <w:lang w:eastAsia="zh-TW"/>
        </w:rPr>
        <w:t>لتفسير</w:t>
      </w:r>
      <w:r w:rsidRPr="008F5066">
        <w:rPr>
          <w:rtl/>
          <w:lang w:eastAsia="zh-TW"/>
        </w:rPr>
        <w:t xml:space="preserve"> أي تناقضات. </w:t>
      </w:r>
      <w:r>
        <w:rPr>
          <w:rtl/>
          <w:lang w:eastAsia="zh-TW"/>
        </w:rPr>
        <w:t>و</w:t>
      </w:r>
      <w:r w:rsidRPr="008F5066">
        <w:rPr>
          <w:rtl/>
          <w:lang w:eastAsia="zh-TW"/>
        </w:rPr>
        <w:t xml:space="preserve">بعد </w:t>
      </w:r>
      <w:r>
        <w:rPr>
          <w:rtl/>
          <w:lang w:eastAsia="zh-TW"/>
        </w:rPr>
        <w:t>أن أجرى المجلس</w:t>
      </w:r>
      <w:r w:rsidRPr="008F5066">
        <w:rPr>
          <w:rtl/>
          <w:lang w:eastAsia="zh-TW"/>
        </w:rPr>
        <w:t xml:space="preserve"> تقييم</w:t>
      </w:r>
      <w:r w:rsidR="002D164F">
        <w:rPr>
          <w:rtl/>
          <w:lang w:eastAsia="zh-TW"/>
        </w:rPr>
        <w:t xml:space="preserve">اً </w:t>
      </w:r>
      <w:r w:rsidRPr="008F5066">
        <w:rPr>
          <w:rtl/>
          <w:lang w:eastAsia="zh-TW"/>
        </w:rPr>
        <w:t>شامل</w:t>
      </w:r>
      <w:r w:rsidR="002D164F">
        <w:rPr>
          <w:rtl/>
          <w:lang w:eastAsia="zh-TW"/>
        </w:rPr>
        <w:t xml:space="preserve">اً </w:t>
      </w:r>
      <w:r w:rsidRPr="008F5066">
        <w:rPr>
          <w:rtl/>
          <w:lang w:eastAsia="zh-TW"/>
        </w:rPr>
        <w:t xml:space="preserve">للمعلومات التي قدمها </w:t>
      </w:r>
      <w:r>
        <w:rPr>
          <w:rtl/>
          <w:lang w:eastAsia="zh-TW"/>
        </w:rPr>
        <w:t xml:space="preserve">صاحب الشكوى الأول </w:t>
      </w:r>
      <w:r w:rsidRPr="008F5066">
        <w:rPr>
          <w:rtl/>
          <w:lang w:eastAsia="zh-TW"/>
        </w:rPr>
        <w:t>دعم</w:t>
      </w:r>
      <w:r w:rsidR="002D164F">
        <w:rPr>
          <w:rtl/>
          <w:lang w:eastAsia="zh-TW"/>
        </w:rPr>
        <w:t xml:space="preserve">اً </w:t>
      </w:r>
      <w:r>
        <w:rPr>
          <w:rtl/>
          <w:lang w:eastAsia="zh-TW"/>
        </w:rPr>
        <w:t>ل</w:t>
      </w:r>
      <w:r w:rsidRPr="008F5066">
        <w:rPr>
          <w:rtl/>
          <w:lang w:eastAsia="zh-TW"/>
        </w:rPr>
        <w:t>طلب اللجوء</w:t>
      </w:r>
      <w:r>
        <w:rPr>
          <w:rtl/>
          <w:lang w:eastAsia="zh-TW"/>
        </w:rPr>
        <w:t>،</w:t>
      </w:r>
      <w:r w:rsidRPr="008F5066">
        <w:rPr>
          <w:rtl/>
          <w:lang w:eastAsia="zh-TW"/>
        </w:rPr>
        <w:t xml:space="preserve"> و</w:t>
      </w:r>
      <w:r>
        <w:rPr>
          <w:rtl/>
          <w:lang w:eastAsia="zh-TW"/>
        </w:rPr>
        <w:t>ل</w:t>
      </w:r>
      <w:r w:rsidRPr="008F5066">
        <w:rPr>
          <w:rtl/>
          <w:lang w:eastAsia="zh-TW"/>
        </w:rPr>
        <w:t xml:space="preserve">لتفاصيل الأخرى التي أشير إليها في القضية، بما في ذلك المعلومات </w:t>
      </w:r>
      <w:r>
        <w:rPr>
          <w:rtl/>
          <w:lang w:eastAsia="zh-TW"/>
        </w:rPr>
        <w:t>المقدمة</w:t>
      </w:r>
      <w:r w:rsidRPr="008F5066">
        <w:rPr>
          <w:rtl/>
          <w:lang w:eastAsia="zh-TW"/>
        </w:rPr>
        <w:t xml:space="preserve"> من </w:t>
      </w:r>
      <w:r>
        <w:rPr>
          <w:rtl/>
          <w:lang w:eastAsia="zh-TW"/>
        </w:rPr>
        <w:t>صاحبة</w:t>
      </w:r>
      <w:r w:rsidRPr="008F5066">
        <w:rPr>
          <w:rtl/>
          <w:lang w:eastAsia="zh-TW"/>
        </w:rPr>
        <w:t xml:space="preserve"> الشكوى الثاني</w:t>
      </w:r>
      <w:r>
        <w:rPr>
          <w:rtl/>
          <w:lang w:eastAsia="zh-TW"/>
        </w:rPr>
        <w:t>ة</w:t>
      </w:r>
      <w:r w:rsidRPr="008F5066">
        <w:rPr>
          <w:rtl/>
          <w:lang w:eastAsia="zh-TW"/>
        </w:rPr>
        <w:t xml:space="preserve">، </w:t>
      </w:r>
      <w:r>
        <w:rPr>
          <w:rtl/>
          <w:lang w:eastAsia="zh-TW"/>
        </w:rPr>
        <w:t xml:space="preserve">لم يكن بإمكانه </w:t>
      </w:r>
      <w:r w:rsidRPr="008F5066">
        <w:rPr>
          <w:rtl/>
          <w:lang w:eastAsia="zh-TW"/>
        </w:rPr>
        <w:t>أن ي</w:t>
      </w:r>
      <w:r>
        <w:rPr>
          <w:rtl/>
          <w:lang w:eastAsia="zh-TW"/>
        </w:rPr>
        <w:t>أخذ بصحة ما ورد</w:t>
      </w:r>
      <w:r w:rsidRPr="008F5066">
        <w:rPr>
          <w:rtl/>
          <w:lang w:eastAsia="zh-TW"/>
        </w:rPr>
        <w:t xml:space="preserve"> في إفادات </w:t>
      </w:r>
      <w:r>
        <w:rPr>
          <w:rtl/>
          <w:lang w:eastAsia="zh-TW"/>
        </w:rPr>
        <w:t>صاحب</w:t>
      </w:r>
      <w:r w:rsidRPr="008F5066">
        <w:rPr>
          <w:rtl/>
          <w:lang w:eastAsia="zh-TW"/>
        </w:rPr>
        <w:t xml:space="preserve"> الشكوى الأول بشأن نزاعاته في الاتحاد الروسي قبل المغادرة. وتشير الدولة الطرف</w:t>
      </w:r>
      <w:r w:rsidR="007145F1">
        <w:rPr>
          <w:rFonts w:hint="cs"/>
          <w:rtl/>
          <w:lang w:eastAsia="zh-TW"/>
        </w:rPr>
        <w:t>،</w:t>
      </w:r>
      <w:r w:rsidRPr="008F5066">
        <w:rPr>
          <w:rtl/>
          <w:lang w:eastAsia="zh-TW"/>
        </w:rPr>
        <w:t xml:space="preserve"> في هذا الصدد</w:t>
      </w:r>
      <w:r>
        <w:rPr>
          <w:rtl/>
          <w:lang w:eastAsia="zh-TW"/>
        </w:rPr>
        <w:t>،</w:t>
      </w:r>
      <w:r w:rsidRPr="008F5066">
        <w:rPr>
          <w:rtl/>
          <w:lang w:eastAsia="zh-TW"/>
        </w:rPr>
        <w:t xml:space="preserve"> إلى أن الشكوى </w:t>
      </w:r>
      <w:r>
        <w:rPr>
          <w:rtl/>
          <w:lang w:eastAsia="zh-TW"/>
        </w:rPr>
        <w:t>المقدمة</w:t>
      </w:r>
      <w:r w:rsidRPr="008F5066">
        <w:rPr>
          <w:rtl/>
          <w:lang w:eastAsia="zh-TW"/>
        </w:rPr>
        <w:t xml:space="preserve"> إلى اللجنة لا تتضمن أي معلومات </w:t>
      </w:r>
      <w:r>
        <w:rPr>
          <w:rtl/>
          <w:lang w:eastAsia="zh-TW"/>
        </w:rPr>
        <w:t>من شأنها</w:t>
      </w:r>
      <w:r w:rsidRPr="008F5066">
        <w:rPr>
          <w:rtl/>
          <w:lang w:eastAsia="zh-TW"/>
        </w:rPr>
        <w:t xml:space="preserve"> أن تغير شيئ</w:t>
      </w:r>
      <w:r w:rsidR="002D164F">
        <w:rPr>
          <w:rtl/>
          <w:lang w:eastAsia="zh-TW"/>
        </w:rPr>
        <w:t xml:space="preserve">اً </w:t>
      </w:r>
      <w:r w:rsidRPr="008F5066">
        <w:rPr>
          <w:rtl/>
          <w:lang w:eastAsia="zh-TW"/>
        </w:rPr>
        <w:t xml:space="preserve">في نتيجة </w:t>
      </w:r>
      <w:r>
        <w:rPr>
          <w:rtl/>
          <w:lang w:eastAsia="zh-TW"/>
        </w:rPr>
        <w:t>ال</w:t>
      </w:r>
      <w:r w:rsidRPr="008F5066">
        <w:rPr>
          <w:rtl/>
          <w:lang w:eastAsia="zh-TW"/>
        </w:rPr>
        <w:t xml:space="preserve">تقييم </w:t>
      </w:r>
      <w:r>
        <w:rPr>
          <w:rtl/>
          <w:lang w:eastAsia="zh-TW"/>
        </w:rPr>
        <w:t>الذي أجري ل</w:t>
      </w:r>
      <w:r w:rsidRPr="008F5066">
        <w:rPr>
          <w:rtl/>
          <w:lang w:eastAsia="zh-TW"/>
        </w:rPr>
        <w:t xml:space="preserve">مصداقية </w:t>
      </w:r>
      <w:r>
        <w:rPr>
          <w:rtl/>
          <w:lang w:eastAsia="zh-TW"/>
        </w:rPr>
        <w:t>ا</w:t>
      </w:r>
      <w:r w:rsidRPr="008F5066">
        <w:rPr>
          <w:rtl/>
          <w:lang w:eastAsia="zh-TW"/>
        </w:rPr>
        <w:t xml:space="preserve">لمعلومات </w:t>
      </w:r>
      <w:r w:rsidR="007145F1">
        <w:rPr>
          <w:rFonts w:hint="cs"/>
          <w:rtl/>
          <w:lang w:eastAsia="zh-TW"/>
        </w:rPr>
        <w:t>التي قدمّها</w:t>
      </w:r>
      <w:r w:rsidR="002D164F">
        <w:rPr>
          <w:rFonts w:hint="cs"/>
          <w:rtl/>
          <w:lang w:eastAsia="zh-TW"/>
        </w:rPr>
        <w:t xml:space="preserve"> </w:t>
      </w:r>
      <w:r>
        <w:rPr>
          <w:rtl/>
          <w:lang w:eastAsia="zh-TW"/>
        </w:rPr>
        <w:t>صاحب</w:t>
      </w:r>
      <w:r w:rsidRPr="008F5066">
        <w:rPr>
          <w:rtl/>
          <w:lang w:eastAsia="zh-TW"/>
        </w:rPr>
        <w:t xml:space="preserve"> الشكوى الأول </w:t>
      </w:r>
      <w:r>
        <w:rPr>
          <w:rtl/>
          <w:lang w:eastAsia="zh-TW"/>
        </w:rPr>
        <w:t xml:space="preserve">لتبرير </w:t>
      </w:r>
      <w:r w:rsidRPr="008F5066">
        <w:rPr>
          <w:rtl/>
          <w:lang w:eastAsia="zh-TW"/>
        </w:rPr>
        <w:t xml:space="preserve">أسباب </w:t>
      </w:r>
      <w:r>
        <w:rPr>
          <w:rtl/>
          <w:lang w:eastAsia="zh-TW"/>
        </w:rPr>
        <w:t>طلب</w:t>
      </w:r>
      <w:r w:rsidRPr="008F5066">
        <w:rPr>
          <w:rtl/>
          <w:lang w:eastAsia="zh-TW"/>
        </w:rPr>
        <w:t xml:space="preserve"> اللجوء. </w:t>
      </w:r>
    </w:p>
    <w:p w:rsidR="00521363" w:rsidRPr="008F5066" w:rsidRDefault="007145F1" w:rsidP="002A4B7F">
      <w:pPr>
        <w:pStyle w:val="SingleTxtGA"/>
        <w:spacing w:line="360" w:lineRule="exact"/>
        <w:rPr>
          <w:rtl/>
          <w:lang w:eastAsia="zh-TW"/>
        </w:rPr>
      </w:pPr>
      <w:r>
        <w:rPr>
          <w:rtl/>
          <w:lang w:eastAsia="zh-TW"/>
        </w:rPr>
        <w:t>٤-١٤</w:t>
      </w:r>
      <w:r>
        <w:rPr>
          <w:rFonts w:hint="cs"/>
          <w:rtl/>
          <w:lang w:eastAsia="zh-TW"/>
        </w:rPr>
        <w:tab/>
      </w:r>
      <w:r w:rsidR="00521363" w:rsidRPr="008F5066">
        <w:rPr>
          <w:rtl/>
          <w:lang w:eastAsia="zh-TW"/>
        </w:rPr>
        <w:t>وتد</w:t>
      </w:r>
      <w:r>
        <w:rPr>
          <w:rFonts w:hint="cs"/>
          <w:rtl/>
          <w:lang w:eastAsia="zh-TW"/>
        </w:rPr>
        <w:t>ّ</w:t>
      </w:r>
      <w:r w:rsidR="00521363" w:rsidRPr="008F5066">
        <w:rPr>
          <w:rtl/>
          <w:lang w:eastAsia="zh-TW"/>
        </w:rPr>
        <w:t xml:space="preserve">عي الدولة الطرف كذلك أن </w:t>
      </w:r>
      <w:r w:rsidR="00521363">
        <w:rPr>
          <w:rtl/>
          <w:lang w:eastAsia="zh-TW"/>
        </w:rPr>
        <w:t>رسالتي</w:t>
      </w:r>
      <w:r w:rsidR="00521363" w:rsidRPr="008F5066">
        <w:rPr>
          <w:rtl/>
          <w:lang w:eastAsia="zh-TW"/>
        </w:rPr>
        <w:t xml:space="preserve"> جيران </w:t>
      </w:r>
      <w:r w:rsidR="00521363">
        <w:rPr>
          <w:rtl/>
          <w:lang w:eastAsia="zh-TW"/>
        </w:rPr>
        <w:t>أصحاب</w:t>
      </w:r>
      <w:r w:rsidR="00521363" w:rsidRPr="008F5066">
        <w:rPr>
          <w:rtl/>
          <w:lang w:eastAsia="zh-TW"/>
        </w:rPr>
        <w:t xml:space="preserve"> الشكوى </w:t>
      </w:r>
      <w:r w:rsidR="00521363">
        <w:rPr>
          <w:rtl/>
          <w:lang w:eastAsia="zh-TW"/>
        </w:rPr>
        <w:t>اللتين قدمتا</w:t>
      </w:r>
      <w:r w:rsidR="00521363" w:rsidRPr="008F5066">
        <w:rPr>
          <w:rtl/>
          <w:lang w:eastAsia="zh-TW"/>
        </w:rPr>
        <w:t xml:space="preserve"> إلى اللجنة (انظر الفقرة 2-3) لا يمكن أن تُغير</w:t>
      </w:r>
      <w:r w:rsidR="00D3340E">
        <w:rPr>
          <w:rtl/>
          <w:lang w:eastAsia="zh-TW"/>
        </w:rPr>
        <w:t>ا</w:t>
      </w:r>
      <w:r w:rsidR="002D164F">
        <w:rPr>
          <w:rtl/>
          <w:lang w:eastAsia="zh-TW"/>
        </w:rPr>
        <w:t xml:space="preserve"> </w:t>
      </w:r>
      <w:r w:rsidR="00521363" w:rsidRPr="008F5066">
        <w:rPr>
          <w:rtl/>
          <w:lang w:eastAsia="zh-TW"/>
        </w:rPr>
        <w:t>شيئ</w:t>
      </w:r>
      <w:r w:rsidR="002D164F">
        <w:rPr>
          <w:rtl/>
          <w:lang w:eastAsia="zh-TW"/>
        </w:rPr>
        <w:t xml:space="preserve">اً </w:t>
      </w:r>
      <w:r w:rsidR="00521363" w:rsidRPr="008F5066">
        <w:rPr>
          <w:rtl/>
          <w:lang w:eastAsia="zh-TW"/>
        </w:rPr>
        <w:t>في نتيجة التقييم الذي أجري لمصداقيته</w:t>
      </w:r>
      <w:r w:rsidR="00521363">
        <w:rPr>
          <w:rtl/>
          <w:lang w:eastAsia="zh-TW"/>
        </w:rPr>
        <w:t>م</w:t>
      </w:r>
      <w:r w:rsidR="00521363" w:rsidRPr="008F5066">
        <w:rPr>
          <w:rtl/>
          <w:lang w:eastAsia="zh-TW"/>
        </w:rPr>
        <w:t xml:space="preserve">. </w:t>
      </w:r>
      <w:r w:rsidR="00521363">
        <w:rPr>
          <w:rtl/>
          <w:lang w:eastAsia="zh-TW"/>
        </w:rPr>
        <w:t>وتعرب</w:t>
      </w:r>
      <w:r w:rsidR="00521363" w:rsidRPr="008F5066">
        <w:rPr>
          <w:rtl/>
          <w:lang w:eastAsia="zh-TW"/>
        </w:rPr>
        <w:t xml:space="preserve"> الدولة الطرف </w:t>
      </w:r>
      <w:r w:rsidR="00521363">
        <w:rPr>
          <w:rtl/>
          <w:lang w:eastAsia="zh-TW"/>
        </w:rPr>
        <w:t>عن استغرابها ل</w:t>
      </w:r>
      <w:r w:rsidR="00521363" w:rsidRPr="008F5066">
        <w:rPr>
          <w:rtl/>
          <w:lang w:eastAsia="zh-TW"/>
        </w:rPr>
        <w:t xml:space="preserve">أن </w:t>
      </w:r>
      <w:r w:rsidR="00521363">
        <w:rPr>
          <w:rtl/>
          <w:lang w:eastAsia="zh-TW"/>
        </w:rPr>
        <w:t>صاحب</w:t>
      </w:r>
      <w:r w:rsidR="00521363" w:rsidRPr="008F5066">
        <w:rPr>
          <w:rtl/>
          <w:lang w:eastAsia="zh-TW"/>
        </w:rPr>
        <w:t xml:space="preserve"> الشكوى الأول لم يقدم </w:t>
      </w:r>
      <w:r w:rsidR="00521363">
        <w:rPr>
          <w:rtl/>
          <w:lang w:eastAsia="zh-TW"/>
        </w:rPr>
        <w:t>هاتين الرسالتين</w:t>
      </w:r>
      <w:r w:rsidR="00521363" w:rsidRPr="008F5066">
        <w:rPr>
          <w:rtl/>
          <w:lang w:eastAsia="zh-TW"/>
        </w:rPr>
        <w:t xml:space="preserve"> إلا</w:t>
      </w:r>
      <w:r w:rsidR="002D164F">
        <w:rPr>
          <w:rFonts w:hint="cs"/>
          <w:rtl/>
          <w:lang w:eastAsia="zh-TW"/>
        </w:rPr>
        <w:t> </w:t>
      </w:r>
      <w:r w:rsidR="00521363" w:rsidRPr="008F5066">
        <w:rPr>
          <w:rtl/>
          <w:lang w:eastAsia="zh-TW"/>
        </w:rPr>
        <w:t>عند عرض الشكوى على اللجنة ولم يقدمه</w:t>
      </w:r>
      <w:r w:rsidR="00CB0AA9">
        <w:rPr>
          <w:rFonts w:hint="cs"/>
          <w:rtl/>
          <w:lang w:eastAsia="zh-TW"/>
        </w:rPr>
        <w:t>م</w:t>
      </w:r>
      <w:r w:rsidR="00521363" w:rsidRPr="008F5066">
        <w:rPr>
          <w:rtl/>
          <w:lang w:eastAsia="zh-TW"/>
        </w:rPr>
        <w:t xml:space="preserve">ا في جلسة الاستماع التي مثل فيها أمام مجلس طعون اللاجئين قبل حوالي شهر. وأشير كذلك إلى أن </w:t>
      </w:r>
      <w:r w:rsidR="00521363">
        <w:rPr>
          <w:rtl/>
          <w:lang w:eastAsia="zh-TW"/>
        </w:rPr>
        <w:t>صاحب</w:t>
      </w:r>
      <w:r w:rsidR="00521363" w:rsidRPr="008F5066">
        <w:rPr>
          <w:rtl/>
          <w:lang w:eastAsia="zh-TW"/>
        </w:rPr>
        <w:t xml:space="preserve"> الشكوى الأول ذكر، أثناء إجراءات اللجوء الأولى، أنه كان على اتصال بإحدى شقيقاته بعد دخوله إلى الدانمرك، وأنه ناقش مع</w:t>
      </w:r>
      <w:r w:rsidR="00521363">
        <w:rPr>
          <w:rtl/>
          <w:lang w:eastAsia="zh-TW"/>
        </w:rPr>
        <w:t>ه</w:t>
      </w:r>
      <w:r w:rsidR="00521363" w:rsidRPr="008F5066">
        <w:rPr>
          <w:rtl/>
          <w:lang w:eastAsia="zh-TW"/>
        </w:rPr>
        <w:t xml:space="preserve">ا </w:t>
      </w:r>
      <w:r w:rsidR="00521363">
        <w:rPr>
          <w:rtl/>
          <w:lang w:eastAsia="zh-TW"/>
        </w:rPr>
        <w:t xml:space="preserve">موضوع </w:t>
      </w:r>
      <w:r w:rsidR="00521363" w:rsidRPr="008F5066">
        <w:rPr>
          <w:rtl/>
          <w:lang w:eastAsia="zh-TW"/>
        </w:rPr>
        <w:t xml:space="preserve">نزاعاته في الاتحاد الروسي، بما في ذلك المرات الثلاث التي حضرت فيها السلطات إلى منزل </w:t>
      </w:r>
      <w:r w:rsidR="00521363">
        <w:rPr>
          <w:rtl/>
          <w:lang w:eastAsia="zh-TW"/>
        </w:rPr>
        <w:t xml:space="preserve">أصحاب </w:t>
      </w:r>
      <w:r w:rsidR="00521363" w:rsidRPr="008F5066">
        <w:rPr>
          <w:rtl/>
          <w:lang w:eastAsia="zh-TW"/>
        </w:rPr>
        <w:t>الشكوى بعد أن غادر</w:t>
      </w:r>
      <w:r w:rsidR="00521363">
        <w:rPr>
          <w:rtl/>
          <w:lang w:eastAsia="zh-TW"/>
        </w:rPr>
        <w:t>و</w:t>
      </w:r>
      <w:r w:rsidR="00521363" w:rsidRPr="008F5066">
        <w:rPr>
          <w:rtl/>
          <w:lang w:eastAsia="zh-TW"/>
        </w:rPr>
        <w:t xml:space="preserve">ا البلد. بيد أن </w:t>
      </w:r>
      <w:r w:rsidR="00521363">
        <w:rPr>
          <w:rtl/>
          <w:lang w:eastAsia="zh-TW"/>
        </w:rPr>
        <w:t xml:space="preserve">أصحاب </w:t>
      </w:r>
      <w:r w:rsidR="00521363" w:rsidRPr="008F5066">
        <w:rPr>
          <w:rtl/>
          <w:lang w:eastAsia="zh-TW"/>
        </w:rPr>
        <w:t>الشكوى لم يبيِّن</w:t>
      </w:r>
      <w:r w:rsidR="00521363">
        <w:rPr>
          <w:rtl/>
          <w:lang w:eastAsia="zh-TW"/>
        </w:rPr>
        <w:t>و</w:t>
      </w:r>
      <w:r w:rsidR="00521363" w:rsidRPr="008F5066">
        <w:rPr>
          <w:rtl/>
          <w:lang w:eastAsia="zh-TW"/>
        </w:rPr>
        <w:t xml:space="preserve">ا بالتفصيل الأسباب التي حالت دون تقديم </w:t>
      </w:r>
      <w:r w:rsidR="00521363">
        <w:rPr>
          <w:rtl/>
          <w:lang w:eastAsia="zh-TW"/>
        </w:rPr>
        <w:t>هاتين الرسالتين</w:t>
      </w:r>
      <w:r w:rsidR="00521363" w:rsidRPr="008F5066">
        <w:rPr>
          <w:rtl/>
          <w:lang w:eastAsia="zh-TW"/>
        </w:rPr>
        <w:t xml:space="preserve"> في وقت سابق، ولا هم </w:t>
      </w:r>
      <w:r w:rsidR="00521363">
        <w:rPr>
          <w:rtl/>
          <w:lang w:eastAsia="zh-TW"/>
        </w:rPr>
        <w:t>بيَّنوا ملابسات ظهور الرسالتين</w:t>
      </w:r>
      <w:r w:rsidR="00521363" w:rsidRPr="008F5066">
        <w:rPr>
          <w:rtl/>
          <w:lang w:eastAsia="zh-TW"/>
        </w:rPr>
        <w:t>. و</w:t>
      </w:r>
      <w:r w:rsidR="00521363">
        <w:rPr>
          <w:rtl/>
          <w:lang w:eastAsia="zh-TW"/>
        </w:rPr>
        <w:t xml:space="preserve">عليه، </w:t>
      </w:r>
      <w:r w:rsidR="00521363" w:rsidRPr="008F5066">
        <w:rPr>
          <w:rtl/>
          <w:lang w:eastAsia="zh-TW"/>
        </w:rPr>
        <w:t xml:space="preserve">تخلص الدولة الطرف إلى أن </w:t>
      </w:r>
      <w:r w:rsidR="00521363">
        <w:rPr>
          <w:rtl/>
          <w:lang w:eastAsia="zh-TW"/>
        </w:rPr>
        <w:t>الرسالتين</w:t>
      </w:r>
      <w:r w:rsidR="00521363" w:rsidRPr="008F5066">
        <w:rPr>
          <w:rtl/>
          <w:lang w:eastAsia="zh-TW"/>
        </w:rPr>
        <w:t xml:space="preserve"> كتبت</w:t>
      </w:r>
      <w:r w:rsidR="00521363">
        <w:rPr>
          <w:rtl/>
          <w:lang w:eastAsia="zh-TW"/>
        </w:rPr>
        <w:t>ا،</w:t>
      </w:r>
      <w:r w:rsidR="00521363" w:rsidRPr="008F5066">
        <w:rPr>
          <w:rtl/>
          <w:lang w:eastAsia="zh-TW"/>
        </w:rPr>
        <w:t xml:space="preserve"> فيما يبدو</w:t>
      </w:r>
      <w:r w:rsidR="00521363">
        <w:rPr>
          <w:rtl/>
          <w:lang w:eastAsia="zh-TW"/>
        </w:rPr>
        <w:t>،</w:t>
      </w:r>
      <w:r w:rsidR="00521363" w:rsidRPr="008F5066">
        <w:rPr>
          <w:rtl/>
          <w:lang w:eastAsia="zh-TW"/>
        </w:rPr>
        <w:t xml:space="preserve"> دعم</w:t>
      </w:r>
      <w:r w:rsidR="002D164F">
        <w:rPr>
          <w:rtl/>
          <w:lang w:eastAsia="zh-TW"/>
        </w:rPr>
        <w:t xml:space="preserve">اً </w:t>
      </w:r>
      <w:r w:rsidR="00521363" w:rsidRPr="008F5066">
        <w:rPr>
          <w:rtl/>
          <w:lang w:eastAsia="zh-TW"/>
        </w:rPr>
        <w:t xml:space="preserve">لقضية </w:t>
      </w:r>
      <w:r w:rsidR="00521363">
        <w:rPr>
          <w:rtl/>
          <w:lang w:eastAsia="zh-TW"/>
        </w:rPr>
        <w:t xml:space="preserve">أصحاب </w:t>
      </w:r>
      <w:r w:rsidR="00521363" w:rsidRPr="008F5066">
        <w:rPr>
          <w:rtl/>
          <w:lang w:eastAsia="zh-TW"/>
        </w:rPr>
        <w:t xml:space="preserve">الشكوى ولا يمكن </w:t>
      </w:r>
      <w:r w:rsidR="00CB0AA9">
        <w:rPr>
          <w:rtl/>
          <w:lang w:eastAsia="zh-TW"/>
        </w:rPr>
        <w:t>إعطا</w:t>
      </w:r>
      <w:r w:rsidR="00CB0AA9">
        <w:rPr>
          <w:rFonts w:hint="cs"/>
          <w:rtl/>
          <w:lang w:eastAsia="zh-TW"/>
        </w:rPr>
        <w:t>ؤ</w:t>
      </w:r>
      <w:r w:rsidR="00521363">
        <w:rPr>
          <w:rtl/>
          <w:lang w:eastAsia="zh-TW"/>
        </w:rPr>
        <w:t xml:space="preserve">هما </w:t>
      </w:r>
      <w:r w:rsidR="00521363" w:rsidRPr="008F5066">
        <w:rPr>
          <w:rtl/>
          <w:lang w:eastAsia="zh-TW"/>
        </w:rPr>
        <w:t>أي قيمة إثباتية مستقلة.</w:t>
      </w:r>
    </w:p>
    <w:p w:rsidR="00521363" w:rsidRPr="008F5066" w:rsidRDefault="00521363" w:rsidP="002A4B7F">
      <w:pPr>
        <w:pStyle w:val="SingleTxtGA"/>
        <w:spacing w:line="360" w:lineRule="exact"/>
        <w:rPr>
          <w:rtl/>
          <w:lang w:eastAsia="zh-TW"/>
        </w:rPr>
      </w:pPr>
      <w:r w:rsidRPr="008F5066">
        <w:rPr>
          <w:rtl/>
          <w:lang w:eastAsia="zh-TW"/>
        </w:rPr>
        <w:t>٤-١٥</w:t>
      </w:r>
      <w:r w:rsidR="00CB0AA9">
        <w:rPr>
          <w:rFonts w:hint="cs"/>
          <w:rtl/>
          <w:lang w:eastAsia="zh-TW"/>
        </w:rPr>
        <w:tab/>
      </w:r>
      <w:r w:rsidRPr="008F5066">
        <w:rPr>
          <w:rtl/>
          <w:lang w:eastAsia="zh-TW"/>
        </w:rPr>
        <w:t xml:space="preserve">وبناء على ذلك، ترى الدولة الطرف أن </w:t>
      </w:r>
      <w:r>
        <w:rPr>
          <w:rtl/>
          <w:lang w:eastAsia="zh-TW"/>
        </w:rPr>
        <w:t>أصحاب</w:t>
      </w:r>
      <w:r w:rsidRPr="008F5066">
        <w:rPr>
          <w:rtl/>
          <w:lang w:eastAsia="zh-TW"/>
        </w:rPr>
        <w:t xml:space="preserve"> الشكوى لن يكون</w:t>
      </w:r>
      <w:r>
        <w:rPr>
          <w:rtl/>
          <w:lang w:eastAsia="zh-TW"/>
        </w:rPr>
        <w:t>وا</w:t>
      </w:r>
      <w:r w:rsidRPr="008F5066">
        <w:rPr>
          <w:rtl/>
          <w:lang w:eastAsia="zh-TW"/>
        </w:rPr>
        <w:t xml:space="preserve"> عرضة لاضطهاد أو إيذاء يبرر اللجوء في الدانمرك إذا ما عاد</w:t>
      </w:r>
      <w:r>
        <w:rPr>
          <w:rtl/>
          <w:lang w:eastAsia="zh-TW"/>
        </w:rPr>
        <w:t>وا إلى الاتحاد الروسي وأن عودتهم</w:t>
      </w:r>
      <w:r w:rsidRPr="008F5066">
        <w:rPr>
          <w:rtl/>
          <w:lang w:eastAsia="zh-TW"/>
        </w:rPr>
        <w:t xml:space="preserve"> لن تشكل انتهاك</w:t>
      </w:r>
      <w:r w:rsidR="002D164F">
        <w:rPr>
          <w:rtl/>
          <w:lang w:eastAsia="zh-TW"/>
        </w:rPr>
        <w:t xml:space="preserve">اً </w:t>
      </w:r>
      <w:r w:rsidRPr="008F5066">
        <w:rPr>
          <w:rtl/>
          <w:lang w:eastAsia="zh-TW"/>
        </w:rPr>
        <w:t xml:space="preserve">للمادة 3 من الاتفاقية. </w:t>
      </w:r>
    </w:p>
    <w:p w:rsidR="00521363" w:rsidRPr="00FD3E1A" w:rsidRDefault="00521363" w:rsidP="00CB0AA9">
      <w:pPr>
        <w:pStyle w:val="H23GA"/>
        <w:rPr>
          <w:rtl/>
        </w:rPr>
      </w:pPr>
      <w:r w:rsidRPr="00FD3E1A">
        <w:rPr>
          <w:rtl/>
        </w:rPr>
        <w:tab/>
      </w:r>
      <w:r w:rsidRPr="00FD3E1A">
        <w:rPr>
          <w:rtl/>
        </w:rPr>
        <w:tab/>
      </w:r>
      <w:dir w:val="rtl">
        <w:r w:rsidRPr="00FD3E1A">
          <w:rPr>
            <w:rtl/>
          </w:rPr>
          <w:t>تعليقات أصحاب الشكوى على ملاحظات الدولة الطرف</w:t>
        </w:r>
        <w:r w:rsidRPr="00FD3E1A">
          <w:rPr>
            <w:rFonts w:cs="Times New Roman"/>
            <w:rtl/>
          </w:rPr>
          <w:t>‬</w:t>
        </w:r>
        <w:r>
          <w:t>‬</w:t>
        </w:r>
        <w:r w:rsidR="00D3340E">
          <w:t>‬</w:t>
        </w:r>
        <w:r w:rsidR="002C3FDD">
          <w:t>‬</w:t>
        </w:r>
      </w:dir>
    </w:p>
    <w:p w:rsidR="00521363" w:rsidRPr="008F5066" w:rsidRDefault="00CB0AA9" w:rsidP="002A4B7F">
      <w:pPr>
        <w:pStyle w:val="SingleTxtGA"/>
        <w:spacing w:line="360" w:lineRule="exact"/>
        <w:rPr>
          <w:rtl/>
          <w:lang w:eastAsia="zh-TW"/>
        </w:rPr>
      </w:pPr>
      <w:r>
        <w:rPr>
          <w:rtl/>
          <w:lang w:eastAsia="zh-TW"/>
        </w:rPr>
        <w:t>٥-١</w:t>
      </w:r>
      <w:r>
        <w:rPr>
          <w:rFonts w:hint="cs"/>
          <w:rtl/>
          <w:lang w:eastAsia="zh-TW"/>
        </w:rPr>
        <w:tab/>
      </w:r>
      <w:r w:rsidR="00521363" w:rsidRPr="008F5066">
        <w:rPr>
          <w:rtl/>
          <w:lang w:eastAsia="zh-TW"/>
        </w:rPr>
        <w:t xml:space="preserve">ضمَّن </w:t>
      </w:r>
      <w:r w:rsidR="00521363">
        <w:rPr>
          <w:rtl/>
          <w:lang w:eastAsia="zh-TW"/>
        </w:rPr>
        <w:t>أصحاب</w:t>
      </w:r>
      <w:r w:rsidR="00521363" w:rsidRPr="008F5066">
        <w:rPr>
          <w:rtl/>
          <w:lang w:eastAsia="zh-TW"/>
        </w:rPr>
        <w:t xml:space="preserve"> الشكوى رسائلهم المؤرخة 11 تشرين الأول/أكتوبر 2015، نسخة من السجل الطبي ل</w:t>
      </w:r>
      <w:r w:rsidR="00521363">
        <w:rPr>
          <w:rtl/>
          <w:lang w:eastAsia="zh-TW"/>
        </w:rPr>
        <w:t>صاحب</w:t>
      </w:r>
      <w:r w:rsidR="00521363" w:rsidRPr="008F5066">
        <w:rPr>
          <w:rtl/>
          <w:lang w:eastAsia="zh-TW"/>
        </w:rPr>
        <w:t xml:space="preserve"> الشكوى الأول للفترة من 7 كانون الثاني/يناير 2014 إلى 12 حزي</w:t>
      </w:r>
      <w:r>
        <w:rPr>
          <w:rtl/>
          <w:lang w:eastAsia="zh-TW"/>
        </w:rPr>
        <w:t>ران/يونيه 2015، تفيد بأنه يعاني</w:t>
      </w:r>
      <w:r>
        <w:rPr>
          <w:rFonts w:hint="cs"/>
          <w:rtl/>
          <w:lang w:eastAsia="zh-TW"/>
        </w:rPr>
        <w:t xml:space="preserve">، </w:t>
      </w:r>
      <w:r w:rsidR="00521363" w:rsidRPr="008F5066">
        <w:rPr>
          <w:rtl/>
          <w:lang w:eastAsia="zh-TW"/>
        </w:rPr>
        <w:t xml:space="preserve">على الأرجح، من حالة شديدة من </w:t>
      </w:r>
      <w:r>
        <w:rPr>
          <w:rFonts w:hint="cs"/>
          <w:rtl/>
          <w:lang w:eastAsia="zh-TW"/>
        </w:rPr>
        <w:t xml:space="preserve">حالات </w:t>
      </w:r>
      <w:r w:rsidR="00521363" w:rsidRPr="008F5066">
        <w:rPr>
          <w:rtl/>
          <w:lang w:eastAsia="zh-TW"/>
        </w:rPr>
        <w:t>اضطراب الكرب التالي للرضح. وذكر</w:t>
      </w:r>
      <w:r w:rsidR="00521363">
        <w:rPr>
          <w:rtl/>
          <w:lang w:eastAsia="zh-TW"/>
        </w:rPr>
        <w:t>و</w:t>
      </w:r>
      <w:r w:rsidR="00521363" w:rsidRPr="008F5066">
        <w:rPr>
          <w:rtl/>
          <w:lang w:eastAsia="zh-TW"/>
        </w:rPr>
        <w:t xml:space="preserve">ا أن حالته النفسية حرجة، </w:t>
      </w:r>
      <w:r>
        <w:rPr>
          <w:rFonts w:hint="cs"/>
          <w:rtl/>
          <w:lang w:eastAsia="zh-TW"/>
        </w:rPr>
        <w:t xml:space="preserve">فهو </w:t>
      </w:r>
      <w:r w:rsidR="00521363" w:rsidRPr="008F5066">
        <w:rPr>
          <w:rtl/>
          <w:lang w:eastAsia="zh-TW"/>
        </w:rPr>
        <w:t>يعاني من الاكتئاب والقلق وفقدان الشهية، و</w:t>
      </w:r>
      <w:r w:rsidR="00521363">
        <w:rPr>
          <w:rtl/>
          <w:lang w:eastAsia="zh-TW"/>
        </w:rPr>
        <w:t xml:space="preserve">تنتابه </w:t>
      </w:r>
      <w:r w:rsidR="00521363" w:rsidRPr="008F5066">
        <w:rPr>
          <w:rtl/>
          <w:lang w:eastAsia="zh-TW"/>
        </w:rPr>
        <w:t xml:space="preserve">كوابيس تقضُّ مضجعه وتتملكه فكرة الانتحار. ويقدم </w:t>
      </w:r>
      <w:r w:rsidR="00521363">
        <w:rPr>
          <w:rtl/>
          <w:lang w:eastAsia="zh-TW"/>
        </w:rPr>
        <w:t>أصحاب</w:t>
      </w:r>
      <w:r w:rsidR="00521363" w:rsidRPr="008F5066">
        <w:rPr>
          <w:rtl/>
          <w:lang w:eastAsia="zh-TW"/>
        </w:rPr>
        <w:t xml:space="preserve"> الشكوى أيض</w:t>
      </w:r>
      <w:r w:rsidR="002D164F">
        <w:rPr>
          <w:rtl/>
          <w:lang w:eastAsia="zh-TW"/>
        </w:rPr>
        <w:t xml:space="preserve">اً </w:t>
      </w:r>
      <w:r w:rsidR="00521363" w:rsidRPr="008F5066">
        <w:rPr>
          <w:rtl/>
          <w:lang w:eastAsia="zh-TW"/>
        </w:rPr>
        <w:t xml:space="preserve">نسخة من التقرير الطبي الصادر عن الفريق الطبي لفرع منظمة العفو الدولية في الدانمرك، في 29 أيلول/سبتمبر 2015، </w:t>
      </w:r>
      <w:r w:rsidR="00521363">
        <w:rPr>
          <w:rtl/>
          <w:lang w:eastAsia="zh-TW"/>
        </w:rPr>
        <w:t>و</w:t>
      </w:r>
      <w:r w:rsidR="00521363" w:rsidRPr="008F5066">
        <w:rPr>
          <w:rtl/>
          <w:lang w:eastAsia="zh-TW"/>
        </w:rPr>
        <w:t>يصف ا</w:t>
      </w:r>
      <w:r w:rsidR="00521363">
        <w:rPr>
          <w:rtl/>
          <w:lang w:eastAsia="zh-TW"/>
        </w:rPr>
        <w:t>لتقرير ا</w:t>
      </w:r>
      <w:r w:rsidR="00521363" w:rsidRPr="008F5066">
        <w:rPr>
          <w:rtl/>
          <w:lang w:eastAsia="zh-TW"/>
        </w:rPr>
        <w:t xml:space="preserve">لأعراض البدنية والنفسية التي يعاني منها </w:t>
      </w:r>
      <w:r w:rsidR="00521363">
        <w:rPr>
          <w:rtl/>
          <w:lang w:eastAsia="zh-TW"/>
        </w:rPr>
        <w:t>صاحب</w:t>
      </w:r>
      <w:r w:rsidR="00521363" w:rsidRPr="008F5066">
        <w:rPr>
          <w:rtl/>
          <w:lang w:eastAsia="zh-TW"/>
        </w:rPr>
        <w:t xml:space="preserve"> الشكوى الأول </w:t>
      </w:r>
      <w:r w:rsidR="00521363">
        <w:rPr>
          <w:rtl/>
          <w:lang w:eastAsia="zh-TW"/>
        </w:rPr>
        <w:t>حالي</w:t>
      </w:r>
      <w:r w:rsidR="002D164F">
        <w:rPr>
          <w:rtl/>
          <w:lang w:eastAsia="zh-TW"/>
        </w:rPr>
        <w:t xml:space="preserve">اً، </w:t>
      </w:r>
      <w:r w:rsidR="00521363" w:rsidRPr="008F5066">
        <w:rPr>
          <w:rtl/>
          <w:lang w:eastAsia="zh-TW"/>
        </w:rPr>
        <w:t>ويشير إلى أن حالته تنطبق عليها أعراض اضطراب الكرب التالي للرضح بدرجة</w:t>
      </w:r>
      <w:r>
        <w:rPr>
          <w:rFonts w:hint="cs"/>
          <w:rtl/>
          <w:lang w:eastAsia="zh-TW"/>
        </w:rPr>
        <w:t xml:space="preserve"> 3.6،</w:t>
      </w:r>
      <w:r w:rsidR="00521363" w:rsidRPr="008F5066">
        <w:rPr>
          <w:rtl/>
          <w:lang w:eastAsia="zh-TW"/>
        </w:rPr>
        <w:t xml:space="preserve"> وهو ما يفوق درجة هذا التطابق المحددة </w:t>
      </w:r>
      <w:r>
        <w:rPr>
          <w:rFonts w:hint="cs"/>
          <w:rtl/>
          <w:lang w:eastAsia="zh-TW"/>
        </w:rPr>
        <w:t>بـ</w:t>
      </w:r>
      <w:r w:rsidR="00521363" w:rsidRPr="008F5066">
        <w:rPr>
          <w:rtl/>
          <w:lang w:eastAsia="zh-TW"/>
        </w:rPr>
        <w:t xml:space="preserve"> 2.5 وفقاً لاستبيان جامعة هارفرد لقياس الصدمات النفسية. وأكَّد التقرير أيضاً أن الإصابات البدنية التي وجدت على جسم </w:t>
      </w:r>
      <w:r w:rsidR="00521363">
        <w:rPr>
          <w:rtl/>
          <w:lang w:eastAsia="zh-TW"/>
        </w:rPr>
        <w:t>صاحب</w:t>
      </w:r>
      <w:r w:rsidR="00521363" w:rsidRPr="008F5066">
        <w:rPr>
          <w:rtl/>
          <w:lang w:eastAsia="zh-TW"/>
        </w:rPr>
        <w:t xml:space="preserve"> الشكوى الأول أثناء خضوعه للفحص الطب</w:t>
      </w:r>
      <w:r>
        <w:rPr>
          <w:rFonts w:hint="cs"/>
          <w:rtl/>
          <w:lang w:eastAsia="zh-TW"/>
        </w:rPr>
        <w:t>ي</w:t>
      </w:r>
      <w:r w:rsidR="00521363" w:rsidRPr="008F5066">
        <w:rPr>
          <w:rtl/>
          <w:lang w:eastAsia="zh-TW"/>
        </w:rPr>
        <w:t xml:space="preserve"> تتطابق مع الوصف الذي قدمه للضربات التي تلقاها أثناء الاحتجاز وأن رد فعله يكون عنيف</w:t>
      </w:r>
      <w:r w:rsidR="002D164F">
        <w:rPr>
          <w:rtl/>
          <w:lang w:eastAsia="zh-TW"/>
        </w:rPr>
        <w:t xml:space="preserve">اً </w:t>
      </w:r>
      <w:r w:rsidR="00521363" w:rsidRPr="008F5066">
        <w:rPr>
          <w:rtl/>
          <w:lang w:eastAsia="zh-TW"/>
        </w:rPr>
        <w:t xml:space="preserve">عند ذكر الأذى الذي لحقه. ويدعي </w:t>
      </w:r>
      <w:r w:rsidR="00521363">
        <w:rPr>
          <w:rtl/>
          <w:lang w:eastAsia="zh-TW"/>
        </w:rPr>
        <w:t>أصحاب</w:t>
      </w:r>
      <w:r w:rsidR="00521363" w:rsidRPr="008F5066">
        <w:rPr>
          <w:rtl/>
          <w:lang w:eastAsia="zh-TW"/>
        </w:rPr>
        <w:t xml:space="preserve"> الشكوى أن الوثائق الطبية السالفة الذكر تمثل معلومات جديدة خلاف</w:t>
      </w:r>
      <w:r w:rsidR="002D164F">
        <w:rPr>
          <w:rtl/>
          <w:lang w:eastAsia="zh-TW"/>
        </w:rPr>
        <w:t xml:space="preserve">اً </w:t>
      </w:r>
      <w:r w:rsidR="00521363" w:rsidRPr="008F5066">
        <w:rPr>
          <w:rtl/>
          <w:lang w:eastAsia="zh-TW"/>
        </w:rPr>
        <w:t xml:space="preserve">لما تدعيه الدولة الطرف (انظر الفقرة 4-13 أعلاه). </w:t>
      </w:r>
    </w:p>
    <w:p w:rsidR="00521363" w:rsidRPr="00377B19" w:rsidRDefault="00CB0AA9" w:rsidP="002A4B7F">
      <w:pPr>
        <w:pStyle w:val="SingleTxtGA"/>
        <w:spacing w:line="360" w:lineRule="exact"/>
        <w:rPr>
          <w:sz w:val="30"/>
          <w:rtl/>
          <w:lang w:eastAsia="zh-TW"/>
        </w:rPr>
      </w:pPr>
      <w:r>
        <w:rPr>
          <w:rtl/>
          <w:lang w:eastAsia="zh-TW"/>
        </w:rPr>
        <w:lastRenderedPageBreak/>
        <w:t>٥-٢</w:t>
      </w:r>
      <w:r>
        <w:rPr>
          <w:rFonts w:hint="cs"/>
          <w:rtl/>
          <w:lang w:eastAsia="zh-TW"/>
        </w:rPr>
        <w:tab/>
      </w:r>
      <w:r w:rsidR="00521363" w:rsidRPr="008F5066">
        <w:rPr>
          <w:rtl/>
          <w:lang w:eastAsia="zh-TW"/>
        </w:rPr>
        <w:t xml:space="preserve">ويشير </w:t>
      </w:r>
      <w:r w:rsidR="00521363">
        <w:rPr>
          <w:rtl/>
          <w:lang w:eastAsia="zh-TW"/>
        </w:rPr>
        <w:t>أصحاب</w:t>
      </w:r>
      <w:r w:rsidR="00521363" w:rsidRPr="008F5066">
        <w:rPr>
          <w:rtl/>
          <w:lang w:eastAsia="zh-TW"/>
        </w:rPr>
        <w:t xml:space="preserve"> الشكوى إلى التقرير المتعلق </w:t>
      </w:r>
      <w:r w:rsidR="00521363">
        <w:rPr>
          <w:rtl/>
          <w:lang w:eastAsia="zh-TW"/>
        </w:rPr>
        <w:t>بالوضع</w:t>
      </w:r>
      <w:r w:rsidR="00521363" w:rsidRPr="008F5066">
        <w:rPr>
          <w:rtl/>
          <w:lang w:eastAsia="zh-TW"/>
        </w:rPr>
        <w:t xml:space="preserve"> الأمني في </w:t>
      </w:r>
      <w:proofErr w:type="spellStart"/>
      <w:r w:rsidR="00521363" w:rsidRPr="008F5066">
        <w:rPr>
          <w:rtl/>
          <w:lang w:eastAsia="zh-TW"/>
        </w:rPr>
        <w:t>إنغوشتيا</w:t>
      </w:r>
      <w:proofErr w:type="spellEnd"/>
      <w:r w:rsidR="00521363" w:rsidRPr="008F5066">
        <w:rPr>
          <w:rtl/>
          <w:lang w:eastAsia="zh-TW"/>
        </w:rPr>
        <w:t xml:space="preserve"> والصادر عن </w:t>
      </w:r>
      <w:r w:rsidR="00521363" w:rsidRPr="000E004C">
        <w:rPr>
          <w:spacing w:val="-4"/>
          <w:rtl/>
          <w:lang w:eastAsia="zh-TW"/>
        </w:rPr>
        <w:t>المركز النرويجي للمعلومات بشأن البلدان الأصلية (</w:t>
      </w:r>
      <w:proofErr w:type="spellStart"/>
      <w:r w:rsidR="00521363" w:rsidRPr="000E004C">
        <w:rPr>
          <w:rFonts w:asciiTheme="majorBidi" w:hAnsiTheme="majorBidi" w:cstheme="majorBidi"/>
          <w:spacing w:val="-4"/>
          <w:szCs w:val="20"/>
          <w:rtl/>
          <w:lang w:eastAsia="zh-TW"/>
        </w:rPr>
        <w:t>Landinfo</w:t>
      </w:r>
      <w:proofErr w:type="spellEnd"/>
      <w:r w:rsidR="00521363" w:rsidRPr="000E004C">
        <w:rPr>
          <w:spacing w:val="-4"/>
          <w:rtl/>
          <w:lang w:eastAsia="zh-TW"/>
        </w:rPr>
        <w:t>) في 3 تشرين الثاني/نوفمبر</w:t>
      </w:r>
      <w:r w:rsidR="00521363" w:rsidRPr="008F5066">
        <w:rPr>
          <w:rtl/>
          <w:lang w:eastAsia="zh-TW"/>
        </w:rPr>
        <w:t xml:space="preserve"> 2014، </w:t>
      </w:r>
      <w:r w:rsidR="00521363">
        <w:rPr>
          <w:rtl/>
          <w:lang w:eastAsia="zh-TW"/>
        </w:rPr>
        <w:t xml:space="preserve">فيدَّعون </w:t>
      </w:r>
      <w:r w:rsidR="00521363" w:rsidRPr="008F5066">
        <w:rPr>
          <w:rtl/>
          <w:lang w:eastAsia="zh-TW"/>
        </w:rPr>
        <w:t xml:space="preserve">أن </w:t>
      </w:r>
      <w:r w:rsidR="00521363">
        <w:rPr>
          <w:rtl/>
          <w:lang w:eastAsia="zh-TW"/>
        </w:rPr>
        <w:t>الوضع الأمني لا يزال شديد</w:t>
      </w:r>
      <w:r w:rsidR="00521363" w:rsidRPr="008F5066">
        <w:rPr>
          <w:rtl/>
          <w:lang w:eastAsia="zh-TW"/>
        </w:rPr>
        <w:t xml:space="preserve"> الخطورة. و</w:t>
      </w:r>
      <w:r w:rsidR="00521363">
        <w:rPr>
          <w:rtl/>
          <w:lang w:eastAsia="zh-TW"/>
        </w:rPr>
        <w:t xml:space="preserve">لا تزال </w:t>
      </w:r>
      <w:r w:rsidR="00521363" w:rsidRPr="008F5066">
        <w:rPr>
          <w:rtl/>
          <w:lang w:eastAsia="zh-TW"/>
        </w:rPr>
        <w:t xml:space="preserve">حالات إساءة معاملة المحتجزين، التي </w:t>
      </w:r>
      <w:r w:rsidR="00521363" w:rsidRPr="00377B19">
        <w:rPr>
          <w:sz w:val="30"/>
          <w:rtl/>
          <w:lang w:eastAsia="zh-TW"/>
        </w:rPr>
        <w:t xml:space="preserve">وصفتها المصادر بالتعذيب، تحدث بانتظام. ولم يهدأ نشاط المتمردين في </w:t>
      </w:r>
      <w:proofErr w:type="spellStart"/>
      <w:r w:rsidR="00521363" w:rsidRPr="00377B19">
        <w:rPr>
          <w:sz w:val="30"/>
          <w:rtl/>
          <w:lang w:eastAsia="zh-TW"/>
        </w:rPr>
        <w:t>إنغوشتيا</w:t>
      </w:r>
      <w:proofErr w:type="spellEnd"/>
      <w:r w:rsidR="00521363" w:rsidRPr="00377B19">
        <w:rPr>
          <w:sz w:val="30"/>
          <w:rtl/>
          <w:lang w:eastAsia="zh-TW"/>
        </w:rPr>
        <w:t xml:space="preserve"> بسبب تداعيات التمرد ال</w:t>
      </w:r>
      <w:r w:rsidRPr="00377B19">
        <w:rPr>
          <w:sz w:val="30"/>
          <w:rtl/>
          <w:lang w:eastAsia="zh-TW"/>
        </w:rPr>
        <w:t xml:space="preserve">ذي </w:t>
      </w:r>
      <w:r w:rsidRPr="00377B19">
        <w:rPr>
          <w:rFonts w:hint="cs"/>
          <w:sz w:val="30"/>
          <w:rtl/>
          <w:lang w:eastAsia="zh-TW"/>
        </w:rPr>
        <w:t>ت</w:t>
      </w:r>
      <w:r w:rsidRPr="00377B19">
        <w:rPr>
          <w:sz w:val="30"/>
          <w:rtl/>
          <w:lang w:eastAsia="zh-TW"/>
        </w:rPr>
        <w:t>شهده منطقة الشيشان المجاورة</w:t>
      </w:r>
      <w:r w:rsidRPr="00377B19">
        <w:rPr>
          <w:rFonts w:hint="cs"/>
          <w:sz w:val="30"/>
          <w:vertAlign w:val="superscript"/>
          <w:rtl/>
          <w:lang w:eastAsia="zh-TW"/>
        </w:rPr>
        <w:t>(</w:t>
      </w:r>
      <w:r w:rsidR="00521363" w:rsidRPr="00377B19">
        <w:rPr>
          <w:rStyle w:val="FootnoteReference"/>
          <w:rFonts w:ascii="Traditional Arabic" w:hAnsi="Traditional Arabic"/>
          <w:sz w:val="30"/>
          <w:szCs w:val="30"/>
          <w:rtl/>
          <w:lang w:eastAsia="zh-TW"/>
        </w:rPr>
        <w:footnoteReference w:id="15"/>
      </w:r>
      <w:r w:rsidRPr="00377B19">
        <w:rPr>
          <w:rFonts w:hint="cs"/>
          <w:sz w:val="30"/>
          <w:vertAlign w:val="superscript"/>
          <w:rtl/>
          <w:lang w:eastAsia="zh-TW"/>
        </w:rPr>
        <w:t>)</w:t>
      </w:r>
      <w:r w:rsidRPr="00377B19">
        <w:rPr>
          <w:rFonts w:hint="cs"/>
          <w:sz w:val="30"/>
          <w:rtl/>
          <w:lang w:eastAsia="zh-TW"/>
        </w:rPr>
        <w:t>.</w:t>
      </w:r>
      <w:r w:rsidR="00521363" w:rsidRPr="00377B19">
        <w:rPr>
          <w:sz w:val="30"/>
          <w:rtl/>
          <w:lang w:eastAsia="zh-TW"/>
        </w:rPr>
        <w:t xml:space="preserve"> ورغم أن زعيم </w:t>
      </w:r>
      <w:proofErr w:type="spellStart"/>
      <w:r w:rsidR="00521363" w:rsidRPr="00377B19">
        <w:rPr>
          <w:sz w:val="30"/>
          <w:rtl/>
          <w:lang w:eastAsia="zh-TW"/>
        </w:rPr>
        <w:t>إنغوشتيا</w:t>
      </w:r>
      <w:proofErr w:type="spellEnd"/>
      <w:r w:rsidR="00521363" w:rsidRPr="00377B19">
        <w:rPr>
          <w:sz w:val="30"/>
          <w:rtl/>
          <w:lang w:eastAsia="zh-TW"/>
        </w:rPr>
        <w:t xml:space="preserve"> ادعى في مقابلة أجريت معه بتاريخ 27 أيار/مايو 2015 أن تمرد القوقاز الشمالي في </w:t>
      </w:r>
      <w:proofErr w:type="spellStart"/>
      <w:r w:rsidR="00521363" w:rsidRPr="00377B19">
        <w:rPr>
          <w:sz w:val="30"/>
          <w:rtl/>
          <w:lang w:eastAsia="zh-TW"/>
        </w:rPr>
        <w:t>إنغوشتيا</w:t>
      </w:r>
      <w:proofErr w:type="spellEnd"/>
      <w:r w:rsidR="00521363" w:rsidRPr="00377B19">
        <w:rPr>
          <w:sz w:val="30"/>
          <w:rtl/>
          <w:lang w:eastAsia="zh-TW"/>
        </w:rPr>
        <w:t xml:space="preserve"> قد "دحر"، فإنه ذكر أيض</w:t>
      </w:r>
      <w:r w:rsidR="002D164F">
        <w:rPr>
          <w:sz w:val="30"/>
          <w:rtl/>
          <w:lang w:eastAsia="zh-TW"/>
        </w:rPr>
        <w:t xml:space="preserve">اً </w:t>
      </w:r>
      <w:r w:rsidR="00D3340E">
        <w:rPr>
          <w:sz w:val="30"/>
          <w:rtl/>
          <w:lang w:eastAsia="zh-TW"/>
        </w:rPr>
        <w:t xml:space="preserve">أن </w:t>
      </w:r>
      <w:r w:rsidR="00521363" w:rsidRPr="00377B19">
        <w:rPr>
          <w:sz w:val="30"/>
          <w:rtl/>
          <w:lang w:eastAsia="zh-TW"/>
        </w:rPr>
        <w:t>الجزم بالقضاء على التمرد قضاء مبرماً "لا يزال دونه الكثير"</w:t>
      </w:r>
      <w:r w:rsidRPr="00377B19">
        <w:rPr>
          <w:rFonts w:hint="cs"/>
          <w:sz w:val="30"/>
          <w:vertAlign w:val="superscript"/>
          <w:rtl/>
          <w:lang w:eastAsia="zh-TW"/>
        </w:rPr>
        <w:t>(</w:t>
      </w:r>
      <w:r w:rsidR="00521363" w:rsidRPr="00377B19">
        <w:rPr>
          <w:rStyle w:val="FootnoteReference"/>
          <w:rFonts w:ascii="Traditional Arabic" w:hAnsi="Traditional Arabic"/>
          <w:sz w:val="30"/>
          <w:szCs w:val="30"/>
          <w:rtl/>
          <w:lang w:eastAsia="zh-TW"/>
        </w:rPr>
        <w:footnoteReference w:id="16"/>
      </w:r>
      <w:r w:rsidRPr="00377B19">
        <w:rPr>
          <w:rFonts w:hint="cs"/>
          <w:sz w:val="30"/>
          <w:vertAlign w:val="superscript"/>
          <w:rtl/>
          <w:lang w:eastAsia="zh-TW"/>
        </w:rPr>
        <w:t>)</w:t>
      </w:r>
      <w:r w:rsidRPr="00377B19">
        <w:rPr>
          <w:rFonts w:hint="cs"/>
          <w:sz w:val="30"/>
          <w:rtl/>
          <w:lang w:eastAsia="zh-TW"/>
        </w:rPr>
        <w:t>.</w:t>
      </w:r>
      <w:r w:rsidR="00521363" w:rsidRPr="00377B19">
        <w:rPr>
          <w:sz w:val="30"/>
          <w:rtl/>
          <w:lang w:eastAsia="zh-TW"/>
        </w:rPr>
        <w:t xml:space="preserve"> </w:t>
      </w:r>
    </w:p>
    <w:p w:rsidR="00521363" w:rsidRPr="00377B19" w:rsidRDefault="00CB0AA9" w:rsidP="002A4B7F">
      <w:pPr>
        <w:pStyle w:val="SingleTxtGA"/>
        <w:spacing w:line="360" w:lineRule="exact"/>
        <w:rPr>
          <w:sz w:val="30"/>
          <w:rtl/>
          <w:lang w:eastAsia="zh-TW"/>
        </w:rPr>
      </w:pPr>
      <w:r w:rsidRPr="00377B19">
        <w:rPr>
          <w:sz w:val="30"/>
          <w:rtl/>
          <w:lang w:eastAsia="zh-TW"/>
        </w:rPr>
        <w:t>٥-٣</w:t>
      </w:r>
      <w:r w:rsidRPr="00377B19">
        <w:rPr>
          <w:rFonts w:hint="cs"/>
          <w:sz w:val="30"/>
          <w:rtl/>
          <w:lang w:eastAsia="zh-TW"/>
        </w:rPr>
        <w:tab/>
      </w:r>
      <w:r w:rsidR="00521363" w:rsidRPr="00377B19">
        <w:rPr>
          <w:sz w:val="30"/>
          <w:rtl/>
          <w:lang w:eastAsia="zh-TW"/>
        </w:rPr>
        <w:t xml:space="preserve">ويكرر أصحاب الشكوى أن دافعهم إلى طلب اللجوء مزدوج، إذ يخشى صاحب الشكوى الأول التعرض للاضطهاد على أيدي المتمردين والسلطات على حد سواء، والسلطات لن تدفع عنه اقتصاص المتمردين أو انتقامهم. (انظر الفقرة 3-2). </w:t>
      </w:r>
    </w:p>
    <w:p w:rsidR="00521363" w:rsidRPr="008F5066" w:rsidRDefault="00CB0AA9" w:rsidP="002A4B7F">
      <w:pPr>
        <w:pStyle w:val="SingleTxtGA"/>
        <w:spacing w:line="360" w:lineRule="exact"/>
        <w:rPr>
          <w:rtl/>
          <w:lang w:eastAsia="zh-TW"/>
        </w:rPr>
      </w:pPr>
      <w:r w:rsidRPr="000E004C">
        <w:rPr>
          <w:spacing w:val="-4"/>
          <w:rtl/>
          <w:lang w:eastAsia="zh-TW"/>
        </w:rPr>
        <w:t>٥-٤</w:t>
      </w:r>
      <w:r w:rsidRPr="000E004C">
        <w:rPr>
          <w:rFonts w:hint="cs"/>
          <w:spacing w:val="-4"/>
          <w:rtl/>
          <w:lang w:eastAsia="zh-TW"/>
        </w:rPr>
        <w:tab/>
      </w:r>
      <w:r w:rsidR="00521363" w:rsidRPr="000E004C">
        <w:rPr>
          <w:spacing w:val="-4"/>
          <w:rtl/>
          <w:lang w:eastAsia="zh-TW"/>
        </w:rPr>
        <w:t>ورد</w:t>
      </w:r>
      <w:r w:rsidR="002D164F">
        <w:rPr>
          <w:spacing w:val="-4"/>
          <w:rtl/>
          <w:lang w:eastAsia="zh-TW"/>
        </w:rPr>
        <w:t xml:space="preserve">اً </w:t>
      </w:r>
      <w:r w:rsidR="00521363" w:rsidRPr="000E004C">
        <w:rPr>
          <w:spacing w:val="-4"/>
          <w:rtl/>
          <w:lang w:eastAsia="zh-TW"/>
        </w:rPr>
        <w:t>على الحجة التي دفعت بها الدولة الطرف على نحو ما وردت بإيجاز في الفقرة 4-</w:t>
      </w:r>
      <w:r w:rsidR="00521363" w:rsidRPr="008F5066">
        <w:rPr>
          <w:rtl/>
          <w:lang w:eastAsia="zh-TW"/>
        </w:rPr>
        <w:t xml:space="preserve">14، يدعي </w:t>
      </w:r>
      <w:r w:rsidR="00521363">
        <w:rPr>
          <w:rtl/>
          <w:lang w:eastAsia="zh-TW"/>
        </w:rPr>
        <w:t>أصحاب</w:t>
      </w:r>
      <w:r w:rsidR="00521363" w:rsidRPr="008F5066">
        <w:rPr>
          <w:rtl/>
          <w:lang w:eastAsia="zh-TW"/>
        </w:rPr>
        <w:t xml:space="preserve"> الشكوى أن </w:t>
      </w:r>
      <w:r w:rsidR="00521363">
        <w:rPr>
          <w:rtl/>
          <w:lang w:eastAsia="zh-TW"/>
        </w:rPr>
        <w:t>الرسالتين</w:t>
      </w:r>
      <w:r w:rsidR="00521363" w:rsidRPr="008F5066">
        <w:rPr>
          <w:rtl/>
          <w:lang w:eastAsia="zh-TW"/>
        </w:rPr>
        <w:t xml:space="preserve"> المشار إليه</w:t>
      </w:r>
      <w:r w:rsidR="00521363">
        <w:rPr>
          <w:rtl/>
          <w:lang w:eastAsia="zh-TW"/>
        </w:rPr>
        <w:t>م</w:t>
      </w:r>
      <w:r w:rsidR="00521363" w:rsidRPr="008F5066">
        <w:rPr>
          <w:rtl/>
          <w:lang w:eastAsia="zh-TW"/>
        </w:rPr>
        <w:t>ا ورد</w:t>
      </w:r>
      <w:r w:rsidR="00521363">
        <w:rPr>
          <w:rtl/>
          <w:lang w:eastAsia="zh-TW"/>
        </w:rPr>
        <w:t>ت</w:t>
      </w:r>
      <w:r w:rsidR="00521363" w:rsidRPr="008F5066">
        <w:rPr>
          <w:rtl/>
          <w:lang w:eastAsia="zh-TW"/>
        </w:rPr>
        <w:t xml:space="preserve">ا بالبريد الإلكتروني من شقيقة </w:t>
      </w:r>
      <w:r w:rsidR="00521363">
        <w:rPr>
          <w:rtl/>
          <w:lang w:eastAsia="zh-TW"/>
        </w:rPr>
        <w:t>صاحب</w:t>
      </w:r>
      <w:r w:rsidR="00521363" w:rsidRPr="008F5066">
        <w:rPr>
          <w:rtl/>
          <w:lang w:eastAsia="zh-TW"/>
        </w:rPr>
        <w:t xml:space="preserve"> الشكوى الأول في 28 آب/أغسطس 2014، واستلم</w:t>
      </w:r>
      <w:r w:rsidR="00521363">
        <w:rPr>
          <w:rtl/>
          <w:lang w:eastAsia="zh-TW"/>
        </w:rPr>
        <w:t>و</w:t>
      </w:r>
      <w:r w:rsidR="00521363" w:rsidRPr="008F5066">
        <w:rPr>
          <w:rtl/>
          <w:lang w:eastAsia="zh-TW"/>
        </w:rPr>
        <w:t>ها قبل اجتماع مجلس طعون اللاجئين في 12 أيلول/سبتمبر 2014. ويشير</w:t>
      </w:r>
      <w:r w:rsidR="00521363">
        <w:rPr>
          <w:rtl/>
          <w:lang w:eastAsia="zh-TW"/>
        </w:rPr>
        <w:t>و</w:t>
      </w:r>
      <w:r w:rsidR="00521363" w:rsidRPr="008F5066">
        <w:rPr>
          <w:rtl/>
          <w:lang w:eastAsia="zh-TW"/>
        </w:rPr>
        <w:t>ن إلى نص قرار المجلس المتعلق ب</w:t>
      </w:r>
      <w:r w:rsidR="00521363">
        <w:rPr>
          <w:rtl/>
          <w:lang w:eastAsia="zh-TW"/>
        </w:rPr>
        <w:t>صاحب</w:t>
      </w:r>
      <w:r w:rsidR="00521363" w:rsidRPr="008F5066">
        <w:rPr>
          <w:rtl/>
          <w:lang w:eastAsia="zh-TW"/>
        </w:rPr>
        <w:t xml:space="preserve"> الشكوى الأول باعتباره دليل</w:t>
      </w:r>
      <w:r w:rsidR="002D164F">
        <w:rPr>
          <w:rtl/>
          <w:lang w:eastAsia="zh-TW"/>
        </w:rPr>
        <w:t xml:space="preserve">اً </w:t>
      </w:r>
      <w:r w:rsidR="00521363" w:rsidRPr="008F5066">
        <w:rPr>
          <w:rtl/>
          <w:lang w:eastAsia="zh-TW"/>
        </w:rPr>
        <w:t xml:space="preserve">على أن </w:t>
      </w:r>
      <w:r w:rsidR="00521363">
        <w:rPr>
          <w:rtl/>
          <w:lang w:eastAsia="zh-TW"/>
        </w:rPr>
        <w:t>الرسالتين</w:t>
      </w:r>
      <w:r w:rsidR="00521363" w:rsidRPr="008F5066">
        <w:rPr>
          <w:rtl/>
          <w:lang w:eastAsia="zh-TW"/>
        </w:rPr>
        <w:t xml:space="preserve"> قد ذكرت</w:t>
      </w:r>
      <w:r w:rsidR="00521363">
        <w:rPr>
          <w:rtl/>
          <w:lang w:eastAsia="zh-TW"/>
        </w:rPr>
        <w:t>ا</w:t>
      </w:r>
      <w:r w:rsidR="00521363" w:rsidRPr="008F5066">
        <w:rPr>
          <w:rtl/>
          <w:lang w:eastAsia="zh-TW"/>
        </w:rPr>
        <w:t xml:space="preserve"> أثناء جلسة الاستماع لكن المجلس لم يعلق عليه</w:t>
      </w:r>
      <w:r w:rsidR="00521363">
        <w:rPr>
          <w:rtl/>
          <w:lang w:eastAsia="zh-TW"/>
        </w:rPr>
        <w:t>م</w:t>
      </w:r>
      <w:r w:rsidR="00521363" w:rsidRPr="008F5066">
        <w:rPr>
          <w:rtl/>
          <w:lang w:eastAsia="zh-TW"/>
        </w:rPr>
        <w:t xml:space="preserve">ا في القرار. ولذلك، يقول </w:t>
      </w:r>
      <w:r w:rsidR="00521363">
        <w:rPr>
          <w:rtl/>
          <w:lang w:eastAsia="zh-TW"/>
        </w:rPr>
        <w:t>أصحاب</w:t>
      </w:r>
      <w:r w:rsidR="00521363" w:rsidRPr="008F5066">
        <w:rPr>
          <w:rtl/>
          <w:lang w:eastAsia="zh-TW"/>
        </w:rPr>
        <w:t xml:space="preserve"> الشكوى إن حجة الدولة الطرف التي تفيد بأن </w:t>
      </w:r>
      <w:r w:rsidR="00521363">
        <w:rPr>
          <w:rtl/>
          <w:lang w:eastAsia="zh-TW"/>
        </w:rPr>
        <w:t>الرسالتين</w:t>
      </w:r>
      <w:r w:rsidR="00521363" w:rsidRPr="008F5066">
        <w:rPr>
          <w:rtl/>
          <w:lang w:eastAsia="zh-TW"/>
        </w:rPr>
        <w:t xml:space="preserve"> لم</w:t>
      </w:r>
      <w:r w:rsidR="002D164F">
        <w:rPr>
          <w:rFonts w:hint="cs"/>
          <w:rtl/>
          <w:lang w:eastAsia="zh-TW"/>
        </w:rPr>
        <w:t> </w:t>
      </w:r>
      <w:r w:rsidR="00521363" w:rsidRPr="008F5066">
        <w:rPr>
          <w:rtl/>
          <w:lang w:eastAsia="zh-TW"/>
        </w:rPr>
        <w:t>تقدما إلا في إطار الشكوى التي رفع</w:t>
      </w:r>
      <w:r w:rsidR="00521363">
        <w:rPr>
          <w:rtl/>
          <w:lang w:eastAsia="zh-TW"/>
        </w:rPr>
        <w:t>و</w:t>
      </w:r>
      <w:r w:rsidR="00521363" w:rsidRPr="008F5066">
        <w:rPr>
          <w:rtl/>
          <w:lang w:eastAsia="zh-TW"/>
        </w:rPr>
        <w:t xml:space="preserve">ها إلى اللجنة تجافي الواقع. </w:t>
      </w:r>
    </w:p>
    <w:p w:rsidR="00521363" w:rsidRPr="008F5066" w:rsidRDefault="00CB0AA9" w:rsidP="002A4B7F">
      <w:pPr>
        <w:pStyle w:val="SingleTxtGA"/>
        <w:spacing w:line="360" w:lineRule="exact"/>
        <w:rPr>
          <w:rtl/>
          <w:lang w:eastAsia="zh-TW"/>
        </w:rPr>
      </w:pPr>
      <w:r>
        <w:rPr>
          <w:rtl/>
          <w:lang w:eastAsia="zh-TW"/>
        </w:rPr>
        <w:t>٥-٥</w:t>
      </w:r>
      <w:r>
        <w:rPr>
          <w:rFonts w:hint="cs"/>
          <w:rtl/>
          <w:lang w:eastAsia="zh-TW"/>
        </w:rPr>
        <w:tab/>
      </w:r>
      <w:r w:rsidR="00521363" w:rsidRPr="008F5066">
        <w:rPr>
          <w:rtl/>
          <w:lang w:eastAsia="zh-TW"/>
        </w:rPr>
        <w:t xml:space="preserve">ويؤكد </w:t>
      </w:r>
      <w:r w:rsidR="00521363">
        <w:rPr>
          <w:rtl/>
          <w:lang w:eastAsia="zh-TW"/>
        </w:rPr>
        <w:t>أصحاب</w:t>
      </w:r>
      <w:r w:rsidR="00521363" w:rsidRPr="008F5066">
        <w:rPr>
          <w:rtl/>
          <w:lang w:eastAsia="zh-TW"/>
        </w:rPr>
        <w:t xml:space="preserve"> الشكوى أن التناقضات التي شابت إفادات </w:t>
      </w:r>
      <w:r w:rsidR="00521363">
        <w:rPr>
          <w:rtl/>
          <w:lang w:eastAsia="zh-TW"/>
        </w:rPr>
        <w:t>صاحب</w:t>
      </w:r>
      <w:r w:rsidR="00521363" w:rsidRPr="008F5066">
        <w:rPr>
          <w:rtl/>
          <w:lang w:eastAsia="zh-TW"/>
        </w:rPr>
        <w:t xml:space="preserve"> الشكوى الأول مردها سوء حالته النفسية والتعذيب الذي تعرض له. ولذلك، استغرب</w:t>
      </w:r>
      <w:r w:rsidR="00521363">
        <w:rPr>
          <w:rtl/>
          <w:lang w:eastAsia="zh-TW"/>
        </w:rPr>
        <w:t>و</w:t>
      </w:r>
      <w:r w:rsidR="00521363" w:rsidRPr="008F5066">
        <w:rPr>
          <w:rtl/>
          <w:lang w:eastAsia="zh-TW"/>
        </w:rPr>
        <w:t xml:space="preserve">ا أن تتوقع منه سلطات الهجرة </w:t>
      </w:r>
      <w:proofErr w:type="spellStart"/>
      <w:r w:rsidR="00521363" w:rsidRPr="008F5066">
        <w:rPr>
          <w:rtl/>
          <w:lang w:eastAsia="zh-TW"/>
        </w:rPr>
        <w:t>الدانمركية</w:t>
      </w:r>
      <w:proofErr w:type="spellEnd"/>
      <w:r w:rsidR="00521363" w:rsidRPr="008F5066">
        <w:rPr>
          <w:rtl/>
          <w:lang w:eastAsia="zh-TW"/>
        </w:rPr>
        <w:t xml:space="preserve"> تقديم توضيح دقيق لتفاصيل </w:t>
      </w:r>
      <w:r w:rsidR="00521363">
        <w:rPr>
          <w:rtl/>
          <w:lang w:eastAsia="zh-TW"/>
        </w:rPr>
        <w:t>أقل أهمية</w:t>
      </w:r>
      <w:r w:rsidR="00521363" w:rsidRPr="008F5066">
        <w:rPr>
          <w:rtl/>
          <w:lang w:eastAsia="zh-TW"/>
        </w:rPr>
        <w:t xml:space="preserve">، مثل تحديد </w:t>
      </w:r>
      <w:r w:rsidR="00521363">
        <w:rPr>
          <w:rtl/>
          <w:lang w:eastAsia="zh-TW"/>
        </w:rPr>
        <w:t xml:space="preserve">نوع البضاعة التي </w:t>
      </w:r>
      <w:r w:rsidR="00521363" w:rsidRPr="008F5066">
        <w:rPr>
          <w:rtl/>
          <w:lang w:eastAsia="zh-TW"/>
        </w:rPr>
        <w:t>نقله</w:t>
      </w:r>
      <w:r w:rsidR="00521363">
        <w:rPr>
          <w:rtl/>
          <w:lang w:eastAsia="zh-TW"/>
        </w:rPr>
        <w:t>ا</w:t>
      </w:r>
      <w:r w:rsidR="00521363" w:rsidRPr="008F5066">
        <w:rPr>
          <w:rtl/>
          <w:lang w:eastAsia="zh-TW"/>
        </w:rPr>
        <w:t xml:space="preserve"> في يوم ١٥ أيلول/سبتمبر ٢٠١٣، </w:t>
      </w:r>
      <w:r w:rsidR="00521363">
        <w:rPr>
          <w:rtl/>
          <w:lang w:eastAsia="zh-TW"/>
        </w:rPr>
        <w:t>أ</w:t>
      </w:r>
      <w:r w:rsidR="00521363" w:rsidRPr="008F5066">
        <w:rPr>
          <w:rtl/>
          <w:lang w:eastAsia="zh-TW"/>
        </w:rPr>
        <w:t>و</w:t>
      </w:r>
      <w:r w:rsidR="00521363">
        <w:rPr>
          <w:rtl/>
          <w:lang w:eastAsia="zh-TW"/>
        </w:rPr>
        <w:t xml:space="preserve"> </w:t>
      </w:r>
      <w:r w:rsidR="00521363" w:rsidRPr="008F5066">
        <w:rPr>
          <w:rtl/>
          <w:lang w:eastAsia="zh-TW"/>
        </w:rPr>
        <w:t>المكان الذي نقل</w:t>
      </w:r>
      <w:r w:rsidR="00521363">
        <w:rPr>
          <w:rtl/>
          <w:lang w:eastAsia="zh-TW"/>
        </w:rPr>
        <w:t>ها</w:t>
      </w:r>
      <w:r w:rsidR="00521363" w:rsidRPr="008F5066">
        <w:rPr>
          <w:rtl/>
          <w:lang w:eastAsia="zh-TW"/>
        </w:rPr>
        <w:t xml:space="preserve"> إليه أو ملابسات </w:t>
      </w:r>
      <w:r w:rsidR="00521363">
        <w:rPr>
          <w:rtl/>
          <w:lang w:eastAsia="zh-TW"/>
        </w:rPr>
        <w:t>استفاقته</w:t>
      </w:r>
      <w:r w:rsidR="00521363" w:rsidRPr="008F5066">
        <w:rPr>
          <w:rtl/>
          <w:lang w:eastAsia="zh-TW"/>
        </w:rPr>
        <w:t xml:space="preserve"> في السجن. ويرى </w:t>
      </w:r>
      <w:r w:rsidR="00521363">
        <w:rPr>
          <w:rtl/>
          <w:lang w:eastAsia="zh-TW"/>
        </w:rPr>
        <w:t>أصحاب</w:t>
      </w:r>
      <w:r w:rsidR="00521363" w:rsidRPr="008F5066">
        <w:rPr>
          <w:rtl/>
          <w:lang w:eastAsia="zh-TW"/>
        </w:rPr>
        <w:t xml:space="preserve"> الشكوى أن إفادات </w:t>
      </w:r>
      <w:r w:rsidR="00521363">
        <w:rPr>
          <w:rtl/>
          <w:lang w:eastAsia="zh-TW"/>
        </w:rPr>
        <w:t>صاحب</w:t>
      </w:r>
      <w:r w:rsidR="00521363" w:rsidRPr="008F5066">
        <w:rPr>
          <w:rtl/>
          <w:lang w:eastAsia="zh-TW"/>
        </w:rPr>
        <w:t xml:space="preserve"> الشكوى الأول لا تشوبها</w:t>
      </w:r>
      <w:r>
        <w:rPr>
          <w:rFonts w:hint="cs"/>
          <w:rtl/>
          <w:lang w:eastAsia="zh-TW"/>
        </w:rPr>
        <w:t>،</w:t>
      </w:r>
      <w:r w:rsidR="00521363" w:rsidRPr="008F5066">
        <w:rPr>
          <w:rtl/>
          <w:lang w:eastAsia="zh-TW"/>
        </w:rPr>
        <w:t xml:space="preserve"> فيما يبدو، اختلافات كبيرة وأن التباينات الطفيفة يمكن أن تكون ناجمة عن ترجمة </w:t>
      </w:r>
      <w:r w:rsidR="00521363">
        <w:rPr>
          <w:rtl/>
          <w:lang w:eastAsia="zh-TW"/>
        </w:rPr>
        <w:t>التفسيرات</w:t>
      </w:r>
      <w:r w:rsidR="00521363" w:rsidRPr="008F5066">
        <w:rPr>
          <w:rtl/>
          <w:lang w:eastAsia="zh-TW"/>
        </w:rPr>
        <w:t xml:space="preserve"> التي قدمها. </w:t>
      </w:r>
    </w:p>
    <w:p w:rsidR="00521363" w:rsidRPr="008F5066" w:rsidRDefault="00CB0AA9" w:rsidP="002A4B7F">
      <w:pPr>
        <w:pStyle w:val="SingleTxtGA"/>
        <w:spacing w:line="360" w:lineRule="exact"/>
        <w:rPr>
          <w:rtl/>
          <w:lang w:eastAsia="zh-TW"/>
        </w:rPr>
      </w:pPr>
      <w:r>
        <w:rPr>
          <w:rtl/>
          <w:lang w:eastAsia="zh-TW"/>
        </w:rPr>
        <w:t>٥-٦</w:t>
      </w:r>
      <w:r>
        <w:rPr>
          <w:rFonts w:hint="cs"/>
          <w:rtl/>
          <w:lang w:eastAsia="zh-TW"/>
        </w:rPr>
        <w:tab/>
      </w:r>
      <w:r w:rsidR="00521363" w:rsidRPr="008F5066">
        <w:rPr>
          <w:rtl/>
          <w:lang w:eastAsia="zh-TW"/>
        </w:rPr>
        <w:t>وفيما يتعلق بالحجة التي دفعت بها الدولة الطرف على نحو ما وردت بإيجاز في الفقرة</w:t>
      </w:r>
      <w:r>
        <w:rPr>
          <w:rFonts w:hint="cs"/>
          <w:rtl/>
          <w:lang w:eastAsia="zh-TW"/>
        </w:rPr>
        <w:t> </w:t>
      </w:r>
      <w:r w:rsidR="00521363" w:rsidRPr="008F5066">
        <w:rPr>
          <w:rtl/>
          <w:lang w:eastAsia="zh-TW"/>
        </w:rPr>
        <w:t xml:space="preserve">٤-١٣، يدفع </w:t>
      </w:r>
      <w:r w:rsidR="00521363">
        <w:rPr>
          <w:rtl/>
          <w:lang w:eastAsia="zh-TW"/>
        </w:rPr>
        <w:t>أصحاب</w:t>
      </w:r>
      <w:r w:rsidR="00521363" w:rsidRPr="008F5066">
        <w:rPr>
          <w:rtl/>
          <w:lang w:eastAsia="zh-TW"/>
        </w:rPr>
        <w:t xml:space="preserve"> الشكوى بأن قضية </w:t>
      </w:r>
      <w:r w:rsidR="00521363" w:rsidRPr="00FC052E">
        <w:rPr>
          <w:i/>
          <w:iCs/>
          <w:rtl/>
          <w:lang w:eastAsia="zh-TW"/>
        </w:rPr>
        <w:t xml:space="preserve">كي تشون </w:t>
      </w:r>
      <w:proofErr w:type="spellStart"/>
      <w:r w:rsidR="00521363" w:rsidRPr="00FC052E">
        <w:rPr>
          <w:i/>
          <w:iCs/>
          <w:rtl/>
          <w:lang w:eastAsia="zh-TW"/>
        </w:rPr>
        <w:t>رونغ</w:t>
      </w:r>
      <w:proofErr w:type="spellEnd"/>
      <w:r w:rsidR="00521363" w:rsidRPr="00FC052E">
        <w:rPr>
          <w:i/>
          <w:iCs/>
          <w:rtl/>
          <w:lang w:eastAsia="zh-TW"/>
        </w:rPr>
        <w:t xml:space="preserve"> ضد أستراليا</w:t>
      </w:r>
      <w:r w:rsidR="00521363" w:rsidRPr="008F5066">
        <w:rPr>
          <w:rtl/>
          <w:lang w:eastAsia="zh-TW"/>
        </w:rPr>
        <w:t xml:space="preserve"> لا تختلف عن قضيتهم في الشق المتعلق بالإدراك عند ضحايا التعذيب، أي أن الشخص الذي تعرض </w:t>
      </w:r>
      <w:r w:rsidR="00521363" w:rsidRPr="00377B19">
        <w:rPr>
          <w:sz w:val="30"/>
          <w:rtl/>
          <w:lang w:eastAsia="zh-TW"/>
        </w:rPr>
        <w:t>للتعذيب قلما</w:t>
      </w:r>
      <w:r w:rsidRPr="00377B19">
        <w:rPr>
          <w:sz w:val="30"/>
          <w:rtl/>
          <w:lang w:eastAsia="zh-TW"/>
        </w:rPr>
        <w:t xml:space="preserve"> يتوقع منه سرد ما حدث بدقة تامة</w:t>
      </w:r>
      <w:r w:rsidRPr="00377B19">
        <w:rPr>
          <w:rFonts w:hint="cs"/>
          <w:sz w:val="30"/>
          <w:vertAlign w:val="superscript"/>
          <w:rtl/>
          <w:lang w:eastAsia="zh-TW"/>
        </w:rPr>
        <w:t>(</w:t>
      </w:r>
      <w:r w:rsidR="00521363" w:rsidRPr="00377B19">
        <w:rPr>
          <w:rStyle w:val="FootnoteReference"/>
          <w:rFonts w:ascii="Traditional Arabic" w:hAnsi="Traditional Arabic"/>
          <w:sz w:val="30"/>
          <w:szCs w:val="30"/>
          <w:rtl/>
          <w:lang w:eastAsia="zh-TW"/>
        </w:rPr>
        <w:footnoteReference w:id="17"/>
      </w:r>
      <w:r w:rsidRPr="00377B19">
        <w:rPr>
          <w:rFonts w:hint="cs"/>
          <w:sz w:val="30"/>
          <w:vertAlign w:val="superscript"/>
          <w:rtl/>
          <w:lang w:eastAsia="zh-TW"/>
        </w:rPr>
        <w:t>)</w:t>
      </w:r>
      <w:r w:rsidRPr="00377B19">
        <w:rPr>
          <w:rFonts w:hint="cs"/>
          <w:sz w:val="30"/>
          <w:rtl/>
          <w:lang w:eastAsia="zh-TW"/>
        </w:rPr>
        <w:t>.</w:t>
      </w:r>
      <w:r w:rsidR="00521363" w:rsidRPr="00377B19">
        <w:rPr>
          <w:sz w:val="30"/>
          <w:rtl/>
          <w:lang w:eastAsia="zh-TW"/>
        </w:rPr>
        <w:t xml:space="preserve"> وعلاوة على ذلك، قوبلت قضية صاحب الشكوى</w:t>
      </w:r>
      <w:r w:rsidRPr="00377B19">
        <w:rPr>
          <w:rFonts w:hint="cs"/>
          <w:sz w:val="30"/>
          <w:rtl/>
          <w:lang w:eastAsia="zh-TW"/>
        </w:rPr>
        <w:t xml:space="preserve"> </w:t>
      </w:r>
      <w:r w:rsidR="00521363" w:rsidRPr="00377B19">
        <w:rPr>
          <w:sz w:val="30"/>
          <w:rtl/>
          <w:lang w:eastAsia="zh-TW"/>
        </w:rPr>
        <w:t>-</w:t>
      </w:r>
      <w:r w:rsidRPr="00377B19">
        <w:rPr>
          <w:rFonts w:hint="cs"/>
          <w:sz w:val="30"/>
          <w:rtl/>
          <w:lang w:eastAsia="zh-TW"/>
        </w:rPr>
        <w:t xml:space="preserve"> </w:t>
      </w:r>
      <w:r w:rsidR="00521363" w:rsidRPr="00377B19">
        <w:rPr>
          <w:sz w:val="30"/>
          <w:rtl/>
          <w:lang w:eastAsia="zh-TW"/>
        </w:rPr>
        <w:t>الذي تعرض للتعذيب</w:t>
      </w:r>
      <w:r w:rsidR="00D3340E">
        <w:rPr>
          <w:rFonts w:hint="cs"/>
          <w:sz w:val="30"/>
          <w:rtl/>
          <w:lang w:eastAsia="zh-TW"/>
        </w:rPr>
        <w:t xml:space="preserve"> </w:t>
      </w:r>
      <w:r w:rsidR="00521363" w:rsidRPr="00377B19">
        <w:rPr>
          <w:sz w:val="30"/>
          <w:rtl/>
          <w:lang w:eastAsia="zh-TW"/>
        </w:rPr>
        <w:t>- برفض السلطات الأسترالية، كما هو الشأن في</w:t>
      </w:r>
      <w:r w:rsidR="00521363" w:rsidRPr="008F5066">
        <w:rPr>
          <w:rtl/>
          <w:lang w:eastAsia="zh-TW"/>
        </w:rPr>
        <w:t xml:space="preserve"> قضيتهم، بسبب عدم المصداقية. </w:t>
      </w:r>
    </w:p>
    <w:p w:rsidR="00521363" w:rsidRPr="008F5066" w:rsidRDefault="00CB0AA9" w:rsidP="002A4B7F">
      <w:pPr>
        <w:pStyle w:val="SingleTxtGA"/>
        <w:spacing w:line="360" w:lineRule="exact"/>
        <w:rPr>
          <w:rtl/>
          <w:lang w:eastAsia="zh-TW"/>
        </w:rPr>
      </w:pPr>
      <w:r>
        <w:rPr>
          <w:rtl/>
          <w:lang w:eastAsia="zh-TW"/>
        </w:rPr>
        <w:lastRenderedPageBreak/>
        <w:t>٥-٧</w:t>
      </w:r>
      <w:r>
        <w:rPr>
          <w:rFonts w:hint="cs"/>
          <w:rtl/>
          <w:lang w:eastAsia="zh-TW"/>
        </w:rPr>
        <w:tab/>
      </w:r>
      <w:r w:rsidR="00521363">
        <w:rPr>
          <w:rtl/>
          <w:lang w:eastAsia="zh-TW"/>
        </w:rPr>
        <w:t>ويدعي</w:t>
      </w:r>
      <w:r w:rsidR="00521363" w:rsidRPr="008F5066">
        <w:rPr>
          <w:rtl/>
          <w:lang w:eastAsia="zh-TW"/>
        </w:rPr>
        <w:t xml:space="preserve"> </w:t>
      </w:r>
      <w:r w:rsidR="00521363">
        <w:rPr>
          <w:rtl/>
          <w:lang w:eastAsia="zh-TW"/>
        </w:rPr>
        <w:t>أصحاب</w:t>
      </w:r>
      <w:r w:rsidR="00521363" w:rsidRPr="008F5066">
        <w:rPr>
          <w:rtl/>
          <w:lang w:eastAsia="zh-TW"/>
        </w:rPr>
        <w:t xml:space="preserve"> الشكوى أيضا</w:t>
      </w:r>
      <w:r w:rsidR="00D3340E">
        <w:rPr>
          <w:rFonts w:hint="cs"/>
          <w:rtl/>
          <w:lang w:eastAsia="zh-TW"/>
        </w:rPr>
        <w:t>ً</w:t>
      </w:r>
      <w:r w:rsidR="00521363" w:rsidRPr="008F5066">
        <w:rPr>
          <w:rtl/>
          <w:lang w:eastAsia="zh-TW"/>
        </w:rPr>
        <w:t xml:space="preserve"> أن مل</w:t>
      </w:r>
      <w:r w:rsidR="00521363">
        <w:rPr>
          <w:rtl/>
          <w:lang w:eastAsia="zh-TW"/>
        </w:rPr>
        <w:t>احظات الدولة الطرف (انظر الفقرتي</w:t>
      </w:r>
      <w:r w:rsidR="00521363" w:rsidRPr="008F5066">
        <w:rPr>
          <w:rtl/>
          <w:lang w:eastAsia="zh-TW"/>
        </w:rPr>
        <w:t>ن ٤-٧</w:t>
      </w:r>
      <w:r>
        <w:rPr>
          <w:rFonts w:hint="cs"/>
          <w:rtl/>
          <w:lang w:eastAsia="zh-TW"/>
        </w:rPr>
        <w:t xml:space="preserve"> و</w:t>
      </w:r>
      <w:r w:rsidRPr="008F5066">
        <w:rPr>
          <w:rtl/>
          <w:lang w:eastAsia="zh-TW"/>
        </w:rPr>
        <w:t>٤-١١</w:t>
      </w:r>
      <w:r w:rsidR="00521363" w:rsidRPr="008F5066">
        <w:rPr>
          <w:rtl/>
          <w:lang w:eastAsia="zh-TW"/>
        </w:rPr>
        <w:t>) ي</w:t>
      </w:r>
      <w:r w:rsidR="00521363">
        <w:rPr>
          <w:rtl/>
          <w:lang w:eastAsia="zh-TW"/>
        </w:rPr>
        <w:t>ُ</w:t>
      </w:r>
      <w:r w:rsidR="00521363" w:rsidRPr="008F5066">
        <w:rPr>
          <w:rtl/>
          <w:lang w:eastAsia="zh-TW"/>
        </w:rPr>
        <w:t xml:space="preserve">ستنتج منها أن المجلس قد </w:t>
      </w:r>
      <w:r w:rsidR="00521363">
        <w:rPr>
          <w:rtl/>
          <w:lang w:eastAsia="zh-TW"/>
        </w:rPr>
        <w:t>يأمر</w:t>
      </w:r>
      <w:r w:rsidR="00521363" w:rsidRPr="008F5066">
        <w:rPr>
          <w:rtl/>
          <w:lang w:eastAsia="zh-TW"/>
        </w:rPr>
        <w:t xml:space="preserve"> في بعض الأحيان </w:t>
      </w:r>
      <w:r w:rsidR="00521363">
        <w:rPr>
          <w:rtl/>
          <w:lang w:eastAsia="zh-TW"/>
        </w:rPr>
        <w:t>بإجراء الفحص الطبي ل</w:t>
      </w:r>
      <w:r w:rsidR="00521363" w:rsidRPr="008F5066">
        <w:rPr>
          <w:rtl/>
          <w:lang w:eastAsia="zh-TW"/>
        </w:rPr>
        <w:t>ملتمس اللجوء لمعاينة علامات التعذيب إذا ما رأ</w:t>
      </w:r>
      <w:r w:rsidR="00521363">
        <w:rPr>
          <w:rtl/>
          <w:lang w:eastAsia="zh-TW"/>
        </w:rPr>
        <w:t>ى أنه يتمتع بالمصداقية. ويعتبرو</w:t>
      </w:r>
      <w:r>
        <w:rPr>
          <w:rtl/>
          <w:lang w:eastAsia="zh-TW"/>
        </w:rPr>
        <w:t>ن هذه الحجة غير مقنعة</w:t>
      </w:r>
      <w:r w:rsidR="00521363" w:rsidRPr="008F5066">
        <w:rPr>
          <w:rtl/>
          <w:lang w:eastAsia="zh-TW"/>
        </w:rPr>
        <w:t xml:space="preserve"> لأن إجراء الفحص</w:t>
      </w:r>
      <w:r w:rsidR="00521363">
        <w:rPr>
          <w:rtl/>
          <w:lang w:eastAsia="zh-TW"/>
        </w:rPr>
        <w:t xml:space="preserve"> الطبي</w:t>
      </w:r>
      <w:r w:rsidR="00521363" w:rsidRPr="008F5066">
        <w:rPr>
          <w:rtl/>
          <w:lang w:eastAsia="zh-TW"/>
        </w:rPr>
        <w:t xml:space="preserve"> لمعاينة علامات التعذيب ضروري تحديد</w:t>
      </w:r>
      <w:r w:rsidR="002D164F">
        <w:rPr>
          <w:rtl/>
          <w:lang w:eastAsia="zh-TW"/>
        </w:rPr>
        <w:t xml:space="preserve">اً، </w:t>
      </w:r>
      <w:r w:rsidR="00521363" w:rsidRPr="008F5066">
        <w:rPr>
          <w:rtl/>
          <w:lang w:eastAsia="zh-TW"/>
        </w:rPr>
        <w:t xml:space="preserve">للتحقق من مصداقية ملتمس اللجوء. ويُشير </w:t>
      </w:r>
      <w:r w:rsidR="00521363">
        <w:rPr>
          <w:rtl/>
          <w:lang w:eastAsia="zh-TW"/>
        </w:rPr>
        <w:t>أصحاب</w:t>
      </w:r>
      <w:r w:rsidR="00521363" w:rsidRPr="008F5066">
        <w:rPr>
          <w:rtl/>
          <w:lang w:eastAsia="zh-TW"/>
        </w:rPr>
        <w:t xml:space="preserve"> الشكوى إلى أن </w:t>
      </w:r>
      <w:r w:rsidR="00521363">
        <w:rPr>
          <w:rtl/>
          <w:lang w:eastAsia="zh-TW"/>
        </w:rPr>
        <w:t>صاحب</w:t>
      </w:r>
      <w:r w:rsidR="00521363" w:rsidRPr="008F5066">
        <w:rPr>
          <w:rtl/>
          <w:lang w:eastAsia="zh-TW"/>
        </w:rPr>
        <w:t xml:space="preserve"> الشكوى الأول ذكر أمام دائرة الهجرة </w:t>
      </w:r>
      <w:proofErr w:type="spellStart"/>
      <w:r w:rsidR="00521363" w:rsidRPr="008F5066">
        <w:rPr>
          <w:rtl/>
          <w:lang w:eastAsia="zh-TW"/>
        </w:rPr>
        <w:t>الدانمركية</w:t>
      </w:r>
      <w:proofErr w:type="spellEnd"/>
      <w:r w:rsidR="00521363" w:rsidRPr="008F5066">
        <w:rPr>
          <w:rtl/>
          <w:lang w:eastAsia="zh-TW"/>
        </w:rPr>
        <w:t xml:space="preserve"> ومجلس طعون اللاجئين أنه تعرض للتعذيب</w:t>
      </w:r>
      <w:r>
        <w:rPr>
          <w:rFonts w:hint="cs"/>
          <w:rtl/>
          <w:lang w:eastAsia="zh-TW"/>
        </w:rPr>
        <w:t>،</w:t>
      </w:r>
      <w:r>
        <w:rPr>
          <w:rtl/>
          <w:lang w:eastAsia="zh-TW"/>
        </w:rPr>
        <w:t xml:space="preserve"> ومع ذلك</w:t>
      </w:r>
      <w:r w:rsidR="00521363" w:rsidRPr="008F5066">
        <w:rPr>
          <w:rtl/>
          <w:lang w:eastAsia="zh-TW"/>
        </w:rPr>
        <w:t xml:space="preserve"> لم تنظر سلطات الهجرة </w:t>
      </w:r>
      <w:proofErr w:type="spellStart"/>
      <w:r w:rsidR="00521363" w:rsidRPr="008F5066">
        <w:rPr>
          <w:rtl/>
          <w:lang w:eastAsia="zh-TW"/>
        </w:rPr>
        <w:t>الدانمركية</w:t>
      </w:r>
      <w:proofErr w:type="spellEnd"/>
      <w:r w:rsidR="00521363" w:rsidRPr="008F5066">
        <w:rPr>
          <w:rtl/>
          <w:lang w:eastAsia="zh-TW"/>
        </w:rPr>
        <w:t xml:space="preserve"> في إعطاء الأمر بفحصه لمعاينة علامات التعذيب. </w:t>
      </w:r>
    </w:p>
    <w:p w:rsidR="00521363" w:rsidRPr="008F5066" w:rsidRDefault="00521363" w:rsidP="002A4B7F">
      <w:pPr>
        <w:pStyle w:val="SingleTxtGA"/>
        <w:spacing w:line="360" w:lineRule="exact"/>
        <w:rPr>
          <w:rtl/>
          <w:lang w:eastAsia="zh-TW"/>
        </w:rPr>
      </w:pPr>
      <w:r w:rsidRPr="008F5066">
        <w:rPr>
          <w:rtl/>
          <w:lang w:eastAsia="zh-TW"/>
        </w:rPr>
        <w:t>٥-٨</w:t>
      </w:r>
      <w:r w:rsidR="00CB0AA9">
        <w:rPr>
          <w:rFonts w:hint="cs"/>
          <w:rtl/>
          <w:lang w:eastAsia="zh-TW"/>
        </w:rPr>
        <w:tab/>
      </w:r>
      <w:r w:rsidRPr="008F5066">
        <w:rPr>
          <w:rtl/>
          <w:lang w:eastAsia="zh-TW"/>
        </w:rPr>
        <w:t xml:space="preserve">ولذلك، يدفع </w:t>
      </w:r>
      <w:r>
        <w:rPr>
          <w:rtl/>
          <w:lang w:eastAsia="zh-TW"/>
        </w:rPr>
        <w:t>أصحاب</w:t>
      </w:r>
      <w:r w:rsidRPr="008F5066">
        <w:rPr>
          <w:rtl/>
          <w:lang w:eastAsia="zh-TW"/>
        </w:rPr>
        <w:t xml:space="preserve"> الشكوى بأنهم ما زال</w:t>
      </w:r>
      <w:r>
        <w:rPr>
          <w:rtl/>
          <w:lang w:eastAsia="zh-TW"/>
        </w:rPr>
        <w:t>و</w:t>
      </w:r>
      <w:r w:rsidRPr="008F5066">
        <w:rPr>
          <w:rtl/>
          <w:lang w:eastAsia="zh-TW"/>
        </w:rPr>
        <w:t xml:space="preserve">ا </w:t>
      </w:r>
      <w:r>
        <w:rPr>
          <w:rtl/>
          <w:lang w:eastAsia="zh-TW"/>
        </w:rPr>
        <w:t xml:space="preserve">في </w:t>
      </w:r>
      <w:r w:rsidRPr="008F5066">
        <w:rPr>
          <w:rtl/>
          <w:lang w:eastAsia="zh-TW"/>
        </w:rPr>
        <w:t>خطر حقيقي</w:t>
      </w:r>
      <w:r>
        <w:rPr>
          <w:rtl/>
          <w:lang w:eastAsia="zh-TW"/>
        </w:rPr>
        <w:t xml:space="preserve"> وشخصي</w:t>
      </w:r>
      <w:r w:rsidRPr="008F5066">
        <w:rPr>
          <w:rtl/>
          <w:lang w:eastAsia="zh-TW"/>
        </w:rPr>
        <w:t xml:space="preserve"> ومتوقع</w:t>
      </w:r>
      <w:r>
        <w:rPr>
          <w:rtl/>
          <w:lang w:eastAsia="zh-TW"/>
        </w:rPr>
        <w:t xml:space="preserve"> من </w:t>
      </w:r>
      <w:r w:rsidRPr="008F5066">
        <w:rPr>
          <w:rtl/>
          <w:lang w:eastAsia="zh-TW"/>
        </w:rPr>
        <w:t xml:space="preserve">التعرض للتعذيب لدى عودتهم إلى الاتحاد الروسي، لأن السلطات تعتبر </w:t>
      </w:r>
      <w:r>
        <w:rPr>
          <w:rtl/>
          <w:lang w:eastAsia="zh-TW"/>
        </w:rPr>
        <w:t>صاحب</w:t>
      </w:r>
      <w:r w:rsidRPr="008F5066">
        <w:rPr>
          <w:rtl/>
          <w:lang w:eastAsia="zh-TW"/>
        </w:rPr>
        <w:t xml:space="preserve"> الشكوى الأول متواطئ</w:t>
      </w:r>
      <w:r w:rsidR="002D164F">
        <w:rPr>
          <w:rtl/>
          <w:lang w:eastAsia="zh-TW"/>
        </w:rPr>
        <w:t xml:space="preserve">اً </w:t>
      </w:r>
      <w:r w:rsidRPr="008F5066">
        <w:rPr>
          <w:rtl/>
          <w:lang w:eastAsia="zh-TW"/>
        </w:rPr>
        <w:t>مع المتمردين. ويؤكد</w:t>
      </w:r>
      <w:r>
        <w:rPr>
          <w:rtl/>
          <w:lang w:eastAsia="zh-TW"/>
        </w:rPr>
        <w:t>و</w:t>
      </w:r>
      <w:r w:rsidR="00D3340E">
        <w:rPr>
          <w:rtl/>
          <w:lang w:eastAsia="zh-TW"/>
        </w:rPr>
        <w:t xml:space="preserve">ن من جديد أن الوضع الأمني في </w:t>
      </w:r>
      <w:proofErr w:type="spellStart"/>
      <w:r w:rsidR="00D3340E">
        <w:rPr>
          <w:rFonts w:hint="cs"/>
          <w:rtl/>
          <w:lang w:eastAsia="zh-TW"/>
        </w:rPr>
        <w:t>إ</w:t>
      </w:r>
      <w:r w:rsidRPr="008F5066">
        <w:rPr>
          <w:rtl/>
          <w:lang w:eastAsia="zh-TW"/>
        </w:rPr>
        <w:t>نغوشتيا</w:t>
      </w:r>
      <w:proofErr w:type="spellEnd"/>
      <w:r w:rsidRPr="008F5066">
        <w:rPr>
          <w:rtl/>
          <w:lang w:eastAsia="zh-TW"/>
        </w:rPr>
        <w:t xml:space="preserve"> وفي شمال القوقاز، بوجه عام، خطير جدا</w:t>
      </w:r>
      <w:r w:rsidR="00D3340E">
        <w:rPr>
          <w:rFonts w:hint="cs"/>
          <w:rtl/>
          <w:lang w:eastAsia="zh-TW"/>
        </w:rPr>
        <w:t>ً</w:t>
      </w:r>
      <w:r w:rsidRPr="008F5066">
        <w:rPr>
          <w:rtl/>
          <w:lang w:eastAsia="zh-TW"/>
        </w:rPr>
        <w:t xml:space="preserve">؛ وأن </w:t>
      </w:r>
      <w:r>
        <w:rPr>
          <w:rtl/>
          <w:lang w:eastAsia="zh-TW"/>
        </w:rPr>
        <w:t>صاحب</w:t>
      </w:r>
      <w:r w:rsidRPr="008F5066">
        <w:rPr>
          <w:rtl/>
          <w:lang w:eastAsia="zh-TW"/>
        </w:rPr>
        <w:t xml:space="preserve"> الشكوى الأول تعرض لتعذيب شديد أثناء احتجازه في الماضي وأن هناك أدلة طبية تدعم ادعاءاته؛ وأن السلطات في الاتحاد الروسي لا</w:t>
      </w:r>
      <w:r w:rsidR="002D164F">
        <w:rPr>
          <w:rFonts w:hint="cs"/>
          <w:rtl/>
          <w:lang w:eastAsia="zh-TW"/>
        </w:rPr>
        <w:t> </w:t>
      </w:r>
      <w:r w:rsidRPr="008F5066">
        <w:rPr>
          <w:rtl/>
          <w:lang w:eastAsia="zh-TW"/>
        </w:rPr>
        <w:t>تزال تبحث عنه.</w:t>
      </w:r>
    </w:p>
    <w:p w:rsidR="00521363" w:rsidRPr="00377B19" w:rsidRDefault="00CB0AA9" w:rsidP="002A4B7F">
      <w:pPr>
        <w:pStyle w:val="SingleTxtGA"/>
        <w:spacing w:line="360" w:lineRule="exact"/>
        <w:rPr>
          <w:sz w:val="30"/>
          <w:rtl/>
          <w:lang w:eastAsia="zh-TW"/>
        </w:rPr>
      </w:pPr>
      <w:r w:rsidRPr="00377B19">
        <w:rPr>
          <w:spacing w:val="-4"/>
          <w:sz w:val="30"/>
          <w:rtl/>
          <w:lang w:eastAsia="zh-TW"/>
        </w:rPr>
        <w:t>٥-٩</w:t>
      </w:r>
      <w:r w:rsidRPr="00377B19">
        <w:rPr>
          <w:rFonts w:hint="cs"/>
          <w:spacing w:val="-4"/>
          <w:sz w:val="30"/>
          <w:rtl/>
          <w:lang w:eastAsia="zh-TW"/>
        </w:rPr>
        <w:tab/>
      </w:r>
      <w:r w:rsidR="00521363" w:rsidRPr="00377B19">
        <w:rPr>
          <w:spacing w:val="-4"/>
          <w:sz w:val="30"/>
          <w:rtl/>
          <w:lang w:eastAsia="zh-TW"/>
        </w:rPr>
        <w:t>وفي ٢ تشرين الثاني/نوفمبر ٢٠١٥، أدلى أصحاب الشكوى بنسخ من مقالات</w:t>
      </w:r>
      <w:r w:rsidR="00521363" w:rsidRPr="00377B19">
        <w:rPr>
          <w:sz w:val="30"/>
          <w:rtl/>
          <w:lang w:eastAsia="zh-TW"/>
        </w:rPr>
        <w:t xml:space="preserve"> </w:t>
      </w:r>
      <w:r w:rsidR="00521363" w:rsidRPr="00377B19">
        <w:rPr>
          <w:spacing w:val="-4"/>
          <w:sz w:val="30"/>
          <w:rtl/>
          <w:lang w:eastAsia="zh-TW"/>
        </w:rPr>
        <w:t xml:space="preserve">نشرت باللغة الروسية على موقع </w:t>
      </w:r>
      <w:r w:rsidRPr="002D164F">
        <w:rPr>
          <w:spacing w:val="-4"/>
          <w:szCs w:val="20"/>
        </w:rPr>
        <w:t>Caucasian Knot</w:t>
      </w:r>
      <w:r w:rsidRPr="00377B19">
        <w:rPr>
          <w:rFonts w:hint="cs"/>
          <w:spacing w:val="-4"/>
          <w:sz w:val="30"/>
          <w:rtl/>
          <w:lang w:eastAsia="zh-TW"/>
        </w:rPr>
        <w:t xml:space="preserve"> </w:t>
      </w:r>
      <w:r w:rsidR="00521363" w:rsidRPr="00377B19">
        <w:rPr>
          <w:spacing w:val="-4"/>
          <w:sz w:val="30"/>
          <w:rtl/>
          <w:lang w:eastAsia="zh-TW"/>
        </w:rPr>
        <w:t>الإلكتروني،</w:t>
      </w:r>
      <w:r w:rsidRPr="00377B19">
        <w:rPr>
          <w:spacing w:val="-4"/>
          <w:sz w:val="30"/>
          <w:rtl/>
          <w:lang w:eastAsia="zh-TW"/>
        </w:rPr>
        <w:t xml:space="preserve"> في ٢٩ تشرين الأول/أكتوبر ٢٠١٣</w:t>
      </w:r>
      <w:r w:rsidRPr="00377B19">
        <w:rPr>
          <w:rFonts w:hint="cs"/>
          <w:spacing w:val="-4"/>
          <w:sz w:val="30"/>
          <w:vertAlign w:val="superscript"/>
          <w:rtl/>
          <w:lang w:eastAsia="zh-TW"/>
        </w:rPr>
        <w:t>(</w:t>
      </w:r>
      <w:r w:rsidR="00521363" w:rsidRPr="00377B19">
        <w:rPr>
          <w:rStyle w:val="FootnoteReference"/>
          <w:rFonts w:ascii="Traditional Arabic" w:hAnsi="Traditional Arabic"/>
          <w:spacing w:val="-4"/>
          <w:sz w:val="30"/>
          <w:szCs w:val="30"/>
          <w:rtl/>
          <w:lang w:eastAsia="zh-TW"/>
        </w:rPr>
        <w:footnoteReference w:id="18"/>
      </w:r>
      <w:r w:rsidRPr="00377B19">
        <w:rPr>
          <w:rFonts w:hint="cs"/>
          <w:spacing w:val="-4"/>
          <w:sz w:val="30"/>
          <w:vertAlign w:val="superscript"/>
          <w:rtl/>
          <w:lang w:eastAsia="zh-TW"/>
        </w:rPr>
        <w:t>)</w:t>
      </w:r>
      <w:r w:rsidRPr="00377B19">
        <w:rPr>
          <w:rFonts w:hint="cs"/>
          <w:spacing w:val="-4"/>
          <w:sz w:val="30"/>
          <w:rtl/>
          <w:lang w:eastAsia="zh-TW"/>
        </w:rPr>
        <w:t>،</w:t>
      </w:r>
      <w:r w:rsidR="00521363" w:rsidRPr="00377B19">
        <w:rPr>
          <w:spacing w:val="-4"/>
          <w:sz w:val="30"/>
          <w:rtl/>
          <w:lang w:eastAsia="zh-TW"/>
        </w:rPr>
        <w:t xml:space="preserve"> وذكروا موضِّحي</w:t>
      </w:r>
      <w:r w:rsidRPr="00377B19">
        <w:rPr>
          <w:spacing w:val="-4"/>
          <w:sz w:val="30"/>
          <w:rtl/>
          <w:lang w:eastAsia="zh-TW"/>
        </w:rPr>
        <w:t>ن</w:t>
      </w:r>
      <w:r w:rsidR="00521363" w:rsidRPr="00377B19">
        <w:rPr>
          <w:spacing w:val="-4"/>
          <w:sz w:val="30"/>
          <w:rtl/>
          <w:lang w:eastAsia="zh-TW"/>
        </w:rPr>
        <w:t xml:space="preserve"> أنهم لم يعلموا</w:t>
      </w:r>
      <w:r w:rsidRPr="00377B19">
        <w:rPr>
          <w:rFonts w:hint="cs"/>
          <w:spacing w:val="-4"/>
          <w:sz w:val="30"/>
          <w:rtl/>
          <w:lang w:eastAsia="zh-TW"/>
        </w:rPr>
        <w:t>،</w:t>
      </w:r>
      <w:r w:rsidR="00521363" w:rsidRPr="00377B19">
        <w:rPr>
          <w:spacing w:val="-4"/>
          <w:sz w:val="30"/>
          <w:rtl/>
          <w:lang w:eastAsia="zh-TW"/>
        </w:rPr>
        <w:t xml:space="preserve"> إلا مؤخر</w:t>
      </w:r>
      <w:r w:rsidR="002D164F">
        <w:rPr>
          <w:spacing w:val="-4"/>
          <w:sz w:val="30"/>
          <w:rtl/>
          <w:lang w:eastAsia="zh-TW"/>
        </w:rPr>
        <w:t xml:space="preserve">اً، </w:t>
      </w:r>
      <w:r w:rsidR="00521363" w:rsidRPr="00377B19">
        <w:rPr>
          <w:spacing w:val="-4"/>
          <w:sz w:val="30"/>
          <w:rtl/>
          <w:lang w:eastAsia="zh-TW"/>
        </w:rPr>
        <w:t>بوجود هذه المقالات من خلال بعض</w:t>
      </w:r>
      <w:r w:rsidR="00521363" w:rsidRPr="00377B19">
        <w:rPr>
          <w:sz w:val="30"/>
          <w:rtl/>
          <w:lang w:eastAsia="zh-TW"/>
        </w:rPr>
        <w:t xml:space="preserve"> المعارف الشيشان المقيمين في الدانمرك. وتتضمن المقالات المشار إليها وصف</w:t>
      </w:r>
      <w:r w:rsidR="002D164F">
        <w:rPr>
          <w:sz w:val="30"/>
          <w:rtl/>
          <w:lang w:eastAsia="zh-TW"/>
        </w:rPr>
        <w:t xml:space="preserve">اً </w:t>
      </w:r>
      <w:r w:rsidR="00521363" w:rsidRPr="00377B19">
        <w:rPr>
          <w:sz w:val="30"/>
          <w:rtl/>
          <w:lang w:eastAsia="zh-TW"/>
        </w:rPr>
        <w:t>للأحداث التي وقعت في</w:t>
      </w:r>
      <w:r w:rsidR="000E004C" w:rsidRPr="00377B19">
        <w:rPr>
          <w:rFonts w:hint="cs"/>
          <w:sz w:val="30"/>
          <w:rtl/>
          <w:lang w:eastAsia="zh-TW"/>
        </w:rPr>
        <w:t> </w:t>
      </w:r>
      <w:r w:rsidR="00521363" w:rsidRPr="00377B19">
        <w:rPr>
          <w:sz w:val="30"/>
          <w:rtl/>
          <w:lang w:eastAsia="zh-TW"/>
        </w:rPr>
        <w:t xml:space="preserve">٢٧ تشرين الأول/أكتوبر ٢٠١٣ في منطقة حرجية قريبة من قرية </w:t>
      </w:r>
      <w:proofErr w:type="spellStart"/>
      <w:r w:rsidR="00521363" w:rsidRPr="00377B19">
        <w:rPr>
          <w:sz w:val="30"/>
          <w:rtl/>
          <w:lang w:eastAsia="zh-TW"/>
        </w:rPr>
        <w:t>غالاشكي</w:t>
      </w:r>
      <w:proofErr w:type="spellEnd"/>
      <w:r w:rsidR="00521363" w:rsidRPr="00377B19">
        <w:rPr>
          <w:sz w:val="30"/>
          <w:rtl/>
          <w:lang w:eastAsia="zh-TW"/>
        </w:rPr>
        <w:t>، أي المكان الذي طُلب من صاحب الشكوى الأول أن ينقل إليه الرجلين مع بضاعتهما في يوم ١٥ أيلول/سبتمبر 2013. وتذكر المقالات تحديد</w:t>
      </w:r>
      <w:r w:rsidR="002D164F">
        <w:rPr>
          <w:sz w:val="30"/>
          <w:rtl/>
          <w:lang w:eastAsia="zh-TW"/>
        </w:rPr>
        <w:t xml:space="preserve">اً، </w:t>
      </w:r>
      <w:r w:rsidR="00521363" w:rsidRPr="00377B19">
        <w:rPr>
          <w:sz w:val="30"/>
          <w:rtl/>
          <w:lang w:eastAsia="zh-TW"/>
        </w:rPr>
        <w:t>أن اثنيْن من المتمردين هاجما موظفين من وزارة الدفاع أثناء تنفيذهم عملية بهدف تحديد هوية أعضاء الجماعات المسلحة غير المشروعة واعتقالهم. وخلال العملية، قتل أحد المتمردين، وهو ر.</w:t>
      </w:r>
      <w:r w:rsidR="000E004C" w:rsidRPr="00377B19">
        <w:rPr>
          <w:rFonts w:hint="cs"/>
          <w:sz w:val="30"/>
          <w:rtl/>
          <w:lang w:eastAsia="zh-TW"/>
        </w:rPr>
        <w:t xml:space="preserve"> </w:t>
      </w:r>
      <w:r w:rsidR="00521363" w:rsidRPr="00377B19">
        <w:rPr>
          <w:sz w:val="30"/>
          <w:rtl/>
          <w:lang w:eastAsia="zh-TW"/>
        </w:rPr>
        <w:t>ب. فيما تمكن الثاني من الفرار. وفي هذا السياق، يفيد أصحاب الشكوى بأن اسم المتمرد، الذي أشارت المقالات إلى مقتله، رُدِّد</w:t>
      </w:r>
      <w:r w:rsidRPr="00377B19">
        <w:rPr>
          <w:rFonts w:hint="cs"/>
          <w:sz w:val="30"/>
          <w:rtl/>
          <w:lang w:eastAsia="zh-TW"/>
        </w:rPr>
        <w:t> </w:t>
      </w:r>
      <w:r w:rsidR="00521363" w:rsidRPr="00377B19">
        <w:rPr>
          <w:sz w:val="30"/>
          <w:rtl/>
          <w:lang w:eastAsia="zh-TW"/>
        </w:rPr>
        <w:t>مرار</w:t>
      </w:r>
      <w:r w:rsidR="002D164F">
        <w:rPr>
          <w:sz w:val="30"/>
          <w:rtl/>
          <w:lang w:eastAsia="zh-TW"/>
        </w:rPr>
        <w:t xml:space="preserve">اً، </w:t>
      </w:r>
      <w:r w:rsidR="00521363" w:rsidRPr="00377B19">
        <w:rPr>
          <w:sz w:val="30"/>
          <w:rtl/>
          <w:lang w:eastAsia="zh-TW"/>
        </w:rPr>
        <w:t>في جملة أمور، على مسامع صاحب الشكوى الأول أثناء احتجازه في تشرين الثاني/نوفمبر ٢٠١٣. ويخلصون</w:t>
      </w:r>
      <w:r w:rsidRPr="00377B19">
        <w:rPr>
          <w:rFonts w:hint="cs"/>
          <w:sz w:val="30"/>
          <w:rtl/>
          <w:lang w:eastAsia="zh-TW"/>
        </w:rPr>
        <w:t>،</w:t>
      </w:r>
      <w:r w:rsidR="00521363" w:rsidRPr="00377B19">
        <w:rPr>
          <w:sz w:val="30"/>
          <w:rtl/>
          <w:lang w:eastAsia="zh-TW"/>
        </w:rPr>
        <w:t xml:space="preserve"> بالتالي، إلى أن المقالات تدعم مصداقية الإفادات التي أدلى بها صاحب ال</w:t>
      </w:r>
      <w:r w:rsidRPr="00377B19">
        <w:rPr>
          <w:sz w:val="30"/>
          <w:rtl/>
          <w:lang w:eastAsia="zh-TW"/>
        </w:rPr>
        <w:t>شكوى الأول أثناء إجراءات اللجوء</w:t>
      </w:r>
      <w:r w:rsidRPr="00377B19">
        <w:rPr>
          <w:rFonts w:hint="cs"/>
          <w:sz w:val="30"/>
          <w:vertAlign w:val="superscript"/>
          <w:rtl/>
          <w:lang w:eastAsia="zh-TW"/>
        </w:rPr>
        <w:t>(</w:t>
      </w:r>
      <w:r w:rsidR="00521363" w:rsidRPr="00377B19">
        <w:rPr>
          <w:rStyle w:val="FootnoteReference"/>
          <w:rFonts w:ascii="Traditional Arabic" w:hAnsi="Traditional Arabic"/>
          <w:sz w:val="30"/>
          <w:szCs w:val="30"/>
          <w:rtl/>
          <w:lang w:eastAsia="zh-TW"/>
        </w:rPr>
        <w:footnoteReference w:id="19"/>
      </w:r>
      <w:r w:rsidRPr="00377B19">
        <w:rPr>
          <w:rFonts w:hint="cs"/>
          <w:sz w:val="30"/>
          <w:vertAlign w:val="superscript"/>
          <w:rtl/>
          <w:lang w:eastAsia="zh-TW"/>
        </w:rPr>
        <w:t>)</w:t>
      </w:r>
      <w:r w:rsidRPr="00377B19">
        <w:rPr>
          <w:rFonts w:hint="cs"/>
          <w:sz w:val="30"/>
          <w:rtl/>
          <w:lang w:eastAsia="zh-TW"/>
        </w:rPr>
        <w:t>.</w:t>
      </w:r>
      <w:r w:rsidR="00521363" w:rsidRPr="00377B19">
        <w:rPr>
          <w:sz w:val="30"/>
          <w:rtl/>
          <w:lang w:eastAsia="zh-TW"/>
        </w:rPr>
        <w:t xml:space="preserve"> </w:t>
      </w:r>
    </w:p>
    <w:p w:rsidR="00521363" w:rsidRPr="00057267" w:rsidRDefault="00521363" w:rsidP="00CB0AA9">
      <w:pPr>
        <w:pStyle w:val="H23GA"/>
        <w:rPr>
          <w:rtl/>
        </w:rPr>
      </w:pPr>
      <w:r w:rsidRPr="00057267">
        <w:rPr>
          <w:rtl/>
        </w:rPr>
        <w:lastRenderedPageBreak/>
        <w:tab/>
      </w:r>
      <w:r w:rsidRPr="00057267">
        <w:rPr>
          <w:rtl/>
        </w:rPr>
        <w:tab/>
      </w:r>
      <w:dir w:val="rtl">
        <w:r w:rsidRPr="00057267">
          <w:rPr>
            <w:rtl/>
          </w:rPr>
          <w:t xml:space="preserve">ملاحظات إضافية </w:t>
        </w:r>
        <w:r>
          <w:rPr>
            <w:rtl/>
          </w:rPr>
          <w:t>مقدمة</w:t>
        </w:r>
        <w:r w:rsidRPr="00057267">
          <w:rPr>
            <w:rtl/>
          </w:rPr>
          <w:t xml:space="preserve"> </w:t>
        </w:r>
        <w:r>
          <w:rPr>
            <w:rtl/>
          </w:rPr>
          <w:t xml:space="preserve">من </w:t>
        </w:r>
        <w:r w:rsidRPr="00057267">
          <w:rPr>
            <w:rtl/>
          </w:rPr>
          <w:t>الطرف</w:t>
        </w:r>
        <w:r>
          <w:rPr>
            <w:rtl/>
          </w:rPr>
          <w:t>ي</w:t>
        </w:r>
        <w:r w:rsidRPr="00057267">
          <w:rPr>
            <w:rtl/>
          </w:rPr>
          <w:t>ن</w:t>
        </w:r>
        <w:r w:rsidRPr="00057267">
          <w:rPr>
            <w:rFonts w:cs="Times New Roman"/>
            <w:rtl/>
          </w:rPr>
          <w:t>‬</w:t>
        </w:r>
        <w:r>
          <w:t>‬</w:t>
        </w:r>
        <w:r w:rsidR="00D3340E">
          <w:t>‬</w:t>
        </w:r>
        <w:r w:rsidR="002C3FDD">
          <w:t>‬</w:t>
        </w:r>
      </w:dir>
    </w:p>
    <w:p w:rsidR="00521363" w:rsidRPr="00C40236" w:rsidRDefault="00521363" w:rsidP="00CB0AA9">
      <w:pPr>
        <w:pStyle w:val="H4GA"/>
        <w:rPr>
          <w:rtl/>
          <w:lang w:eastAsia="zh-TW"/>
        </w:rPr>
      </w:pPr>
      <w:r w:rsidRPr="00C40236">
        <w:rPr>
          <w:rtl/>
          <w:lang w:eastAsia="zh-TW"/>
        </w:rPr>
        <w:tab/>
      </w:r>
      <w:r w:rsidRPr="00C40236">
        <w:rPr>
          <w:rtl/>
          <w:lang w:eastAsia="zh-TW"/>
        </w:rPr>
        <w:tab/>
      </w:r>
      <w:r>
        <w:rPr>
          <w:rtl/>
          <w:lang w:eastAsia="zh-TW"/>
        </w:rPr>
        <w:t>ال</w:t>
      </w:r>
      <w:r w:rsidRPr="00C40236">
        <w:rPr>
          <w:rtl/>
          <w:lang w:eastAsia="zh-TW"/>
        </w:rPr>
        <w:t>ملاحظات</w:t>
      </w:r>
      <w:r>
        <w:rPr>
          <w:rtl/>
          <w:lang w:eastAsia="zh-TW"/>
        </w:rPr>
        <w:t xml:space="preserve"> المقدمة من</w:t>
      </w:r>
      <w:r w:rsidRPr="00C40236">
        <w:rPr>
          <w:rtl/>
          <w:lang w:eastAsia="zh-TW"/>
        </w:rPr>
        <w:t xml:space="preserve"> الدولة الطرف</w:t>
      </w:r>
    </w:p>
    <w:p w:rsidR="00521363" w:rsidRPr="008F5066" w:rsidRDefault="00CB0AA9" w:rsidP="002A4B7F">
      <w:pPr>
        <w:pStyle w:val="SingleTxtGA"/>
        <w:spacing w:line="360" w:lineRule="exact"/>
        <w:rPr>
          <w:rtl/>
          <w:lang w:eastAsia="zh-TW"/>
        </w:rPr>
      </w:pPr>
      <w:r>
        <w:rPr>
          <w:rtl/>
          <w:lang w:eastAsia="zh-TW"/>
        </w:rPr>
        <w:t>٦-١</w:t>
      </w:r>
      <w:r>
        <w:rPr>
          <w:rFonts w:hint="cs"/>
          <w:rtl/>
          <w:lang w:eastAsia="zh-TW"/>
        </w:rPr>
        <w:tab/>
      </w:r>
      <w:r w:rsidR="00521363">
        <w:rPr>
          <w:rtl/>
          <w:lang w:eastAsia="zh-TW"/>
        </w:rPr>
        <w:t>ادعت</w:t>
      </w:r>
      <w:r w:rsidR="00521363" w:rsidRPr="008F5066">
        <w:rPr>
          <w:rtl/>
          <w:lang w:eastAsia="zh-TW"/>
        </w:rPr>
        <w:t xml:space="preserve"> الدولة الطرف، في ٨ نيسان/أبريل ٢٠١٦، أن </w:t>
      </w:r>
      <w:r w:rsidR="00521363">
        <w:rPr>
          <w:rtl/>
          <w:lang w:eastAsia="zh-TW"/>
        </w:rPr>
        <w:t>أصحاب</w:t>
      </w:r>
      <w:r w:rsidR="00521363" w:rsidRPr="008F5066">
        <w:rPr>
          <w:rtl/>
          <w:lang w:eastAsia="zh-TW"/>
        </w:rPr>
        <w:t xml:space="preserve"> الشكوى طلب</w:t>
      </w:r>
      <w:r w:rsidR="00521363">
        <w:rPr>
          <w:rtl/>
          <w:lang w:eastAsia="zh-TW"/>
        </w:rPr>
        <w:t>و</w:t>
      </w:r>
      <w:r w:rsidR="00521363" w:rsidRPr="008F5066">
        <w:rPr>
          <w:rtl/>
          <w:lang w:eastAsia="zh-TW"/>
        </w:rPr>
        <w:t xml:space="preserve">ا إلى مجلس طعون اللاجئين، في 24 تشرين الأول/أكتوبر ٢٠١٤، إعادة فتح إجراءات اللجوء بهدف منح اللجوء </w:t>
      </w:r>
      <w:r w:rsidR="00521363">
        <w:rPr>
          <w:rtl/>
          <w:lang w:eastAsia="zh-TW"/>
        </w:rPr>
        <w:t>لأصحاب</w:t>
      </w:r>
      <w:r w:rsidR="00521363" w:rsidRPr="008F5066">
        <w:rPr>
          <w:rtl/>
          <w:lang w:eastAsia="zh-TW"/>
        </w:rPr>
        <w:t xml:space="preserve"> الشكوى أو إ</w:t>
      </w:r>
      <w:r w:rsidR="00521363">
        <w:rPr>
          <w:rtl/>
          <w:lang w:eastAsia="zh-TW"/>
        </w:rPr>
        <w:t>جراء الفحص الطبي لصاحب</w:t>
      </w:r>
      <w:r w:rsidR="00521363" w:rsidRPr="008F5066">
        <w:rPr>
          <w:rtl/>
          <w:lang w:eastAsia="zh-TW"/>
        </w:rPr>
        <w:t xml:space="preserve"> الشكوى الأول لمعاينة علامات التعذيب، إذا </w:t>
      </w:r>
      <w:r w:rsidR="00521363">
        <w:rPr>
          <w:rtl/>
          <w:lang w:eastAsia="zh-TW"/>
        </w:rPr>
        <w:t xml:space="preserve">ما </w:t>
      </w:r>
      <w:r w:rsidR="00521363" w:rsidRPr="008F5066">
        <w:rPr>
          <w:rtl/>
          <w:lang w:eastAsia="zh-TW"/>
        </w:rPr>
        <w:t>تعذر ذلك. وفي 11 آب/أغسطس ٢٠١٥، قدم</w:t>
      </w:r>
      <w:r w:rsidR="00521363">
        <w:rPr>
          <w:rtl/>
          <w:lang w:eastAsia="zh-TW"/>
        </w:rPr>
        <w:t>و</w:t>
      </w:r>
      <w:r w:rsidR="00521363" w:rsidRPr="008F5066">
        <w:rPr>
          <w:rtl/>
          <w:lang w:eastAsia="zh-TW"/>
        </w:rPr>
        <w:t>ا إلى مجلس الطعون السجلات الطبية المتعلقة ب</w:t>
      </w:r>
      <w:r w:rsidR="00521363">
        <w:rPr>
          <w:rtl/>
          <w:lang w:eastAsia="zh-TW"/>
        </w:rPr>
        <w:t>صاحب</w:t>
      </w:r>
      <w:r w:rsidR="00521363" w:rsidRPr="008F5066">
        <w:rPr>
          <w:rtl/>
          <w:lang w:eastAsia="zh-TW"/>
        </w:rPr>
        <w:t xml:space="preserve"> الشكوى الأول، </w:t>
      </w:r>
      <w:r w:rsidR="00521363">
        <w:rPr>
          <w:rtl/>
          <w:lang w:eastAsia="zh-TW"/>
        </w:rPr>
        <w:t>و</w:t>
      </w:r>
      <w:r w:rsidR="00521363" w:rsidRPr="008F5066">
        <w:rPr>
          <w:rtl/>
          <w:lang w:eastAsia="zh-TW"/>
        </w:rPr>
        <w:t xml:space="preserve">التي تبين أنه يعاني من مشاكل نفسية خطيرة وأنه خضع للعلاج النفسي فترة طويلة من الزمن. </w:t>
      </w:r>
    </w:p>
    <w:p w:rsidR="00521363" w:rsidRPr="008F5066" w:rsidRDefault="00CB0AA9" w:rsidP="002A4B7F">
      <w:pPr>
        <w:pStyle w:val="SingleTxtGA"/>
        <w:spacing w:line="360" w:lineRule="exact"/>
        <w:rPr>
          <w:rtl/>
          <w:lang w:eastAsia="zh-TW"/>
        </w:rPr>
      </w:pPr>
      <w:r>
        <w:rPr>
          <w:rtl/>
          <w:lang w:eastAsia="zh-TW"/>
        </w:rPr>
        <w:t>٦-٢</w:t>
      </w:r>
      <w:r>
        <w:tab/>
      </w:r>
      <w:r w:rsidR="00521363" w:rsidRPr="008F5066">
        <w:rPr>
          <w:rtl/>
          <w:lang w:eastAsia="zh-TW"/>
        </w:rPr>
        <w:t>وفي 2 تشرين الأول/أكتوبر 2015، رفض مجلس طعون اللاجئين إعادة فتح إجراءات اللجوء.</w:t>
      </w:r>
      <w:r w:rsidR="00521363" w:rsidRPr="008F5066">
        <w:rPr>
          <w:rFonts w:cs="Times New Roman"/>
          <w:rtl/>
          <w:lang w:eastAsia="zh-TW"/>
        </w:rPr>
        <w:t>‬</w:t>
      </w:r>
      <w:r w:rsidR="00521363" w:rsidRPr="008F5066">
        <w:rPr>
          <w:rtl/>
          <w:lang w:eastAsia="zh-TW"/>
        </w:rPr>
        <w:t xml:space="preserve"> وأشار المجلس في تبرير قراره بالامتناع</w:t>
      </w:r>
      <w:r w:rsidR="00521363">
        <w:rPr>
          <w:rtl/>
          <w:lang w:eastAsia="zh-TW"/>
        </w:rPr>
        <w:t>،</w:t>
      </w:r>
      <w:r w:rsidR="00521363" w:rsidRPr="008F5066">
        <w:rPr>
          <w:rtl/>
          <w:lang w:eastAsia="zh-TW"/>
        </w:rPr>
        <w:t xml:space="preserve"> </w:t>
      </w:r>
      <w:r w:rsidR="00521363">
        <w:rPr>
          <w:rtl/>
          <w:lang w:eastAsia="zh-TW"/>
        </w:rPr>
        <w:t>لل</w:t>
      </w:r>
      <w:r w:rsidR="00521363" w:rsidRPr="008F5066">
        <w:rPr>
          <w:rtl/>
          <w:lang w:eastAsia="zh-TW"/>
        </w:rPr>
        <w:t xml:space="preserve">مرة </w:t>
      </w:r>
      <w:r w:rsidR="00521363">
        <w:rPr>
          <w:rtl/>
          <w:lang w:eastAsia="zh-TW"/>
        </w:rPr>
        <w:t>الث</w:t>
      </w:r>
      <w:r w:rsidR="00521363" w:rsidRPr="008F5066">
        <w:rPr>
          <w:rtl/>
          <w:lang w:eastAsia="zh-TW"/>
        </w:rPr>
        <w:t>انية</w:t>
      </w:r>
      <w:r w:rsidR="00521363">
        <w:rPr>
          <w:rtl/>
          <w:lang w:eastAsia="zh-TW"/>
        </w:rPr>
        <w:t>،</w:t>
      </w:r>
      <w:r w:rsidR="00521363" w:rsidRPr="008F5066">
        <w:rPr>
          <w:rtl/>
          <w:lang w:eastAsia="zh-TW"/>
        </w:rPr>
        <w:t xml:space="preserve"> عن إجراء فحص طبي ل</w:t>
      </w:r>
      <w:r w:rsidR="00521363">
        <w:rPr>
          <w:rtl/>
          <w:lang w:eastAsia="zh-TW"/>
        </w:rPr>
        <w:t>صاحب</w:t>
      </w:r>
      <w:r w:rsidR="00521363" w:rsidRPr="008F5066">
        <w:rPr>
          <w:rtl/>
          <w:lang w:eastAsia="zh-TW"/>
        </w:rPr>
        <w:t xml:space="preserve"> الشكوى الأول لمعاينة علامات التعذيب، إلى التعليل الذي ضم</w:t>
      </w:r>
      <w:r w:rsidR="00521363">
        <w:rPr>
          <w:rtl/>
          <w:lang w:eastAsia="zh-TW"/>
        </w:rPr>
        <w:t>َّ</w:t>
      </w:r>
      <w:r w:rsidR="00521363" w:rsidRPr="008F5066">
        <w:rPr>
          <w:rtl/>
          <w:lang w:eastAsia="zh-TW"/>
        </w:rPr>
        <w:t xml:space="preserve">نه القرار الصادر في ١٢ أيلول/سبتمبر ٢٠١٤ (انظر الفقرتيْن ٤-١١ </w:t>
      </w:r>
      <w:r>
        <w:rPr>
          <w:rFonts w:hint="cs"/>
          <w:rtl/>
          <w:lang w:eastAsia="zh-TW"/>
        </w:rPr>
        <w:t>و</w:t>
      </w:r>
      <w:r w:rsidR="00521363" w:rsidRPr="008F5066">
        <w:rPr>
          <w:rtl/>
          <w:lang w:eastAsia="zh-TW"/>
        </w:rPr>
        <w:t xml:space="preserve">٤-١٢). وأكد المجلس خلو </w:t>
      </w:r>
      <w:r>
        <w:rPr>
          <w:rFonts w:hint="cs"/>
          <w:rtl/>
          <w:lang w:eastAsia="zh-TW"/>
        </w:rPr>
        <w:t>ال</w:t>
      </w:r>
      <w:r w:rsidR="00521363" w:rsidRPr="008F5066">
        <w:rPr>
          <w:rtl/>
          <w:lang w:eastAsia="zh-TW"/>
        </w:rPr>
        <w:t xml:space="preserve">طلب </w:t>
      </w:r>
      <w:r>
        <w:rPr>
          <w:rFonts w:hint="cs"/>
          <w:rtl/>
          <w:lang w:eastAsia="zh-TW"/>
        </w:rPr>
        <w:t xml:space="preserve">الذي قدمه </w:t>
      </w:r>
      <w:r w:rsidR="00521363">
        <w:rPr>
          <w:rtl/>
          <w:lang w:eastAsia="zh-TW"/>
        </w:rPr>
        <w:t>أصحاب</w:t>
      </w:r>
      <w:r w:rsidR="00521363" w:rsidRPr="008F5066">
        <w:rPr>
          <w:rtl/>
          <w:lang w:eastAsia="zh-TW"/>
        </w:rPr>
        <w:t xml:space="preserve"> الشكوى </w:t>
      </w:r>
      <w:r>
        <w:rPr>
          <w:rFonts w:hint="cs"/>
          <w:rtl/>
          <w:lang w:eastAsia="zh-TW"/>
        </w:rPr>
        <w:t>ب</w:t>
      </w:r>
      <w:r w:rsidR="00521363" w:rsidRPr="008F5066">
        <w:rPr>
          <w:rtl/>
          <w:lang w:eastAsia="zh-TW"/>
        </w:rPr>
        <w:t>إعادة</w:t>
      </w:r>
      <w:r w:rsidR="00521363">
        <w:rPr>
          <w:rtl/>
          <w:lang w:eastAsia="zh-TW"/>
        </w:rPr>
        <w:t>َ</w:t>
      </w:r>
      <w:r w:rsidR="00521363" w:rsidRPr="008F5066">
        <w:rPr>
          <w:rtl/>
          <w:lang w:eastAsia="zh-TW"/>
        </w:rPr>
        <w:t xml:space="preserve"> فتح إجراءات اللجوء وخلو الشكوى التي قدم</w:t>
      </w:r>
      <w:r w:rsidR="00521363">
        <w:rPr>
          <w:rtl/>
          <w:lang w:eastAsia="zh-TW"/>
        </w:rPr>
        <w:t>و</w:t>
      </w:r>
      <w:r w:rsidR="00521363" w:rsidRPr="008F5066">
        <w:rPr>
          <w:rtl/>
          <w:lang w:eastAsia="zh-TW"/>
        </w:rPr>
        <w:t xml:space="preserve">ها إلى اللجنة من أي معلومات أساسية جديدة من شأنها أن </w:t>
      </w:r>
      <w:r w:rsidR="00521363">
        <w:rPr>
          <w:rtl/>
          <w:lang w:eastAsia="zh-TW"/>
        </w:rPr>
        <w:t>تغير شيئ</w:t>
      </w:r>
      <w:r w:rsidR="002D164F">
        <w:rPr>
          <w:rtl/>
          <w:lang w:eastAsia="zh-TW"/>
        </w:rPr>
        <w:t xml:space="preserve">اً </w:t>
      </w:r>
      <w:r w:rsidR="00521363" w:rsidRPr="008F5066">
        <w:rPr>
          <w:rtl/>
          <w:lang w:eastAsia="zh-TW"/>
        </w:rPr>
        <w:t xml:space="preserve">في نتيجة </w:t>
      </w:r>
      <w:r w:rsidR="00521363">
        <w:rPr>
          <w:rtl/>
          <w:lang w:eastAsia="zh-TW"/>
        </w:rPr>
        <w:t>ال</w:t>
      </w:r>
      <w:r w:rsidR="00521363" w:rsidRPr="008F5066">
        <w:rPr>
          <w:rtl/>
          <w:lang w:eastAsia="zh-TW"/>
        </w:rPr>
        <w:t xml:space="preserve">تقييم </w:t>
      </w:r>
      <w:r w:rsidR="00521363">
        <w:rPr>
          <w:rtl/>
          <w:lang w:eastAsia="zh-TW"/>
        </w:rPr>
        <w:t>الذي أجري ل</w:t>
      </w:r>
      <w:r w:rsidR="00521363" w:rsidRPr="008F5066">
        <w:rPr>
          <w:rtl/>
          <w:lang w:eastAsia="zh-TW"/>
        </w:rPr>
        <w:t xml:space="preserve">مصداقية </w:t>
      </w:r>
      <w:r w:rsidR="00521363">
        <w:rPr>
          <w:rtl/>
          <w:lang w:eastAsia="zh-TW"/>
        </w:rPr>
        <w:t>ا</w:t>
      </w:r>
      <w:r w:rsidR="00521363" w:rsidRPr="008F5066">
        <w:rPr>
          <w:rtl/>
          <w:lang w:eastAsia="zh-TW"/>
        </w:rPr>
        <w:t xml:space="preserve">لمعلومات </w:t>
      </w:r>
      <w:r w:rsidR="00521363">
        <w:rPr>
          <w:rtl/>
          <w:lang w:eastAsia="zh-TW"/>
        </w:rPr>
        <w:t xml:space="preserve">المقدمة من أصحاب الشكوى </w:t>
      </w:r>
      <w:r w:rsidR="00521363" w:rsidRPr="008F5066">
        <w:rPr>
          <w:rtl/>
          <w:lang w:eastAsia="zh-TW"/>
        </w:rPr>
        <w:t>بشأن أسباب طلب</w:t>
      </w:r>
      <w:r w:rsidR="00521363">
        <w:rPr>
          <w:rtl/>
          <w:lang w:eastAsia="zh-TW"/>
        </w:rPr>
        <w:t>هم</w:t>
      </w:r>
      <w:r w:rsidR="00521363" w:rsidRPr="008F5066">
        <w:rPr>
          <w:rtl/>
          <w:lang w:eastAsia="zh-TW"/>
        </w:rPr>
        <w:t xml:space="preserve"> اللجوء.</w:t>
      </w:r>
      <w:r w:rsidR="00521363">
        <w:t>‬</w:t>
      </w:r>
    </w:p>
    <w:p w:rsidR="00521363" w:rsidRPr="008F5066" w:rsidRDefault="00CB0AA9" w:rsidP="002A4B7F">
      <w:pPr>
        <w:pStyle w:val="SingleTxtGA"/>
        <w:spacing w:line="360" w:lineRule="exact"/>
        <w:rPr>
          <w:rtl/>
          <w:lang w:eastAsia="zh-TW"/>
        </w:rPr>
      </w:pPr>
      <w:r>
        <w:rPr>
          <w:rtl/>
          <w:lang w:eastAsia="zh-TW"/>
        </w:rPr>
        <w:t>٦-٣</w:t>
      </w:r>
      <w:r>
        <w:rPr>
          <w:rFonts w:hint="cs"/>
          <w:rtl/>
          <w:lang w:eastAsia="zh-TW"/>
        </w:rPr>
        <w:tab/>
      </w:r>
      <w:r w:rsidR="00521363" w:rsidRPr="008F5066">
        <w:rPr>
          <w:rtl/>
          <w:lang w:eastAsia="zh-TW"/>
        </w:rPr>
        <w:t xml:space="preserve">أما فيما يخص تعليقات </w:t>
      </w:r>
      <w:r w:rsidR="00521363">
        <w:rPr>
          <w:rtl/>
          <w:lang w:eastAsia="zh-TW"/>
        </w:rPr>
        <w:t>أصحاب</w:t>
      </w:r>
      <w:r w:rsidR="00521363" w:rsidRPr="008F5066">
        <w:rPr>
          <w:rtl/>
          <w:lang w:eastAsia="zh-TW"/>
        </w:rPr>
        <w:t xml:space="preserve"> الشكوى المؤرخة 11 تشرين الأول/أكتوبر ٢٠١٥، فإن الدولة الطرف </w:t>
      </w:r>
      <w:r w:rsidR="00521363">
        <w:rPr>
          <w:rtl/>
          <w:lang w:eastAsia="zh-TW"/>
        </w:rPr>
        <w:t>تدعي</w:t>
      </w:r>
      <w:r w:rsidR="00521363" w:rsidRPr="008F5066">
        <w:rPr>
          <w:rtl/>
          <w:lang w:eastAsia="zh-TW"/>
        </w:rPr>
        <w:t xml:space="preserve"> أنها تشير بصفة عامة إلى ملاحظاتها المؤرخة ١٤ نيسان/</w:t>
      </w:r>
      <w:r>
        <w:rPr>
          <w:rFonts w:hint="cs"/>
          <w:rtl/>
          <w:lang w:eastAsia="zh-TW"/>
        </w:rPr>
        <w:t xml:space="preserve">          </w:t>
      </w:r>
      <w:r w:rsidR="00521363" w:rsidRPr="008F5066">
        <w:rPr>
          <w:rtl/>
          <w:lang w:eastAsia="zh-TW"/>
        </w:rPr>
        <w:t xml:space="preserve">أبريل ٢٠١٥. وفيما يتعلق </w:t>
      </w:r>
      <w:r w:rsidR="00521363">
        <w:rPr>
          <w:rtl/>
          <w:lang w:eastAsia="zh-TW"/>
        </w:rPr>
        <w:t>بالرسالتين</w:t>
      </w:r>
      <w:r w:rsidR="00521363" w:rsidRPr="008F5066">
        <w:rPr>
          <w:rtl/>
          <w:lang w:eastAsia="zh-TW"/>
        </w:rPr>
        <w:t xml:space="preserve"> الوارد</w:t>
      </w:r>
      <w:r w:rsidR="00521363">
        <w:rPr>
          <w:rtl/>
          <w:lang w:eastAsia="zh-TW"/>
        </w:rPr>
        <w:t>تين</w:t>
      </w:r>
      <w:r w:rsidR="00521363" w:rsidRPr="008F5066">
        <w:rPr>
          <w:rtl/>
          <w:lang w:eastAsia="zh-TW"/>
        </w:rPr>
        <w:t xml:space="preserve"> من الجيران والتي أشار إليه</w:t>
      </w:r>
      <w:r w:rsidR="00521363">
        <w:rPr>
          <w:rtl/>
          <w:lang w:eastAsia="zh-TW"/>
        </w:rPr>
        <w:t>م</w:t>
      </w:r>
      <w:r w:rsidR="00521363" w:rsidRPr="008F5066">
        <w:rPr>
          <w:rtl/>
          <w:lang w:eastAsia="zh-TW"/>
        </w:rPr>
        <w:t xml:space="preserve">ا </w:t>
      </w:r>
      <w:r w:rsidR="00521363">
        <w:rPr>
          <w:rtl/>
          <w:lang w:eastAsia="zh-TW"/>
        </w:rPr>
        <w:t>أصحاب</w:t>
      </w:r>
      <w:r w:rsidR="00521363" w:rsidRPr="008F5066">
        <w:rPr>
          <w:rtl/>
          <w:lang w:eastAsia="zh-TW"/>
        </w:rPr>
        <w:t xml:space="preserve"> الشكوى (انظر الفقرة ٥-٤)، </w:t>
      </w:r>
      <w:r w:rsidR="00521363">
        <w:rPr>
          <w:rtl/>
          <w:lang w:eastAsia="zh-TW"/>
        </w:rPr>
        <w:t>تدعي</w:t>
      </w:r>
      <w:r w:rsidR="00521363" w:rsidRPr="008F5066">
        <w:rPr>
          <w:rtl/>
          <w:lang w:eastAsia="zh-TW"/>
        </w:rPr>
        <w:t xml:space="preserve"> الدولة الطرف أن المجلس لم يتلق نسخ</w:t>
      </w:r>
      <w:r w:rsidR="002D164F">
        <w:rPr>
          <w:rtl/>
          <w:lang w:eastAsia="zh-TW"/>
        </w:rPr>
        <w:t xml:space="preserve">اً </w:t>
      </w:r>
      <w:r w:rsidR="00521363" w:rsidRPr="008F5066">
        <w:rPr>
          <w:rtl/>
          <w:lang w:eastAsia="zh-TW"/>
        </w:rPr>
        <w:t xml:space="preserve">من </w:t>
      </w:r>
      <w:r w:rsidR="00521363">
        <w:rPr>
          <w:rtl/>
          <w:lang w:eastAsia="zh-TW"/>
        </w:rPr>
        <w:t>هاتين الرسالتين</w:t>
      </w:r>
      <w:r w:rsidR="00521363" w:rsidRPr="008F5066">
        <w:rPr>
          <w:rtl/>
          <w:lang w:eastAsia="zh-TW"/>
        </w:rPr>
        <w:t xml:space="preserve"> إلا</w:t>
      </w:r>
      <w:r w:rsidR="002D164F">
        <w:rPr>
          <w:rFonts w:hint="cs"/>
          <w:rtl/>
          <w:lang w:eastAsia="zh-TW"/>
        </w:rPr>
        <w:t> </w:t>
      </w:r>
      <w:r w:rsidR="00521363" w:rsidRPr="008F5066">
        <w:rPr>
          <w:rtl/>
          <w:lang w:eastAsia="zh-TW"/>
        </w:rPr>
        <w:t>في</w:t>
      </w:r>
      <w:r>
        <w:rPr>
          <w:rFonts w:hint="cs"/>
          <w:rtl/>
          <w:lang w:eastAsia="zh-TW"/>
        </w:rPr>
        <w:t> </w:t>
      </w:r>
      <w:r w:rsidR="00521363" w:rsidRPr="008F5066">
        <w:rPr>
          <w:rtl/>
          <w:lang w:eastAsia="zh-TW"/>
        </w:rPr>
        <w:t xml:space="preserve">١٦ تشرين الأول/أكتوبر ٢٠١٤، </w:t>
      </w:r>
      <w:r w:rsidR="00521363">
        <w:rPr>
          <w:rtl/>
          <w:lang w:eastAsia="zh-TW"/>
        </w:rPr>
        <w:t xml:space="preserve">وتزعم </w:t>
      </w:r>
      <w:r>
        <w:rPr>
          <w:rtl/>
          <w:lang w:eastAsia="zh-TW"/>
        </w:rPr>
        <w:t>أنه لا يمكن إعطا</w:t>
      </w:r>
      <w:r>
        <w:rPr>
          <w:rFonts w:hint="cs"/>
          <w:rtl/>
          <w:lang w:eastAsia="zh-TW"/>
        </w:rPr>
        <w:t>ؤ</w:t>
      </w:r>
      <w:r w:rsidR="00521363" w:rsidRPr="008F5066">
        <w:rPr>
          <w:rtl/>
          <w:lang w:eastAsia="zh-TW"/>
        </w:rPr>
        <w:t>ه</w:t>
      </w:r>
      <w:r w:rsidR="00521363">
        <w:rPr>
          <w:rtl/>
          <w:lang w:eastAsia="zh-TW"/>
        </w:rPr>
        <w:t>م</w:t>
      </w:r>
      <w:r w:rsidR="00521363" w:rsidRPr="008F5066">
        <w:rPr>
          <w:rtl/>
          <w:lang w:eastAsia="zh-TW"/>
        </w:rPr>
        <w:t>ا أي قيمة إثباتية لأنه</w:t>
      </w:r>
      <w:r w:rsidR="00521363">
        <w:rPr>
          <w:rtl/>
          <w:lang w:eastAsia="zh-TW"/>
        </w:rPr>
        <w:t>م</w:t>
      </w:r>
      <w:r w:rsidR="00521363" w:rsidRPr="008F5066">
        <w:rPr>
          <w:rtl/>
          <w:lang w:eastAsia="zh-TW"/>
        </w:rPr>
        <w:t>ا كتبت</w:t>
      </w:r>
      <w:r w:rsidR="00521363">
        <w:rPr>
          <w:rtl/>
          <w:lang w:eastAsia="zh-TW"/>
        </w:rPr>
        <w:t>ا</w:t>
      </w:r>
      <w:r w:rsidR="00521363" w:rsidRPr="008F5066">
        <w:rPr>
          <w:rtl/>
          <w:lang w:eastAsia="zh-TW"/>
        </w:rPr>
        <w:t>، فيما يبدو، دعم</w:t>
      </w:r>
      <w:r w:rsidR="002D164F">
        <w:rPr>
          <w:rtl/>
          <w:lang w:eastAsia="zh-TW"/>
        </w:rPr>
        <w:t xml:space="preserve">اً </w:t>
      </w:r>
      <w:r w:rsidR="00521363" w:rsidRPr="008F5066">
        <w:rPr>
          <w:rtl/>
          <w:lang w:eastAsia="zh-TW"/>
        </w:rPr>
        <w:t xml:space="preserve">لقضية </w:t>
      </w:r>
      <w:r w:rsidR="00521363">
        <w:rPr>
          <w:rtl/>
          <w:lang w:eastAsia="zh-TW"/>
        </w:rPr>
        <w:t xml:space="preserve">أصحاب </w:t>
      </w:r>
      <w:r w:rsidR="00521363" w:rsidRPr="008F5066">
        <w:rPr>
          <w:rtl/>
          <w:lang w:eastAsia="zh-TW"/>
        </w:rPr>
        <w:t xml:space="preserve">الشكوى. </w:t>
      </w:r>
    </w:p>
    <w:p w:rsidR="00521363" w:rsidRPr="008F5066" w:rsidRDefault="00CB0AA9" w:rsidP="002A4B7F">
      <w:pPr>
        <w:pStyle w:val="SingleTxtGA"/>
        <w:spacing w:line="360" w:lineRule="exact"/>
        <w:rPr>
          <w:rtl/>
          <w:lang w:eastAsia="zh-TW"/>
        </w:rPr>
      </w:pPr>
      <w:r>
        <w:rPr>
          <w:rtl/>
          <w:lang w:eastAsia="zh-TW"/>
        </w:rPr>
        <w:t>٦-٤</w:t>
      </w:r>
      <w:r>
        <w:rPr>
          <w:rFonts w:hint="cs"/>
          <w:rtl/>
          <w:lang w:eastAsia="zh-TW"/>
        </w:rPr>
        <w:tab/>
      </w:r>
      <w:r w:rsidR="00521363" w:rsidRPr="008F5066">
        <w:rPr>
          <w:rtl/>
          <w:lang w:eastAsia="zh-TW"/>
        </w:rPr>
        <w:t xml:space="preserve">وفيما يتعلق بتقرير الفريق الطبي لفرع منظمة العفو الدولية في الدانمرك بشأن فحص </w:t>
      </w:r>
      <w:r w:rsidR="00521363">
        <w:rPr>
          <w:rtl/>
          <w:lang w:eastAsia="zh-TW"/>
        </w:rPr>
        <w:t>صاحب</w:t>
      </w:r>
      <w:r w:rsidR="00521363" w:rsidRPr="008F5066">
        <w:rPr>
          <w:rtl/>
          <w:lang w:eastAsia="zh-TW"/>
        </w:rPr>
        <w:t xml:space="preserve"> الشكوى الأول لمعاينة علامات التعذيب، </w:t>
      </w:r>
      <w:r w:rsidR="00521363">
        <w:rPr>
          <w:rtl/>
          <w:lang w:eastAsia="zh-TW"/>
        </w:rPr>
        <w:t>تدعي</w:t>
      </w:r>
      <w:r w:rsidR="00521363" w:rsidRPr="008F5066">
        <w:rPr>
          <w:rtl/>
          <w:lang w:eastAsia="zh-TW"/>
        </w:rPr>
        <w:t xml:space="preserve"> الدولة الطرف أن هذا التقرير لا يمكن أن </w:t>
      </w:r>
      <w:r w:rsidR="00521363">
        <w:rPr>
          <w:rtl/>
          <w:lang w:eastAsia="zh-TW"/>
        </w:rPr>
        <w:t>يغير شيئ</w:t>
      </w:r>
      <w:r w:rsidR="002D164F">
        <w:rPr>
          <w:rtl/>
          <w:lang w:eastAsia="zh-TW"/>
        </w:rPr>
        <w:t xml:space="preserve">اً </w:t>
      </w:r>
      <w:r w:rsidR="00521363">
        <w:rPr>
          <w:rtl/>
          <w:lang w:eastAsia="zh-TW"/>
        </w:rPr>
        <w:t>في ال</w:t>
      </w:r>
      <w:r w:rsidR="00521363" w:rsidRPr="008F5066">
        <w:rPr>
          <w:rtl/>
          <w:lang w:eastAsia="zh-TW"/>
        </w:rPr>
        <w:t xml:space="preserve">تقييم </w:t>
      </w:r>
      <w:r w:rsidR="00521363">
        <w:rPr>
          <w:rtl/>
          <w:lang w:eastAsia="zh-TW"/>
        </w:rPr>
        <w:t>الذي أجري</w:t>
      </w:r>
      <w:r w:rsidR="00521363" w:rsidRPr="008F5066">
        <w:rPr>
          <w:rtl/>
          <w:lang w:eastAsia="zh-TW"/>
        </w:rPr>
        <w:t xml:space="preserve"> لمصداقية إفادات </w:t>
      </w:r>
      <w:r w:rsidR="00521363">
        <w:rPr>
          <w:rtl/>
          <w:lang w:eastAsia="zh-TW"/>
        </w:rPr>
        <w:t>أصحاب</w:t>
      </w:r>
      <w:r w:rsidR="00521363" w:rsidRPr="008F5066">
        <w:rPr>
          <w:rtl/>
          <w:lang w:eastAsia="zh-TW"/>
        </w:rPr>
        <w:t xml:space="preserve"> الشكوى. </w:t>
      </w:r>
      <w:r w:rsidR="00521363">
        <w:rPr>
          <w:rtl/>
          <w:lang w:eastAsia="zh-TW"/>
        </w:rPr>
        <w:t>وتُقرُّ</w:t>
      </w:r>
      <w:r w:rsidR="00521363" w:rsidRPr="008F5066">
        <w:rPr>
          <w:rtl/>
          <w:lang w:eastAsia="zh-TW"/>
        </w:rPr>
        <w:t xml:space="preserve"> الدولة الطرف بأن نتائج الفحص الذي أجري لمعاينة علامات التعذيب، والذي يثبت أن </w:t>
      </w:r>
      <w:r w:rsidR="00521363">
        <w:rPr>
          <w:rtl/>
          <w:lang w:eastAsia="zh-TW"/>
        </w:rPr>
        <w:t>صاحب</w:t>
      </w:r>
      <w:r w:rsidR="00521363" w:rsidRPr="008F5066">
        <w:rPr>
          <w:rtl/>
          <w:lang w:eastAsia="zh-TW"/>
        </w:rPr>
        <w:t xml:space="preserve"> الشكوى الأول يعاني من تغلُّظ عظم </w:t>
      </w:r>
      <w:proofErr w:type="spellStart"/>
      <w:r w:rsidR="00521363" w:rsidRPr="008F5066">
        <w:rPr>
          <w:rtl/>
          <w:lang w:eastAsia="zh-TW"/>
        </w:rPr>
        <w:t>الظنبوبين</w:t>
      </w:r>
      <w:proofErr w:type="spellEnd"/>
      <w:r w:rsidR="00521363" w:rsidRPr="008F5066">
        <w:rPr>
          <w:rtl/>
          <w:lang w:eastAsia="zh-TW"/>
        </w:rPr>
        <w:t xml:space="preserve"> نتيجة إصابة الس</w:t>
      </w:r>
      <w:r w:rsidR="00521363">
        <w:rPr>
          <w:rtl/>
          <w:lang w:eastAsia="zh-TW"/>
        </w:rPr>
        <w:t>ِّ</w:t>
      </w:r>
      <w:r w:rsidR="00521363" w:rsidRPr="008F5066">
        <w:rPr>
          <w:rtl/>
          <w:lang w:eastAsia="zh-TW"/>
        </w:rPr>
        <w:t>م</w:t>
      </w:r>
      <w:r w:rsidR="00521363">
        <w:rPr>
          <w:rtl/>
          <w:lang w:eastAsia="zh-TW"/>
        </w:rPr>
        <w:t>ْ</w:t>
      </w:r>
      <w:r w:rsidR="00521363" w:rsidRPr="008F5066">
        <w:rPr>
          <w:rtl/>
          <w:lang w:eastAsia="zh-TW"/>
        </w:rPr>
        <w:t xml:space="preserve">حاق </w:t>
      </w:r>
      <w:proofErr w:type="spellStart"/>
      <w:r>
        <w:rPr>
          <w:rFonts w:hint="cs"/>
          <w:rtl/>
          <w:lang w:eastAsia="zh-TW"/>
        </w:rPr>
        <w:t>برضوح</w:t>
      </w:r>
      <w:proofErr w:type="spellEnd"/>
      <w:r w:rsidR="00521363" w:rsidRPr="008F5066">
        <w:rPr>
          <w:rtl/>
          <w:lang w:eastAsia="zh-TW"/>
        </w:rPr>
        <w:t xml:space="preserve">، مطابقة للوصف الذي قدمه </w:t>
      </w:r>
      <w:r w:rsidR="00521363">
        <w:rPr>
          <w:rtl/>
          <w:lang w:eastAsia="zh-TW"/>
        </w:rPr>
        <w:t>صاحب</w:t>
      </w:r>
      <w:r w:rsidR="00521363" w:rsidRPr="008F5066">
        <w:rPr>
          <w:rtl/>
          <w:lang w:eastAsia="zh-TW"/>
        </w:rPr>
        <w:t xml:space="preserve"> الشكوى الأول لما </w:t>
      </w:r>
      <w:r w:rsidR="00521363">
        <w:rPr>
          <w:rtl/>
          <w:lang w:eastAsia="zh-TW"/>
        </w:rPr>
        <w:t>تعرض له من</w:t>
      </w:r>
      <w:r w:rsidR="00521363" w:rsidRPr="008F5066">
        <w:rPr>
          <w:rtl/>
          <w:lang w:eastAsia="zh-TW"/>
        </w:rPr>
        <w:t xml:space="preserve"> تعذيب، غير أن ذلك لا يعني أنه تعرض للإيذاء البدني و/أو النفسي الذي استند إليه في تبرير طلبه اللجوء.</w:t>
      </w:r>
    </w:p>
    <w:p w:rsidR="00521363" w:rsidRPr="008F5066" w:rsidRDefault="00377B19" w:rsidP="002A4B7F">
      <w:pPr>
        <w:pStyle w:val="SingleTxtGA"/>
        <w:spacing w:line="360" w:lineRule="exact"/>
        <w:rPr>
          <w:rtl/>
          <w:lang w:eastAsia="zh-TW"/>
        </w:rPr>
      </w:pPr>
      <w:r>
        <w:rPr>
          <w:rtl/>
          <w:lang w:eastAsia="zh-TW"/>
        </w:rPr>
        <w:t>٦-٥</w:t>
      </w:r>
      <w:r>
        <w:rPr>
          <w:rFonts w:hint="cs"/>
          <w:rtl/>
          <w:lang w:eastAsia="zh-TW"/>
        </w:rPr>
        <w:tab/>
      </w:r>
      <w:r w:rsidR="00521363" w:rsidRPr="008F5066">
        <w:rPr>
          <w:rtl/>
          <w:lang w:eastAsia="zh-TW"/>
        </w:rPr>
        <w:t xml:space="preserve">وتستند الدولة الطرف إلى التقييم الشامل </w:t>
      </w:r>
      <w:r w:rsidR="00521363">
        <w:rPr>
          <w:rtl/>
          <w:lang w:eastAsia="zh-TW"/>
        </w:rPr>
        <w:t xml:space="preserve">الذي أجري </w:t>
      </w:r>
      <w:r w:rsidR="00521363" w:rsidRPr="008F5066">
        <w:rPr>
          <w:rtl/>
          <w:lang w:eastAsia="zh-TW"/>
        </w:rPr>
        <w:t xml:space="preserve">للمعلومات الواردة في الملف، بما في ذلك السجلات الطبية </w:t>
      </w:r>
      <w:r w:rsidR="00521363">
        <w:rPr>
          <w:rtl/>
          <w:lang w:eastAsia="zh-TW"/>
        </w:rPr>
        <w:t xml:space="preserve">المقدمة من أصحاب </w:t>
      </w:r>
      <w:r w:rsidR="00521363" w:rsidRPr="008F5066">
        <w:rPr>
          <w:rtl/>
          <w:lang w:eastAsia="zh-TW"/>
        </w:rPr>
        <w:t xml:space="preserve">الشكوى والتقرير الذي أعدته منظمة العفو الدولية، </w:t>
      </w:r>
      <w:r w:rsidR="00521363">
        <w:rPr>
          <w:rtl/>
          <w:lang w:eastAsia="zh-TW"/>
        </w:rPr>
        <w:t xml:space="preserve">وتزعم </w:t>
      </w:r>
      <w:r w:rsidR="00521363" w:rsidRPr="008F5066">
        <w:rPr>
          <w:rtl/>
          <w:lang w:eastAsia="zh-TW"/>
        </w:rPr>
        <w:t xml:space="preserve">أن </w:t>
      </w:r>
      <w:r w:rsidR="00521363">
        <w:rPr>
          <w:rtl/>
          <w:lang w:eastAsia="zh-TW"/>
        </w:rPr>
        <w:t>أصحاب</w:t>
      </w:r>
      <w:r w:rsidR="00521363" w:rsidRPr="008F5066">
        <w:rPr>
          <w:rtl/>
          <w:lang w:eastAsia="zh-TW"/>
        </w:rPr>
        <w:t xml:space="preserve"> الشكوى لم يثبت</w:t>
      </w:r>
      <w:r w:rsidR="00521363">
        <w:rPr>
          <w:rtl/>
          <w:lang w:eastAsia="zh-TW"/>
        </w:rPr>
        <w:t>وا رجحان ا</w:t>
      </w:r>
      <w:r w:rsidR="00521363" w:rsidRPr="008F5066">
        <w:rPr>
          <w:rtl/>
          <w:lang w:eastAsia="zh-TW"/>
        </w:rPr>
        <w:t xml:space="preserve">لأسباب التي </w:t>
      </w:r>
      <w:r w:rsidR="00521363">
        <w:rPr>
          <w:rtl/>
          <w:lang w:eastAsia="zh-TW"/>
        </w:rPr>
        <w:t>استندوا إليها في</w:t>
      </w:r>
      <w:r w:rsidR="00521363" w:rsidRPr="008F5066">
        <w:rPr>
          <w:rtl/>
          <w:lang w:eastAsia="zh-TW"/>
        </w:rPr>
        <w:t xml:space="preserve"> طلب اللجوء، بما في ذلك احتجاز السلطات ل</w:t>
      </w:r>
      <w:r w:rsidR="00521363">
        <w:rPr>
          <w:rtl/>
          <w:lang w:eastAsia="zh-TW"/>
        </w:rPr>
        <w:t>صاحب</w:t>
      </w:r>
      <w:r w:rsidR="00521363" w:rsidRPr="008F5066">
        <w:rPr>
          <w:rtl/>
          <w:lang w:eastAsia="zh-TW"/>
        </w:rPr>
        <w:t xml:space="preserve"> الشكوى الأول في تشرين الثاني/</w:t>
      </w:r>
      <w:r w:rsidR="00CB0AA9">
        <w:rPr>
          <w:rFonts w:hint="cs"/>
          <w:rtl/>
          <w:lang w:eastAsia="zh-TW"/>
        </w:rPr>
        <w:t xml:space="preserve">         </w:t>
      </w:r>
      <w:r w:rsidR="00521363" w:rsidRPr="008F5066">
        <w:rPr>
          <w:rtl/>
          <w:lang w:eastAsia="zh-TW"/>
        </w:rPr>
        <w:t>نوفمبر ٢٠١٣ لمدة 14 يوم</w:t>
      </w:r>
      <w:r w:rsidR="002D164F">
        <w:rPr>
          <w:rtl/>
          <w:lang w:eastAsia="zh-TW"/>
        </w:rPr>
        <w:t xml:space="preserve">اً </w:t>
      </w:r>
      <w:r w:rsidR="00521363" w:rsidRPr="008F5066">
        <w:rPr>
          <w:rtl/>
          <w:lang w:eastAsia="zh-TW"/>
        </w:rPr>
        <w:t xml:space="preserve">وتعرضه للتعذيب أثناء احتجازه. وتضيف الدولة الطرف أن </w:t>
      </w:r>
      <w:r w:rsidR="00521363">
        <w:rPr>
          <w:rtl/>
          <w:lang w:eastAsia="zh-TW"/>
        </w:rPr>
        <w:t xml:space="preserve">آخر </w:t>
      </w:r>
      <w:r w:rsidR="00521363" w:rsidRPr="008F5066">
        <w:rPr>
          <w:rtl/>
          <w:lang w:eastAsia="zh-TW"/>
        </w:rPr>
        <w:t xml:space="preserve">المعلومات التي أدلى بها </w:t>
      </w:r>
      <w:r w:rsidR="00521363">
        <w:rPr>
          <w:rtl/>
          <w:lang w:eastAsia="zh-TW"/>
        </w:rPr>
        <w:t>أصحاب</w:t>
      </w:r>
      <w:r w:rsidR="00521363" w:rsidRPr="008F5066">
        <w:rPr>
          <w:rtl/>
          <w:lang w:eastAsia="zh-TW"/>
        </w:rPr>
        <w:t xml:space="preserve"> الشكوى، بما في ذلك التقرير الصادر عن منظمة العفو الدولية، لا يمكن أن تفسر "التناقض والإطناب" في إفادات </w:t>
      </w:r>
      <w:r w:rsidR="00521363">
        <w:rPr>
          <w:rtl/>
          <w:lang w:eastAsia="zh-TW"/>
        </w:rPr>
        <w:t>أصحاب</w:t>
      </w:r>
      <w:r w:rsidR="00521363" w:rsidRPr="008F5066">
        <w:rPr>
          <w:rtl/>
          <w:lang w:eastAsia="zh-TW"/>
        </w:rPr>
        <w:t xml:space="preserve"> الشكوى.</w:t>
      </w:r>
    </w:p>
    <w:p w:rsidR="00521363" w:rsidRPr="00377B19" w:rsidRDefault="00CB0AA9" w:rsidP="002A4B7F">
      <w:pPr>
        <w:pStyle w:val="SingleTxtGA"/>
        <w:spacing w:line="360" w:lineRule="exact"/>
        <w:rPr>
          <w:sz w:val="30"/>
          <w:rtl/>
          <w:lang w:eastAsia="zh-TW"/>
        </w:rPr>
      </w:pPr>
      <w:r w:rsidRPr="00377B19">
        <w:rPr>
          <w:sz w:val="30"/>
          <w:rtl/>
          <w:lang w:eastAsia="zh-TW"/>
        </w:rPr>
        <w:lastRenderedPageBreak/>
        <w:t>٦-٦</w:t>
      </w:r>
      <w:r w:rsidRPr="00377B19">
        <w:rPr>
          <w:rFonts w:hint="cs"/>
          <w:sz w:val="30"/>
          <w:rtl/>
          <w:lang w:eastAsia="zh-TW"/>
        </w:rPr>
        <w:tab/>
      </w:r>
      <w:r w:rsidR="00521363" w:rsidRPr="00377B19">
        <w:rPr>
          <w:sz w:val="30"/>
          <w:rtl/>
          <w:lang w:eastAsia="zh-TW"/>
        </w:rPr>
        <w:t>وتشير الدولة الطرف إلى أنها على علم بالقرار الذي أصدرته اللجنة مؤخر</w:t>
      </w:r>
      <w:r w:rsidR="002D164F">
        <w:rPr>
          <w:sz w:val="30"/>
          <w:rtl/>
          <w:lang w:eastAsia="zh-TW"/>
        </w:rPr>
        <w:t xml:space="preserve">اً </w:t>
      </w:r>
      <w:r w:rsidR="00521363" w:rsidRPr="00377B19">
        <w:rPr>
          <w:sz w:val="30"/>
          <w:rtl/>
          <w:lang w:eastAsia="zh-TW"/>
        </w:rPr>
        <w:t xml:space="preserve">في قضية </w:t>
      </w:r>
      <w:r w:rsidR="00521363" w:rsidRPr="00FC052E">
        <w:rPr>
          <w:i/>
          <w:iCs/>
          <w:sz w:val="30"/>
          <w:rtl/>
          <w:lang w:eastAsia="zh-TW"/>
        </w:rPr>
        <w:t>ف.</w:t>
      </w:r>
      <w:r w:rsidRPr="00FC052E">
        <w:rPr>
          <w:rFonts w:hint="cs"/>
          <w:i/>
          <w:iCs/>
          <w:sz w:val="30"/>
          <w:rtl/>
          <w:lang w:eastAsia="zh-TW"/>
        </w:rPr>
        <w:t xml:space="preserve"> </w:t>
      </w:r>
      <w:r w:rsidRPr="00FC052E">
        <w:rPr>
          <w:i/>
          <w:iCs/>
          <w:sz w:val="30"/>
          <w:rtl/>
          <w:lang w:eastAsia="zh-TW"/>
        </w:rPr>
        <w:t>ك. ضد الدانمرك</w:t>
      </w:r>
      <w:r w:rsidRPr="00377B19">
        <w:rPr>
          <w:rFonts w:hint="cs"/>
          <w:sz w:val="30"/>
          <w:vertAlign w:val="superscript"/>
          <w:rtl/>
          <w:lang w:eastAsia="zh-TW"/>
        </w:rPr>
        <w:t>(</w:t>
      </w:r>
      <w:r w:rsidR="00521363" w:rsidRPr="00377B19">
        <w:rPr>
          <w:rStyle w:val="FootnoteReference"/>
          <w:rFonts w:ascii="Traditional Arabic" w:hAnsi="Traditional Arabic"/>
          <w:sz w:val="30"/>
          <w:szCs w:val="30"/>
          <w:rtl/>
          <w:lang w:eastAsia="zh-TW"/>
        </w:rPr>
        <w:footnoteReference w:id="20"/>
      </w:r>
      <w:r w:rsidRPr="00377B19">
        <w:rPr>
          <w:rFonts w:hint="cs"/>
          <w:sz w:val="30"/>
          <w:vertAlign w:val="superscript"/>
          <w:rtl/>
          <w:lang w:eastAsia="zh-TW"/>
        </w:rPr>
        <w:t>)</w:t>
      </w:r>
      <w:r w:rsidRPr="00377B19">
        <w:rPr>
          <w:rFonts w:hint="cs"/>
          <w:sz w:val="30"/>
          <w:rtl/>
          <w:lang w:eastAsia="zh-TW"/>
        </w:rPr>
        <w:t>.</w:t>
      </w:r>
      <w:r w:rsidR="00521363" w:rsidRPr="00377B19">
        <w:rPr>
          <w:sz w:val="30"/>
          <w:rtl/>
          <w:lang w:eastAsia="zh-TW"/>
        </w:rPr>
        <w:t xml:space="preserve"> وتدعي أن التعليل الوارد في تلك الشكوى له طابع محدد جد</w:t>
      </w:r>
      <w:r w:rsidR="002D164F">
        <w:rPr>
          <w:sz w:val="30"/>
          <w:rtl/>
          <w:lang w:eastAsia="zh-TW"/>
        </w:rPr>
        <w:t xml:space="preserve">اً </w:t>
      </w:r>
      <w:r w:rsidR="00521363" w:rsidRPr="00377B19">
        <w:rPr>
          <w:sz w:val="30"/>
          <w:rtl/>
          <w:lang w:eastAsia="zh-TW"/>
        </w:rPr>
        <w:t>ولا</w:t>
      </w:r>
      <w:r w:rsidR="002D164F">
        <w:rPr>
          <w:rFonts w:hint="cs"/>
          <w:sz w:val="30"/>
          <w:rtl/>
          <w:lang w:eastAsia="zh-TW"/>
        </w:rPr>
        <w:t> </w:t>
      </w:r>
      <w:r w:rsidR="00521363" w:rsidRPr="00377B19">
        <w:rPr>
          <w:sz w:val="30"/>
          <w:rtl/>
          <w:lang w:eastAsia="zh-TW"/>
        </w:rPr>
        <w:t xml:space="preserve">يعني، في رأيها، وجود التزام عام بإجراء فحص طبي لمعاينة علامات التعذيب في الحالات التي يتعذر فيها الأخذ بصحة إفادة ملتمس اللجوء بشأن أسباب طلبه اللجوء لاعتبار هذه الإفادة غير ذات مصداقية. </w:t>
      </w:r>
      <w:bookmarkStart w:id="1" w:name="_Ref449539728"/>
      <w:bookmarkEnd w:id="1"/>
    </w:p>
    <w:p w:rsidR="00521363" w:rsidRPr="008F5066" w:rsidRDefault="00CB0AA9" w:rsidP="002A4B7F">
      <w:pPr>
        <w:pStyle w:val="SingleTxtGA"/>
        <w:spacing w:line="360" w:lineRule="exact"/>
        <w:rPr>
          <w:rtl/>
          <w:lang w:eastAsia="zh-TW"/>
        </w:rPr>
      </w:pPr>
      <w:r w:rsidRPr="00377B19">
        <w:rPr>
          <w:sz w:val="30"/>
          <w:rtl/>
          <w:lang w:eastAsia="zh-TW"/>
        </w:rPr>
        <w:t>٦-٧</w:t>
      </w:r>
      <w:r w:rsidRPr="00377B19">
        <w:rPr>
          <w:rFonts w:hint="cs"/>
          <w:sz w:val="30"/>
          <w:rtl/>
          <w:lang w:eastAsia="zh-TW"/>
        </w:rPr>
        <w:tab/>
      </w:r>
      <w:r w:rsidR="00521363" w:rsidRPr="00377B19">
        <w:rPr>
          <w:sz w:val="30"/>
          <w:rtl/>
          <w:lang w:eastAsia="zh-TW"/>
        </w:rPr>
        <w:t xml:space="preserve">وترى الدولة الطرف كذلك أنه بغض النظر عن إمكانية القول بوجود نمط ثابت من الانتهاكات الفادحة أو الصارخة أو الجماعية لحقوق الإنسان في </w:t>
      </w:r>
      <w:proofErr w:type="spellStart"/>
      <w:r w:rsidR="00521363" w:rsidRPr="00377B19">
        <w:rPr>
          <w:sz w:val="30"/>
          <w:rtl/>
          <w:lang w:eastAsia="zh-TW"/>
        </w:rPr>
        <w:t>إنغوشتيا</w:t>
      </w:r>
      <w:proofErr w:type="spellEnd"/>
      <w:r w:rsidR="00521363" w:rsidRPr="00377B19">
        <w:rPr>
          <w:sz w:val="30"/>
          <w:rtl/>
          <w:lang w:eastAsia="zh-TW"/>
        </w:rPr>
        <w:t>، فإن أصحاب الشكوى لا يواجهون خطر</w:t>
      </w:r>
      <w:r w:rsidR="002D164F">
        <w:rPr>
          <w:sz w:val="30"/>
          <w:rtl/>
          <w:lang w:eastAsia="zh-TW"/>
        </w:rPr>
        <w:t xml:space="preserve">اً </w:t>
      </w:r>
      <w:r w:rsidR="00521363" w:rsidRPr="00377B19">
        <w:rPr>
          <w:sz w:val="30"/>
          <w:rtl/>
          <w:lang w:eastAsia="zh-TW"/>
        </w:rPr>
        <w:t>محدد</w:t>
      </w:r>
      <w:r w:rsidR="002D164F">
        <w:rPr>
          <w:sz w:val="30"/>
          <w:rtl/>
          <w:lang w:eastAsia="zh-TW"/>
        </w:rPr>
        <w:t xml:space="preserve">اً </w:t>
      </w:r>
      <w:r w:rsidR="00521363" w:rsidRPr="00377B19">
        <w:rPr>
          <w:sz w:val="30"/>
          <w:rtl/>
          <w:lang w:eastAsia="zh-TW"/>
        </w:rPr>
        <w:t>وفردي</w:t>
      </w:r>
      <w:r w:rsidR="002D164F">
        <w:rPr>
          <w:sz w:val="30"/>
          <w:rtl/>
          <w:lang w:eastAsia="zh-TW"/>
        </w:rPr>
        <w:t xml:space="preserve">اً </w:t>
      </w:r>
      <w:r w:rsidR="00521363" w:rsidRPr="00377B19">
        <w:rPr>
          <w:sz w:val="30"/>
          <w:rtl/>
          <w:lang w:eastAsia="zh-TW"/>
        </w:rPr>
        <w:t>من التعرض للإيذاء، بالمعنى المقصود في المادة ٣ من الاتفاقية، لدى عودتهم</w:t>
      </w:r>
      <w:r w:rsidR="00377B19" w:rsidRPr="00377B19">
        <w:rPr>
          <w:rFonts w:hint="cs"/>
          <w:sz w:val="30"/>
          <w:vertAlign w:val="superscript"/>
          <w:rtl/>
          <w:lang w:eastAsia="zh-TW"/>
        </w:rPr>
        <w:t>(</w:t>
      </w:r>
      <w:r w:rsidR="00521363" w:rsidRPr="00377B19">
        <w:rPr>
          <w:rStyle w:val="FootnoteReference"/>
          <w:rFonts w:ascii="Traditional Arabic" w:hAnsi="Traditional Arabic"/>
          <w:sz w:val="30"/>
          <w:szCs w:val="30"/>
          <w:rtl/>
          <w:lang w:eastAsia="zh-TW"/>
        </w:rPr>
        <w:footnoteReference w:id="21"/>
      </w:r>
      <w:r w:rsidR="00377B19" w:rsidRPr="00377B19">
        <w:rPr>
          <w:rFonts w:hint="cs"/>
          <w:sz w:val="30"/>
          <w:vertAlign w:val="superscript"/>
          <w:rtl/>
          <w:lang w:eastAsia="zh-TW"/>
        </w:rPr>
        <w:t>)</w:t>
      </w:r>
      <w:r w:rsidR="00377B19">
        <w:rPr>
          <w:rFonts w:hint="cs"/>
          <w:sz w:val="30"/>
          <w:rtl/>
          <w:lang w:eastAsia="zh-TW"/>
        </w:rPr>
        <w:t>.</w:t>
      </w:r>
      <w:r w:rsidR="00521363" w:rsidRPr="00377B19">
        <w:rPr>
          <w:sz w:val="30"/>
          <w:rtl/>
          <w:lang w:eastAsia="zh-TW"/>
        </w:rPr>
        <w:t xml:space="preserve"> وتشير الدولة الطرف إلى المادة 113 من النظام الداخلي للجنة، وتزعم أن أصحاب الشكوى لم يقدموا أدلة كافية لكي تقبل شكواهم بموجب المادة 3 من الاتفاقية. ولذلك، فإن الشكوى غير مقبولة لأن من الواضح ألا أساس لها.</w:t>
      </w:r>
      <w:r w:rsidR="00521363" w:rsidRPr="00377B19">
        <w:rPr>
          <w:rFonts w:cs="Times New Roman"/>
          <w:sz w:val="30"/>
          <w:rtl/>
          <w:lang w:eastAsia="zh-TW"/>
        </w:rPr>
        <w:t>‬</w:t>
      </w:r>
      <w:r w:rsidR="00521363" w:rsidRPr="00377B19">
        <w:rPr>
          <w:sz w:val="30"/>
          <w:rtl/>
          <w:lang w:eastAsia="zh-TW"/>
        </w:rPr>
        <w:t xml:space="preserve"> </w:t>
      </w:r>
      <w:dir w:val="rtl">
        <w:r w:rsidR="00521363" w:rsidRPr="00377B19">
          <w:rPr>
            <w:sz w:val="30"/>
            <w:rtl/>
            <w:lang w:eastAsia="zh-TW"/>
          </w:rPr>
          <w:t>وإذا ما ظهر للجنة أن الشكوى مقبولة، فإن الدولة الطرف تزعم كذلك عدم ثبوت وجود أسباب معقولة تدعو إلى</w:t>
        </w:r>
        <w:r w:rsidR="00521363" w:rsidRPr="008F5066">
          <w:rPr>
            <w:rtl/>
            <w:lang w:eastAsia="zh-TW"/>
          </w:rPr>
          <w:t xml:space="preserve"> الاعتقاد بأن إعادة </w:t>
        </w:r>
        <w:r w:rsidR="00521363">
          <w:rPr>
            <w:rtl/>
            <w:lang w:eastAsia="zh-TW"/>
          </w:rPr>
          <w:t>أصحاب</w:t>
        </w:r>
        <w:r w:rsidR="00521363" w:rsidRPr="008F5066">
          <w:rPr>
            <w:rtl/>
            <w:lang w:eastAsia="zh-TW"/>
          </w:rPr>
          <w:t xml:space="preserve"> الشكوى إلى الاتحاد الروسي يشكل انتهاكاً للمادة 3 من الاتفاقية.</w:t>
        </w:r>
        <w:r w:rsidR="00521363" w:rsidRPr="008F5066">
          <w:rPr>
            <w:rFonts w:cs="Times New Roman"/>
            <w:rtl/>
            <w:lang w:eastAsia="zh-TW"/>
          </w:rPr>
          <w:t>‬</w:t>
        </w:r>
        <w:r w:rsidR="00521363" w:rsidRPr="008F5066">
          <w:rPr>
            <w:rtl/>
            <w:lang w:eastAsia="zh-TW"/>
          </w:rPr>
          <w:t xml:space="preserve"> وفي الختام، تقدم الدولة الطرف معلومات إحصائية عن معدلات قبول طلبات اللجوء </w:t>
        </w:r>
        <w:r w:rsidR="00521363">
          <w:rPr>
            <w:rtl/>
            <w:lang w:eastAsia="zh-TW"/>
          </w:rPr>
          <w:t>المقدمة</w:t>
        </w:r>
        <w:r w:rsidR="00521363" w:rsidRPr="008F5066">
          <w:rPr>
            <w:rtl/>
            <w:lang w:eastAsia="zh-TW"/>
          </w:rPr>
          <w:t xml:space="preserve"> من أكبر عشر مجموعات وطنية من ملتمسي اللجوء</w:t>
        </w:r>
        <w:r w:rsidR="00521363">
          <w:rPr>
            <w:rtl/>
            <w:lang w:eastAsia="zh-TW"/>
          </w:rPr>
          <w:t>،</w:t>
        </w:r>
        <w:r w:rsidR="00521363" w:rsidRPr="008F5066">
          <w:rPr>
            <w:rtl/>
            <w:lang w:eastAsia="zh-TW"/>
          </w:rPr>
          <w:t xml:space="preserve"> والتي بت</w:t>
        </w:r>
        <w:r w:rsidR="00DA27E1">
          <w:rPr>
            <w:rFonts w:hint="cs"/>
            <w:rtl/>
            <w:lang w:eastAsia="zh-TW"/>
          </w:rPr>
          <w:t>ّ</w:t>
        </w:r>
        <w:r w:rsidR="00521363" w:rsidRPr="008F5066">
          <w:rPr>
            <w:rtl/>
            <w:lang w:eastAsia="zh-TW"/>
          </w:rPr>
          <w:t xml:space="preserve"> فيها </w:t>
        </w:r>
        <w:r w:rsidR="00DA27E1">
          <w:rPr>
            <w:rFonts w:hint="cs"/>
            <w:rtl/>
            <w:lang w:eastAsia="zh-TW"/>
          </w:rPr>
          <w:t xml:space="preserve">كُلّ من </w:t>
        </w:r>
        <w:r w:rsidR="00521363" w:rsidRPr="008F5066">
          <w:rPr>
            <w:rtl/>
            <w:lang w:eastAsia="zh-TW"/>
          </w:rPr>
          <w:t xml:space="preserve">دائرة الهجرة </w:t>
        </w:r>
        <w:proofErr w:type="spellStart"/>
        <w:r w:rsidR="00521363" w:rsidRPr="008F5066">
          <w:rPr>
            <w:rtl/>
            <w:lang w:eastAsia="zh-TW"/>
          </w:rPr>
          <w:t>الدانمركية</w:t>
        </w:r>
        <w:proofErr w:type="spellEnd"/>
        <w:r w:rsidR="00521363" w:rsidRPr="008F5066">
          <w:rPr>
            <w:rtl/>
            <w:lang w:eastAsia="zh-TW"/>
          </w:rPr>
          <w:t xml:space="preserve"> ومجلس طعون اللاجئين بين</w:t>
        </w:r>
        <w:r w:rsidR="00DA27E1">
          <w:rPr>
            <w:rFonts w:hint="cs"/>
            <w:rtl/>
            <w:lang w:eastAsia="zh-TW"/>
          </w:rPr>
          <w:t xml:space="preserve"> عامي </w:t>
        </w:r>
        <w:r w:rsidR="00521363" w:rsidRPr="008F5066">
          <w:rPr>
            <w:rtl/>
            <w:lang w:eastAsia="zh-TW"/>
          </w:rPr>
          <w:t>٢٠١٣ و ٢٠١٥.</w:t>
        </w:r>
        <w:r w:rsidR="00521363">
          <w:t>‬</w:t>
        </w:r>
        <w:r w:rsidR="00D3340E">
          <w:t>‬</w:t>
        </w:r>
        <w:r w:rsidR="002C3FDD">
          <w:t>‬</w:t>
        </w:r>
      </w:dir>
    </w:p>
    <w:p w:rsidR="00521363" w:rsidRPr="008F5066" w:rsidRDefault="00DA27E1" w:rsidP="002A4B7F">
      <w:pPr>
        <w:pStyle w:val="SingleTxtGA"/>
        <w:spacing w:line="360" w:lineRule="exact"/>
        <w:rPr>
          <w:rtl/>
          <w:lang w:eastAsia="zh-TW"/>
        </w:rPr>
      </w:pPr>
      <w:r>
        <w:rPr>
          <w:rtl/>
          <w:lang w:eastAsia="zh-TW"/>
        </w:rPr>
        <w:t>٦-٨</w:t>
      </w:r>
      <w:r>
        <w:rPr>
          <w:rFonts w:hint="cs"/>
          <w:rtl/>
          <w:lang w:eastAsia="zh-TW"/>
        </w:rPr>
        <w:tab/>
      </w:r>
      <w:r w:rsidR="00521363" w:rsidRPr="008F5066">
        <w:rPr>
          <w:rtl/>
          <w:lang w:eastAsia="zh-TW"/>
        </w:rPr>
        <w:t xml:space="preserve">وفي 15 نيسان/أبريل ٢٠١٦، </w:t>
      </w:r>
      <w:r w:rsidR="00521363">
        <w:rPr>
          <w:rtl/>
          <w:lang w:eastAsia="zh-TW"/>
        </w:rPr>
        <w:t>أشارت</w:t>
      </w:r>
      <w:r w:rsidR="00521363" w:rsidRPr="008F5066">
        <w:rPr>
          <w:rtl/>
          <w:lang w:eastAsia="zh-TW"/>
        </w:rPr>
        <w:t xml:space="preserve"> الدولة الطرف كذلك</w:t>
      </w:r>
      <w:r w:rsidR="00521363">
        <w:rPr>
          <w:rtl/>
          <w:lang w:eastAsia="zh-TW"/>
        </w:rPr>
        <w:t>، إلى</w:t>
      </w:r>
      <w:r w:rsidR="00521363" w:rsidRPr="008F5066">
        <w:rPr>
          <w:rtl/>
          <w:lang w:eastAsia="zh-TW"/>
        </w:rPr>
        <w:t xml:space="preserve"> أن </w:t>
      </w:r>
      <w:r w:rsidR="00521363">
        <w:rPr>
          <w:rtl/>
          <w:lang w:eastAsia="zh-TW"/>
        </w:rPr>
        <w:t>أصحاب</w:t>
      </w:r>
      <w:r w:rsidR="00521363" w:rsidRPr="008F5066">
        <w:rPr>
          <w:rtl/>
          <w:lang w:eastAsia="zh-TW"/>
        </w:rPr>
        <w:t xml:space="preserve"> الشكوى لم يدفع</w:t>
      </w:r>
      <w:r w:rsidR="00521363">
        <w:rPr>
          <w:rtl/>
          <w:lang w:eastAsia="zh-TW"/>
        </w:rPr>
        <w:t>و</w:t>
      </w:r>
      <w:r w:rsidR="00521363" w:rsidRPr="008F5066">
        <w:rPr>
          <w:rtl/>
          <w:lang w:eastAsia="zh-TW"/>
        </w:rPr>
        <w:t>ا قط بأنهم كان</w:t>
      </w:r>
      <w:r w:rsidR="00521363">
        <w:rPr>
          <w:rtl/>
          <w:lang w:eastAsia="zh-TW"/>
        </w:rPr>
        <w:t>و</w:t>
      </w:r>
      <w:r w:rsidR="00521363" w:rsidRPr="008F5066">
        <w:rPr>
          <w:rtl/>
          <w:lang w:eastAsia="zh-TW"/>
        </w:rPr>
        <w:t>ا ناشطين سياسي</w:t>
      </w:r>
      <w:r w:rsidR="002D164F">
        <w:rPr>
          <w:rtl/>
          <w:lang w:eastAsia="zh-TW"/>
        </w:rPr>
        <w:t xml:space="preserve">اً، </w:t>
      </w:r>
      <w:r w:rsidR="00521363" w:rsidRPr="008F5066">
        <w:rPr>
          <w:rtl/>
          <w:lang w:eastAsia="zh-TW"/>
        </w:rPr>
        <w:t>ولا هم فسَّر</w:t>
      </w:r>
      <w:r w:rsidR="00521363">
        <w:rPr>
          <w:rtl/>
          <w:lang w:eastAsia="zh-TW"/>
        </w:rPr>
        <w:t>و</w:t>
      </w:r>
      <w:r w:rsidR="00521363" w:rsidRPr="008F5066">
        <w:rPr>
          <w:rtl/>
          <w:lang w:eastAsia="zh-TW"/>
        </w:rPr>
        <w:t xml:space="preserve">ا العلاقة التي ربما ربطتهم بالأشخاص المذكورين في المقالات المنشورة على موقع </w:t>
      </w:r>
      <w:r w:rsidR="00377B19" w:rsidRPr="00F45C3C">
        <w:t>Caucasian Knot</w:t>
      </w:r>
      <w:r w:rsidR="00377B19" w:rsidRPr="008F5066">
        <w:rPr>
          <w:rtl/>
          <w:lang w:eastAsia="zh-TW"/>
        </w:rPr>
        <w:t xml:space="preserve"> </w:t>
      </w:r>
      <w:r w:rsidR="00521363" w:rsidRPr="008F5066">
        <w:rPr>
          <w:rtl/>
          <w:lang w:eastAsia="zh-TW"/>
        </w:rPr>
        <w:t>الإلكتروني في</w:t>
      </w:r>
      <w:r>
        <w:rPr>
          <w:rFonts w:hint="cs"/>
          <w:rtl/>
          <w:lang w:eastAsia="zh-TW"/>
        </w:rPr>
        <w:t> </w:t>
      </w:r>
      <w:r w:rsidR="00521363" w:rsidRPr="008F5066">
        <w:rPr>
          <w:rtl/>
          <w:lang w:eastAsia="zh-TW"/>
        </w:rPr>
        <w:t xml:space="preserve">٢٩ تشرين الأول/أكتوبر ٢٠١٣، (انظر الفقرة ٥-٩)، أو أي علاقة أخرى بين المقالات والشكوى. </w:t>
      </w:r>
    </w:p>
    <w:p w:rsidR="00521363" w:rsidRPr="008F5066" w:rsidRDefault="00DA27E1" w:rsidP="002A4B7F">
      <w:pPr>
        <w:pStyle w:val="SingleTxtGA"/>
        <w:spacing w:line="360" w:lineRule="exact"/>
        <w:rPr>
          <w:rtl/>
          <w:lang w:eastAsia="zh-TW"/>
        </w:rPr>
      </w:pPr>
      <w:r>
        <w:rPr>
          <w:rtl/>
          <w:lang w:eastAsia="zh-TW"/>
        </w:rPr>
        <w:t>٦-٩</w:t>
      </w:r>
      <w:r>
        <w:rPr>
          <w:rFonts w:hint="cs"/>
          <w:rtl/>
          <w:lang w:eastAsia="zh-TW"/>
        </w:rPr>
        <w:tab/>
      </w:r>
      <w:r w:rsidR="00521363">
        <w:rPr>
          <w:rtl/>
          <w:lang w:eastAsia="zh-TW"/>
        </w:rPr>
        <w:t>وتشير</w:t>
      </w:r>
      <w:r w:rsidR="00521363" w:rsidRPr="008F5066">
        <w:rPr>
          <w:rtl/>
          <w:lang w:eastAsia="zh-TW"/>
        </w:rPr>
        <w:t xml:space="preserve"> الدولة الطرف</w:t>
      </w:r>
      <w:r w:rsidR="00521363">
        <w:rPr>
          <w:rtl/>
          <w:lang w:eastAsia="zh-TW"/>
        </w:rPr>
        <w:t xml:space="preserve"> إلى</w:t>
      </w:r>
      <w:r w:rsidR="00521363" w:rsidRPr="008F5066">
        <w:rPr>
          <w:rtl/>
          <w:lang w:eastAsia="zh-TW"/>
        </w:rPr>
        <w:t xml:space="preserve"> أن مجلس طعون اللاجئين كان على اطلاع على المعلومات الأساسية المتعلقة بالأوضاع السائدة في </w:t>
      </w:r>
      <w:proofErr w:type="spellStart"/>
      <w:r w:rsidR="00521363" w:rsidRPr="008F5066">
        <w:rPr>
          <w:rtl/>
          <w:lang w:eastAsia="zh-TW"/>
        </w:rPr>
        <w:t>إنغوشتيا</w:t>
      </w:r>
      <w:proofErr w:type="spellEnd"/>
      <w:r w:rsidR="00521363" w:rsidRPr="008F5066">
        <w:rPr>
          <w:rtl/>
          <w:lang w:eastAsia="zh-TW"/>
        </w:rPr>
        <w:t xml:space="preserve"> عندما أصدر قراراته في ١٢ أيلول/</w:t>
      </w:r>
      <w:r>
        <w:rPr>
          <w:rFonts w:hint="cs"/>
          <w:rtl/>
          <w:lang w:eastAsia="zh-TW"/>
        </w:rPr>
        <w:t xml:space="preserve">        </w:t>
      </w:r>
      <w:r w:rsidR="00521363" w:rsidRPr="008F5066">
        <w:rPr>
          <w:rtl/>
          <w:lang w:eastAsia="zh-TW"/>
        </w:rPr>
        <w:t>سبتمبر ٢٠١٤ و٢ تشرين الأول/أكتوبر ٢٠١٥. وبما أن المجلس لم تقدم له أي معلومات جديدة عن الأوضاع</w:t>
      </w:r>
      <w:r w:rsidR="00521363">
        <w:rPr>
          <w:rtl/>
          <w:lang w:eastAsia="zh-TW"/>
        </w:rPr>
        <w:t xml:space="preserve"> السائدة في </w:t>
      </w:r>
      <w:proofErr w:type="spellStart"/>
      <w:r w:rsidR="00521363">
        <w:rPr>
          <w:rtl/>
          <w:lang w:eastAsia="zh-TW"/>
        </w:rPr>
        <w:t>إنغوشتيا</w:t>
      </w:r>
      <w:proofErr w:type="spellEnd"/>
      <w:r w:rsidR="00521363">
        <w:rPr>
          <w:rtl/>
          <w:lang w:eastAsia="zh-TW"/>
        </w:rPr>
        <w:t xml:space="preserve">، غير المعلومات التي كانت </w:t>
      </w:r>
      <w:r w:rsidR="00521363" w:rsidRPr="008F5066">
        <w:rPr>
          <w:rtl/>
          <w:lang w:eastAsia="zh-TW"/>
        </w:rPr>
        <w:t>متاحة له عند</w:t>
      </w:r>
      <w:r w:rsidR="00521363">
        <w:rPr>
          <w:rtl/>
          <w:lang w:eastAsia="zh-TW"/>
        </w:rPr>
        <w:t>ما اتخ</w:t>
      </w:r>
      <w:r w:rsidR="00521363" w:rsidRPr="008F5066">
        <w:rPr>
          <w:rtl/>
          <w:lang w:eastAsia="zh-TW"/>
        </w:rPr>
        <w:t xml:space="preserve">ذ قراراته، فإن المقالات المشار إليها لا تستدعي </w:t>
      </w:r>
      <w:r>
        <w:rPr>
          <w:rFonts w:hint="cs"/>
          <w:rtl/>
          <w:lang w:eastAsia="zh-TW"/>
        </w:rPr>
        <w:t xml:space="preserve">إبداء </w:t>
      </w:r>
      <w:r w:rsidR="00521363" w:rsidRPr="008F5066">
        <w:rPr>
          <w:rtl/>
          <w:lang w:eastAsia="zh-TW"/>
        </w:rPr>
        <w:t>أي ملاحظات إضافية.</w:t>
      </w:r>
    </w:p>
    <w:p w:rsidR="00521363" w:rsidRPr="008D39BA" w:rsidRDefault="00521363" w:rsidP="00DA27E1">
      <w:pPr>
        <w:pStyle w:val="H4GA"/>
        <w:rPr>
          <w:rtl/>
          <w:lang w:eastAsia="zh-TW"/>
        </w:rPr>
      </w:pPr>
      <w:r w:rsidRPr="008D39BA">
        <w:rPr>
          <w:rtl/>
          <w:lang w:eastAsia="zh-TW"/>
        </w:rPr>
        <w:tab/>
      </w:r>
      <w:r w:rsidRPr="008D39BA">
        <w:rPr>
          <w:rtl/>
          <w:lang w:eastAsia="zh-TW"/>
        </w:rPr>
        <w:tab/>
        <w:t xml:space="preserve">ملاحظات </w:t>
      </w:r>
      <w:r>
        <w:rPr>
          <w:rtl/>
          <w:lang w:eastAsia="zh-TW"/>
        </w:rPr>
        <w:t>أصحاب</w:t>
      </w:r>
      <w:r w:rsidRPr="008D39BA">
        <w:rPr>
          <w:rtl/>
          <w:lang w:eastAsia="zh-TW"/>
        </w:rPr>
        <w:t xml:space="preserve"> الشكوى </w:t>
      </w:r>
      <w:r w:rsidRPr="008D39BA">
        <w:rPr>
          <w:rFonts w:cs="Times New Roman"/>
          <w:rtl/>
          <w:lang w:eastAsia="zh-TW"/>
        </w:rPr>
        <w:t>‬</w:t>
      </w:r>
      <w:r w:rsidRPr="008D39BA">
        <w:rPr>
          <w:rFonts w:cs="Times New Roman"/>
          <w:rtl/>
          <w:lang w:eastAsia="zh-TW"/>
        </w:rPr>
        <w:t>‬</w:t>
      </w:r>
      <w:r w:rsidRPr="008D39BA">
        <w:rPr>
          <w:rFonts w:cs="Times New Roman"/>
          <w:rtl/>
          <w:lang w:eastAsia="zh-TW"/>
        </w:rPr>
        <w:t>‬</w:t>
      </w:r>
      <w:r w:rsidRPr="008D39BA">
        <w:rPr>
          <w:rFonts w:cs="Times New Roman"/>
          <w:rtl/>
          <w:lang w:eastAsia="zh-TW"/>
        </w:rPr>
        <w:t>‬</w:t>
      </w:r>
      <w:r w:rsidRPr="008D39BA">
        <w:rPr>
          <w:rFonts w:cs="Times New Roman"/>
          <w:rtl/>
          <w:lang w:eastAsia="zh-TW"/>
        </w:rPr>
        <w:t>‬</w:t>
      </w:r>
    </w:p>
    <w:p w:rsidR="00521363" w:rsidRPr="008F5066" w:rsidRDefault="00521363" w:rsidP="002A4B7F">
      <w:pPr>
        <w:pStyle w:val="SingleTxtGA"/>
        <w:spacing w:line="360" w:lineRule="exact"/>
        <w:rPr>
          <w:rtl/>
          <w:lang w:eastAsia="zh-TW"/>
        </w:rPr>
      </w:pPr>
      <w:r w:rsidRPr="008F5066">
        <w:rPr>
          <w:rtl/>
          <w:lang w:eastAsia="zh-TW"/>
        </w:rPr>
        <w:t>٧-</w:t>
      </w:r>
      <w:r w:rsidR="00DA27E1">
        <w:rPr>
          <w:rFonts w:hint="cs"/>
          <w:rtl/>
          <w:lang w:eastAsia="zh-TW"/>
        </w:rPr>
        <w:t>1</w:t>
      </w:r>
      <w:r w:rsidR="00DA27E1">
        <w:rPr>
          <w:rFonts w:hint="cs"/>
          <w:rtl/>
          <w:lang w:eastAsia="zh-TW"/>
        </w:rPr>
        <w:tab/>
      </w:r>
      <w:r w:rsidRPr="008F5066">
        <w:rPr>
          <w:rtl/>
          <w:lang w:eastAsia="zh-TW"/>
        </w:rPr>
        <w:t xml:space="preserve">كرر </w:t>
      </w:r>
      <w:r>
        <w:rPr>
          <w:rtl/>
          <w:lang w:eastAsia="zh-TW"/>
        </w:rPr>
        <w:t>أصحاب</w:t>
      </w:r>
      <w:r w:rsidRPr="008F5066">
        <w:rPr>
          <w:rtl/>
          <w:lang w:eastAsia="zh-TW"/>
        </w:rPr>
        <w:t xml:space="preserve"> الشكوى، في </w:t>
      </w:r>
      <w:r w:rsidR="00DA27E1">
        <w:rPr>
          <w:rFonts w:hint="cs"/>
          <w:rtl/>
          <w:lang w:eastAsia="zh-TW"/>
        </w:rPr>
        <w:t>15</w:t>
      </w:r>
      <w:r w:rsidRPr="008F5066">
        <w:rPr>
          <w:rtl/>
          <w:lang w:eastAsia="zh-TW"/>
        </w:rPr>
        <w:t xml:space="preserve"> نيسان/أبريل ٢٠١٦، الحجج التي دفع</w:t>
      </w:r>
      <w:r>
        <w:rPr>
          <w:rtl/>
          <w:lang w:eastAsia="zh-TW"/>
        </w:rPr>
        <w:t>و</w:t>
      </w:r>
      <w:r w:rsidRPr="008F5066">
        <w:rPr>
          <w:rtl/>
          <w:lang w:eastAsia="zh-TW"/>
        </w:rPr>
        <w:t>ا بها على نحو ما ورد بإيجاز في الفقرة ٥-١. وأضاف</w:t>
      </w:r>
      <w:r>
        <w:rPr>
          <w:rtl/>
          <w:lang w:eastAsia="zh-TW"/>
        </w:rPr>
        <w:t>و</w:t>
      </w:r>
      <w:r w:rsidRPr="008F5066">
        <w:rPr>
          <w:rtl/>
          <w:lang w:eastAsia="zh-TW"/>
        </w:rPr>
        <w:t>ا أن التقرير الطبي الذي صدر</w:t>
      </w:r>
      <w:r>
        <w:rPr>
          <w:rtl/>
          <w:lang w:eastAsia="zh-TW"/>
        </w:rPr>
        <w:t xml:space="preserve"> عن</w:t>
      </w:r>
      <w:r w:rsidRPr="008F5066">
        <w:rPr>
          <w:rtl/>
          <w:lang w:eastAsia="zh-TW"/>
        </w:rPr>
        <w:t xml:space="preserve"> الفريق الطبي لمنظمة العفو الدولية </w:t>
      </w:r>
      <w:proofErr w:type="spellStart"/>
      <w:r w:rsidRPr="008F5066">
        <w:rPr>
          <w:rtl/>
          <w:lang w:eastAsia="zh-TW"/>
        </w:rPr>
        <w:t>الدانمركية</w:t>
      </w:r>
      <w:proofErr w:type="spellEnd"/>
      <w:r w:rsidRPr="008F5066">
        <w:rPr>
          <w:rtl/>
          <w:lang w:eastAsia="zh-TW"/>
        </w:rPr>
        <w:t xml:space="preserve"> بعد القرار الأول لمجلس طعون اللاجئين يدعم ادعاءات صاحب الشكوى الأول بشأن تعرضه للتعذيب ويؤكد أن الأعراض النفسية التي يعاني منها ينطبق عليها </w:t>
      </w:r>
      <w:r w:rsidRPr="008F5066">
        <w:rPr>
          <w:rtl/>
          <w:lang w:eastAsia="zh-TW"/>
        </w:rPr>
        <w:lastRenderedPageBreak/>
        <w:t>تشخيص اضطراب الكرب التالي للرضح وفق</w:t>
      </w:r>
      <w:r w:rsidR="002D164F">
        <w:rPr>
          <w:rtl/>
          <w:lang w:eastAsia="zh-TW"/>
        </w:rPr>
        <w:t xml:space="preserve">اً </w:t>
      </w:r>
      <w:r w:rsidRPr="008F5066">
        <w:rPr>
          <w:rtl/>
          <w:lang w:eastAsia="zh-TW"/>
        </w:rPr>
        <w:t xml:space="preserve">لاستبيان جامعة هارفرد لقياس الصدمات النفسية. ويُذكِّر </w:t>
      </w:r>
      <w:r>
        <w:rPr>
          <w:rtl/>
          <w:lang w:eastAsia="zh-TW"/>
        </w:rPr>
        <w:t>أصحاب</w:t>
      </w:r>
      <w:r w:rsidRPr="008F5066">
        <w:rPr>
          <w:rtl/>
          <w:lang w:eastAsia="zh-TW"/>
        </w:rPr>
        <w:t xml:space="preserve"> </w:t>
      </w:r>
      <w:r>
        <w:rPr>
          <w:rtl/>
          <w:lang w:eastAsia="zh-TW"/>
        </w:rPr>
        <w:t>الشكوى</w:t>
      </w:r>
      <w:r w:rsidRPr="008F5066">
        <w:rPr>
          <w:rtl/>
          <w:lang w:eastAsia="zh-TW"/>
        </w:rPr>
        <w:t xml:space="preserve"> بأن الطلب الذي قدم</w:t>
      </w:r>
      <w:r>
        <w:rPr>
          <w:rtl/>
          <w:lang w:eastAsia="zh-TW"/>
        </w:rPr>
        <w:t>و</w:t>
      </w:r>
      <w:r w:rsidRPr="008F5066">
        <w:rPr>
          <w:rtl/>
          <w:lang w:eastAsia="zh-TW"/>
        </w:rPr>
        <w:t xml:space="preserve">ه بشأن إعادة فتح إجراءات اللجوء يستند، </w:t>
      </w:r>
      <w:r w:rsidR="00DA27E1">
        <w:rPr>
          <w:rFonts w:hint="cs"/>
          <w:rtl/>
          <w:lang w:eastAsia="zh-TW"/>
        </w:rPr>
        <w:t xml:space="preserve">إلى جملة أمور، منها </w:t>
      </w:r>
      <w:r w:rsidRPr="008F5066">
        <w:rPr>
          <w:rtl/>
          <w:lang w:eastAsia="zh-TW"/>
        </w:rPr>
        <w:t>التقرير الطبي السالف الذكر، رغم أن المجلس رأى</w:t>
      </w:r>
      <w:r>
        <w:rPr>
          <w:rtl/>
          <w:lang w:eastAsia="zh-TW"/>
        </w:rPr>
        <w:t>،</w:t>
      </w:r>
      <w:r w:rsidRPr="008F5066">
        <w:rPr>
          <w:rtl/>
          <w:lang w:eastAsia="zh-TW"/>
        </w:rPr>
        <w:t xml:space="preserve"> في قراره ا</w:t>
      </w:r>
      <w:r>
        <w:rPr>
          <w:rtl/>
          <w:lang w:eastAsia="zh-TW"/>
        </w:rPr>
        <w:t xml:space="preserve">لمؤرخ ٢ تشرين الأول/أكتوبر ٢٠١٥، </w:t>
      </w:r>
      <w:r w:rsidRPr="008F5066">
        <w:rPr>
          <w:rtl/>
          <w:lang w:eastAsia="zh-TW"/>
        </w:rPr>
        <w:t>عدم وقوع أي تغييرات أو ظهور وقائع جديدة تبرر إعادة</w:t>
      </w:r>
      <w:r w:rsidR="002A4B7F">
        <w:rPr>
          <w:rFonts w:hint="cs"/>
          <w:rtl/>
          <w:lang w:eastAsia="zh-TW"/>
        </w:rPr>
        <w:t xml:space="preserve">           </w:t>
      </w:r>
      <w:r w:rsidRPr="008F5066">
        <w:rPr>
          <w:rtl/>
          <w:lang w:eastAsia="zh-TW"/>
        </w:rPr>
        <w:t xml:space="preserve"> فتح الإجراءات. </w:t>
      </w:r>
    </w:p>
    <w:p w:rsidR="00521363" w:rsidRPr="00377B19" w:rsidRDefault="00521363" w:rsidP="002A4B7F">
      <w:pPr>
        <w:pStyle w:val="SingleTxtGA"/>
        <w:spacing w:line="360" w:lineRule="exact"/>
        <w:rPr>
          <w:sz w:val="30"/>
          <w:rtl/>
          <w:lang w:eastAsia="zh-TW"/>
        </w:rPr>
      </w:pPr>
      <w:r w:rsidRPr="008F5066">
        <w:rPr>
          <w:rtl/>
          <w:lang w:eastAsia="zh-TW"/>
        </w:rPr>
        <w:t>٧-٢</w:t>
      </w:r>
      <w:r w:rsidR="00DA27E1">
        <w:rPr>
          <w:rFonts w:hint="cs"/>
          <w:rtl/>
          <w:lang w:eastAsia="zh-TW"/>
        </w:rPr>
        <w:tab/>
      </w:r>
      <w:r w:rsidRPr="008F5066">
        <w:rPr>
          <w:rtl/>
          <w:lang w:eastAsia="zh-TW"/>
        </w:rPr>
        <w:t xml:space="preserve">ويكرر </w:t>
      </w:r>
      <w:r>
        <w:rPr>
          <w:rtl/>
          <w:lang w:eastAsia="zh-TW"/>
        </w:rPr>
        <w:t>أصحاب</w:t>
      </w:r>
      <w:r w:rsidRPr="008F5066">
        <w:rPr>
          <w:rtl/>
          <w:lang w:eastAsia="zh-TW"/>
        </w:rPr>
        <w:t xml:space="preserve"> الشكوى أيض</w:t>
      </w:r>
      <w:r w:rsidR="002D164F">
        <w:rPr>
          <w:rtl/>
          <w:lang w:eastAsia="zh-TW"/>
        </w:rPr>
        <w:t xml:space="preserve">اً </w:t>
      </w:r>
      <w:r w:rsidRPr="008F5066">
        <w:rPr>
          <w:rtl/>
          <w:lang w:eastAsia="zh-TW"/>
        </w:rPr>
        <w:t>حجتهم السابقة التي تفيد بأن الشخص الذي</w:t>
      </w:r>
      <w:r>
        <w:rPr>
          <w:rtl/>
          <w:lang w:eastAsia="zh-TW"/>
        </w:rPr>
        <w:t xml:space="preserve"> لقيَ من التعذيب ما لقيه </w:t>
      </w:r>
      <w:r w:rsidRPr="008F5066">
        <w:rPr>
          <w:rtl/>
          <w:lang w:eastAsia="zh-TW"/>
        </w:rPr>
        <w:t xml:space="preserve">صاحب الشكوى الأول سيواجه </w:t>
      </w:r>
      <w:r>
        <w:rPr>
          <w:rtl/>
          <w:lang w:eastAsia="zh-TW"/>
        </w:rPr>
        <w:t>مشاق</w:t>
      </w:r>
      <w:r w:rsidRPr="008F5066">
        <w:rPr>
          <w:rtl/>
          <w:lang w:eastAsia="zh-TW"/>
        </w:rPr>
        <w:t xml:space="preserve"> شديدة إذا ما عاد إلى </w:t>
      </w:r>
      <w:proofErr w:type="spellStart"/>
      <w:r w:rsidRPr="008F5066">
        <w:rPr>
          <w:rtl/>
          <w:lang w:eastAsia="zh-TW"/>
        </w:rPr>
        <w:t>إنغوشتيا</w:t>
      </w:r>
      <w:proofErr w:type="spellEnd"/>
      <w:r w:rsidRPr="008F5066">
        <w:rPr>
          <w:rtl/>
          <w:lang w:eastAsia="zh-TW"/>
        </w:rPr>
        <w:t xml:space="preserve">، لأن </w:t>
      </w:r>
      <w:r>
        <w:rPr>
          <w:rtl/>
          <w:lang w:eastAsia="zh-TW"/>
        </w:rPr>
        <w:t xml:space="preserve">احتمال اضطهاد </w:t>
      </w:r>
      <w:r w:rsidRPr="008F5066">
        <w:rPr>
          <w:rtl/>
          <w:lang w:eastAsia="zh-TW"/>
        </w:rPr>
        <w:t xml:space="preserve">السلطات </w:t>
      </w:r>
      <w:r>
        <w:rPr>
          <w:rtl/>
          <w:lang w:eastAsia="zh-TW"/>
        </w:rPr>
        <w:t xml:space="preserve">له </w:t>
      </w:r>
      <w:r w:rsidRPr="008F5066">
        <w:rPr>
          <w:rtl/>
          <w:lang w:eastAsia="zh-TW"/>
        </w:rPr>
        <w:t>وإحضاره للاستجواب مرة تلو الأخرى مع تعذيبه مرجح</w:t>
      </w:r>
      <w:r>
        <w:rPr>
          <w:rtl/>
          <w:lang w:eastAsia="zh-TW"/>
        </w:rPr>
        <w:t>ٌ</w:t>
      </w:r>
      <w:r w:rsidRPr="008F5066">
        <w:rPr>
          <w:rtl/>
          <w:lang w:eastAsia="zh-TW"/>
        </w:rPr>
        <w:t xml:space="preserve"> إلى حد </w:t>
      </w:r>
      <w:r w:rsidRPr="00377B19">
        <w:rPr>
          <w:sz w:val="30"/>
          <w:rtl/>
          <w:lang w:eastAsia="zh-TW"/>
        </w:rPr>
        <w:t xml:space="preserve">كبير. ويضيفون أن الوضع السائد في </w:t>
      </w:r>
      <w:proofErr w:type="spellStart"/>
      <w:r w:rsidRPr="00377B19">
        <w:rPr>
          <w:sz w:val="30"/>
          <w:rtl/>
          <w:lang w:eastAsia="zh-TW"/>
        </w:rPr>
        <w:t>إنغوشتيا</w:t>
      </w:r>
      <w:proofErr w:type="spellEnd"/>
      <w:r w:rsidRPr="00377B19">
        <w:rPr>
          <w:sz w:val="30"/>
          <w:rtl/>
          <w:lang w:eastAsia="zh-TW"/>
        </w:rPr>
        <w:t xml:space="preserve"> قد تدهور في الأشهر الأخيرة</w:t>
      </w:r>
      <w:r w:rsidR="00377B19" w:rsidRPr="00377B19">
        <w:rPr>
          <w:rFonts w:hint="cs"/>
          <w:sz w:val="30"/>
          <w:vertAlign w:val="superscript"/>
          <w:rtl/>
          <w:lang w:eastAsia="zh-TW"/>
        </w:rPr>
        <w:t>(</w:t>
      </w:r>
      <w:r w:rsidRPr="00377B19">
        <w:rPr>
          <w:rStyle w:val="FootnoteReference"/>
          <w:rFonts w:ascii="Traditional Arabic" w:hAnsi="Traditional Arabic"/>
          <w:sz w:val="30"/>
          <w:szCs w:val="30"/>
          <w:rtl/>
          <w:lang w:eastAsia="zh-TW"/>
        </w:rPr>
        <w:footnoteReference w:id="22"/>
      </w:r>
      <w:r w:rsidR="00377B19" w:rsidRPr="00377B19">
        <w:rPr>
          <w:rFonts w:hint="cs"/>
          <w:sz w:val="30"/>
          <w:vertAlign w:val="superscript"/>
          <w:rtl/>
          <w:lang w:eastAsia="zh-TW"/>
        </w:rPr>
        <w:t>)</w:t>
      </w:r>
      <w:r w:rsidR="00377B19" w:rsidRPr="00377B19">
        <w:rPr>
          <w:rFonts w:hint="cs"/>
          <w:sz w:val="30"/>
          <w:rtl/>
          <w:lang w:eastAsia="zh-TW"/>
        </w:rPr>
        <w:t>.</w:t>
      </w:r>
      <w:r w:rsidRPr="00377B19">
        <w:rPr>
          <w:sz w:val="30"/>
          <w:rtl/>
          <w:lang w:eastAsia="zh-TW"/>
        </w:rPr>
        <w:t xml:space="preserve"> ولذلك، يزعم أصحاب الشكوى أنهم قدموا أدلة تكفي لقبول شكواهم بموجب المادة 3 من الاتفاقية.</w:t>
      </w:r>
    </w:p>
    <w:p w:rsidR="00521363" w:rsidRPr="00377B19" w:rsidRDefault="00DA27E1" w:rsidP="002A4B7F">
      <w:pPr>
        <w:pStyle w:val="SingleTxtGA"/>
        <w:spacing w:line="360" w:lineRule="exact"/>
        <w:rPr>
          <w:sz w:val="30"/>
          <w:rtl/>
          <w:lang w:eastAsia="zh-TW"/>
        </w:rPr>
      </w:pPr>
      <w:r w:rsidRPr="00377B19">
        <w:rPr>
          <w:sz w:val="30"/>
          <w:rtl/>
          <w:lang w:eastAsia="zh-TW"/>
        </w:rPr>
        <w:t>٧-٣</w:t>
      </w:r>
      <w:r w:rsidRPr="00377B19">
        <w:rPr>
          <w:rFonts w:hint="cs"/>
          <w:sz w:val="30"/>
          <w:rtl/>
          <w:lang w:eastAsia="zh-TW"/>
        </w:rPr>
        <w:tab/>
      </w:r>
      <w:r w:rsidR="00521363" w:rsidRPr="00377B19">
        <w:rPr>
          <w:sz w:val="30"/>
          <w:rtl/>
          <w:lang w:eastAsia="zh-TW"/>
        </w:rPr>
        <w:t>ويدعي أصحاب الشكوى</w:t>
      </w:r>
      <w:r w:rsidRPr="00377B19">
        <w:rPr>
          <w:rFonts w:hint="cs"/>
          <w:sz w:val="30"/>
          <w:rtl/>
          <w:lang w:eastAsia="zh-TW"/>
        </w:rPr>
        <w:t>،</w:t>
      </w:r>
      <w:r w:rsidR="00521363" w:rsidRPr="00377B19">
        <w:rPr>
          <w:sz w:val="30"/>
          <w:rtl/>
          <w:lang w:eastAsia="zh-TW"/>
        </w:rPr>
        <w:t xml:space="preserve"> كذلك، أن الدولة الطرف لم تدحض في ملاحظاتها الإضافية، المؤرخة ٨ نيسان/أبريل ٢٠١٦، إفادتهم بشأن الوضع السائد في </w:t>
      </w:r>
      <w:proofErr w:type="spellStart"/>
      <w:r w:rsidR="00521363" w:rsidRPr="00377B19">
        <w:rPr>
          <w:sz w:val="30"/>
          <w:rtl/>
          <w:lang w:eastAsia="zh-TW"/>
        </w:rPr>
        <w:t>إنغوشتيا</w:t>
      </w:r>
      <w:proofErr w:type="spellEnd"/>
      <w:r w:rsidR="00521363" w:rsidRPr="00377B19">
        <w:rPr>
          <w:sz w:val="30"/>
          <w:rtl/>
          <w:lang w:eastAsia="zh-TW"/>
        </w:rPr>
        <w:t>، الأمر الذي يدل بوضوح على وجود نمط ثابت من الانتهاكات الفادحة أو الصارخة أو الجماعية لحقوق الإنسان (انظر الفقرة ٥-٢). ويشير أصحاب الشكو</w:t>
      </w:r>
      <w:r w:rsidRPr="00377B19">
        <w:rPr>
          <w:sz w:val="30"/>
          <w:rtl/>
          <w:lang w:eastAsia="zh-TW"/>
        </w:rPr>
        <w:t>ى إلى التعليق العام للجنة رقم</w:t>
      </w:r>
      <w:r w:rsidRPr="00377B19">
        <w:rPr>
          <w:rFonts w:hint="cs"/>
          <w:sz w:val="30"/>
          <w:rtl/>
          <w:lang w:eastAsia="zh-TW"/>
        </w:rPr>
        <w:t> </w:t>
      </w:r>
      <w:r w:rsidRPr="00377B19">
        <w:rPr>
          <w:sz w:val="30"/>
          <w:rtl/>
          <w:lang w:eastAsia="zh-TW"/>
        </w:rPr>
        <w:t>1</w:t>
      </w:r>
      <w:r w:rsidR="00521363" w:rsidRPr="00377B19">
        <w:rPr>
          <w:sz w:val="30"/>
          <w:rtl/>
          <w:lang w:eastAsia="zh-TW"/>
        </w:rPr>
        <w:t>(1997) بشأن تنفيذ المادة ٣، ويضيفون أن ثمة خطر</w:t>
      </w:r>
      <w:r w:rsidR="002D164F">
        <w:rPr>
          <w:sz w:val="30"/>
          <w:rtl/>
          <w:lang w:eastAsia="zh-TW"/>
        </w:rPr>
        <w:t xml:space="preserve">اً </w:t>
      </w:r>
      <w:r w:rsidR="00521363" w:rsidRPr="00377B19">
        <w:rPr>
          <w:sz w:val="30"/>
          <w:rtl/>
          <w:lang w:eastAsia="zh-TW"/>
        </w:rPr>
        <w:t>واضح</w:t>
      </w:r>
      <w:r w:rsidR="002D164F">
        <w:rPr>
          <w:sz w:val="30"/>
          <w:rtl/>
          <w:lang w:eastAsia="zh-TW"/>
        </w:rPr>
        <w:t xml:space="preserve">اً </w:t>
      </w:r>
      <w:r w:rsidR="00521363" w:rsidRPr="00377B19">
        <w:rPr>
          <w:sz w:val="30"/>
          <w:rtl/>
          <w:lang w:eastAsia="zh-TW"/>
        </w:rPr>
        <w:t>ووشيك</w:t>
      </w:r>
      <w:r w:rsidR="002D164F">
        <w:rPr>
          <w:sz w:val="30"/>
          <w:rtl/>
          <w:lang w:eastAsia="zh-TW"/>
        </w:rPr>
        <w:t xml:space="preserve">اً </w:t>
      </w:r>
      <w:r w:rsidR="00521363" w:rsidRPr="00377B19">
        <w:rPr>
          <w:sz w:val="30"/>
          <w:rtl/>
          <w:lang w:eastAsia="zh-TW"/>
        </w:rPr>
        <w:t>على صاحب الشكوى الأول، في هذه الشكوى، من التعرض للاعتقال والتعذيب مجدد</w:t>
      </w:r>
      <w:r w:rsidR="002D164F">
        <w:rPr>
          <w:sz w:val="30"/>
          <w:rtl/>
          <w:lang w:eastAsia="zh-TW"/>
        </w:rPr>
        <w:t xml:space="preserve">اً </w:t>
      </w:r>
      <w:r w:rsidR="00521363" w:rsidRPr="00377B19">
        <w:rPr>
          <w:sz w:val="30"/>
          <w:rtl/>
          <w:lang w:eastAsia="zh-TW"/>
        </w:rPr>
        <w:t xml:space="preserve">لدى عودته إلى </w:t>
      </w:r>
      <w:proofErr w:type="spellStart"/>
      <w:r w:rsidR="00521363" w:rsidRPr="00377B19">
        <w:rPr>
          <w:sz w:val="30"/>
          <w:rtl/>
          <w:lang w:eastAsia="zh-TW"/>
        </w:rPr>
        <w:t>إنغوشتيا</w:t>
      </w:r>
      <w:proofErr w:type="spellEnd"/>
      <w:r w:rsidR="00521363" w:rsidRPr="00377B19">
        <w:rPr>
          <w:sz w:val="30"/>
          <w:rtl/>
          <w:lang w:eastAsia="zh-TW"/>
        </w:rPr>
        <w:t xml:space="preserve"> بعد أن التمس اللجوء في الدانمرك. ويدفع أصحاب الشكوى بأن هذا الادعاء تدعمه المعلومات المتعلقة بخطورة الوضع في </w:t>
      </w:r>
      <w:proofErr w:type="spellStart"/>
      <w:r w:rsidR="00521363" w:rsidRPr="00377B19">
        <w:rPr>
          <w:sz w:val="30"/>
          <w:rtl/>
          <w:lang w:eastAsia="zh-TW"/>
        </w:rPr>
        <w:t>إنغوشتيا</w:t>
      </w:r>
      <w:proofErr w:type="spellEnd"/>
      <w:r w:rsidR="00521363" w:rsidRPr="00377B19">
        <w:rPr>
          <w:sz w:val="30"/>
          <w:rtl/>
          <w:lang w:eastAsia="zh-TW"/>
        </w:rPr>
        <w:t xml:space="preserve"> وفي شمال القوقاز عموم</w:t>
      </w:r>
      <w:r w:rsidR="002D164F">
        <w:rPr>
          <w:sz w:val="30"/>
          <w:rtl/>
          <w:lang w:eastAsia="zh-TW"/>
        </w:rPr>
        <w:t xml:space="preserve">اً، </w:t>
      </w:r>
      <w:r w:rsidR="00521363" w:rsidRPr="00377B19">
        <w:rPr>
          <w:sz w:val="30"/>
          <w:rtl/>
          <w:lang w:eastAsia="zh-TW"/>
        </w:rPr>
        <w:t>ويدعمه بوجه خاص، تعرض صاحب الشكوى الأول بالفعل، لتعذيب شديد واستمرار السلطات في البحث عنه.</w:t>
      </w:r>
    </w:p>
    <w:p w:rsidR="00521363" w:rsidRPr="008F5066" w:rsidRDefault="00DA27E1" w:rsidP="002A4B7F">
      <w:pPr>
        <w:pStyle w:val="SingleTxtGA"/>
        <w:spacing w:line="360" w:lineRule="exact"/>
        <w:rPr>
          <w:rtl/>
          <w:lang w:eastAsia="zh-TW"/>
        </w:rPr>
      </w:pPr>
      <w:r w:rsidRPr="00377B19">
        <w:rPr>
          <w:sz w:val="30"/>
          <w:rtl/>
          <w:lang w:eastAsia="zh-TW"/>
        </w:rPr>
        <w:t>٧-٤</w:t>
      </w:r>
      <w:r w:rsidRPr="00377B19">
        <w:rPr>
          <w:rFonts w:hint="cs"/>
          <w:sz w:val="30"/>
          <w:rtl/>
          <w:lang w:eastAsia="zh-TW"/>
        </w:rPr>
        <w:tab/>
      </w:r>
      <w:dir w:val="rtl">
        <w:r w:rsidR="00521363" w:rsidRPr="00377B19">
          <w:rPr>
            <w:sz w:val="30"/>
            <w:rtl/>
            <w:lang w:eastAsia="zh-TW"/>
          </w:rPr>
          <w:t>ويدفع أصحاب الشكوى أيض</w:t>
        </w:r>
        <w:r w:rsidR="002D164F">
          <w:rPr>
            <w:sz w:val="30"/>
            <w:rtl/>
            <w:lang w:eastAsia="zh-TW"/>
          </w:rPr>
          <w:t xml:space="preserve">اً </w:t>
        </w:r>
        <w:r w:rsidR="00521363" w:rsidRPr="00377B19">
          <w:rPr>
            <w:sz w:val="30"/>
            <w:rtl/>
            <w:lang w:eastAsia="zh-TW"/>
          </w:rPr>
          <w:t>بأن صاحب الشكوى الأول "اشترك في نشاط سياسي أو في سواه من الأنشطة داخل الدولة المعنية</w:t>
        </w:r>
        <w:r w:rsidRPr="00377B19">
          <w:rPr>
            <w:rFonts w:hint="cs"/>
            <w:sz w:val="30"/>
            <w:rtl/>
            <w:lang w:eastAsia="zh-TW"/>
          </w:rPr>
          <w:t xml:space="preserve"> أو خارجها</w:t>
        </w:r>
        <w:r w:rsidR="00521363" w:rsidRPr="00377B19">
          <w:rPr>
            <w:sz w:val="30"/>
            <w:rtl/>
            <w:lang w:eastAsia="zh-TW"/>
          </w:rPr>
          <w:t>"</w:t>
        </w:r>
        <w:r w:rsidRPr="00377B19">
          <w:rPr>
            <w:rFonts w:hint="cs"/>
            <w:sz w:val="30"/>
            <w:vertAlign w:val="superscript"/>
            <w:rtl/>
            <w:lang w:eastAsia="zh-TW"/>
          </w:rPr>
          <w:t>(</w:t>
        </w:r>
        <w:r w:rsidR="00521363" w:rsidRPr="00377B19">
          <w:rPr>
            <w:rStyle w:val="FootnoteReference"/>
            <w:rFonts w:ascii="Traditional Arabic" w:hAnsi="Traditional Arabic"/>
            <w:sz w:val="30"/>
            <w:szCs w:val="30"/>
            <w:rtl/>
            <w:lang w:eastAsia="zh-TW"/>
          </w:rPr>
          <w:footnoteReference w:id="23"/>
        </w:r>
        <w:r w:rsidRPr="00377B19">
          <w:rPr>
            <w:rFonts w:hint="cs"/>
            <w:sz w:val="30"/>
            <w:vertAlign w:val="superscript"/>
            <w:rtl/>
            <w:lang w:eastAsia="zh-TW"/>
          </w:rPr>
          <w:t>)</w:t>
        </w:r>
        <w:r w:rsidRPr="00377B19">
          <w:rPr>
            <w:rFonts w:hint="cs"/>
            <w:sz w:val="30"/>
            <w:rtl/>
            <w:lang w:eastAsia="zh-TW"/>
          </w:rPr>
          <w:t>،</w:t>
        </w:r>
        <w:r w:rsidR="00521363" w:rsidRPr="00377B19">
          <w:rPr>
            <w:sz w:val="30"/>
            <w:rtl/>
            <w:lang w:eastAsia="zh-TW"/>
          </w:rPr>
          <w:t xml:space="preserve"> مما يبدو أنه يعرضه بصورة خاصة </w:t>
        </w:r>
        <w:r w:rsidRPr="00377B19">
          <w:rPr>
            <w:rFonts w:hint="cs"/>
            <w:sz w:val="30"/>
            <w:rtl/>
            <w:lang w:eastAsia="zh-TW"/>
          </w:rPr>
          <w:t>ل</w:t>
        </w:r>
        <w:r w:rsidR="00521363" w:rsidRPr="00377B19">
          <w:rPr>
            <w:sz w:val="30"/>
            <w:rtl/>
            <w:lang w:eastAsia="zh-TW"/>
          </w:rPr>
          <w:t xml:space="preserve">خطر التعذيب إذا طرد أو أعيد أو سُلّم إلى </w:t>
        </w:r>
        <w:proofErr w:type="spellStart"/>
        <w:r w:rsidR="00521363" w:rsidRPr="00377B19">
          <w:rPr>
            <w:sz w:val="30"/>
            <w:rtl/>
            <w:lang w:eastAsia="zh-TW"/>
          </w:rPr>
          <w:t>إنغوشتيا</w:t>
        </w:r>
        <w:proofErr w:type="spellEnd"/>
        <w:r w:rsidR="00521363" w:rsidRPr="00377B19">
          <w:rPr>
            <w:sz w:val="30"/>
            <w:rtl/>
            <w:lang w:eastAsia="zh-TW"/>
          </w:rPr>
          <w:t>. ويضيفون أن التفسيرات التي قدمها</w:t>
        </w:r>
        <w:r w:rsidR="00521363" w:rsidRPr="008F5066">
          <w:rPr>
            <w:rtl/>
            <w:lang w:eastAsia="zh-TW"/>
          </w:rPr>
          <w:t xml:space="preserve"> صاحب الشكوى الأول لا </w:t>
        </w:r>
        <w:r w:rsidR="00521363">
          <w:rPr>
            <w:rtl/>
            <w:lang w:eastAsia="zh-TW"/>
          </w:rPr>
          <w:t>تنطوي على</w:t>
        </w:r>
        <w:r w:rsidR="00521363" w:rsidRPr="008F5066">
          <w:rPr>
            <w:rtl/>
            <w:lang w:eastAsia="zh-TW"/>
          </w:rPr>
          <w:t xml:space="preserve"> أي </w:t>
        </w:r>
        <w:r>
          <w:rPr>
            <w:rFonts w:hint="cs"/>
            <w:rtl/>
            <w:lang w:eastAsia="zh-TW"/>
          </w:rPr>
          <w:t xml:space="preserve">تناقضات </w:t>
        </w:r>
        <w:proofErr w:type="spellStart"/>
        <w:r>
          <w:rPr>
            <w:rFonts w:hint="cs"/>
            <w:rtl/>
            <w:lang w:eastAsia="zh-TW"/>
          </w:rPr>
          <w:t>وقائعية</w:t>
        </w:r>
        <w:proofErr w:type="spellEnd"/>
        <w:r>
          <w:rPr>
            <w:rFonts w:hint="cs"/>
            <w:rtl/>
            <w:lang w:eastAsia="zh-TW"/>
          </w:rPr>
          <w:t xml:space="preserve"> وكل ما </w:t>
        </w:r>
        <w:r w:rsidR="00521363" w:rsidRPr="008F5066">
          <w:rPr>
            <w:rtl/>
            <w:lang w:eastAsia="zh-TW"/>
          </w:rPr>
          <w:t xml:space="preserve">هنالك هو </w:t>
        </w:r>
        <w:r>
          <w:rPr>
            <w:rFonts w:hint="cs"/>
            <w:rtl/>
            <w:lang w:eastAsia="zh-TW"/>
          </w:rPr>
          <w:t xml:space="preserve">وجود </w:t>
        </w:r>
        <w:r w:rsidR="00521363" w:rsidRPr="008F5066">
          <w:rPr>
            <w:rtl/>
            <w:lang w:eastAsia="zh-TW"/>
          </w:rPr>
          <w:t xml:space="preserve">اختلافات طفيفة تعزى إلى التعذيب الذي تعرض له، وإلى إصابته باضطراب الكرب التالي للرضح. ويدعي </w:t>
        </w:r>
        <w:r w:rsidR="00521363">
          <w:rPr>
            <w:rtl/>
            <w:lang w:eastAsia="zh-TW"/>
          </w:rPr>
          <w:t>أصحاب</w:t>
        </w:r>
        <w:r w:rsidR="00521363" w:rsidRPr="008F5066">
          <w:rPr>
            <w:rtl/>
            <w:lang w:eastAsia="zh-TW"/>
          </w:rPr>
          <w:t xml:space="preserve"> الشكوى أن العوامل التي تقدم ذكرها تؤكد كذلك، وبشدة أكبر</w:t>
        </w:r>
        <w:r w:rsidR="00521363">
          <w:rPr>
            <w:rtl/>
            <w:lang w:eastAsia="zh-TW"/>
          </w:rPr>
          <w:t>،</w:t>
        </w:r>
        <w:r w:rsidR="00521363" w:rsidRPr="008F5066">
          <w:rPr>
            <w:rtl/>
            <w:lang w:eastAsia="zh-TW"/>
          </w:rPr>
          <w:t xml:space="preserve"> مقارنة بقضية </w:t>
        </w:r>
        <w:r w:rsidR="00521363" w:rsidRPr="00FC052E">
          <w:rPr>
            <w:i/>
            <w:iCs/>
            <w:rtl/>
            <w:lang w:eastAsia="zh-TW"/>
          </w:rPr>
          <w:t>ف.</w:t>
        </w:r>
        <w:r w:rsidR="000E004C" w:rsidRPr="00FC052E">
          <w:rPr>
            <w:rFonts w:hint="cs"/>
            <w:i/>
            <w:iCs/>
            <w:rtl/>
            <w:lang w:eastAsia="zh-TW"/>
          </w:rPr>
          <w:t xml:space="preserve"> </w:t>
        </w:r>
        <w:r w:rsidR="00521363" w:rsidRPr="00FC052E">
          <w:rPr>
            <w:i/>
            <w:iCs/>
            <w:rtl/>
            <w:lang w:eastAsia="zh-TW"/>
          </w:rPr>
          <w:t>ك. ضد الدانمرك</w:t>
        </w:r>
        <w:r w:rsidR="00521363" w:rsidRPr="008F5066">
          <w:rPr>
            <w:rtl/>
            <w:lang w:eastAsia="zh-TW"/>
          </w:rPr>
          <w:t xml:space="preserve"> التي أشارت إليها الدولة الطرف (انظر الفقرة ٦-٦)، أنه كان ينبغي إجراء الفحص الطبي لصاحب الشكوى لمعاينة علامات التعذيب في عيادة الطب الشرعي الواقعة في </w:t>
        </w:r>
        <w:proofErr w:type="spellStart"/>
        <w:r w:rsidR="00521363" w:rsidRPr="008F5066">
          <w:rPr>
            <w:rtl/>
            <w:lang w:eastAsia="zh-TW"/>
          </w:rPr>
          <w:t>ريغسهوسبيتالت</w:t>
        </w:r>
        <w:proofErr w:type="spellEnd"/>
        <w:r w:rsidR="00521363" w:rsidRPr="008F5066">
          <w:rPr>
            <w:rtl/>
            <w:lang w:eastAsia="zh-TW"/>
          </w:rPr>
          <w:t xml:space="preserve">، وهي العيادة الرسمية لاستقصاء حالات التعذيب. وفيما يتعلق بحجة الدولة الطرف التي تفيد بأن مجلس طعون اللاجئين </w:t>
        </w:r>
        <w:r w:rsidR="00521363">
          <w:rPr>
            <w:rtl/>
            <w:lang w:eastAsia="zh-TW"/>
          </w:rPr>
          <w:t>قد</w:t>
        </w:r>
        <w:r w:rsidR="00521363" w:rsidRPr="008F5066">
          <w:rPr>
            <w:rtl/>
            <w:lang w:eastAsia="zh-TW"/>
          </w:rPr>
          <w:t xml:space="preserve"> يعطي الأمر</w:t>
        </w:r>
        <w:r w:rsidR="00521363">
          <w:rPr>
            <w:rtl/>
            <w:lang w:eastAsia="zh-TW"/>
          </w:rPr>
          <w:t>،</w:t>
        </w:r>
        <w:r w:rsidR="00521363" w:rsidRPr="008F5066">
          <w:rPr>
            <w:rtl/>
            <w:lang w:eastAsia="zh-TW"/>
          </w:rPr>
          <w:t xml:space="preserve"> في بعض الأحيان</w:t>
        </w:r>
        <w:r w:rsidR="00521363">
          <w:rPr>
            <w:rtl/>
            <w:lang w:eastAsia="zh-TW"/>
          </w:rPr>
          <w:t>،</w:t>
        </w:r>
        <w:r w:rsidR="00521363" w:rsidRPr="008F5066">
          <w:rPr>
            <w:rtl/>
            <w:lang w:eastAsia="zh-TW"/>
          </w:rPr>
          <w:t xml:space="preserve"> بإ</w:t>
        </w:r>
        <w:r w:rsidR="00521363">
          <w:rPr>
            <w:rtl/>
            <w:lang w:eastAsia="zh-TW"/>
          </w:rPr>
          <w:t>جراء الفحص الطبي لملتمس ا</w:t>
        </w:r>
        <w:r w:rsidR="00521363" w:rsidRPr="008F5066">
          <w:rPr>
            <w:rtl/>
            <w:lang w:eastAsia="zh-TW"/>
          </w:rPr>
          <w:t xml:space="preserve">للجوء لمعاينة علامات التعذيب إذا رأى أنه يتمتع بالمصداقية، يؤكد </w:t>
        </w:r>
        <w:r w:rsidR="00521363">
          <w:rPr>
            <w:rtl/>
            <w:lang w:eastAsia="zh-TW"/>
          </w:rPr>
          <w:t>أصحاب</w:t>
        </w:r>
        <w:r w:rsidR="00521363" w:rsidRPr="008F5066">
          <w:rPr>
            <w:rtl/>
            <w:lang w:eastAsia="zh-TW"/>
          </w:rPr>
          <w:t xml:space="preserve"> الشكوى أن </w:t>
        </w:r>
        <w:r w:rsidR="00521363">
          <w:rPr>
            <w:rtl/>
            <w:lang w:eastAsia="zh-TW"/>
          </w:rPr>
          <w:t>فحص</w:t>
        </w:r>
        <w:r w:rsidR="00521363" w:rsidRPr="008F5066">
          <w:rPr>
            <w:rtl/>
            <w:lang w:eastAsia="zh-TW"/>
          </w:rPr>
          <w:t xml:space="preserve"> </w:t>
        </w:r>
        <w:r w:rsidR="00521363">
          <w:rPr>
            <w:rtl/>
            <w:lang w:eastAsia="zh-TW"/>
          </w:rPr>
          <w:t>صاحب</w:t>
        </w:r>
        <w:r w:rsidR="00521363" w:rsidRPr="008F5066">
          <w:rPr>
            <w:rtl/>
            <w:lang w:eastAsia="zh-TW"/>
          </w:rPr>
          <w:t xml:space="preserve"> الشكوى الأول لمعاينة علامات التعذيب هو، في الواقع، أمر</w:t>
        </w:r>
        <w:r w:rsidR="00521363">
          <w:rPr>
            <w:rtl/>
            <w:lang w:eastAsia="zh-TW"/>
          </w:rPr>
          <w:t>ٌ</w:t>
        </w:r>
        <w:r w:rsidR="00521363" w:rsidRPr="008F5066">
          <w:rPr>
            <w:rtl/>
            <w:lang w:eastAsia="zh-TW"/>
          </w:rPr>
          <w:t xml:space="preserve"> ضروري لإثبات مصداقيته. </w:t>
        </w:r>
        <w:r w:rsidR="00521363">
          <w:t>‬</w:t>
        </w:r>
        <w:r w:rsidR="00D3340E">
          <w:t>‬</w:t>
        </w:r>
        <w:r w:rsidR="002C3FDD">
          <w:t>‬</w:t>
        </w:r>
      </w:dir>
    </w:p>
    <w:p w:rsidR="00521363" w:rsidRPr="00336076" w:rsidRDefault="00521363" w:rsidP="00DA27E1">
      <w:pPr>
        <w:pStyle w:val="H23GA"/>
        <w:rPr>
          <w:rtl/>
        </w:rPr>
      </w:pPr>
      <w:r w:rsidRPr="00336076">
        <w:rPr>
          <w:rtl/>
        </w:rPr>
        <w:lastRenderedPageBreak/>
        <w:tab/>
      </w:r>
      <w:r w:rsidRPr="00336076">
        <w:rPr>
          <w:rtl/>
        </w:rPr>
        <w:tab/>
        <w:t xml:space="preserve">المسائل </w:t>
      </w:r>
      <w:proofErr w:type="spellStart"/>
      <w:r w:rsidRPr="00336076">
        <w:rPr>
          <w:rtl/>
        </w:rPr>
        <w:t>والاجراءات</w:t>
      </w:r>
      <w:proofErr w:type="spellEnd"/>
      <w:r w:rsidRPr="00336076">
        <w:rPr>
          <w:rtl/>
        </w:rPr>
        <w:t xml:space="preserve"> المعروضة على اللجنة</w:t>
      </w:r>
      <w:r w:rsidRPr="00336076">
        <w:rPr>
          <w:rFonts w:cs="Times New Roman"/>
          <w:rtl/>
        </w:rPr>
        <w:t>‬</w:t>
      </w:r>
    </w:p>
    <w:p w:rsidR="00521363" w:rsidRPr="00336076" w:rsidRDefault="00521363" w:rsidP="00DA27E1">
      <w:pPr>
        <w:pStyle w:val="H4GA"/>
        <w:rPr>
          <w:rtl/>
          <w:lang w:eastAsia="zh-TW"/>
        </w:rPr>
      </w:pPr>
      <w:r w:rsidRPr="00336076">
        <w:rPr>
          <w:rtl/>
          <w:lang w:eastAsia="zh-TW"/>
        </w:rPr>
        <w:tab/>
      </w:r>
      <w:r w:rsidRPr="00336076">
        <w:rPr>
          <w:rtl/>
          <w:lang w:eastAsia="zh-TW"/>
        </w:rPr>
        <w:tab/>
        <w:t>النظر في المقبولية</w:t>
      </w:r>
    </w:p>
    <w:p w:rsidR="00521363" w:rsidRPr="008F5066" w:rsidRDefault="00DA27E1" w:rsidP="002A4B7F">
      <w:pPr>
        <w:pStyle w:val="SingleTxtGA"/>
        <w:spacing w:line="360" w:lineRule="exact"/>
        <w:rPr>
          <w:rtl/>
          <w:lang w:eastAsia="zh-TW"/>
        </w:rPr>
      </w:pPr>
      <w:r>
        <w:rPr>
          <w:rtl/>
          <w:lang w:eastAsia="zh-TW"/>
        </w:rPr>
        <w:t>٨-١</w:t>
      </w:r>
      <w:r>
        <w:rPr>
          <w:rFonts w:hint="cs"/>
          <w:rtl/>
          <w:lang w:eastAsia="zh-TW"/>
        </w:rPr>
        <w:tab/>
      </w:r>
      <w:r w:rsidR="00521363" w:rsidRPr="008F5066">
        <w:rPr>
          <w:rtl/>
          <w:lang w:eastAsia="zh-TW"/>
        </w:rPr>
        <w:t>قبل النظر في أي ادعاء يرد في بلاغ ما، يجب على اللجنة أن تقرر ما إذا كان البلاغ مقبولاً أ</w:t>
      </w:r>
      <w:r>
        <w:rPr>
          <w:rFonts w:hint="cs"/>
          <w:rtl/>
          <w:lang w:eastAsia="zh-TW"/>
        </w:rPr>
        <w:t>و</w:t>
      </w:r>
      <w:r w:rsidR="00521363" w:rsidRPr="008F5066">
        <w:rPr>
          <w:rtl/>
          <w:lang w:eastAsia="zh-TW"/>
        </w:rPr>
        <w:t xml:space="preserve"> لا بموجب المادة 22 من الاتفاقية.</w:t>
      </w:r>
      <w:r w:rsidR="00521363" w:rsidRPr="008F5066">
        <w:rPr>
          <w:rFonts w:cs="Times New Roman"/>
          <w:rtl/>
          <w:lang w:eastAsia="zh-TW"/>
        </w:rPr>
        <w:t>‬</w:t>
      </w:r>
      <w:r w:rsidR="00521363" w:rsidRPr="008F5066">
        <w:rPr>
          <w:rtl/>
          <w:lang w:eastAsia="zh-TW"/>
        </w:rPr>
        <w:t xml:space="preserve"> </w:t>
      </w:r>
      <w:dir w:val="rtl">
        <w:r w:rsidR="00521363" w:rsidRPr="008F5066">
          <w:rPr>
            <w:rtl/>
            <w:lang w:eastAsia="zh-TW"/>
          </w:rPr>
          <w:t>وقد تحققت</w:t>
        </w:r>
        <w:r w:rsidR="002D164F">
          <w:rPr>
            <w:rtl/>
            <w:lang w:eastAsia="zh-TW"/>
          </w:rPr>
          <w:t xml:space="preserve"> اللجنة، وفق ما </w:t>
        </w:r>
        <w:proofErr w:type="spellStart"/>
        <w:r w:rsidR="002D164F">
          <w:rPr>
            <w:rtl/>
            <w:lang w:eastAsia="zh-TW"/>
          </w:rPr>
          <w:t>تقتضيه</w:t>
        </w:r>
        <w:proofErr w:type="spellEnd"/>
        <w:r w:rsidR="002D164F">
          <w:rPr>
            <w:rtl/>
            <w:lang w:eastAsia="zh-TW"/>
          </w:rPr>
          <w:t xml:space="preserve"> الفقرة 5</w:t>
        </w:r>
        <w:r w:rsidR="00521363" w:rsidRPr="008F5066">
          <w:rPr>
            <w:rtl/>
            <w:lang w:eastAsia="zh-TW"/>
          </w:rPr>
          <w:t>(أ) من المادة 22 من الاتفاقية، من أن المسألة نفسها لم يجر بحثها، ولا يجرى بحثها بموجب أ</w:t>
        </w:r>
        <w:r>
          <w:rPr>
            <w:rFonts w:hint="cs"/>
            <w:rtl/>
            <w:lang w:eastAsia="zh-TW"/>
          </w:rPr>
          <w:t>ي</w:t>
        </w:r>
        <w:r w:rsidR="00521363" w:rsidRPr="008F5066">
          <w:rPr>
            <w:rtl/>
            <w:lang w:eastAsia="zh-TW"/>
          </w:rPr>
          <w:t xml:space="preserve"> إجراء من إجراءات التحقيق أو التسوية الدولية.</w:t>
        </w:r>
        <w:r w:rsidR="00521363" w:rsidRPr="008F5066">
          <w:rPr>
            <w:rFonts w:cs="Times New Roman"/>
            <w:rtl/>
            <w:lang w:eastAsia="zh-TW"/>
          </w:rPr>
          <w:t>‬</w:t>
        </w:r>
        <w:r w:rsidR="00521363">
          <w:t>‬</w:t>
        </w:r>
        <w:r w:rsidR="00D3340E">
          <w:t>‬</w:t>
        </w:r>
        <w:r w:rsidR="002C3FDD">
          <w:t>‬</w:t>
        </w:r>
      </w:dir>
    </w:p>
    <w:p w:rsidR="00521363" w:rsidRPr="008F5066" w:rsidRDefault="00DA27E1" w:rsidP="002A4B7F">
      <w:pPr>
        <w:pStyle w:val="SingleTxtGA"/>
        <w:spacing w:line="360" w:lineRule="exact"/>
        <w:rPr>
          <w:rtl/>
          <w:lang w:eastAsia="zh-TW"/>
        </w:rPr>
      </w:pPr>
      <w:r>
        <w:rPr>
          <w:rtl/>
          <w:lang w:eastAsia="zh-TW"/>
        </w:rPr>
        <w:t>٨-٢</w:t>
      </w:r>
      <w:r>
        <w:rPr>
          <w:rFonts w:hint="cs"/>
          <w:rtl/>
          <w:lang w:eastAsia="zh-TW"/>
        </w:rPr>
        <w:tab/>
      </w:r>
      <w:r w:rsidR="00521363" w:rsidRPr="008F5066">
        <w:rPr>
          <w:rtl/>
          <w:lang w:eastAsia="zh-TW"/>
        </w:rPr>
        <w:t>وتذكّر الل</w:t>
      </w:r>
      <w:r>
        <w:rPr>
          <w:rtl/>
          <w:lang w:eastAsia="zh-TW"/>
        </w:rPr>
        <w:t>جنة بأنها ملزمة، بموجب الفقرة 5</w:t>
      </w:r>
      <w:r w:rsidR="00521363" w:rsidRPr="008F5066">
        <w:rPr>
          <w:rtl/>
          <w:lang w:eastAsia="zh-TW"/>
        </w:rPr>
        <w:t xml:space="preserve">(ب) من المادة 22 من الاتفاقية، بألا تنظر في أية بلاغات يتقدم بها أي فرد ما لم تتحقق من أنه قد استنفد جميع وسائل الانتصاف المحلية المتاحة. وتشير اللجنة إلى أن الدولة الطرف، في هذه القضية، لم تنازع في أن </w:t>
      </w:r>
      <w:r w:rsidR="00521363">
        <w:rPr>
          <w:rtl/>
          <w:lang w:eastAsia="zh-TW"/>
        </w:rPr>
        <w:t xml:space="preserve">أصحاب </w:t>
      </w:r>
      <w:r w:rsidR="00521363" w:rsidRPr="008F5066">
        <w:rPr>
          <w:rtl/>
          <w:lang w:eastAsia="zh-TW"/>
        </w:rPr>
        <w:t>الشكوى قد استنفد</w:t>
      </w:r>
      <w:r w:rsidR="00521363">
        <w:rPr>
          <w:rtl/>
          <w:lang w:eastAsia="zh-TW"/>
        </w:rPr>
        <w:t>و</w:t>
      </w:r>
      <w:r w:rsidR="00521363" w:rsidRPr="008F5066">
        <w:rPr>
          <w:rtl/>
          <w:lang w:eastAsia="zh-TW"/>
        </w:rPr>
        <w:t>ا جميع سبل الانتصاف المحلية المتاحة.</w:t>
      </w:r>
      <w:r w:rsidR="00521363" w:rsidRPr="008F5066">
        <w:rPr>
          <w:rFonts w:cs="Times New Roman"/>
          <w:rtl/>
          <w:lang w:eastAsia="zh-TW"/>
        </w:rPr>
        <w:t>‬</w:t>
      </w:r>
      <w:r w:rsidR="00521363" w:rsidRPr="008F5066">
        <w:rPr>
          <w:rtl/>
          <w:lang w:eastAsia="zh-TW"/>
        </w:rPr>
        <w:t xml:space="preserve"> </w:t>
      </w:r>
      <w:dir w:val="rtl">
        <w:r w:rsidR="00521363" w:rsidRPr="008F5066">
          <w:rPr>
            <w:rtl/>
            <w:lang w:eastAsia="zh-TW"/>
          </w:rPr>
          <w:t>وبناءً عليه، ترى اللجنة أنه ليس هناك ما</w:t>
        </w:r>
        <w:r w:rsidR="002D164F">
          <w:rPr>
            <w:rFonts w:hint="cs"/>
            <w:rtl/>
            <w:lang w:eastAsia="zh-TW"/>
          </w:rPr>
          <w:t> </w:t>
        </w:r>
        <w:r w:rsidR="00521363" w:rsidRPr="008F5066">
          <w:rPr>
            <w:rtl/>
            <w:lang w:eastAsia="zh-TW"/>
          </w:rPr>
          <w:t>يمنعها من النظر في البلاغ بموجب الفقرة</w:t>
        </w:r>
        <w:r>
          <w:rPr>
            <w:rtl/>
            <w:lang w:eastAsia="zh-TW"/>
          </w:rPr>
          <w:t xml:space="preserve"> 5</w:t>
        </w:r>
        <w:r w:rsidR="00521363" w:rsidRPr="008F5066">
          <w:rPr>
            <w:rtl/>
            <w:lang w:eastAsia="zh-TW"/>
          </w:rPr>
          <w:t>(ب) من المادة 22 من الاتفاقية.</w:t>
        </w:r>
        <w:r w:rsidR="00521363" w:rsidRPr="008F5066">
          <w:rPr>
            <w:rFonts w:cs="Times New Roman"/>
            <w:rtl/>
            <w:lang w:eastAsia="zh-TW"/>
          </w:rPr>
          <w:t>‬</w:t>
        </w:r>
        <w:r w:rsidR="00521363">
          <w:t>‬</w:t>
        </w:r>
        <w:r w:rsidR="00D3340E">
          <w:t>‬</w:t>
        </w:r>
        <w:r w:rsidR="002C3FDD">
          <w:t>‬</w:t>
        </w:r>
      </w:dir>
    </w:p>
    <w:p w:rsidR="00521363" w:rsidRPr="008F5066" w:rsidRDefault="00DA27E1" w:rsidP="002A4B7F">
      <w:pPr>
        <w:pStyle w:val="SingleTxtGA"/>
        <w:spacing w:line="360" w:lineRule="exact"/>
        <w:rPr>
          <w:rtl/>
          <w:lang w:eastAsia="zh-TW"/>
        </w:rPr>
      </w:pPr>
      <w:r>
        <w:rPr>
          <w:rtl/>
          <w:lang w:eastAsia="zh-TW"/>
        </w:rPr>
        <w:t>٨-٣</w:t>
      </w:r>
      <w:r>
        <w:rPr>
          <w:rFonts w:hint="cs"/>
          <w:rtl/>
          <w:lang w:eastAsia="zh-TW"/>
        </w:rPr>
        <w:tab/>
      </w:r>
      <w:r w:rsidR="00521363" w:rsidRPr="008F5066">
        <w:rPr>
          <w:rtl/>
          <w:lang w:eastAsia="zh-TW"/>
        </w:rPr>
        <w:t>وتدفع الدولة الطرف بأن البلاغ غير مقبول لأن من الواضح ألا أساس</w:t>
      </w:r>
      <w:r w:rsidR="00521363">
        <w:rPr>
          <w:rtl/>
          <w:lang w:eastAsia="zh-TW"/>
        </w:rPr>
        <w:t xml:space="preserve"> له</w:t>
      </w:r>
      <w:r w:rsidR="00521363" w:rsidRPr="008F5066">
        <w:rPr>
          <w:rtl/>
          <w:lang w:eastAsia="zh-TW"/>
        </w:rPr>
        <w:t>.</w:t>
      </w:r>
      <w:r w:rsidR="00521363" w:rsidRPr="008F5066">
        <w:rPr>
          <w:rFonts w:cs="Times New Roman"/>
          <w:rtl/>
          <w:lang w:eastAsia="zh-TW"/>
        </w:rPr>
        <w:t>‬</w:t>
      </w:r>
      <w:r w:rsidR="00521363" w:rsidRPr="008F5066">
        <w:rPr>
          <w:rtl/>
          <w:lang w:eastAsia="zh-TW"/>
        </w:rPr>
        <w:t xml:space="preserve"> </w:t>
      </w:r>
      <w:dir w:val="rtl">
        <w:r w:rsidR="00521363" w:rsidRPr="008F5066">
          <w:rPr>
            <w:rtl/>
            <w:lang w:eastAsia="zh-TW"/>
          </w:rPr>
          <w:t xml:space="preserve">بيد أن اللجنة ترى أن الحجج التي دفع بها </w:t>
        </w:r>
        <w:r w:rsidR="00521363">
          <w:rPr>
            <w:rtl/>
            <w:lang w:eastAsia="zh-TW"/>
          </w:rPr>
          <w:t>أصحاب</w:t>
        </w:r>
        <w:r w:rsidR="00521363" w:rsidRPr="008F5066">
          <w:rPr>
            <w:rtl/>
            <w:lang w:eastAsia="zh-TW"/>
          </w:rPr>
          <w:t xml:space="preserve"> الشكوى تطرح مسائل جوهرية ينبغي تناولها من حيث الأسس الموضوعية.</w:t>
        </w:r>
        <w:r w:rsidR="00521363" w:rsidRPr="008F5066">
          <w:rPr>
            <w:rFonts w:cs="Times New Roman"/>
            <w:rtl/>
            <w:lang w:eastAsia="zh-TW"/>
          </w:rPr>
          <w:t>‬</w:t>
        </w:r>
        <w:r w:rsidR="00521363" w:rsidRPr="008F5066">
          <w:rPr>
            <w:rtl/>
            <w:lang w:eastAsia="zh-TW"/>
          </w:rPr>
          <w:t xml:space="preserve"> </w:t>
        </w:r>
        <w:dir w:val="rtl">
          <w:r w:rsidR="00521363" w:rsidRPr="008F5066">
            <w:rPr>
              <w:rtl/>
              <w:lang w:eastAsia="zh-TW"/>
            </w:rPr>
            <w:t xml:space="preserve">وعليه، لا ترى اللجنة أية موانع تحول دون </w:t>
          </w:r>
          <w:r w:rsidR="00521363">
            <w:rPr>
              <w:rtl/>
              <w:lang w:eastAsia="zh-TW"/>
            </w:rPr>
            <w:t>المقبولية</w:t>
          </w:r>
          <w:r w:rsidR="00521363" w:rsidRPr="008F5066">
            <w:rPr>
              <w:rtl/>
              <w:lang w:eastAsia="zh-TW"/>
            </w:rPr>
            <w:t xml:space="preserve"> وتعلن أن البلاغ مقبول.</w:t>
          </w:r>
          <w:r w:rsidR="00521363" w:rsidRPr="008F5066">
            <w:rPr>
              <w:rFonts w:cs="Times New Roman"/>
              <w:rtl/>
              <w:lang w:eastAsia="zh-TW"/>
            </w:rPr>
            <w:t>‬</w:t>
          </w:r>
          <w:r w:rsidR="00521363" w:rsidRPr="008F5066">
            <w:rPr>
              <w:rtl/>
              <w:lang w:eastAsia="zh-TW"/>
            </w:rPr>
            <w:t xml:space="preserve"> </w:t>
          </w:r>
          <w:dir w:val="rtl">
            <w:r w:rsidR="00521363" w:rsidRPr="008F5066">
              <w:rPr>
                <w:rtl/>
                <w:lang w:eastAsia="zh-TW"/>
              </w:rPr>
              <w:t>وبالنظر إلى أن الدولة الطرف و</w:t>
            </w:r>
            <w:r w:rsidR="00521363">
              <w:rPr>
                <w:rtl/>
                <w:lang w:eastAsia="zh-TW"/>
              </w:rPr>
              <w:t xml:space="preserve">أصحاب </w:t>
            </w:r>
            <w:r w:rsidR="00521363" w:rsidRPr="008F5066">
              <w:rPr>
                <w:rtl/>
                <w:lang w:eastAsia="zh-TW"/>
              </w:rPr>
              <w:t>الشكوى قدموا ملاحظات بشأن الأسس الموضوعية، تشرع اللجنة فوراً في النظر في هذه الأسس.</w:t>
            </w:r>
            <w:r w:rsidR="00521363" w:rsidRPr="008F5066">
              <w:rPr>
                <w:rFonts w:cs="Times New Roman"/>
                <w:rtl/>
                <w:lang w:eastAsia="zh-TW"/>
              </w:rPr>
              <w:t>‬</w:t>
            </w:r>
            <w:r w:rsidR="00521363">
              <w:t>‬</w:t>
            </w:r>
            <w:r w:rsidR="00521363">
              <w:t>‬</w:t>
            </w:r>
            <w:r w:rsidR="00521363">
              <w:t>‬</w:t>
            </w:r>
            <w:r w:rsidR="00D3340E">
              <w:t>‬</w:t>
            </w:r>
            <w:r w:rsidR="00D3340E">
              <w:t>‬</w:t>
            </w:r>
            <w:r w:rsidR="00D3340E">
              <w:t>‬</w:t>
            </w:r>
            <w:r w:rsidR="002C3FDD">
              <w:t>‬</w:t>
            </w:r>
            <w:r w:rsidR="002C3FDD">
              <w:t>‬</w:t>
            </w:r>
            <w:r w:rsidR="002C3FDD">
              <w:t>‬</w:t>
            </w:r>
          </w:dir>
        </w:dir>
      </w:dir>
    </w:p>
    <w:p w:rsidR="00521363" w:rsidRPr="003B2F3D" w:rsidRDefault="00521363" w:rsidP="00DA27E1">
      <w:pPr>
        <w:pStyle w:val="H4GA"/>
        <w:rPr>
          <w:rtl/>
        </w:rPr>
      </w:pPr>
      <w:r w:rsidRPr="003B2F3D">
        <w:rPr>
          <w:rtl/>
        </w:rPr>
        <w:tab/>
      </w:r>
      <w:r w:rsidRPr="003B2F3D">
        <w:rPr>
          <w:rtl/>
        </w:rPr>
        <w:tab/>
      </w:r>
      <w:dir w:val="rtl">
        <w:r w:rsidRPr="003B2F3D">
          <w:rPr>
            <w:rtl/>
          </w:rPr>
          <w:t>النظر في الأسس الموضوعية</w:t>
        </w:r>
        <w:r w:rsidRPr="003B2F3D">
          <w:rPr>
            <w:rFonts w:cs="Times New Roman"/>
            <w:rtl/>
          </w:rPr>
          <w:t>‬</w:t>
        </w:r>
        <w:r>
          <w:t>‬</w:t>
        </w:r>
        <w:r w:rsidR="00D3340E">
          <w:t>‬</w:t>
        </w:r>
        <w:r w:rsidR="002C3FDD">
          <w:t>‬</w:t>
        </w:r>
      </w:dir>
    </w:p>
    <w:p w:rsidR="00521363" w:rsidRPr="008F5066" w:rsidRDefault="00DA27E1" w:rsidP="002A4B7F">
      <w:pPr>
        <w:pStyle w:val="SingleTxtGA"/>
        <w:spacing w:line="360" w:lineRule="exact"/>
        <w:rPr>
          <w:rtl/>
          <w:lang w:eastAsia="zh-TW"/>
        </w:rPr>
      </w:pPr>
      <w:r>
        <w:rPr>
          <w:rtl/>
          <w:lang w:eastAsia="zh-TW"/>
        </w:rPr>
        <w:t>٩-١</w:t>
      </w:r>
      <w:r>
        <w:rPr>
          <w:rFonts w:hint="cs"/>
          <w:rtl/>
          <w:lang w:eastAsia="zh-TW"/>
        </w:rPr>
        <w:tab/>
      </w:r>
      <w:r w:rsidR="00521363" w:rsidRPr="008F5066">
        <w:rPr>
          <w:rtl/>
          <w:lang w:eastAsia="zh-TW"/>
        </w:rPr>
        <w:t>نظرت اللجنة في البلاغ في ضوء جميع المعلومات التي أتاحها لها الطرفان المعنيان بموجب الفقرة 4 من المادة 22 من الاتفاقية.</w:t>
      </w:r>
      <w:r w:rsidR="00521363" w:rsidRPr="008F5066">
        <w:rPr>
          <w:rFonts w:cs="Times New Roman"/>
          <w:rtl/>
          <w:lang w:eastAsia="zh-TW"/>
        </w:rPr>
        <w:t>‬</w:t>
      </w:r>
    </w:p>
    <w:p w:rsidR="00521363" w:rsidRPr="008F5066" w:rsidRDefault="00DA27E1" w:rsidP="002A4B7F">
      <w:pPr>
        <w:pStyle w:val="SingleTxtGA"/>
        <w:spacing w:line="360" w:lineRule="exact"/>
        <w:rPr>
          <w:rtl/>
          <w:lang w:eastAsia="zh-TW"/>
        </w:rPr>
      </w:pPr>
      <w:r>
        <w:rPr>
          <w:rtl/>
          <w:lang w:eastAsia="zh-TW"/>
        </w:rPr>
        <w:t>٩-٢</w:t>
      </w:r>
      <w:r>
        <w:rPr>
          <w:rFonts w:hint="cs"/>
          <w:rtl/>
          <w:lang w:eastAsia="zh-TW"/>
        </w:rPr>
        <w:tab/>
      </w:r>
      <w:r w:rsidR="00521363" w:rsidRPr="008F5066">
        <w:rPr>
          <w:rtl/>
          <w:lang w:eastAsia="zh-TW"/>
        </w:rPr>
        <w:t xml:space="preserve">والمسألة المعروضة على اللجنة في هذه القضية هي تحديد ما إذا كانت إعادة </w:t>
      </w:r>
      <w:r w:rsidR="00521363">
        <w:rPr>
          <w:rtl/>
          <w:lang w:eastAsia="zh-TW"/>
        </w:rPr>
        <w:t xml:space="preserve">أصحاب الشكوى إلى الاتحاد الروسي </w:t>
      </w:r>
      <w:r w:rsidR="00521363" w:rsidRPr="008F5066">
        <w:rPr>
          <w:rtl/>
          <w:lang w:eastAsia="zh-TW"/>
        </w:rPr>
        <w:t xml:space="preserve">تشكل انتهاكاً لالتزام الدولة الطرف، بموجب المادة 3 من الاتفاقية، بألا تطرد أي شخص أو تعيده ("ترده") أو تسلمه إلى دولة أخرى، إذا توافرت لديها أسباب حقيقة تدعو إلى الاعتقاد بأنه سيكون في خطر التعرض للتعذيب. </w:t>
      </w:r>
    </w:p>
    <w:p w:rsidR="00521363" w:rsidRPr="00377B19" w:rsidRDefault="00DA27E1" w:rsidP="002A4B7F">
      <w:pPr>
        <w:pStyle w:val="SingleTxtGA"/>
        <w:spacing w:line="360" w:lineRule="exact"/>
        <w:rPr>
          <w:sz w:val="30"/>
          <w:rtl/>
          <w:lang w:eastAsia="zh-TW"/>
        </w:rPr>
      </w:pPr>
      <w:r>
        <w:rPr>
          <w:rtl/>
          <w:lang w:eastAsia="zh-TW"/>
        </w:rPr>
        <w:t>٩-٣</w:t>
      </w:r>
      <w:r>
        <w:rPr>
          <w:rFonts w:hint="cs"/>
          <w:rtl/>
          <w:lang w:eastAsia="zh-TW"/>
        </w:rPr>
        <w:tab/>
      </w:r>
      <w:r w:rsidR="00521363" w:rsidRPr="008F5066">
        <w:rPr>
          <w:rtl/>
          <w:lang w:eastAsia="zh-TW"/>
        </w:rPr>
        <w:t>ويتعين على اللجنة أن تقي</w:t>
      </w:r>
      <w:r w:rsidR="00521363">
        <w:rPr>
          <w:rtl/>
          <w:lang w:eastAsia="zh-TW"/>
        </w:rPr>
        <w:t>ِّ</w:t>
      </w:r>
      <w:r w:rsidR="00521363" w:rsidRPr="008F5066">
        <w:rPr>
          <w:rtl/>
          <w:lang w:eastAsia="zh-TW"/>
        </w:rPr>
        <w:t>م ما إذا كان</w:t>
      </w:r>
      <w:r w:rsidR="00521363">
        <w:rPr>
          <w:rtl/>
          <w:lang w:eastAsia="zh-TW"/>
        </w:rPr>
        <w:t>ت</w:t>
      </w:r>
      <w:r w:rsidR="00521363" w:rsidRPr="008F5066">
        <w:rPr>
          <w:rtl/>
          <w:lang w:eastAsia="zh-TW"/>
        </w:rPr>
        <w:t xml:space="preserve"> ثمة أسباب حقيقية تدعو إلى الاعتقاد بأن </w:t>
      </w:r>
      <w:r w:rsidR="00521363">
        <w:rPr>
          <w:rtl/>
          <w:lang w:eastAsia="zh-TW"/>
        </w:rPr>
        <w:t>أصحاب الشكوى سيواجهو</w:t>
      </w:r>
      <w:r w:rsidR="00521363" w:rsidRPr="008F5066">
        <w:rPr>
          <w:rtl/>
          <w:lang w:eastAsia="zh-TW"/>
        </w:rPr>
        <w:t>ن شخصي</w:t>
      </w:r>
      <w:r w:rsidR="002D164F">
        <w:rPr>
          <w:rtl/>
          <w:lang w:eastAsia="zh-TW"/>
        </w:rPr>
        <w:t xml:space="preserve">اً </w:t>
      </w:r>
      <w:r w:rsidR="00521363" w:rsidRPr="008F5066">
        <w:rPr>
          <w:rtl/>
          <w:lang w:eastAsia="zh-TW"/>
        </w:rPr>
        <w:t xml:space="preserve">خطر التعرض للتعذيب عند عودتهم إلى الاتحاد الروسي. </w:t>
      </w:r>
      <w:dir w:val="rtl">
        <w:r w:rsidR="00521363" w:rsidRPr="008F5066">
          <w:rPr>
            <w:rtl/>
            <w:lang w:eastAsia="zh-TW"/>
          </w:rPr>
          <w:t>ويتعيّن على اللجنة أن تراعي، في تقييم هذا الخطر، جميع الاعتبارات ذات الصلة، عملاً بالفقرة 2 من المادة 3 من الاتفاقية، بما في ذلك وجود نمط ثابت من الانتهاكات الفادحة أو الصارخة أو الجماعية لحقوق الإنسان.</w:t>
        </w:r>
        <w:r w:rsidR="00521363" w:rsidRPr="008F5066">
          <w:rPr>
            <w:rFonts w:cs="Times New Roman"/>
            <w:rtl/>
            <w:lang w:eastAsia="zh-TW"/>
          </w:rPr>
          <w:t>‬</w:t>
        </w:r>
        <w:r w:rsidR="00521363" w:rsidRPr="008F5066">
          <w:rPr>
            <w:rtl/>
            <w:lang w:eastAsia="zh-TW"/>
          </w:rPr>
          <w:t xml:space="preserve"> </w:t>
        </w:r>
        <w:dir w:val="rtl">
          <w:r w:rsidR="00521363" w:rsidRPr="008F5066">
            <w:rPr>
              <w:rtl/>
              <w:lang w:eastAsia="zh-TW"/>
            </w:rPr>
            <w:t>بيد أن اللجنة تذكّر بأن الغاية من هذا التحديد هي الإقرار بما إذا كان الشخص المعني سيواجه شخصياً خطراً متوقعاً وحقيقياً يتمثل في التعرض للتعذيب في البلد الذي سيعاد إليه.</w:t>
          </w:r>
          <w:r w:rsidR="00521363" w:rsidRPr="008F5066">
            <w:rPr>
              <w:rFonts w:cs="Times New Roman"/>
              <w:rtl/>
              <w:lang w:eastAsia="zh-TW"/>
            </w:rPr>
            <w:t>‬</w:t>
          </w:r>
          <w:r w:rsidR="00521363" w:rsidRPr="008F5066">
            <w:rPr>
              <w:rFonts w:cs="Times New Roman"/>
              <w:rtl/>
              <w:lang w:eastAsia="zh-TW"/>
            </w:rPr>
            <w:t>‬</w:t>
          </w:r>
          <w:r w:rsidR="00521363" w:rsidRPr="008F5066">
            <w:rPr>
              <w:rtl/>
              <w:lang w:eastAsia="zh-TW"/>
            </w:rPr>
            <w:t xml:space="preserve"> </w:t>
          </w:r>
          <w:dir w:val="rtl">
            <w:r w:rsidR="00521363" w:rsidRPr="008F5066">
              <w:rPr>
                <w:rtl/>
                <w:lang w:eastAsia="zh-TW"/>
              </w:rPr>
              <w:t>ويستنتج من ذلك أن وجود نمط من الانتهاكات الفادحة أو الصارخة أو الجماعية لحقوق الإنسان في بلد ما لا يشكل في حد ذاته سبباً كافياً للجزم بأن شخص</w:t>
            </w:r>
            <w:r w:rsidR="002D164F">
              <w:rPr>
                <w:rtl/>
                <w:lang w:eastAsia="zh-TW"/>
              </w:rPr>
              <w:t xml:space="preserve">اً </w:t>
            </w:r>
            <w:r w:rsidR="00521363" w:rsidRPr="008F5066">
              <w:rPr>
                <w:rtl/>
                <w:lang w:eastAsia="zh-TW"/>
              </w:rPr>
              <w:t xml:space="preserve">بعينه سيكون في خطر التعرض للتعذيب عند عودته إلى ذلك البلد. </w:t>
            </w:r>
            <w:r w:rsidR="00521363">
              <w:rPr>
                <w:rtl/>
                <w:lang w:eastAsia="zh-TW"/>
              </w:rPr>
              <w:t xml:space="preserve">إذ </w:t>
            </w:r>
            <w:r w:rsidR="00521363" w:rsidRPr="008F5066">
              <w:rPr>
                <w:rtl/>
                <w:lang w:eastAsia="zh-TW"/>
              </w:rPr>
              <w:t xml:space="preserve">لا بد من تقديم أسباب إضافية تبيّن أن الشخص المعني معرضٌ شخصياً للخطر. </w:t>
            </w:r>
            <w:dir w:val="rtl">
              <w:r w:rsidR="00521363" w:rsidRPr="008F5066">
                <w:rPr>
                  <w:rtl/>
                  <w:lang w:eastAsia="zh-TW"/>
                </w:rPr>
                <w:t xml:space="preserve">وفي المقابل، لا يعني عدم </w:t>
              </w:r>
              <w:r w:rsidR="00521363" w:rsidRPr="00377B19">
                <w:rPr>
                  <w:sz w:val="30"/>
                  <w:rtl/>
                  <w:lang w:eastAsia="zh-TW"/>
                </w:rPr>
                <w:lastRenderedPageBreak/>
                <w:t>وجود نمط ثابت من الانتهاكات الصارخة لحقوق الإنسان أن الشخص قد لا يتعرض للتعذيب بحكم الظروف الخاصة بذلك الشخص</w:t>
              </w:r>
              <w:r w:rsidRPr="00377B19">
                <w:rPr>
                  <w:rFonts w:ascii="Traditional Arabic" w:hAnsi="Traditional Arabic"/>
                  <w:sz w:val="30"/>
                  <w:vertAlign w:val="superscript"/>
                  <w:rtl/>
                  <w:lang w:eastAsia="zh-TW"/>
                </w:rPr>
                <w:t>(</w:t>
              </w:r>
              <w:r w:rsidR="00521363" w:rsidRPr="00377B19">
                <w:rPr>
                  <w:rFonts w:cs="Times New Roman" w:hint="cs"/>
                  <w:sz w:val="30"/>
                  <w:vertAlign w:val="superscript"/>
                  <w:rtl/>
                  <w:lang w:eastAsia="zh-TW"/>
                </w:rPr>
                <w:t>‬</w:t>
              </w:r>
              <w:r w:rsidR="00521363" w:rsidRPr="00377B19">
                <w:rPr>
                  <w:rStyle w:val="FootnoteReference"/>
                  <w:rFonts w:ascii="Traditional Arabic" w:hAnsi="Traditional Arabic"/>
                  <w:sz w:val="30"/>
                  <w:szCs w:val="30"/>
                  <w:rtl/>
                  <w:lang w:eastAsia="zh-TW"/>
                </w:rPr>
                <w:footnoteReference w:id="24"/>
              </w:r>
              <w:r w:rsidRPr="00377B19">
                <w:rPr>
                  <w:rFonts w:ascii="Traditional Arabic" w:hAnsi="Traditional Arabic"/>
                  <w:sz w:val="30"/>
                  <w:vertAlign w:val="superscript"/>
                  <w:rtl/>
                  <w:lang w:eastAsia="zh-TW"/>
                </w:rPr>
                <w:t>)</w:t>
              </w:r>
              <w:r w:rsidR="00521363" w:rsidRPr="00377B19">
                <w:rPr>
                  <w:sz w:val="30"/>
                </w:rPr>
                <w:t>‬</w:t>
              </w:r>
              <w:r w:rsidR="00521363" w:rsidRPr="00377B19">
                <w:rPr>
                  <w:sz w:val="30"/>
                </w:rPr>
                <w:t>‬</w:t>
              </w:r>
              <w:r w:rsidR="00521363" w:rsidRPr="00377B19">
                <w:rPr>
                  <w:sz w:val="30"/>
                </w:rPr>
                <w:t>‬</w:t>
              </w:r>
              <w:r w:rsidR="00521363" w:rsidRPr="00377B19">
                <w:rPr>
                  <w:sz w:val="30"/>
                </w:rPr>
                <w:t>‬</w:t>
              </w:r>
              <w:r w:rsidRPr="00377B19">
                <w:rPr>
                  <w:rFonts w:hint="cs"/>
                  <w:sz w:val="30"/>
                  <w:rtl/>
                  <w:lang w:eastAsia="zh-TW"/>
                </w:rPr>
                <w:t>.</w:t>
              </w:r>
              <w:r w:rsidR="00D3340E">
                <w:t>‬</w:t>
              </w:r>
              <w:r w:rsidR="00D3340E">
                <w:t>‬</w:t>
              </w:r>
              <w:r w:rsidR="00D3340E">
                <w:t>‬</w:t>
              </w:r>
              <w:r w:rsidR="00D3340E">
                <w:t>‬</w:t>
              </w:r>
              <w:r w:rsidR="002C3FDD">
                <w:t>‬</w:t>
              </w:r>
              <w:r w:rsidR="002C3FDD">
                <w:t>‬</w:t>
              </w:r>
              <w:r w:rsidR="002C3FDD">
                <w:t>‬</w:t>
              </w:r>
              <w:r w:rsidR="002C3FDD">
                <w:t>‬</w:t>
              </w:r>
            </w:dir>
          </w:dir>
        </w:dir>
      </w:dir>
    </w:p>
    <w:p w:rsidR="00521363" w:rsidRPr="00377B19" w:rsidRDefault="00DA27E1" w:rsidP="002A4B7F">
      <w:pPr>
        <w:pStyle w:val="SingleTxtGA"/>
        <w:spacing w:line="360" w:lineRule="exact"/>
        <w:rPr>
          <w:sz w:val="30"/>
          <w:rtl/>
          <w:lang w:eastAsia="zh-TW"/>
        </w:rPr>
      </w:pPr>
      <w:r w:rsidRPr="00377B19">
        <w:rPr>
          <w:sz w:val="30"/>
          <w:rtl/>
          <w:lang w:eastAsia="zh-TW"/>
        </w:rPr>
        <w:t>٩-٤</w:t>
      </w:r>
      <w:r w:rsidRPr="00377B19">
        <w:rPr>
          <w:rFonts w:hint="cs"/>
          <w:sz w:val="30"/>
          <w:rtl/>
          <w:lang w:eastAsia="zh-TW"/>
        </w:rPr>
        <w:tab/>
      </w:r>
      <w:r w:rsidR="00521363" w:rsidRPr="00377B19">
        <w:rPr>
          <w:sz w:val="30"/>
          <w:rtl/>
          <w:lang w:eastAsia="zh-TW"/>
        </w:rPr>
        <w:t>وتذكّر اللجنة بتعليقها العام رقم 1 الذي أشارت</w:t>
      </w:r>
      <w:r w:rsidR="00210628">
        <w:rPr>
          <w:sz w:val="30"/>
          <w:rtl/>
          <w:lang w:eastAsia="zh-TW"/>
        </w:rPr>
        <w:t xml:space="preserve"> فيه إلى أنه "يجب أن يقدَّر خط</w:t>
      </w:r>
      <w:r w:rsidR="00210628">
        <w:rPr>
          <w:rFonts w:hint="cs"/>
          <w:sz w:val="30"/>
          <w:rtl/>
          <w:lang w:eastAsia="zh-TW"/>
        </w:rPr>
        <w:t xml:space="preserve">ر </w:t>
      </w:r>
      <w:r w:rsidR="00521363" w:rsidRPr="00377B19">
        <w:rPr>
          <w:sz w:val="30"/>
          <w:rtl/>
          <w:lang w:eastAsia="zh-TW"/>
        </w:rPr>
        <w:t>التعذيب على أسس تتجاوز مجرد الافتراض أو الشك. ولا يتحتم أن يكون هذا الخطر موافق</w:t>
      </w:r>
      <w:r w:rsidR="002D164F">
        <w:rPr>
          <w:sz w:val="30"/>
          <w:rtl/>
          <w:lang w:eastAsia="zh-TW"/>
        </w:rPr>
        <w:t xml:space="preserve">اً </w:t>
      </w:r>
      <w:r w:rsidR="00521363" w:rsidRPr="00377B19">
        <w:rPr>
          <w:sz w:val="30"/>
          <w:rtl/>
          <w:lang w:eastAsia="zh-TW"/>
        </w:rPr>
        <w:t>لاختبار مدى احتمال وقوعه (الفقرة 6)، بيد أن اللجنة تذكِّر بأن عبء الإثبات يقع عموم</w:t>
      </w:r>
      <w:r w:rsidR="002D164F">
        <w:rPr>
          <w:sz w:val="30"/>
          <w:rtl/>
          <w:lang w:eastAsia="zh-TW"/>
        </w:rPr>
        <w:t xml:space="preserve">اً </w:t>
      </w:r>
      <w:r w:rsidR="00521363" w:rsidRPr="00377B19">
        <w:rPr>
          <w:sz w:val="30"/>
          <w:rtl/>
          <w:lang w:eastAsia="zh-TW"/>
        </w:rPr>
        <w:t>على صاحب الشكوى، الذي يجب أن يعرض قضية قابلة للمناقشة بشأن كونه يواجه خطر</w:t>
      </w:r>
      <w:r w:rsidR="002D164F">
        <w:rPr>
          <w:sz w:val="30"/>
          <w:rtl/>
          <w:lang w:eastAsia="zh-TW"/>
        </w:rPr>
        <w:t xml:space="preserve">اً </w:t>
      </w:r>
      <w:r w:rsidR="00521363" w:rsidRPr="00377B19">
        <w:rPr>
          <w:sz w:val="30"/>
          <w:rtl/>
          <w:lang w:eastAsia="zh-TW"/>
        </w:rPr>
        <w:t>متوقع</w:t>
      </w:r>
      <w:r w:rsidR="002D164F">
        <w:rPr>
          <w:sz w:val="30"/>
          <w:rtl/>
          <w:lang w:eastAsia="zh-TW"/>
        </w:rPr>
        <w:t xml:space="preserve">اً </w:t>
      </w:r>
      <w:r w:rsidR="00521363" w:rsidRPr="00377B19">
        <w:rPr>
          <w:sz w:val="30"/>
          <w:rtl/>
          <w:lang w:eastAsia="zh-TW"/>
        </w:rPr>
        <w:t>وحقيقي</w:t>
      </w:r>
      <w:r w:rsidR="002D164F">
        <w:rPr>
          <w:sz w:val="30"/>
          <w:rtl/>
          <w:lang w:eastAsia="zh-TW"/>
        </w:rPr>
        <w:t xml:space="preserve">اً </w:t>
      </w:r>
      <w:r w:rsidR="00521363" w:rsidRPr="00377B19">
        <w:rPr>
          <w:sz w:val="30"/>
          <w:rtl/>
          <w:lang w:eastAsia="zh-TW"/>
        </w:rPr>
        <w:t>وشخصياً.</w:t>
      </w:r>
      <w:r w:rsidR="00521363" w:rsidRPr="00377B19">
        <w:rPr>
          <w:rFonts w:cs="Times New Roman"/>
          <w:sz w:val="30"/>
          <w:rtl/>
          <w:lang w:eastAsia="zh-TW"/>
        </w:rPr>
        <w:t>‬</w:t>
      </w:r>
      <w:r w:rsidR="00521363" w:rsidRPr="00377B19">
        <w:rPr>
          <w:sz w:val="30"/>
          <w:rtl/>
          <w:lang w:eastAsia="zh-TW"/>
        </w:rPr>
        <w:t xml:space="preserve"> </w:t>
      </w:r>
      <w:dir w:val="rtl">
        <w:r w:rsidR="00521363" w:rsidRPr="00377B19">
          <w:rPr>
            <w:sz w:val="30"/>
            <w:rtl/>
            <w:lang w:eastAsia="zh-TW"/>
          </w:rPr>
          <w:t>ورغم أن اللجنة مخولة، بموجب أحكام تعليقها العام رقم 1، حرية تقييم الوقائع بالاستناد إلى مجموع الملابسات المتصلة بكل قضية، فإنها تعطي وزن</w:t>
        </w:r>
        <w:r w:rsidR="002D164F">
          <w:rPr>
            <w:sz w:val="30"/>
            <w:rtl/>
            <w:lang w:eastAsia="zh-TW"/>
          </w:rPr>
          <w:t xml:space="preserve">اً </w:t>
        </w:r>
        <w:r w:rsidR="00521363" w:rsidRPr="00377B19">
          <w:rPr>
            <w:sz w:val="30"/>
            <w:rtl/>
            <w:lang w:eastAsia="zh-TW"/>
          </w:rPr>
          <w:t>كبير</w:t>
        </w:r>
        <w:r w:rsidR="002D164F">
          <w:rPr>
            <w:sz w:val="30"/>
            <w:rtl/>
            <w:lang w:eastAsia="zh-TW"/>
          </w:rPr>
          <w:t xml:space="preserve">اً </w:t>
        </w:r>
        <w:r w:rsidR="00521363" w:rsidRPr="00377B19">
          <w:rPr>
            <w:sz w:val="30"/>
            <w:rtl/>
            <w:lang w:eastAsia="zh-TW"/>
          </w:rPr>
          <w:t xml:space="preserve">للحيثيات </w:t>
        </w:r>
        <w:proofErr w:type="spellStart"/>
        <w:r w:rsidR="00521363" w:rsidRPr="00377B19">
          <w:rPr>
            <w:sz w:val="30"/>
            <w:rtl/>
            <w:lang w:eastAsia="zh-TW"/>
          </w:rPr>
          <w:t>الوقائعية</w:t>
        </w:r>
        <w:proofErr w:type="spellEnd"/>
        <w:r w:rsidR="00521363" w:rsidRPr="00377B19">
          <w:rPr>
            <w:sz w:val="30"/>
            <w:rtl/>
            <w:lang w:eastAsia="zh-TW"/>
          </w:rPr>
          <w:t xml:space="preserve"> التي توفرها أجهزة الدولة الطرف المعنية (الفقرة 9).</w:t>
        </w:r>
        <w:r w:rsidR="00521363" w:rsidRPr="00377B19">
          <w:rPr>
            <w:rFonts w:cs="Times New Roman"/>
            <w:sz w:val="30"/>
            <w:rtl/>
            <w:lang w:eastAsia="zh-TW"/>
          </w:rPr>
          <w:t>‬</w:t>
        </w:r>
        <w:r w:rsidR="00521363" w:rsidRPr="00377B19">
          <w:rPr>
            <w:sz w:val="30"/>
          </w:rPr>
          <w:t>‬</w:t>
        </w:r>
        <w:r w:rsidR="00D3340E">
          <w:t>‬</w:t>
        </w:r>
        <w:r w:rsidR="002C3FDD">
          <w:t>‬</w:t>
        </w:r>
      </w:dir>
    </w:p>
    <w:p w:rsidR="00521363" w:rsidRPr="00377B19" w:rsidRDefault="00521363" w:rsidP="002A4B7F">
      <w:pPr>
        <w:pStyle w:val="SingleTxtGA"/>
        <w:spacing w:line="360" w:lineRule="exact"/>
        <w:rPr>
          <w:sz w:val="30"/>
          <w:rtl/>
          <w:lang w:eastAsia="zh-TW"/>
        </w:rPr>
      </w:pPr>
      <w:r w:rsidRPr="00377B19">
        <w:rPr>
          <w:sz w:val="30"/>
          <w:rtl/>
          <w:lang w:eastAsia="zh-TW"/>
        </w:rPr>
        <w:t>٩-٥</w:t>
      </w:r>
      <w:r w:rsidR="00DA27E1" w:rsidRPr="00377B19">
        <w:rPr>
          <w:rFonts w:hint="cs"/>
          <w:sz w:val="30"/>
          <w:rtl/>
        </w:rPr>
        <w:tab/>
      </w:r>
      <w:dir w:val="rtl">
        <w:r w:rsidRPr="00377B19">
          <w:rPr>
            <w:sz w:val="30"/>
            <w:rtl/>
            <w:lang w:eastAsia="zh-TW"/>
          </w:rPr>
          <w:t xml:space="preserve">وتحيط اللجنة علماً بادعاء الدولة الطرف الذي يفيد بأن أصحاب الشكوى في هذه القضية لم يثبتوا وجود أسباب حقيقية تدعو إلى الاعتقاد بأنهم يواجهون خطر التعرض للتعذيب إذا ما عادوا إلى الاتحاد الروسي، وبأن سلطات الهجرة </w:t>
        </w:r>
        <w:proofErr w:type="spellStart"/>
        <w:r w:rsidRPr="00377B19">
          <w:rPr>
            <w:sz w:val="30"/>
            <w:rtl/>
            <w:lang w:eastAsia="zh-TW"/>
          </w:rPr>
          <w:t>الدانمركية</w:t>
        </w:r>
        <w:proofErr w:type="spellEnd"/>
        <w:r w:rsidRPr="00377B19">
          <w:rPr>
            <w:sz w:val="30"/>
            <w:rtl/>
            <w:lang w:eastAsia="zh-TW"/>
          </w:rPr>
          <w:t xml:space="preserve"> استعرضت ادعاءاتهم وخلصت إلى أن أصحاب الشكوى لن يكونوا عرضة للاضطهاد بالمعنى المقصود في الفقرة (1) من المادة</w:t>
        </w:r>
        <w:r w:rsidR="00DA27E1" w:rsidRPr="00377B19">
          <w:rPr>
            <w:rFonts w:hint="cs"/>
            <w:sz w:val="30"/>
            <w:rtl/>
            <w:lang w:eastAsia="zh-TW"/>
          </w:rPr>
          <w:t> </w:t>
        </w:r>
        <w:r w:rsidRPr="00377B19">
          <w:rPr>
            <w:sz w:val="30"/>
            <w:rtl/>
            <w:lang w:eastAsia="zh-TW"/>
          </w:rPr>
          <w:t>7 من قانون الأجانب أو بحاجة إلى وضع الحماية على نحو ما نصت عليه الفقرة (2) من المادة 7 من قانون الأجانب إذا ما عادوا إلى الاتحاد الروسي. وتلاحظ اللجنة كذلك أن أصحاب الشكوى قدَّموا وثائق إثبات تدعم ادعاءات صاحب الشكوى الأول بشأن أسباب طلبه الحماية، مثل أدلة طبية تعزز ما رواه عن تعرضه لصنوف شتى من التعذيب، شملت صنوف</w:t>
        </w:r>
        <w:r w:rsidR="002D164F">
          <w:rPr>
            <w:sz w:val="30"/>
            <w:rtl/>
            <w:lang w:eastAsia="zh-TW"/>
          </w:rPr>
          <w:t xml:space="preserve">اً </w:t>
        </w:r>
        <w:r w:rsidRPr="00377B19">
          <w:rPr>
            <w:sz w:val="30"/>
            <w:rtl/>
            <w:lang w:eastAsia="zh-TW"/>
          </w:rPr>
          <w:t>مهينة مورست عليه مرار</w:t>
        </w:r>
        <w:r w:rsidR="002D164F">
          <w:rPr>
            <w:sz w:val="30"/>
            <w:rtl/>
            <w:lang w:eastAsia="zh-TW"/>
          </w:rPr>
          <w:t xml:space="preserve">اً </w:t>
        </w:r>
        <w:r w:rsidRPr="00377B19">
          <w:rPr>
            <w:sz w:val="30"/>
            <w:rtl/>
            <w:lang w:eastAsia="zh-TW"/>
          </w:rPr>
          <w:t>أثناء احتجازه في الاتحاد الروسي، فضل</w:t>
        </w:r>
        <w:r w:rsidR="002D164F">
          <w:rPr>
            <w:sz w:val="30"/>
            <w:rtl/>
            <w:lang w:eastAsia="zh-TW"/>
          </w:rPr>
          <w:t xml:space="preserve">اً </w:t>
        </w:r>
        <w:r w:rsidRPr="00377B19">
          <w:rPr>
            <w:sz w:val="30"/>
            <w:rtl/>
            <w:lang w:eastAsia="zh-TW"/>
          </w:rPr>
          <w:t>عن مقالات مستقلة تدعم إفاداته بشأن الأحداث التي أثارت اهتمام السلطات به في تشرين الثاني/نوفمبر 2013.</w:t>
        </w:r>
        <w:r w:rsidRPr="00377B19">
          <w:rPr>
            <w:sz w:val="30"/>
          </w:rPr>
          <w:t>‬</w:t>
        </w:r>
        <w:r w:rsidR="00D3340E">
          <w:t>‬</w:t>
        </w:r>
        <w:r w:rsidR="002C3FDD">
          <w:t>‬</w:t>
        </w:r>
      </w:dir>
    </w:p>
    <w:p w:rsidR="00521363" w:rsidRPr="00377B19" w:rsidRDefault="00DA27E1" w:rsidP="002A4B7F">
      <w:pPr>
        <w:pStyle w:val="SingleTxtGA"/>
        <w:spacing w:line="360" w:lineRule="exact"/>
        <w:rPr>
          <w:sz w:val="30"/>
          <w:rtl/>
          <w:lang w:eastAsia="zh-TW"/>
        </w:rPr>
      </w:pPr>
      <w:r w:rsidRPr="00377B19">
        <w:rPr>
          <w:sz w:val="30"/>
          <w:rtl/>
          <w:lang w:eastAsia="zh-TW"/>
        </w:rPr>
        <w:t>٩-٦</w:t>
      </w:r>
      <w:r w:rsidRPr="00377B19">
        <w:rPr>
          <w:rFonts w:hint="cs"/>
          <w:sz w:val="30"/>
          <w:rtl/>
          <w:lang w:eastAsia="zh-TW"/>
        </w:rPr>
        <w:tab/>
      </w:r>
      <w:r w:rsidR="00521363" w:rsidRPr="00377B19">
        <w:rPr>
          <w:sz w:val="30"/>
          <w:rtl/>
          <w:lang w:eastAsia="zh-TW"/>
        </w:rPr>
        <w:t xml:space="preserve">وتلاحظ اللجنة كذلك أن سلطات الهجرة </w:t>
      </w:r>
      <w:proofErr w:type="spellStart"/>
      <w:r w:rsidR="00521363" w:rsidRPr="00377B19">
        <w:rPr>
          <w:sz w:val="30"/>
          <w:rtl/>
          <w:lang w:eastAsia="zh-TW"/>
        </w:rPr>
        <w:t>الدانمركية</w:t>
      </w:r>
      <w:proofErr w:type="spellEnd"/>
      <w:r w:rsidR="00521363" w:rsidRPr="00377B19">
        <w:rPr>
          <w:sz w:val="30"/>
          <w:rtl/>
          <w:lang w:eastAsia="zh-TW"/>
        </w:rPr>
        <w:t xml:space="preserve"> قد بنت قراراتها برفض طلبات اللجوء المقدمة من أصحاب الشكوى على التقييم الذي أجرته لمصداقيتهم دون غيره. ونتيجة لذلك، تعتبر اللجنة أن السلطات لم تنظر إلى الادعاءات ووثائق الإثبات السالفة الذكر من حيث الأسس الموضوعية. وفي هذا السياق، تلاحظ اللجنة أن التشكيك في مصداقية أصحاب الشكوى قد بُنيَ أساس</w:t>
      </w:r>
      <w:r w:rsidR="002D164F">
        <w:rPr>
          <w:sz w:val="30"/>
          <w:rtl/>
          <w:lang w:eastAsia="zh-TW"/>
        </w:rPr>
        <w:t xml:space="preserve">اً </w:t>
      </w:r>
      <w:r w:rsidR="00521363" w:rsidRPr="00377B19">
        <w:rPr>
          <w:sz w:val="30"/>
          <w:rtl/>
          <w:lang w:eastAsia="zh-TW"/>
        </w:rPr>
        <w:t>على عدد من التناقضات التي شابت سرد صاحب الشكوى الأول للوقائع فيما أدلى به من إفادات أثناء إجراءات اللجوء، وتُذكِّر بأنه قلما يتوقع من ضحاي</w:t>
      </w:r>
      <w:r w:rsidRPr="00377B19">
        <w:rPr>
          <w:sz w:val="30"/>
          <w:rtl/>
          <w:lang w:eastAsia="zh-TW"/>
        </w:rPr>
        <w:t>ا التعذيب سرد الوقائع بدقة تامة</w:t>
      </w:r>
      <w:r w:rsidRPr="00377B19">
        <w:rPr>
          <w:rFonts w:hint="cs"/>
          <w:sz w:val="30"/>
          <w:vertAlign w:val="superscript"/>
          <w:rtl/>
          <w:lang w:eastAsia="zh-TW"/>
        </w:rPr>
        <w:t>(</w:t>
      </w:r>
      <w:r w:rsidR="00521363" w:rsidRPr="00377B19">
        <w:rPr>
          <w:rStyle w:val="FootnoteReference"/>
          <w:rFonts w:ascii="Traditional Arabic" w:hAnsi="Traditional Arabic"/>
          <w:sz w:val="30"/>
          <w:szCs w:val="30"/>
          <w:rtl/>
          <w:lang w:eastAsia="zh-TW"/>
        </w:rPr>
        <w:footnoteReference w:id="25"/>
      </w:r>
      <w:r w:rsidRPr="00377B19">
        <w:rPr>
          <w:rFonts w:hint="cs"/>
          <w:sz w:val="30"/>
          <w:vertAlign w:val="superscript"/>
          <w:rtl/>
          <w:lang w:eastAsia="zh-TW"/>
        </w:rPr>
        <w:t>)</w:t>
      </w:r>
      <w:r w:rsidRPr="00377B19">
        <w:rPr>
          <w:rFonts w:hint="cs"/>
          <w:sz w:val="30"/>
          <w:rtl/>
          <w:lang w:eastAsia="zh-TW"/>
        </w:rPr>
        <w:t>.</w:t>
      </w:r>
      <w:r w:rsidR="00521363" w:rsidRPr="00377B19">
        <w:rPr>
          <w:sz w:val="30"/>
          <w:rtl/>
          <w:lang w:eastAsia="zh-TW"/>
        </w:rPr>
        <w:t xml:space="preserve"> وبالنظر إلى أن محامي أصحاب الشكوى طلب تحديد</w:t>
      </w:r>
      <w:r w:rsidR="002D164F">
        <w:rPr>
          <w:sz w:val="30"/>
          <w:rtl/>
          <w:lang w:eastAsia="zh-TW"/>
        </w:rPr>
        <w:t xml:space="preserve">اً، </w:t>
      </w:r>
      <w:r w:rsidR="00521363" w:rsidRPr="00377B19">
        <w:rPr>
          <w:sz w:val="30"/>
          <w:rtl/>
          <w:lang w:eastAsia="zh-TW"/>
        </w:rPr>
        <w:t xml:space="preserve">إلى مجلس طعون اللاجئين، في بداية النظر في الطعن الذي قدموه في قرارات دائرة الهجرة </w:t>
      </w:r>
      <w:proofErr w:type="spellStart"/>
      <w:r w:rsidR="00521363" w:rsidRPr="00377B19">
        <w:rPr>
          <w:sz w:val="30"/>
          <w:rtl/>
          <w:lang w:eastAsia="zh-TW"/>
        </w:rPr>
        <w:t>الدانمركية</w:t>
      </w:r>
      <w:proofErr w:type="spellEnd"/>
      <w:r w:rsidR="00521363" w:rsidRPr="00377B19">
        <w:rPr>
          <w:sz w:val="30"/>
          <w:rtl/>
          <w:lang w:eastAsia="zh-TW"/>
        </w:rPr>
        <w:t>، أن يأمر بإجراء الفحص الطبي لصاحب الشكوى لمعاينة علامات التعذيب لإثبات مصداقيته، ترى اللجنة أن المجلس لم يكن بإمكانه أن يجري تقييم</w:t>
      </w:r>
      <w:r w:rsidR="002D164F">
        <w:rPr>
          <w:sz w:val="30"/>
          <w:rtl/>
          <w:lang w:eastAsia="zh-TW"/>
        </w:rPr>
        <w:t xml:space="preserve">اً </w:t>
      </w:r>
      <w:r w:rsidR="00521363" w:rsidRPr="00377B19">
        <w:rPr>
          <w:sz w:val="30"/>
          <w:rtl/>
          <w:lang w:eastAsia="zh-TW"/>
        </w:rPr>
        <w:t>نزيه</w:t>
      </w:r>
      <w:r w:rsidR="002D164F">
        <w:rPr>
          <w:sz w:val="30"/>
          <w:rtl/>
          <w:lang w:eastAsia="zh-TW"/>
        </w:rPr>
        <w:t xml:space="preserve">اً </w:t>
      </w:r>
      <w:r w:rsidR="00521363" w:rsidRPr="00377B19">
        <w:rPr>
          <w:sz w:val="30"/>
          <w:rtl/>
          <w:lang w:eastAsia="zh-TW"/>
        </w:rPr>
        <w:t>ومستقل</w:t>
      </w:r>
      <w:r w:rsidR="002D164F">
        <w:rPr>
          <w:sz w:val="30"/>
          <w:rtl/>
          <w:lang w:eastAsia="zh-TW"/>
        </w:rPr>
        <w:t xml:space="preserve">اً </w:t>
      </w:r>
      <w:r w:rsidR="00521363" w:rsidRPr="00377B19">
        <w:rPr>
          <w:sz w:val="30"/>
          <w:rtl/>
          <w:lang w:eastAsia="zh-TW"/>
        </w:rPr>
        <w:t>لمعرفة ما إذا كان سبب التناقضات التي شابت إفاداته مردُّه إلى تعرضه للتعذيب إلا بعد إعطاء الأمر بإجراء الفحص الطبي لصاحب الشكوى الأول لمعاينة علامات التعذيب. وعليه، ترى اللجنة أن الدولة</w:t>
      </w:r>
      <w:r w:rsidR="00521363" w:rsidRPr="008F5066">
        <w:rPr>
          <w:rtl/>
          <w:lang w:eastAsia="zh-TW"/>
        </w:rPr>
        <w:t xml:space="preserve"> الطرف </w:t>
      </w:r>
      <w:r w:rsidR="00521363" w:rsidRPr="00377B19">
        <w:rPr>
          <w:sz w:val="30"/>
          <w:rtl/>
          <w:lang w:eastAsia="zh-TW"/>
        </w:rPr>
        <w:lastRenderedPageBreak/>
        <w:t>كانت لديها شكوك كبيرة بشأن مصداقية صاحب الشكوى الأول، لكنها خرجت باستنتاج سلبي بهذا الشأن من دون أن تستجلي على نحو واف، جانباً أساسياً في ادعائه</w:t>
      </w:r>
      <w:r w:rsidRPr="00377B19">
        <w:rPr>
          <w:rFonts w:hint="cs"/>
          <w:sz w:val="30"/>
          <w:vertAlign w:val="superscript"/>
          <w:rtl/>
          <w:lang w:eastAsia="zh-TW"/>
        </w:rPr>
        <w:t>(</w:t>
      </w:r>
      <w:r w:rsidR="00521363" w:rsidRPr="00377B19">
        <w:rPr>
          <w:rStyle w:val="FootnoteReference"/>
          <w:rFonts w:ascii="Traditional Arabic" w:hAnsi="Traditional Arabic"/>
          <w:sz w:val="30"/>
          <w:szCs w:val="30"/>
          <w:rtl/>
          <w:lang w:eastAsia="zh-TW"/>
        </w:rPr>
        <w:footnoteReference w:id="26"/>
      </w:r>
      <w:r w:rsidRPr="00377B19">
        <w:rPr>
          <w:rFonts w:hint="cs"/>
          <w:sz w:val="30"/>
          <w:vertAlign w:val="superscript"/>
          <w:rtl/>
          <w:lang w:eastAsia="zh-TW"/>
        </w:rPr>
        <w:t>)</w:t>
      </w:r>
      <w:bookmarkStart w:id="2" w:name="_Ref445722183"/>
      <w:bookmarkEnd w:id="2"/>
      <w:r w:rsidR="00860CDE">
        <w:rPr>
          <w:rFonts w:hint="cs"/>
          <w:sz w:val="30"/>
          <w:rtl/>
          <w:lang w:eastAsia="zh-TW"/>
        </w:rPr>
        <w:t>.</w:t>
      </w:r>
    </w:p>
    <w:p w:rsidR="00521363" w:rsidRPr="00377B19" w:rsidRDefault="00DA27E1" w:rsidP="002A4B7F">
      <w:pPr>
        <w:pStyle w:val="SingleTxtGA"/>
        <w:spacing w:line="360" w:lineRule="exact"/>
        <w:rPr>
          <w:sz w:val="30"/>
          <w:rtl/>
          <w:lang w:eastAsia="zh-TW"/>
        </w:rPr>
      </w:pPr>
      <w:r w:rsidRPr="00377B19">
        <w:rPr>
          <w:sz w:val="30"/>
          <w:rtl/>
          <w:lang w:eastAsia="zh-TW"/>
        </w:rPr>
        <w:t>٩-٧</w:t>
      </w:r>
      <w:r w:rsidRPr="00377B19">
        <w:rPr>
          <w:rFonts w:hint="cs"/>
          <w:sz w:val="30"/>
          <w:rtl/>
          <w:lang w:eastAsia="zh-TW"/>
        </w:rPr>
        <w:tab/>
      </w:r>
      <w:r w:rsidR="00521363" w:rsidRPr="00377B19">
        <w:rPr>
          <w:sz w:val="30"/>
          <w:rtl/>
          <w:lang w:eastAsia="zh-TW"/>
        </w:rPr>
        <w:t xml:space="preserve">وتُذكِّر اللجنة كذلك بأن أصحاب الشكوى </w:t>
      </w:r>
      <w:r w:rsidRPr="00377B19">
        <w:rPr>
          <w:rFonts w:hint="cs"/>
          <w:sz w:val="30"/>
          <w:rtl/>
          <w:lang w:eastAsia="zh-TW"/>
        </w:rPr>
        <w:t xml:space="preserve">تقع عليهم مسؤولية </w:t>
      </w:r>
      <w:r w:rsidR="00521363" w:rsidRPr="00377B19">
        <w:rPr>
          <w:sz w:val="30"/>
          <w:rtl/>
          <w:lang w:eastAsia="zh-TW"/>
        </w:rPr>
        <w:t>تقديم أدلة كافية لكي يقبل طلبهم اللجوء، لكن ذلك لا يعفي الدولة الطرف من بذل جهود كبيرة لتحديد ما إذا كانت هناك أسباب حقيقية تدعو إلى الاعتقاد بأن أصحاب الشكوى سيكونون في خطر التعرض للتعذيب إذا ما أعيدوا إلى بلدهم الأصلي</w:t>
      </w:r>
      <w:r w:rsidRPr="00377B19">
        <w:rPr>
          <w:rFonts w:hint="cs"/>
          <w:sz w:val="30"/>
          <w:vertAlign w:val="superscript"/>
          <w:rtl/>
          <w:lang w:eastAsia="zh-TW"/>
        </w:rPr>
        <w:t>(</w:t>
      </w:r>
      <w:r w:rsidR="00521363" w:rsidRPr="00377B19">
        <w:rPr>
          <w:rStyle w:val="FootnoteReference"/>
          <w:rFonts w:ascii="Traditional Arabic" w:hAnsi="Traditional Arabic"/>
          <w:sz w:val="30"/>
          <w:szCs w:val="30"/>
          <w:rtl/>
          <w:lang w:eastAsia="zh-TW"/>
        </w:rPr>
        <w:footnoteReference w:id="27"/>
      </w:r>
      <w:r w:rsidRPr="00377B19">
        <w:rPr>
          <w:rFonts w:hint="cs"/>
          <w:sz w:val="30"/>
          <w:vertAlign w:val="superscript"/>
          <w:rtl/>
          <w:lang w:eastAsia="zh-TW"/>
        </w:rPr>
        <w:t>)</w:t>
      </w:r>
      <w:r w:rsidRPr="00377B19">
        <w:rPr>
          <w:rFonts w:hint="cs"/>
          <w:sz w:val="30"/>
          <w:rtl/>
          <w:lang w:eastAsia="zh-TW"/>
        </w:rPr>
        <w:t>.</w:t>
      </w:r>
      <w:r w:rsidR="00521363" w:rsidRPr="00377B19">
        <w:rPr>
          <w:sz w:val="30"/>
          <w:rtl/>
          <w:lang w:eastAsia="zh-TW"/>
        </w:rPr>
        <w:t xml:space="preserve"> وفيما يتعلق بوجود خطر حالي</w:t>
      </w:r>
      <w:r w:rsidR="002D164F">
        <w:rPr>
          <w:sz w:val="30"/>
          <w:rtl/>
          <w:lang w:eastAsia="zh-TW"/>
        </w:rPr>
        <w:t xml:space="preserve">اً، </w:t>
      </w:r>
      <w:r w:rsidR="00521363" w:rsidRPr="00377B19">
        <w:rPr>
          <w:sz w:val="30"/>
          <w:rtl/>
          <w:lang w:eastAsia="zh-TW"/>
        </w:rPr>
        <w:t>على أصحاب الشكوى، من التعرض للتعذيب عند عودتهم إلى الاتحاد الروسي، تلاحظ اللجنة أن الدولة الطرف لا تنازع في تعرض أشخاص اشتبهت السلطات في تواط</w:t>
      </w:r>
      <w:r w:rsidRPr="00377B19">
        <w:rPr>
          <w:rFonts w:hint="cs"/>
          <w:sz w:val="30"/>
          <w:rtl/>
          <w:lang w:eastAsia="zh-TW"/>
        </w:rPr>
        <w:t>ؤ</w:t>
      </w:r>
      <w:r w:rsidR="00521363" w:rsidRPr="00377B19">
        <w:rPr>
          <w:sz w:val="30"/>
          <w:rtl/>
          <w:lang w:eastAsia="zh-TW"/>
        </w:rPr>
        <w:t xml:space="preserve">هم مع المتمردين في </w:t>
      </w:r>
      <w:proofErr w:type="spellStart"/>
      <w:r w:rsidR="00521363" w:rsidRPr="00377B19">
        <w:rPr>
          <w:sz w:val="30"/>
          <w:rtl/>
          <w:lang w:eastAsia="zh-TW"/>
        </w:rPr>
        <w:t>إنغوشتيا</w:t>
      </w:r>
      <w:proofErr w:type="spellEnd"/>
      <w:r w:rsidR="00521363" w:rsidRPr="00377B19">
        <w:rPr>
          <w:sz w:val="30"/>
          <w:rtl/>
          <w:lang w:eastAsia="zh-TW"/>
        </w:rPr>
        <w:t xml:space="preserve"> وفي شمال القوقاز عموم</w:t>
      </w:r>
      <w:r w:rsidR="002D164F">
        <w:rPr>
          <w:sz w:val="30"/>
          <w:rtl/>
          <w:lang w:eastAsia="zh-TW"/>
        </w:rPr>
        <w:t xml:space="preserve">اً، </w:t>
      </w:r>
      <w:r w:rsidR="00521363" w:rsidRPr="00377B19">
        <w:rPr>
          <w:sz w:val="30"/>
          <w:rtl/>
          <w:lang w:eastAsia="zh-TW"/>
        </w:rPr>
        <w:t>للتعذيب ولا في إمكانية تعويل أصحاب الشكوى، في هذه القضية، على حماية السلطات لهم لدى عودتهم إلى الاتحاد الروسي، من التعرض المحتمل للاقتصاص والانتقام على أيدي المتمردين. ولم تطعن الدولة الطرف أيض</w:t>
      </w:r>
      <w:r w:rsidR="002D164F">
        <w:rPr>
          <w:sz w:val="30"/>
          <w:rtl/>
          <w:lang w:eastAsia="zh-TW"/>
        </w:rPr>
        <w:t xml:space="preserve">اً </w:t>
      </w:r>
      <w:r w:rsidR="00521363" w:rsidRPr="00377B19">
        <w:rPr>
          <w:sz w:val="30"/>
          <w:rtl/>
          <w:lang w:eastAsia="zh-TW"/>
        </w:rPr>
        <w:t>في احتمال اشتباه سلطات الاتحاد الروسي في انضمام صاحب الشكوى الأول إلى المتمردين بعد إطلاق سراحه في تشرين الثاني/نوفمبر 2013 لأنها لا تعرف شيئ</w:t>
      </w:r>
      <w:r w:rsidR="002D164F">
        <w:rPr>
          <w:sz w:val="30"/>
          <w:rtl/>
          <w:lang w:eastAsia="zh-TW"/>
        </w:rPr>
        <w:t xml:space="preserve">اً </w:t>
      </w:r>
      <w:r w:rsidR="00521363" w:rsidRPr="00377B19">
        <w:rPr>
          <w:sz w:val="30"/>
          <w:rtl/>
          <w:lang w:eastAsia="zh-TW"/>
        </w:rPr>
        <w:t>عن مكان وجوده منذ ذلك الحين. وفي هذا السياق، تلاحظ اللجنة أيض</w:t>
      </w:r>
      <w:r w:rsidR="002D164F">
        <w:rPr>
          <w:sz w:val="30"/>
          <w:rtl/>
          <w:lang w:eastAsia="zh-TW"/>
        </w:rPr>
        <w:t xml:space="preserve">اً </w:t>
      </w:r>
      <w:r w:rsidR="00521363" w:rsidRPr="00377B19">
        <w:rPr>
          <w:sz w:val="30"/>
          <w:rtl/>
          <w:lang w:eastAsia="zh-TW"/>
        </w:rPr>
        <w:t>أن عدة جوانب في حالة حقوق الإنسان السائدة حالي</w:t>
      </w:r>
      <w:r w:rsidR="002D164F">
        <w:rPr>
          <w:sz w:val="30"/>
          <w:rtl/>
          <w:lang w:eastAsia="zh-TW"/>
        </w:rPr>
        <w:t xml:space="preserve">اً </w:t>
      </w:r>
      <w:r w:rsidR="00521363" w:rsidRPr="00377B19">
        <w:rPr>
          <w:sz w:val="30"/>
          <w:rtl/>
          <w:lang w:eastAsia="zh-TW"/>
        </w:rPr>
        <w:t>في الاتحاد الروسي، و</w:t>
      </w:r>
      <w:r w:rsidR="00FC052E">
        <w:rPr>
          <w:sz w:val="30"/>
          <w:rtl/>
          <w:lang w:eastAsia="zh-TW"/>
        </w:rPr>
        <w:t>لا سيما</w:t>
      </w:r>
      <w:r w:rsidR="00521363" w:rsidRPr="00377B19">
        <w:rPr>
          <w:sz w:val="30"/>
          <w:rtl/>
          <w:lang w:eastAsia="zh-TW"/>
        </w:rPr>
        <w:t xml:space="preserve"> في شمال القوقاز، لا تزال تمثل مسائل تدعو للقلق. </w:t>
      </w:r>
      <w:dir w:val="rtl">
        <w:r w:rsidR="00521363" w:rsidRPr="00377B19">
          <w:rPr>
            <w:sz w:val="30"/>
            <w:rtl/>
            <w:lang w:eastAsia="zh-TW"/>
          </w:rPr>
          <w:t>وتذكّر اللجنة بأنها أعربت عن شواغلها بهذا الشأن في الملاحظات الختامية التي قدمتها بعد النظر في التقرير الدوري الخامس للاتحاد الروسي في عام 2012، واستشهدت بالعديد من الإفادات المتواصلة والمتطابقة بشأن ارتكاب انتهاكات خطيرة لحقوق الإنسان في شمال القوقاز على أيدي موظفين عموميين أو أشخاص آخرين يتصرّفون بصفة رسمية، أو بتحريض منهم، أو بموافقتهم أو علمهم، وتشمل هذه الانتهاكات التعذيب وسوء المعاملة، وعمليات الاختطاف، وحوادث الاختفاء القسري والقتل خارج نطاق القضاء. وأعربت اللجنة عن قلقها أيض</w:t>
        </w:r>
        <w:r w:rsidR="002D164F">
          <w:rPr>
            <w:sz w:val="30"/>
            <w:rtl/>
            <w:lang w:eastAsia="zh-TW"/>
          </w:rPr>
          <w:t xml:space="preserve">اً </w:t>
        </w:r>
        <w:r w:rsidR="00521363" w:rsidRPr="00377B19">
          <w:rPr>
            <w:sz w:val="30"/>
            <w:rtl/>
            <w:lang w:eastAsia="zh-TW"/>
          </w:rPr>
          <w:t>بشأن تقاعس السلطات في الاتحاد الروسي عن التحقيق في هذه الانتهاكات ومعاقبة الجناة</w:t>
        </w:r>
        <w:r w:rsidRPr="00377B19">
          <w:rPr>
            <w:rFonts w:hint="cs"/>
            <w:sz w:val="30"/>
            <w:vertAlign w:val="superscript"/>
            <w:rtl/>
            <w:lang w:eastAsia="zh-TW"/>
          </w:rPr>
          <w:t>(</w:t>
        </w:r>
        <w:r w:rsidR="00521363" w:rsidRPr="00377B19">
          <w:rPr>
            <w:rStyle w:val="FootnoteReference"/>
            <w:rFonts w:ascii="Traditional Arabic" w:hAnsi="Traditional Arabic"/>
            <w:sz w:val="30"/>
            <w:szCs w:val="30"/>
            <w:rtl/>
            <w:lang w:eastAsia="zh-TW"/>
          </w:rPr>
          <w:footnoteReference w:id="28"/>
        </w:r>
        <w:r w:rsidRPr="00377B19">
          <w:rPr>
            <w:rFonts w:hint="cs"/>
            <w:sz w:val="30"/>
            <w:vertAlign w:val="superscript"/>
            <w:rtl/>
            <w:lang w:eastAsia="zh-TW"/>
          </w:rPr>
          <w:t>)</w:t>
        </w:r>
        <w:r w:rsidRPr="00377B19">
          <w:rPr>
            <w:rFonts w:hint="cs"/>
            <w:sz w:val="30"/>
            <w:rtl/>
            <w:lang w:eastAsia="zh-TW"/>
          </w:rPr>
          <w:t>.</w:t>
        </w:r>
        <w:r w:rsidR="00521363" w:rsidRPr="00377B19">
          <w:rPr>
            <w:sz w:val="30"/>
            <w:rtl/>
            <w:lang w:eastAsia="zh-TW"/>
          </w:rPr>
          <w:t xml:space="preserve"> </w:t>
        </w:r>
        <w:r w:rsidR="00521363" w:rsidRPr="00377B19">
          <w:rPr>
            <w:sz w:val="30"/>
          </w:rPr>
          <w:t>‬</w:t>
        </w:r>
        <w:r w:rsidR="00D3340E">
          <w:t>‬</w:t>
        </w:r>
        <w:r w:rsidR="002C3FDD">
          <w:t>‬</w:t>
        </w:r>
      </w:dir>
    </w:p>
    <w:p w:rsidR="00521363" w:rsidRPr="00377B19" w:rsidRDefault="00DA27E1" w:rsidP="002A4B7F">
      <w:pPr>
        <w:pStyle w:val="SingleTxtGA"/>
        <w:spacing w:line="360" w:lineRule="exact"/>
        <w:rPr>
          <w:sz w:val="30"/>
          <w:rtl/>
          <w:lang w:eastAsia="zh-TW"/>
        </w:rPr>
      </w:pPr>
      <w:r w:rsidRPr="00377B19">
        <w:rPr>
          <w:sz w:val="30"/>
          <w:rtl/>
          <w:lang w:eastAsia="zh-TW"/>
        </w:rPr>
        <w:t>٩-٨</w:t>
      </w:r>
      <w:r w:rsidRPr="00377B19">
        <w:rPr>
          <w:rFonts w:hint="cs"/>
          <w:sz w:val="30"/>
          <w:rtl/>
          <w:lang w:eastAsia="zh-TW"/>
        </w:rPr>
        <w:tab/>
      </w:r>
      <w:r w:rsidR="00521363" w:rsidRPr="00377B19">
        <w:rPr>
          <w:sz w:val="30"/>
          <w:rtl/>
          <w:lang w:eastAsia="zh-TW"/>
        </w:rPr>
        <w:t>وفي ظل هذه الظروف، ترى اللجنة أن الدولة تقاعست، عند تحديد ما إذا كانت هناك</w:t>
      </w:r>
      <w:r w:rsidR="00521363" w:rsidRPr="008F5066">
        <w:rPr>
          <w:rtl/>
          <w:lang w:eastAsia="zh-TW"/>
        </w:rPr>
        <w:t xml:space="preserve"> أسباب حقيقية تدعو للاعتقاد بأن </w:t>
      </w:r>
      <w:r w:rsidR="00521363">
        <w:rPr>
          <w:rtl/>
          <w:lang w:eastAsia="zh-TW"/>
        </w:rPr>
        <w:t>أصحاب</w:t>
      </w:r>
      <w:r w:rsidR="00521363" w:rsidRPr="008F5066">
        <w:rPr>
          <w:rtl/>
          <w:lang w:eastAsia="zh-TW"/>
        </w:rPr>
        <w:t xml:space="preserve"> الشكوى سيواجه</w:t>
      </w:r>
      <w:r w:rsidR="00521363">
        <w:rPr>
          <w:rtl/>
          <w:lang w:eastAsia="zh-TW"/>
        </w:rPr>
        <w:t>و</w:t>
      </w:r>
      <w:r w:rsidR="00521363" w:rsidRPr="008F5066">
        <w:rPr>
          <w:rtl/>
          <w:lang w:eastAsia="zh-TW"/>
        </w:rPr>
        <w:t>ن خطر</w:t>
      </w:r>
      <w:r w:rsidR="002D164F">
        <w:rPr>
          <w:rtl/>
          <w:lang w:eastAsia="zh-TW"/>
        </w:rPr>
        <w:t xml:space="preserve">اً </w:t>
      </w:r>
      <w:r w:rsidR="00521363" w:rsidRPr="008F5066">
        <w:rPr>
          <w:rtl/>
          <w:lang w:eastAsia="zh-TW"/>
        </w:rPr>
        <w:t>متوقع</w:t>
      </w:r>
      <w:r w:rsidR="002D164F">
        <w:rPr>
          <w:rtl/>
          <w:lang w:eastAsia="zh-TW"/>
        </w:rPr>
        <w:t xml:space="preserve">اً </w:t>
      </w:r>
      <w:r w:rsidR="00521363" w:rsidRPr="008F5066">
        <w:rPr>
          <w:rtl/>
          <w:lang w:eastAsia="zh-TW"/>
        </w:rPr>
        <w:t>وحقيقي</w:t>
      </w:r>
      <w:r w:rsidR="002D164F">
        <w:rPr>
          <w:rtl/>
          <w:lang w:eastAsia="zh-TW"/>
        </w:rPr>
        <w:t xml:space="preserve">اً </w:t>
      </w:r>
      <w:r w:rsidR="00521363" w:rsidRPr="008F5066">
        <w:rPr>
          <w:rtl/>
          <w:lang w:eastAsia="zh-TW"/>
        </w:rPr>
        <w:t>وشخصي</w:t>
      </w:r>
      <w:r w:rsidR="002D164F">
        <w:rPr>
          <w:rtl/>
          <w:lang w:eastAsia="zh-TW"/>
        </w:rPr>
        <w:t xml:space="preserve">اً </w:t>
      </w:r>
      <w:r w:rsidR="00521363" w:rsidRPr="008F5066">
        <w:rPr>
          <w:rtl/>
          <w:lang w:eastAsia="zh-TW"/>
        </w:rPr>
        <w:t xml:space="preserve">يتمثل في التعرض للتعذيب في حالة </w:t>
      </w:r>
      <w:r w:rsidR="00521363">
        <w:rPr>
          <w:rtl/>
          <w:lang w:eastAsia="zh-TW"/>
        </w:rPr>
        <w:t xml:space="preserve">إبعادهم إلى بلدهما الأصلي، عن تمحيص </w:t>
      </w:r>
      <w:r w:rsidR="00521363" w:rsidRPr="008F5066">
        <w:rPr>
          <w:rtl/>
          <w:lang w:eastAsia="zh-TW"/>
        </w:rPr>
        <w:t xml:space="preserve">ادعاءات </w:t>
      </w:r>
      <w:r w:rsidR="00521363">
        <w:rPr>
          <w:rtl/>
          <w:lang w:eastAsia="zh-TW"/>
        </w:rPr>
        <w:t>أصحاب</w:t>
      </w:r>
      <w:r w:rsidR="00521363" w:rsidRPr="008F5066">
        <w:rPr>
          <w:rtl/>
          <w:lang w:eastAsia="zh-TW"/>
        </w:rPr>
        <w:t xml:space="preserve"> الشكوى وما قدم</w:t>
      </w:r>
      <w:r w:rsidR="00521363">
        <w:rPr>
          <w:rtl/>
          <w:lang w:eastAsia="zh-TW"/>
        </w:rPr>
        <w:t>و</w:t>
      </w:r>
      <w:r w:rsidR="00521363" w:rsidRPr="008F5066">
        <w:rPr>
          <w:rtl/>
          <w:lang w:eastAsia="zh-TW"/>
        </w:rPr>
        <w:t>ه من وثائق الإثبات، على النحو الواجب، بما في ذلك التقرير الطبي الصادر عن الفريق الطبي لفرع منظمة العفو الدولية في الدانمرك والسجلات الطبية الأخرى المتعلقة ب</w:t>
      </w:r>
      <w:r w:rsidR="00521363">
        <w:rPr>
          <w:rtl/>
          <w:lang w:eastAsia="zh-TW"/>
        </w:rPr>
        <w:t>صاحب</w:t>
      </w:r>
      <w:r w:rsidR="00521363" w:rsidRPr="008F5066">
        <w:rPr>
          <w:rtl/>
          <w:lang w:eastAsia="zh-TW"/>
        </w:rPr>
        <w:t xml:space="preserve"> الشكوى الأول، </w:t>
      </w:r>
      <w:r w:rsidR="00521363">
        <w:rPr>
          <w:rtl/>
          <w:lang w:eastAsia="zh-TW"/>
        </w:rPr>
        <w:t>تمحيصاً يستند</w:t>
      </w:r>
      <w:r w:rsidR="00521363" w:rsidRPr="008F5066">
        <w:rPr>
          <w:rtl/>
          <w:lang w:eastAsia="zh-TW"/>
        </w:rPr>
        <w:t xml:space="preserve"> إلى إجراءات تمتثل للالتزامات الإجرائية التي تملي على الدولة الطرف إجراء مراجعة فعلية ومستقلة ونزيهة حسبما </w:t>
      </w:r>
      <w:proofErr w:type="spellStart"/>
      <w:r w:rsidR="00521363" w:rsidRPr="008F5066">
        <w:rPr>
          <w:rtl/>
          <w:lang w:eastAsia="zh-TW"/>
        </w:rPr>
        <w:t>تقتضيه</w:t>
      </w:r>
      <w:proofErr w:type="spellEnd"/>
      <w:r w:rsidR="00521363" w:rsidRPr="008F5066">
        <w:rPr>
          <w:rtl/>
          <w:lang w:eastAsia="zh-TW"/>
        </w:rPr>
        <w:t xml:space="preserve"> المادة</w:t>
      </w:r>
      <w:r>
        <w:rPr>
          <w:rFonts w:hint="cs"/>
          <w:rtl/>
          <w:lang w:eastAsia="zh-TW"/>
        </w:rPr>
        <w:t> </w:t>
      </w:r>
      <w:r w:rsidR="00521363" w:rsidRPr="008F5066">
        <w:rPr>
          <w:rtl/>
          <w:lang w:eastAsia="zh-TW"/>
        </w:rPr>
        <w:t xml:space="preserve">3 من الاتفاقية. </w:t>
      </w:r>
      <w:dir w:val="rtl">
        <w:r w:rsidR="00521363" w:rsidRPr="008F5066">
          <w:rPr>
            <w:rtl/>
            <w:lang w:eastAsia="zh-TW"/>
          </w:rPr>
          <w:t xml:space="preserve">وبناء على ذلك، ترى اللجنة أن الدولة الطرف قد تقاعست بالفعل، بنفي مصداقية </w:t>
        </w:r>
        <w:r w:rsidR="00521363">
          <w:rPr>
            <w:rtl/>
            <w:lang w:eastAsia="zh-TW"/>
          </w:rPr>
          <w:t>صاحب</w:t>
        </w:r>
        <w:r w:rsidR="00521363" w:rsidRPr="008F5066">
          <w:rPr>
            <w:rtl/>
            <w:lang w:eastAsia="zh-TW"/>
          </w:rPr>
          <w:t xml:space="preserve"> الشكوى الأول دون إعطاء الأمر </w:t>
        </w:r>
        <w:r w:rsidR="00521363">
          <w:rPr>
            <w:rtl/>
            <w:lang w:eastAsia="zh-TW"/>
          </w:rPr>
          <w:t>بفحصه</w:t>
        </w:r>
        <w:r w:rsidR="005F7605">
          <w:rPr>
            <w:rtl/>
            <w:lang w:eastAsia="zh-TW"/>
          </w:rPr>
          <w:t xml:space="preserve"> لمعاينة علامات التعذيب</w:t>
        </w:r>
        <w:r w:rsidR="005F7605">
          <w:rPr>
            <w:rFonts w:hint="cs"/>
            <w:rtl/>
            <w:lang w:eastAsia="zh-TW"/>
          </w:rPr>
          <w:t xml:space="preserve">، </w:t>
        </w:r>
        <w:r w:rsidR="00521363" w:rsidRPr="00377B19">
          <w:rPr>
            <w:sz w:val="30"/>
            <w:rtl/>
            <w:lang w:eastAsia="zh-TW"/>
          </w:rPr>
          <w:lastRenderedPageBreak/>
          <w:t>عن التحري بالقدر الكافي، عن مدى وجود أسباب حقيقية تدعو إلى الاعتقاد بإمكانية تعرضه وأفراد أسرته لخطر التعذيب في حال أعيدوا</w:t>
        </w:r>
        <w:r w:rsidRPr="00377B19">
          <w:rPr>
            <w:sz w:val="30"/>
            <w:rtl/>
            <w:lang w:eastAsia="zh-TW"/>
          </w:rPr>
          <w:t xml:space="preserve"> إلى بلدهم الأصلي</w:t>
        </w:r>
        <w:r w:rsidRPr="00D3340E">
          <w:rPr>
            <w:rFonts w:ascii="Traditional Arabic" w:hAnsi="Traditional Arabic"/>
            <w:sz w:val="30"/>
            <w:vertAlign w:val="superscript"/>
            <w:rtl/>
            <w:lang w:eastAsia="zh-TW"/>
          </w:rPr>
          <w:t>(</w:t>
        </w:r>
        <w:r w:rsidR="00521363" w:rsidRPr="00D3340E">
          <w:rPr>
            <w:rFonts w:cs="Times New Roman" w:hint="cs"/>
            <w:sz w:val="30"/>
            <w:vertAlign w:val="superscript"/>
            <w:rtl/>
            <w:lang w:eastAsia="zh-TW"/>
          </w:rPr>
          <w:t>‬</w:t>
        </w:r>
        <w:r w:rsidR="00521363" w:rsidRPr="00D3340E">
          <w:rPr>
            <w:rStyle w:val="FootnoteReference"/>
            <w:rFonts w:ascii="Traditional Arabic" w:hAnsi="Traditional Arabic"/>
            <w:sz w:val="30"/>
            <w:szCs w:val="30"/>
            <w:rtl/>
            <w:lang w:eastAsia="zh-TW"/>
          </w:rPr>
          <w:footnoteReference w:id="29"/>
        </w:r>
        <w:r w:rsidRPr="00D3340E">
          <w:rPr>
            <w:rFonts w:ascii="Traditional Arabic" w:hAnsi="Traditional Arabic"/>
            <w:sz w:val="30"/>
            <w:vertAlign w:val="superscript"/>
            <w:rtl/>
            <w:lang w:eastAsia="zh-TW"/>
          </w:rPr>
          <w:t>)</w:t>
        </w:r>
        <w:r w:rsidRPr="00377B19">
          <w:rPr>
            <w:rFonts w:cs="Times New Roman" w:hint="cs"/>
            <w:sz w:val="30"/>
            <w:rtl/>
            <w:lang w:eastAsia="zh-TW"/>
          </w:rPr>
          <w:t>.</w:t>
        </w:r>
        <w:r w:rsidR="00521363" w:rsidRPr="00377B19">
          <w:rPr>
            <w:sz w:val="30"/>
          </w:rPr>
          <w:t>‬</w:t>
        </w:r>
        <w:r w:rsidR="00D3340E">
          <w:t>‬</w:t>
        </w:r>
        <w:r w:rsidR="002C3FDD">
          <w:t>‬</w:t>
        </w:r>
      </w:dir>
    </w:p>
    <w:p w:rsidR="00521363" w:rsidRPr="00377B19" w:rsidRDefault="00DA27E1" w:rsidP="002A4B7F">
      <w:pPr>
        <w:pStyle w:val="SingleTxtGA"/>
        <w:spacing w:line="360" w:lineRule="exact"/>
        <w:rPr>
          <w:sz w:val="30"/>
          <w:rtl/>
          <w:lang w:eastAsia="zh-TW"/>
        </w:rPr>
      </w:pPr>
      <w:r w:rsidRPr="00377B19">
        <w:rPr>
          <w:sz w:val="30"/>
          <w:rtl/>
          <w:lang w:eastAsia="zh-TW"/>
        </w:rPr>
        <w:t>١٠</w:t>
      </w:r>
      <w:r w:rsidRPr="00377B19">
        <w:rPr>
          <w:rFonts w:hint="cs"/>
          <w:sz w:val="30"/>
          <w:rtl/>
          <w:lang w:eastAsia="zh-TW"/>
        </w:rPr>
        <w:t>-</w:t>
      </w:r>
      <w:r w:rsidRPr="00377B19">
        <w:rPr>
          <w:rFonts w:hint="cs"/>
          <w:sz w:val="30"/>
          <w:rtl/>
          <w:lang w:eastAsia="zh-TW"/>
        </w:rPr>
        <w:tab/>
      </w:r>
      <w:r w:rsidR="00521363" w:rsidRPr="00377B19">
        <w:rPr>
          <w:sz w:val="30"/>
          <w:rtl/>
          <w:lang w:eastAsia="zh-TW"/>
        </w:rPr>
        <w:t>وفي ضوء ما تقدم، تخلص اللجنة، عملاً بالفقرة 7 من المادة 22 من الاتفاقية، إلى أن إبعاد أصحاب الشكوى إلى الاتحاد الروسي سيشكل</w:t>
      </w:r>
      <w:r w:rsidR="00210628">
        <w:rPr>
          <w:sz w:val="30"/>
          <w:rtl/>
          <w:lang w:eastAsia="zh-TW"/>
        </w:rPr>
        <w:t xml:space="preserve"> انتهاكاً للماد</w:t>
      </w:r>
      <w:r w:rsidR="00210628">
        <w:rPr>
          <w:rFonts w:hint="cs"/>
          <w:sz w:val="30"/>
          <w:rtl/>
          <w:lang w:eastAsia="zh-TW"/>
        </w:rPr>
        <w:t>ة</w:t>
      </w:r>
      <w:r w:rsidR="00210628">
        <w:rPr>
          <w:sz w:val="30"/>
          <w:rtl/>
          <w:lang w:eastAsia="zh-TW"/>
        </w:rPr>
        <w:t xml:space="preserve"> 3 من الاتفاقية</w:t>
      </w:r>
      <w:r w:rsidR="00210628">
        <w:rPr>
          <w:rFonts w:hint="cs"/>
          <w:sz w:val="30"/>
          <w:rtl/>
          <w:lang w:eastAsia="zh-TW"/>
        </w:rPr>
        <w:t xml:space="preserve">. </w:t>
      </w:r>
    </w:p>
    <w:p w:rsidR="00521363" w:rsidRPr="00377B19" w:rsidRDefault="00DA27E1" w:rsidP="002A4B7F">
      <w:pPr>
        <w:pStyle w:val="SingleTxtGA"/>
        <w:spacing w:line="360" w:lineRule="exact"/>
        <w:rPr>
          <w:sz w:val="30"/>
          <w:lang w:eastAsia="zh-TW"/>
        </w:rPr>
      </w:pPr>
      <w:r w:rsidRPr="00377B19">
        <w:rPr>
          <w:sz w:val="30"/>
          <w:rtl/>
          <w:lang w:eastAsia="zh-TW"/>
        </w:rPr>
        <w:t>١١</w:t>
      </w:r>
      <w:r w:rsidRPr="00377B19">
        <w:rPr>
          <w:rFonts w:hint="cs"/>
          <w:sz w:val="30"/>
          <w:rtl/>
          <w:lang w:eastAsia="zh-TW"/>
        </w:rPr>
        <w:t>-</w:t>
      </w:r>
      <w:r w:rsidRPr="00377B19">
        <w:rPr>
          <w:rFonts w:hint="cs"/>
          <w:sz w:val="30"/>
          <w:rtl/>
          <w:lang w:eastAsia="zh-TW"/>
        </w:rPr>
        <w:tab/>
      </w:r>
      <w:r w:rsidR="00521363" w:rsidRPr="00377B19">
        <w:rPr>
          <w:sz w:val="30"/>
          <w:rtl/>
          <w:lang w:eastAsia="zh-TW"/>
        </w:rPr>
        <w:t>وترى اللجنة أن الدولة الطرف ملزمة، وفقاً للمادة 3 من الاتفاقية، بالامتناع عن إعادة أصحاب الشكوى قسراً إلى الاتحاد الروسي أو إلى أي بلد آخر قد يواجهون فيه خطراً حقيقياً بالطرد أو الإعادة إلى الاتحاد الروسي.</w:t>
      </w:r>
      <w:r w:rsidR="00521363" w:rsidRPr="00377B19">
        <w:rPr>
          <w:rFonts w:cs="Times New Roman"/>
          <w:sz w:val="30"/>
          <w:rtl/>
          <w:lang w:eastAsia="zh-TW"/>
        </w:rPr>
        <w:t>‬</w:t>
      </w:r>
      <w:r w:rsidR="00521363" w:rsidRPr="00377B19">
        <w:rPr>
          <w:sz w:val="30"/>
          <w:rtl/>
          <w:lang w:eastAsia="zh-TW"/>
        </w:rPr>
        <w:t xml:space="preserve"> </w:t>
      </w:r>
      <w:dir w:val="rtl">
        <w:r w:rsidR="00521363" w:rsidRPr="00377B19">
          <w:rPr>
            <w:sz w:val="30"/>
            <w:rtl/>
            <w:lang w:eastAsia="zh-TW"/>
          </w:rPr>
          <w:t>وتدعو اللجنة الدولة الطرف، عملاً بالفقرة 5 من المادة</w:t>
        </w:r>
        <w:r w:rsidR="002D164F">
          <w:rPr>
            <w:rFonts w:hint="cs"/>
            <w:sz w:val="30"/>
            <w:rtl/>
            <w:lang w:eastAsia="zh-TW"/>
          </w:rPr>
          <w:t> </w:t>
        </w:r>
        <w:r w:rsidR="00521363" w:rsidRPr="00377B19">
          <w:rPr>
            <w:sz w:val="30"/>
            <w:rtl/>
            <w:lang w:eastAsia="zh-TW"/>
          </w:rPr>
          <w:t>118 من نظامها الداخلي، إلى إبلاغها في غضو</w:t>
        </w:r>
        <w:r w:rsidR="00210628">
          <w:rPr>
            <w:rFonts w:hint="cs"/>
            <w:sz w:val="30"/>
            <w:rtl/>
            <w:lang w:eastAsia="zh-TW"/>
          </w:rPr>
          <w:t>ن</w:t>
        </w:r>
        <w:r w:rsidR="00521363" w:rsidRPr="00377B19">
          <w:rPr>
            <w:sz w:val="30"/>
            <w:rtl/>
            <w:lang w:eastAsia="zh-TW"/>
          </w:rPr>
          <w:t xml:space="preserve"> 90 يوماً من تاريخ إحالة هذا القرار بالخطوات التي اتخذتها استجابةً ل</w:t>
        </w:r>
        <w:r w:rsidR="00210628">
          <w:rPr>
            <w:sz w:val="30"/>
            <w:rtl/>
            <w:lang w:eastAsia="zh-TW"/>
          </w:rPr>
          <w:t>لملاحظات الواردة أعلاه</w:t>
        </w:r>
        <w:r w:rsidR="00210628">
          <w:rPr>
            <w:rFonts w:hint="cs"/>
            <w:sz w:val="30"/>
            <w:rtl/>
            <w:lang w:eastAsia="zh-TW"/>
          </w:rPr>
          <w:t xml:space="preserve">. </w:t>
        </w:r>
        <w:r w:rsidR="00D3340E">
          <w:t>‬</w:t>
        </w:r>
        <w:r w:rsidR="002C3FDD">
          <w:t>‬</w:t>
        </w:r>
      </w:dir>
    </w:p>
    <w:p w:rsidR="007925BE" w:rsidRPr="00210628" w:rsidRDefault="00210628" w:rsidP="00210628">
      <w:pPr>
        <w:spacing w:before="120"/>
        <w:jc w:val="center"/>
        <w:rPr>
          <w:u w:val="single"/>
          <w:lang w:eastAsia="zh-TW"/>
        </w:rPr>
      </w:pPr>
      <w:r>
        <w:rPr>
          <w:u w:val="single"/>
          <w:rtl/>
          <w:lang w:eastAsia="zh-TW"/>
        </w:rPr>
        <w:tab/>
      </w:r>
      <w:r>
        <w:rPr>
          <w:u w:val="single"/>
          <w:rtl/>
          <w:lang w:eastAsia="zh-TW"/>
        </w:rPr>
        <w:tab/>
      </w:r>
      <w:r>
        <w:rPr>
          <w:u w:val="single"/>
          <w:rtl/>
          <w:lang w:eastAsia="zh-TW"/>
        </w:rPr>
        <w:tab/>
      </w:r>
      <w:bookmarkStart w:id="3" w:name="_GoBack"/>
      <w:bookmarkEnd w:id="3"/>
    </w:p>
    <w:sectPr w:rsidR="007925BE" w:rsidRPr="00210628" w:rsidSect="009473E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F4" w:rsidRPr="002901D9" w:rsidRDefault="001E4BF4" w:rsidP="002901D9">
      <w:pPr>
        <w:spacing w:after="60" w:line="240" w:lineRule="auto"/>
        <w:rPr>
          <w:i/>
          <w:iCs/>
        </w:rPr>
      </w:pPr>
      <w:r>
        <w:rPr>
          <w:rFonts w:hint="cs"/>
          <w:i/>
          <w:iCs/>
          <w:rtl/>
        </w:rPr>
        <w:t>الحواشي</w:t>
      </w:r>
    </w:p>
  </w:endnote>
  <w:endnote w:type="continuationSeparator" w:id="0">
    <w:p w:rsidR="001E4BF4" w:rsidRDefault="001E4BF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F4" w:rsidRPr="00521363" w:rsidRDefault="001E4BF4" w:rsidP="00521363">
    <w:pPr>
      <w:pStyle w:val="Footer"/>
      <w:tabs>
        <w:tab w:val="right" w:pos="9598"/>
      </w:tabs>
      <w:rPr>
        <w:sz w:val="17"/>
      </w:rPr>
    </w:pPr>
    <w:r>
      <w:rPr>
        <w:sz w:val="17"/>
      </w:rPr>
      <w:t>GE.17-01010</w:t>
    </w:r>
    <w:r>
      <w:rPr>
        <w:sz w:val="17"/>
      </w:rPr>
      <w:tab/>
    </w:r>
    <w:r w:rsidRPr="00521363">
      <w:rPr>
        <w:b/>
        <w:sz w:val="18"/>
      </w:rPr>
      <w:fldChar w:fldCharType="begin"/>
    </w:r>
    <w:r w:rsidRPr="00521363">
      <w:rPr>
        <w:b/>
        <w:sz w:val="18"/>
      </w:rPr>
      <w:instrText xml:space="preserve"> PAGE  \* MERGEFORMAT </w:instrText>
    </w:r>
    <w:r w:rsidRPr="00521363">
      <w:rPr>
        <w:b/>
        <w:sz w:val="18"/>
      </w:rPr>
      <w:fldChar w:fldCharType="separate"/>
    </w:r>
    <w:r w:rsidR="002A4B7F">
      <w:rPr>
        <w:b/>
        <w:noProof/>
        <w:sz w:val="18"/>
      </w:rPr>
      <w:t>18</w:t>
    </w:r>
    <w:r w:rsidRPr="0052136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F4" w:rsidRPr="00521363" w:rsidRDefault="001E4BF4" w:rsidP="006959B0">
    <w:pPr>
      <w:pStyle w:val="Footer"/>
      <w:tabs>
        <w:tab w:val="right" w:pos="9599"/>
      </w:tabs>
      <w:jc w:val="left"/>
      <w:rPr>
        <w:b/>
        <w:sz w:val="18"/>
        <w:lang w:val="en-US"/>
      </w:rPr>
    </w:pPr>
    <w:r w:rsidRPr="00521363">
      <w:rPr>
        <w:b/>
        <w:sz w:val="18"/>
        <w:lang w:val="en-US"/>
      </w:rPr>
      <w:fldChar w:fldCharType="begin"/>
    </w:r>
    <w:r w:rsidRPr="00521363">
      <w:rPr>
        <w:b/>
        <w:sz w:val="18"/>
        <w:lang w:val="en-US"/>
      </w:rPr>
      <w:instrText xml:space="preserve"> PAGE  \* MERGEFORMAT </w:instrText>
    </w:r>
    <w:r w:rsidRPr="00521363">
      <w:rPr>
        <w:b/>
        <w:sz w:val="18"/>
        <w:lang w:val="en-US"/>
      </w:rPr>
      <w:fldChar w:fldCharType="separate"/>
    </w:r>
    <w:r w:rsidR="002A4B7F">
      <w:rPr>
        <w:b/>
        <w:noProof/>
        <w:sz w:val="18"/>
        <w:lang w:val="en-US"/>
      </w:rPr>
      <w:t>17</w:t>
    </w:r>
    <w:r w:rsidRPr="00521363">
      <w:rPr>
        <w:b/>
        <w:sz w:val="18"/>
        <w:lang w:val="en-US"/>
      </w:rPr>
      <w:fldChar w:fldCharType="end"/>
    </w:r>
    <w:r>
      <w:rPr>
        <w:b/>
        <w:sz w:val="18"/>
        <w:lang w:val="en-US"/>
      </w:rPr>
      <w:tab/>
    </w:r>
    <w:r>
      <w:rPr>
        <w:sz w:val="17"/>
        <w:lang w:val="en-US"/>
      </w:rPr>
      <w:t>GE.17-01010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F4" w:rsidRDefault="001E4BF4" w:rsidP="005A3015">
    <w:pPr>
      <w:pStyle w:val="Footer"/>
      <w:spacing w:before="360"/>
      <w:jc w:val="right"/>
      <w:rPr>
        <w:sz w:val="20"/>
        <w:szCs w:val="20"/>
      </w:rPr>
    </w:pPr>
    <w:r>
      <w:rPr>
        <w:sz w:val="20"/>
        <w:szCs w:val="20"/>
      </w:rPr>
      <w:t>GE.17-01010</w:t>
    </w:r>
    <w:r>
      <w:rPr>
        <w:noProof/>
        <w:lang w:val="en-US"/>
      </w:rPr>
      <w:drawing>
        <wp:anchor distT="0" distB="0" distL="114300" distR="114300" simplePos="0" relativeHeight="251659264" behindDoc="1" locked="1" layoutInCell="0" allowOverlap="1" wp14:anchorId="18A4A53E" wp14:editId="7F640A6B">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1E4BF4" w:rsidRPr="009473E1" w:rsidRDefault="001E4BF4" w:rsidP="009473E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3BF0B557" wp14:editId="1C6997DC">
          <wp:simplePos x="0" y="0"/>
          <wp:positionH relativeFrom="page">
            <wp:posOffset>719455</wp:posOffset>
          </wp:positionH>
          <wp:positionV relativeFrom="page">
            <wp:posOffset>9611995</wp:posOffset>
          </wp:positionV>
          <wp:extent cx="643738" cy="643737"/>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43738" cy="64373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F4" w:rsidRPr="004956DC" w:rsidRDefault="001E4BF4" w:rsidP="00761849">
      <w:pPr>
        <w:pStyle w:val="Footer"/>
        <w:bidi/>
        <w:spacing w:after="80" w:line="200" w:lineRule="exact"/>
        <w:ind w:left="680"/>
      </w:pPr>
      <w:r>
        <w:rPr>
          <w:rtl/>
        </w:rPr>
        <w:t>__________</w:t>
      </w:r>
    </w:p>
  </w:footnote>
  <w:footnote w:type="continuationSeparator" w:id="0">
    <w:p w:rsidR="001E4BF4" w:rsidRDefault="001E4BF4" w:rsidP="00656392">
      <w:pPr>
        <w:spacing w:line="240" w:lineRule="auto"/>
      </w:pPr>
      <w:r>
        <w:continuationSeparator/>
      </w:r>
    </w:p>
  </w:footnote>
  <w:footnote w:id="1">
    <w:p w:rsidR="001E4BF4" w:rsidRPr="000E004C" w:rsidRDefault="001E4BF4" w:rsidP="00A96991">
      <w:pPr>
        <w:pStyle w:val="FootnoteText1"/>
        <w:rPr>
          <w:rtl/>
        </w:rPr>
      </w:pPr>
      <w:r w:rsidRPr="000E004C">
        <w:rPr>
          <w:rtl/>
        </w:rPr>
        <w:t>*</w:t>
      </w:r>
      <w:r w:rsidRPr="000E004C">
        <w:rPr>
          <w:rtl/>
        </w:rPr>
        <w:tab/>
      </w:r>
      <w:r w:rsidRPr="000E004C">
        <w:rPr>
          <w:rtl/>
          <w:lang w:eastAsia="zh-TW"/>
        </w:rPr>
        <w:t>اعتمدته اللجنة في دورتها التاسعة والخمسين (7 تشرين الثاني/نوفمبر</w:t>
      </w:r>
      <w:r w:rsidRPr="000E004C">
        <w:rPr>
          <w:rFonts w:hint="cs"/>
          <w:rtl/>
          <w:lang w:eastAsia="zh-TW"/>
        </w:rPr>
        <w:t xml:space="preserve"> </w:t>
      </w:r>
      <w:r w:rsidRPr="000E004C">
        <w:rPr>
          <w:rtl/>
          <w:lang w:eastAsia="zh-TW"/>
        </w:rPr>
        <w:t>-</w:t>
      </w:r>
      <w:r w:rsidRPr="000E004C">
        <w:rPr>
          <w:rFonts w:hint="cs"/>
          <w:rtl/>
          <w:lang w:eastAsia="zh-TW"/>
        </w:rPr>
        <w:t xml:space="preserve"> </w:t>
      </w:r>
      <w:r w:rsidRPr="000E004C">
        <w:rPr>
          <w:rtl/>
          <w:lang w:eastAsia="zh-TW"/>
        </w:rPr>
        <w:t>7 كانون الأول/ديسمبر 2016).</w:t>
      </w:r>
    </w:p>
  </w:footnote>
  <w:footnote w:id="2">
    <w:p w:rsidR="001E4BF4" w:rsidRPr="000E004C" w:rsidRDefault="001E4BF4" w:rsidP="00A96991">
      <w:pPr>
        <w:pStyle w:val="FootnoteText1"/>
      </w:pPr>
      <w:r w:rsidRPr="000E004C">
        <w:rPr>
          <w:rtl/>
        </w:rPr>
        <w:t>**</w:t>
      </w:r>
      <w:r w:rsidRPr="000E004C">
        <w:rPr>
          <w:rtl/>
        </w:rPr>
        <w:tab/>
      </w:r>
      <w:r w:rsidRPr="000E004C">
        <w:rPr>
          <w:rtl/>
          <w:lang w:eastAsia="zh-TW"/>
        </w:rPr>
        <w:t xml:space="preserve">شارك أعضاء اللجنة التالية أسماؤهم في دراسة هذا البلاغ: السعدية </w:t>
      </w:r>
      <w:proofErr w:type="spellStart"/>
      <w:r w:rsidRPr="000E004C">
        <w:rPr>
          <w:rtl/>
          <w:lang w:eastAsia="zh-TW"/>
        </w:rPr>
        <w:t>بلمير</w:t>
      </w:r>
      <w:proofErr w:type="spellEnd"/>
      <w:r w:rsidRPr="000E004C">
        <w:rPr>
          <w:rtl/>
          <w:lang w:eastAsia="zh-TW"/>
        </w:rPr>
        <w:t xml:space="preserve">، </w:t>
      </w:r>
      <w:proofErr w:type="spellStart"/>
      <w:r w:rsidRPr="000E004C">
        <w:rPr>
          <w:rtl/>
          <w:lang w:eastAsia="zh-TW"/>
        </w:rPr>
        <w:t>أليسيو</w:t>
      </w:r>
      <w:proofErr w:type="spellEnd"/>
      <w:r w:rsidRPr="000E004C">
        <w:rPr>
          <w:rtl/>
          <w:lang w:eastAsia="zh-TW"/>
        </w:rPr>
        <w:t xml:space="preserve"> بروني، فيليس غاير، عبد الوهاب هاني، كلود هيلر </w:t>
      </w:r>
      <w:proofErr w:type="spellStart"/>
      <w:r w:rsidRPr="000E004C">
        <w:rPr>
          <w:rtl/>
          <w:lang w:eastAsia="zh-TW"/>
        </w:rPr>
        <w:t>رواسان</w:t>
      </w:r>
      <w:proofErr w:type="spellEnd"/>
      <w:r w:rsidRPr="000E004C">
        <w:rPr>
          <w:rtl/>
          <w:lang w:eastAsia="zh-TW"/>
        </w:rPr>
        <w:t xml:space="preserve">، سيباستيان توزي، </w:t>
      </w:r>
      <w:proofErr w:type="spellStart"/>
      <w:r w:rsidRPr="000E004C">
        <w:rPr>
          <w:rtl/>
          <w:lang w:eastAsia="zh-TW"/>
        </w:rPr>
        <w:t>كينينغ</w:t>
      </w:r>
      <w:proofErr w:type="spellEnd"/>
      <w:r w:rsidRPr="000E004C">
        <w:rPr>
          <w:rtl/>
          <w:lang w:eastAsia="zh-TW"/>
        </w:rPr>
        <w:t xml:space="preserve"> </w:t>
      </w:r>
      <w:proofErr w:type="spellStart"/>
      <w:r w:rsidRPr="000E004C">
        <w:rPr>
          <w:rtl/>
          <w:lang w:eastAsia="zh-TW"/>
        </w:rPr>
        <w:t>جانغ</w:t>
      </w:r>
      <w:proofErr w:type="spellEnd"/>
      <w:r w:rsidRPr="000E004C">
        <w:rPr>
          <w:rtl/>
          <w:lang w:eastAsia="zh-TW"/>
        </w:rPr>
        <w:t>.</w:t>
      </w:r>
    </w:p>
  </w:footnote>
  <w:footnote w:id="3">
    <w:p w:rsidR="001E4BF4" w:rsidRPr="000E004C" w:rsidRDefault="001E4BF4" w:rsidP="00A96991">
      <w:pPr>
        <w:pStyle w:val="FootnoteText1"/>
        <w:textDirection w:val="tbRlV"/>
        <w:rPr>
          <w:b/>
          <w:rtl/>
        </w:rPr>
      </w:pPr>
      <w:r w:rsidRPr="000E004C">
        <w:rPr>
          <w:rFonts w:hint="cs"/>
          <w:b/>
          <w:rtl/>
        </w:rPr>
        <w:t>(</w:t>
      </w:r>
      <w:r w:rsidRPr="000E004C">
        <w:rPr>
          <w:b/>
        </w:rPr>
        <w:footnoteRef/>
      </w:r>
      <w:r w:rsidRPr="000E004C">
        <w:rPr>
          <w:rFonts w:hint="cs"/>
          <w:rtl/>
        </w:rPr>
        <w:t>)</w:t>
      </w:r>
      <w:r w:rsidRPr="000E004C">
        <w:rPr>
          <w:rFonts w:hint="cs"/>
          <w:rtl/>
        </w:rPr>
        <w:tab/>
      </w:r>
      <w:r w:rsidRPr="000E004C">
        <w:rPr>
          <w:rtl/>
        </w:rPr>
        <w:t>قدم صاحب الشكوى الأول إفادات متناقضة عن نوع وكمية البضاعة التي اشتراها الرجلان في مقابلة فرز ملتمسي اللجوء التي تجريها دائرة الهج</w:t>
      </w:r>
      <w:r w:rsidR="00154CAC">
        <w:rPr>
          <w:rFonts w:hint="cs"/>
          <w:rtl/>
        </w:rPr>
        <w:t xml:space="preserve"> </w:t>
      </w:r>
      <w:proofErr w:type="spellStart"/>
      <w:r w:rsidRPr="000E004C">
        <w:rPr>
          <w:rtl/>
        </w:rPr>
        <w:t>رة</w:t>
      </w:r>
      <w:proofErr w:type="spellEnd"/>
      <w:r w:rsidRPr="000E004C">
        <w:rPr>
          <w:rtl/>
        </w:rPr>
        <w:t xml:space="preserve"> </w:t>
      </w:r>
      <w:proofErr w:type="spellStart"/>
      <w:r w:rsidRPr="000E004C">
        <w:rPr>
          <w:rtl/>
        </w:rPr>
        <w:t>الدانمركية</w:t>
      </w:r>
      <w:proofErr w:type="spellEnd"/>
      <w:r w:rsidRPr="000E004C">
        <w:rPr>
          <w:rtl/>
        </w:rPr>
        <w:t xml:space="preserve"> في 7 شباط/فبراير 2014، وفي مقابلة اللجوء الأساسية التي تجريها دائرة الهجرة </w:t>
      </w:r>
      <w:proofErr w:type="spellStart"/>
      <w:r w:rsidRPr="000E004C">
        <w:rPr>
          <w:rtl/>
        </w:rPr>
        <w:t>الدانمركية</w:t>
      </w:r>
      <w:proofErr w:type="spellEnd"/>
      <w:r w:rsidRPr="000E004C">
        <w:rPr>
          <w:rtl/>
        </w:rPr>
        <w:t xml:space="preserve"> في 24 آذار/مارس 2014، وفي جلسة الاستماع التي جرت أمام مجلس طعون اللاجئين في 12 أيلول/سبتمبر 2014.</w:t>
      </w:r>
    </w:p>
  </w:footnote>
  <w:footnote w:id="4">
    <w:p w:rsidR="001E4BF4" w:rsidRPr="000E004C" w:rsidRDefault="001E4BF4" w:rsidP="00A96991">
      <w:pPr>
        <w:pStyle w:val="FootnoteText1"/>
        <w:textDirection w:val="tbRlV"/>
        <w:rPr>
          <w:b/>
          <w:rtl/>
        </w:rPr>
      </w:pPr>
      <w:r w:rsidRPr="000E004C">
        <w:rPr>
          <w:rFonts w:hint="cs"/>
          <w:b/>
          <w:rtl/>
        </w:rPr>
        <w:t>(</w:t>
      </w:r>
      <w:r w:rsidRPr="000E004C">
        <w:rPr>
          <w:b/>
          <w:rtl/>
        </w:rPr>
        <w:footnoteRef/>
      </w:r>
      <w:r w:rsidRPr="000E004C">
        <w:rPr>
          <w:rFonts w:hint="cs"/>
          <w:rtl/>
        </w:rPr>
        <w:t>)</w:t>
      </w:r>
      <w:r w:rsidRPr="000E004C">
        <w:rPr>
          <w:rFonts w:hint="cs"/>
          <w:rtl/>
        </w:rPr>
        <w:tab/>
      </w:r>
      <w:r w:rsidRPr="000E004C">
        <w:rPr>
          <w:rtl/>
        </w:rPr>
        <w:t xml:space="preserve">ذكر صاحب الشكوى الأول، في مقابلة اللجوء الأساسية التي تجريها دائرة الهجرة </w:t>
      </w:r>
      <w:proofErr w:type="spellStart"/>
      <w:r w:rsidRPr="000E004C">
        <w:rPr>
          <w:rtl/>
        </w:rPr>
        <w:t>الدانمركية</w:t>
      </w:r>
      <w:proofErr w:type="spellEnd"/>
      <w:r w:rsidRPr="000E004C">
        <w:rPr>
          <w:rtl/>
        </w:rPr>
        <w:t>، أن المحادثة الهاتفية كانت قصيرة جدا</w:t>
      </w:r>
      <w:r w:rsidR="00D3340E">
        <w:rPr>
          <w:rFonts w:hint="cs"/>
          <w:rtl/>
        </w:rPr>
        <w:t>ً</w:t>
      </w:r>
      <w:r w:rsidRPr="000E004C">
        <w:rPr>
          <w:rtl/>
        </w:rPr>
        <w:t xml:space="preserve"> وجرت باللغة الروسية.</w:t>
      </w:r>
    </w:p>
  </w:footnote>
  <w:footnote w:id="5">
    <w:p w:rsidR="001E4BF4" w:rsidRPr="000E004C" w:rsidRDefault="001E4BF4" w:rsidP="00242E31">
      <w:pPr>
        <w:pStyle w:val="FootnoteText1"/>
        <w:textDirection w:val="tbRlV"/>
        <w:rPr>
          <w:rtl/>
        </w:rPr>
      </w:pPr>
      <w:r w:rsidRPr="000E004C">
        <w:rPr>
          <w:rFonts w:hint="cs"/>
          <w:rtl/>
        </w:rPr>
        <w:t>(</w:t>
      </w:r>
      <w:r w:rsidRPr="000E004C">
        <w:rPr>
          <w:rtl/>
        </w:rPr>
        <w:footnoteRef/>
      </w:r>
      <w:r w:rsidRPr="000E004C">
        <w:rPr>
          <w:rFonts w:hint="cs"/>
          <w:rtl/>
        </w:rPr>
        <w:t>)</w:t>
      </w:r>
      <w:r w:rsidRPr="000E004C">
        <w:rPr>
          <w:rFonts w:hint="cs"/>
          <w:rtl/>
        </w:rPr>
        <w:tab/>
      </w:r>
      <w:r w:rsidRPr="000E004C">
        <w:rPr>
          <w:b/>
          <w:rtl/>
        </w:rPr>
        <w:t>لا توجد في الملف أية معلومات تبين سبب اعتقال شقيقة صاحب الشكوى الأول، ولا ظروف إطلاق سراحها بعد ثلاثة أيام.</w:t>
      </w:r>
    </w:p>
  </w:footnote>
  <w:footnote w:id="6">
    <w:p w:rsidR="001E4BF4" w:rsidRPr="000E004C" w:rsidRDefault="001E4BF4" w:rsidP="00242E31">
      <w:pPr>
        <w:pStyle w:val="FootnoteText1"/>
        <w:textDirection w:val="tbRlV"/>
        <w:rPr>
          <w:rtl/>
        </w:rPr>
      </w:pPr>
      <w:r w:rsidRPr="000E004C">
        <w:rPr>
          <w:rFonts w:hint="cs"/>
          <w:rtl/>
        </w:rPr>
        <w:t>(</w:t>
      </w:r>
      <w:r w:rsidRPr="000E004C">
        <w:rPr>
          <w:rtl/>
        </w:rPr>
        <w:footnoteRef/>
      </w:r>
      <w:r w:rsidRPr="000E004C">
        <w:rPr>
          <w:rFonts w:hint="cs"/>
          <w:rtl/>
        </w:rPr>
        <w:t>)</w:t>
      </w:r>
      <w:r w:rsidRPr="000E004C">
        <w:rPr>
          <w:rFonts w:hint="cs"/>
          <w:rtl/>
        </w:rPr>
        <w:tab/>
      </w:r>
      <w:r w:rsidRPr="000E004C">
        <w:rPr>
          <w:b/>
          <w:rtl/>
        </w:rPr>
        <w:t xml:space="preserve">ذكر صاحب الشكوى الأول، في مقابلة فرز ملتمسي اللجوء التي تجريها إدارة الهجرة </w:t>
      </w:r>
      <w:proofErr w:type="spellStart"/>
      <w:r w:rsidRPr="000E004C">
        <w:rPr>
          <w:b/>
          <w:rtl/>
        </w:rPr>
        <w:t>الدانمركية</w:t>
      </w:r>
      <w:proofErr w:type="spellEnd"/>
      <w:r w:rsidRPr="000E004C">
        <w:rPr>
          <w:b/>
          <w:rtl/>
        </w:rPr>
        <w:t xml:space="preserve">، أنه احتجز لمدة شهر ونصف </w:t>
      </w:r>
      <w:r w:rsidRPr="000E004C">
        <w:rPr>
          <w:rFonts w:hint="cs"/>
          <w:b/>
          <w:rtl/>
        </w:rPr>
        <w:t xml:space="preserve">الشهر </w:t>
      </w:r>
      <w:r w:rsidRPr="000E004C">
        <w:rPr>
          <w:b/>
          <w:rtl/>
        </w:rPr>
        <w:t xml:space="preserve">قبل أن يغادر الاتحاد الروسي. وفي مقابلة اللجوء الأساسية التي تجريها دائرة الهجرة </w:t>
      </w:r>
      <w:proofErr w:type="spellStart"/>
      <w:r w:rsidRPr="000E004C">
        <w:rPr>
          <w:b/>
          <w:rtl/>
        </w:rPr>
        <w:t>الدانمركية</w:t>
      </w:r>
      <w:proofErr w:type="spellEnd"/>
      <w:r w:rsidRPr="000E004C">
        <w:rPr>
          <w:b/>
          <w:rtl/>
        </w:rPr>
        <w:t xml:space="preserve"> وفي جلسة الاستماع أمام مجلس طعون اللاجئين، أدلى صاحب الشكوى الأول بإفادات متناقضة بشأن ملابسات استفاقته في السجن، بما في ذلك ما إذا كان وحده في الزنزانة، وما إذا كان قد غطس في الماء وما إذا كان مكبل اليدين. </w:t>
      </w:r>
    </w:p>
  </w:footnote>
  <w:footnote w:id="7">
    <w:p w:rsidR="001E4BF4" w:rsidRPr="000E004C" w:rsidRDefault="001E4BF4" w:rsidP="00242E31">
      <w:pPr>
        <w:pStyle w:val="FootnoteText1"/>
        <w:textDirection w:val="tbRlV"/>
        <w:rPr>
          <w:rtl/>
        </w:rPr>
      </w:pPr>
      <w:r w:rsidRPr="000E004C">
        <w:rPr>
          <w:rFonts w:hint="cs"/>
          <w:b/>
          <w:rtl/>
        </w:rPr>
        <w:t>(</w:t>
      </w:r>
      <w:r w:rsidRPr="000E004C">
        <w:rPr>
          <w:rtl/>
        </w:rPr>
        <w:footnoteRef/>
      </w:r>
      <w:r w:rsidRPr="000E004C">
        <w:rPr>
          <w:rFonts w:hint="cs"/>
          <w:b/>
          <w:rtl/>
        </w:rPr>
        <w:t>)</w:t>
      </w:r>
      <w:r w:rsidRPr="000E004C">
        <w:rPr>
          <w:rFonts w:hint="cs"/>
          <w:b/>
          <w:rtl/>
        </w:rPr>
        <w:tab/>
      </w:r>
      <w:r w:rsidRPr="000E004C">
        <w:rPr>
          <w:b/>
          <w:rtl/>
        </w:rPr>
        <w:t xml:space="preserve">أفاد صاحب الشكوى الأول في طلب اللجوء، الذي </w:t>
      </w:r>
      <w:r w:rsidRPr="000E004C">
        <w:rPr>
          <w:rFonts w:hint="cs"/>
          <w:b/>
          <w:rtl/>
        </w:rPr>
        <w:t xml:space="preserve">استوفاه </w:t>
      </w:r>
      <w:r w:rsidRPr="000E004C">
        <w:rPr>
          <w:b/>
          <w:rtl/>
        </w:rPr>
        <w:t xml:space="preserve">باللغة الروسية، والمؤرخ </w:t>
      </w:r>
      <w:r w:rsidRPr="000E004C">
        <w:rPr>
          <w:rFonts w:hint="cs"/>
          <w:b/>
          <w:rtl/>
        </w:rPr>
        <w:t xml:space="preserve">في </w:t>
      </w:r>
      <w:r w:rsidRPr="000E004C">
        <w:rPr>
          <w:b/>
          <w:rtl/>
        </w:rPr>
        <w:t xml:space="preserve">6 كانون الثاني/يناير 2014، بأنه فر من البلد برفقة أسرته لوجود خطر حقيقي على حياته، ولأن دوائر الأمن الخاصة الروسية تطلب منه الاعتراف بالتواطؤ مع الإرهابيين والمتمردين. </w:t>
      </w:r>
    </w:p>
  </w:footnote>
  <w:footnote w:id="8">
    <w:p w:rsidR="001E4BF4" w:rsidRPr="000E004C" w:rsidRDefault="001E4BF4" w:rsidP="00242E31">
      <w:pPr>
        <w:pStyle w:val="FootnoteText1"/>
        <w:textDirection w:val="tbRlV"/>
        <w:rPr>
          <w:rtl/>
        </w:rPr>
      </w:pPr>
      <w:r w:rsidRPr="000E004C">
        <w:rPr>
          <w:rFonts w:hint="cs"/>
          <w:b/>
          <w:rtl/>
        </w:rPr>
        <w:t>(</w:t>
      </w:r>
      <w:r w:rsidRPr="000E004C">
        <w:rPr>
          <w:rtl/>
        </w:rPr>
        <w:footnoteRef/>
      </w:r>
      <w:r w:rsidRPr="000E004C">
        <w:rPr>
          <w:rFonts w:hint="cs"/>
          <w:b/>
          <w:rtl/>
        </w:rPr>
        <w:t>)</w:t>
      </w:r>
      <w:r w:rsidRPr="000E004C">
        <w:rPr>
          <w:rFonts w:hint="cs"/>
          <w:b/>
          <w:rtl/>
        </w:rPr>
        <w:tab/>
      </w:r>
      <w:r w:rsidRPr="000E004C">
        <w:rPr>
          <w:b/>
          <w:rtl/>
        </w:rPr>
        <w:t>ذكر صاحب الشكوى الأول، في الإفادات التي أدلى بها في مراحل مختلفة من إجراءات اللجوء، أن رأسه غُطي بكيس بلاستيكي، وإنه تعرض للكم والضرب بالهراوات في منطقة البطن والكبد والكلى. ويضيف أنه تعرض للإيذاء اللفظي والركل في تجويفي ركبتيه وللحرق بأعقاب السجائر وغير ذلك من الأشكال المهينة من التعذيب وسوء المعاملة.</w:t>
      </w:r>
    </w:p>
  </w:footnote>
  <w:footnote w:id="9">
    <w:p w:rsidR="001E4BF4" w:rsidRPr="000E004C" w:rsidRDefault="001E4BF4" w:rsidP="00242E31">
      <w:pPr>
        <w:pStyle w:val="FootnoteText1"/>
        <w:textDirection w:val="tbRlV"/>
        <w:rPr>
          <w:rtl/>
        </w:rPr>
      </w:pPr>
      <w:r w:rsidRPr="000E004C">
        <w:rPr>
          <w:rFonts w:hint="cs"/>
          <w:rtl/>
        </w:rPr>
        <w:t>(</w:t>
      </w:r>
      <w:r w:rsidRPr="000E004C">
        <w:rPr>
          <w:rtl/>
        </w:rPr>
        <w:footnoteRef/>
      </w:r>
      <w:r w:rsidRPr="000E004C">
        <w:rPr>
          <w:rFonts w:hint="cs"/>
          <w:rtl/>
        </w:rPr>
        <w:t>)</w:t>
      </w:r>
      <w:r w:rsidRPr="000E004C">
        <w:rPr>
          <w:rFonts w:hint="cs"/>
          <w:rtl/>
        </w:rPr>
        <w:tab/>
      </w:r>
      <w:r w:rsidRPr="000E004C">
        <w:rPr>
          <w:b/>
          <w:rtl/>
        </w:rPr>
        <w:t>في</w:t>
      </w:r>
      <w:r w:rsidR="002D164F">
        <w:rPr>
          <w:b/>
          <w:rtl/>
        </w:rPr>
        <w:t xml:space="preserve"> </w:t>
      </w:r>
      <w:r w:rsidRPr="000E004C">
        <w:rPr>
          <w:b/>
          <w:rtl/>
        </w:rPr>
        <w:t xml:space="preserve">مقابلة فرز ملتمسي اللجوء التي تجريها إدارة الهجرة </w:t>
      </w:r>
      <w:proofErr w:type="spellStart"/>
      <w:r w:rsidRPr="000E004C">
        <w:rPr>
          <w:b/>
          <w:rtl/>
        </w:rPr>
        <w:t>الدانمركية</w:t>
      </w:r>
      <w:proofErr w:type="spellEnd"/>
      <w:r w:rsidRPr="000E004C">
        <w:rPr>
          <w:b/>
          <w:rtl/>
        </w:rPr>
        <w:t>، ذكر صاحب الشكوى الأول في البداية أن السلطات</w:t>
      </w:r>
      <w:r w:rsidR="002D164F">
        <w:rPr>
          <w:b/>
          <w:rtl/>
        </w:rPr>
        <w:t xml:space="preserve"> </w:t>
      </w:r>
      <w:r w:rsidRPr="000E004C">
        <w:rPr>
          <w:b/>
          <w:rtl/>
        </w:rPr>
        <w:t>أطلقت سراحه في 30 تشرين الثاني/نوفمبر أو 1 كانون الأول/ديسمبر 2013، ثم أوضح أن التاريخ هو 3 كانون الأول/ديسمبر، بعد أن رجع إلى مفكرته.</w:t>
      </w:r>
    </w:p>
  </w:footnote>
  <w:footnote w:id="10">
    <w:p w:rsidR="001E4BF4" w:rsidRPr="000E004C" w:rsidRDefault="001E4BF4" w:rsidP="00242E31">
      <w:pPr>
        <w:pStyle w:val="FootnoteText1"/>
        <w:textDirection w:val="tbRlV"/>
        <w:rPr>
          <w:rtl/>
        </w:rPr>
      </w:pPr>
      <w:r w:rsidRPr="000E004C">
        <w:rPr>
          <w:rFonts w:hint="cs"/>
          <w:b/>
          <w:rtl/>
        </w:rPr>
        <w:t>(</w:t>
      </w:r>
      <w:r w:rsidRPr="000E004C">
        <w:footnoteRef/>
      </w:r>
      <w:r w:rsidRPr="000E004C">
        <w:rPr>
          <w:rFonts w:hint="cs"/>
          <w:b/>
          <w:rtl/>
        </w:rPr>
        <w:t>)</w:t>
      </w:r>
      <w:r w:rsidRPr="000E004C">
        <w:rPr>
          <w:rFonts w:hint="cs"/>
          <w:b/>
          <w:rtl/>
        </w:rPr>
        <w:tab/>
      </w:r>
      <w:r w:rsidRPr="000E004C">
        <w:rPr>
          <w:b/>
          <w:rtl/>
        </w:rPr>
        <w:t>استولى الرجلان، اللذان نقلا أصحاب الشكوى في حافلة صغيرة من الاتحاد الروسي إلى "مكان آمن" تبين أنه الدانمرك،</w:t>
      </w:r>
      <w:r w:rsidR="002D164F">
        <w:rPr>
          <w:b/>
          <w:rtl/>
        </w:rPr>
        <w:t xml:space="preserve"> </w:t>
      </w:r>
      <w:r w:rsidRPr="000E004C">
        <w:rPr>
          <w:b/>
          <w:rtl/>
        </w:rPr>
        <w:t xml:space="preserve">على رخصة القيادة الخاصة بصاحب الشكوى الأول وجواز سفر صاحبة الشكوى الثانية، وشهادة ميلاد صاحب الشكوى الثالث ولم يعد هذه الوثائق إليهم قط. ولم يحصل أصحاب الشكوى </w:t>
      </w:r>
      <w:r w:rsidRPr="000E004C">
        <w:rPr>
          <w:rFonts w:hint="cs"/>
          <w:b/>
          <w:rtl/>
        </w:rPr>
        <w:t xml:space="preserve">إطلاقاً </w:t>
      </w:r>
      <w:r w:rsidRPr="000E004C">
        <w:rPr>
          <w:b/>
          <w:rtl/>
        </w:rPr>
        <w:t>على جوازات سفر دولية تسمح لهم بمغادرة الاتحاد الروسي بصفة قانونية.</w:t>
      </w:r>
    </w:p>
  </w:footnote>
  <w:footnote w:id="11">
    <w:p w:rsidR="001E4BF4" w:rsidRPr="000E004C" w:rsidRDefault="001E4BF4" w:rsidP="001E4BF4">
      <w:pPr>
        <w:pStyle w:val="FootnoteText1"/>
        <w:textDirection w:val="tbRlV"/>
        <w:rPr>
          <w:rtl/>
        </w:rPr>
      </w:pPr>
      <w:r w:rsidRPr="000E004C">
        <w:rPr>
          <w:rFonts w:hint="cs"/>
          <w:rtl/>
        </w:rPr>
        <w:t>(</w:t>
      </w:r>
      <w:r w:rsidRPr="000E004C">
        <w:footnoteRef/>
      </w:r>
      <w:r w:rsidRPr="000E004C">
        <w:rPr>
          <w:rFonts w:hint="cs"/>
          <w:b/>
          <w:rtl/>
        </w:rPr>
        <w:t>)</w:t>
      </w:r>
      <w:r w:rsidRPr="000E004C">
        <w:rPr>
          <w:rFonts w:hint="cs"/>
          <w:b/>
          <w:rtl/>
        </w:rPr>
        <w:tab/>
        <w:t>يُ</w:t>
      </w:r>
      <w:r w:rsidRPr="000E004C">
        <w:rPr>
          <w:b/>
          <w:rtl/>
        </w:rPr>
        <w:t xml:space="preserve">شار هنا إلى البلاغ رقم 416/2010، </w:t>
      </w:r>
      <w:r w:rsidRPr="00377B19">
        <w:rPr>
          <w:b/>
          <w:i/>
          <w:iCs/>
          <w:rtl/>
        </w:rPr>
        <w:t xml:space="preserve">كي تشون </w:t>
      </w:r>
      <w:proofErr w:type="spellStart"/>
      <w:r w:rsidRPr="00377B19">
        <w:rPr>
          <w:b/>
          <w:i/>
          <w:iCs/>
          <w:rtl/>
        </w:rPr>
        <w:t>رونغ</w:t>
      </w:r>
      <w:proofErr w:type="spellEnd"/>
      <w:r w:rsidRPr="00377B19">
        <w:rPr>
          <w:b/>
          <w:i/>
          <w:iCs/>
          <w:rtl/>
        </w:rPr>
        <w:t xml:space="preserve"> ضد أستراليا،</w:t>
      </w:r>
      <w:r w:rsidRPr="000E004C">
        <w:rPr>
          <w:b/>
          <w:rtl/>
        </w:rPr>
        <w:t xml:space="preserve"> </w:t>
      </w:r>
      <w:r w:rsidRPr="000E004C">
        <w:rPr>
          <w:rFonts w:hint="cs"/>
          <w:b/>
          <w:rtl/>
        </w:rPr>
        <w:t xml:space="preserve">القرار المعتمد في </w:t>
      </w:r>
      <w:r w:rsidRPr="000E004C">
        <w:rPr>
          <w:b/>
          <w:rtl/>
        </w:rPr>
        <w:t xml:space="preserve">5 تشرين الثاني/نوفمبر 2012، الفقرة 7-5. </w:t>
      </w:r>
    </w:p>
  </w:footnote>
  <w:footnote w:id="12">
    <w:p w:rsidR="001E4BF4" w:rsidRPr="000E004C" w:rsidRDefault="000E004C" w:rsidP="000E004C">
      <w:pPr>
        <w:pStyle w:val="FootnoteText1"/>
        <w:textDirection w:val="tbRlV"/>
        <w:rPr>
          <w:rStyle w:val="FootnoteReference"/>
          <w:rtl/>
          <w:lang w:eastAsia="zh-TW"/>
        </w:rPr>
      </w:pPr>
      <w:r w:rsidRPr="000E004C">
        <w:rPr>
          <w:rStyle w:val="FootnoteReference"/>
          <w:rFonts w:hint="cs"/>
          <w:vertAlign w:val="baseline"/>
          <w:rtl/>
          <w:lang w:eastAsia="zh-TW"/>
        </w:rPr>
        <w:t>(</w:t>
      </w:r>
      <w:r w:rsidR="001E4BF4" w:rsidRPr="000E004C">
        <w:rPr>
          <w:rStyle w:val="FootnoteReference"/>
          <w:vertAlign w:val="baseline"/>
          <w:lang w:eastAsia="zh-TW"/>
        </w:rPr>
        <w:footnoteRef/>
      </w:r>
      <w:r w:rsidRPr="000E004C">
        <w:rPr>
          <w:rFonts w:hint="cs"/>
          <w:b/>
          <w:rtl/>
        </w:rPr>
        <w:t>)</w:t>
      </w:r>
      <w:r w:rsidRPr="000E004C">
        <w:rPr>
          <w:rFonts w:hint="cs"/>
          <w:b/>
          <w:rtl/>
        </w:rPr>
        <w:tab/>
      </w:r>
      <w:r w:rsidR="001E4BF4" w:rsidRPr="000E004C">
        <w:rPr>
          <w:b/>
          <w:rtl/>
        </w:rPr>
        <w:t>يشار</w:t>
      </w:r>
      <w:r w:rsidR="001E4BF4" w:rsidRPr="000E004C">
        <w:rPr>
          <w:szCs w:val="28"/>
          <w:rtl/>
          <w:lang w:eastAsia="zh-TW"/>
        </w:rPr>
        <w:t xml:space="preserve"> هنا إلى جملة بلاغات منها البلاغ رقم 209/2002، </w:t>
      </w:r>
      <w:r w:rsidR="001E4BF4" w:rsidRPr="000E004C">
        <w:rPr>
          <w:i/>
          <w:iCs/>
          <w:szCs w:val="28"/>
          <w:rtl/>
          <w:lang w:eastAsia="zh-TW"/>
        </w:rPr>
        <w:t>م. ع. ضد الدانمرك،</w:t>
      </w:r>
      <w:r w:rsidR="001E4BF4" w:rsidRPr="000E004C">
        <w:rPr>
          <w:szCs w:val="28"/>
          <w:rtl/>
          <w:lang w:eastAsia="zh-TW"/>
        </w:rPr>
        <w:t xml:space="preserve"> القرار المعتمد في 12 تشرين الثاني/نوفمبر 2003، الفقرات 6-4 - 6-6؛</w:t>
      </w:r>
      <w:r w:rsidR="001E4BF4" w:rsidRPr="000E004C">
        <w:rPr>
          <w:szCs w:val="28"/>
          <w:rtl/>
          <w:lang w:eastAsia="zh-TW"/>
        </w:rPr>
        <w:t>‬</w:t>
      </w:r>
      <w:r w:rsidR="001E4BF4" w:rsidRPr="000E004C">
        <w:rPr>
          <w:szCs w:val="28"/>
          <w:rtl/>
          <w:lang w:eastAsia="zh-TW"/>
        </w:rPr>
        <w:t xml:space="preserve">‬ والبلاغ رقم 466/2011، </w:t>
      </w:r>
      <w:r w:rsidR="001E4BF4" w:rsidRPr="000E004C">
        <w:rPr>
          <w:i/>
          <w:iCs/>
          <w:szCs w:val="28"/>
          <w:rtl/>
          <w:lang w:eastAsia="zh-TW"/>
        </w:rPr>
        <w:t>ألب. ضد الدانمرك،</w:t>
      </w:r>
      <w:r w:rsidR="001E4BF4" w:rsidRPr="000E004C">
        <w:rPr>
          <w:szCs w:val="28"/>
          <w:rtl/>
          <w:lang w:eastAsia="zh-TW"/>
        </w:rPr>
        <w:t xml:space="preserve"> القرار المعتمد في 14 أيار/مايو 2014، الفقرة 8-4.</w:t>
      </w:r>
    </w:p>
  </w:footnote>
  <w:footnote w:id="13">
    <w:p w:rsidR="001E4BF4" w:rsidRPr="000E004C" w:rsidRDefault="001E4BF4" w:rsidP="000E004C">
      <w:pPr>
        <w:pStyle w:val="FootnoteText1"/>
        <w:textDirection w:val="tbRlV"/>
        <w:rPr>
          <w:rStyle w:val="FootnoteReference"/>
          <w:vertAlign w:val="baseline"/>
          <w:rtl/>
          <w:lang w:eastAsia="zh-TW"/>
        </w:rPr>
      </w:pPr>
      <w:r w:rsidRPr="000E004C">
        <w:rPr>
          <w:rStyle w:val="FootnoteReference"/>
          <w:rFonts w:hint="cs"/>
          <w:vertAlign w:val="baseline"/>
          <w:rtl/>
          <w:lang w:eastAsia="zh-TW"/>
        </w:rPr>
        <w:t>(</w:t>
      </w:r>
      <w:r w:rsidRPr="000E004C">
        <w:rPr>
          <w:rStyle w:val="FootnoteReference"/>
          <w:vertAlign w:val="baseline"/>
          <w:lang w:eastAsia="zh-TW"/>
        </w:rPr>
        <w:footnoteRef/>
      </w:r>
      <w:r w:rsidRPr="000E004C">
        <w:rPr>
          <w:rStyle w:val="FootnoteReference"/>
          <w:rFonts w:hint="cs"/>
          <w:vertAlign w:val="baseline"/>
          <w:rtl/>
        </w:rPr>
        <w:t>)</w:t>
      </w:r>
      <w:r w:rsidRPr="000E004C">
        <w:rPr>
          <w:rStyle w:val="FootnoteReference"/>
          <w:rFonts w:hint="cs"/>
          <w:vertAlign w:val="baseline"/>
          <w:rtl/>
        </w:rPr>
        <w:tab/>
      </w:r>
      <w:r w:rsidRPr="000E004C">
        <w:rPr>
          <w:rStyle w:val="FootnoteReference"/>
          <w:vertAlign w:val="baseline"/>
          <w:rtl/>
        </w:rPr>
        <w:t xml:space="preserve">تجري الدولة الطرف مقارنة تفصيلية للإفادات التي أدلى بها صاحب الشكوى الأول في مقابلة فرز ملتمسي اللجوء التي تجريها دائرة الهجرة </w:t>
      </w:r>
      <w:proofErr w:type="spellStart"/>
      <w:r w:rsidRPr="000E004C">
        <w:rPr>
          <w:rStyle w:val="FootnoteReference"/>
          <w:vertAlign w:val="baseline"/>
          <w:rtl/>
        </w:rPr>
        <w:t>الدانمركية</w:t>
      </w:r>
      <w:proofErr w:type="spellEnd"/>
      <w:r w:rsidRPr="000E004C">
        <w:rPr>
          <w:rStyle w:val="FootnoteReference"/>
          <w:vertAlign w:val="baseline"/>
          <w:rtl/>
        </w:rPr>
        <w:t xml:space="preserve">، وفي المقابلة الأساسية التي تجريها دائرة الهجرة </w:t>
      </w:r>
      <w:proofErr w:type="spellStart"/>
      <w:r w:rsidRPr="000E004C">
        <w:rPr>
          <w:rStyle w:val="FootnoteReference"/>
          <w:vertAlign w:val="baseline"/>
          <w:rtl/>
        </w:rPr>
        <w:t>الدانمركية</w:t>
      </w:r>
      <w:proofErr w:type="spellEnd"/>
      <w:r w:rsidRPr="000E004C">
        <w:rPr>
          <w:rStyle w:val="FootnoteReference"/>
          <w:vertAlign w:val="baseline"/>
          <w:rtl/>
        </w:rPr>
        <w:t xml:space="preserve"> وفي جلسة الاستماع أمام مجلس طعون اللاجئين. </w:t>
      </w:r>
    </w:p>
  </w:footnote>
  <w:footnote w:id="14">
    <w:p w:rsidR="001E4BF4" w:rsidRPr="000E004C" w:rsidRDefault="001E4BF4" w:rsidP="000E004C">
      <w:pPr>
        <w:pStyle w:val="FootnoteText1"/>
        <w:textDirection w:val="tbRlV"/>
        <w:rPr>
          <w:rStyle w:val="FootnoteReference"/>
          <w:vertAlign w:val="baseline"/>
          <w:rtl/>
          <w:lang w:eastAsia="zh-TW"/>
        </w:rPr>
      </w:pPr>
      <w:r w:rsidRPr="000E004C">
        <w:rPr>
          <w:rStyle w:val="FootnoteReference"/>
          <w:rFonts w:hint="cs"/>
          <w:vertAlign w:val="baseline"/>
          <w:rtl/>
          <w:lang w:eastAsia="zh-TW"/>
        </w:rPr>
        <w:t>(</w:t>
      </w:r>
      <w:r w:rsidRPr="000E004C">
        <w:rPr>
          <w:rStyle w:val="FootnoteReference"/>
          <w:vertAlign w:val="baseline"/>
          <w:rtl/>
          <w:lang w:eastAsia="zh-TW"/>
        </w:rPr>
        <w:footnoteRef/>
      </w:r>
      <w:r w:rsidRPr="000E004C">
        <w:rPr>
          <w:rStyle w:val="FootnoteReference"/>
          <w:rFonts w:hint="cs"/>
          <w:vertAlign w:val="baseline"/>
          <w:rtl/>
          <w:lang w:eastAsia="zh-TW"/>
        </w:rPr>
        <w:t>)</w:t>
      </w:r>
      <w:r w:rsidRPr="000E004C">
        <w:rPr>
          <w:rStyle w:val="FootnoteReference"/>
          <w:rFonts w:hint="cs"/>
          <w:vertAlign w:val="baseline"/>
          <w:rtl/>
          <w:lang w:eastAsia="zh-TW"/>
        </w:rPr>
        <w:tab/>
      </w:r>
      <w:dir w:val="rtl">
        <w:r w:rsidRPr="000E004C">
          <w:rPr>
            <w:rStyle w:val="FootnoteReference"/>
            <w:vertAlign w:val="baseline"/>
            <w:rtl/>
            <w:lang w:eastAsia="zh-TW"/>
          </w:rPr>
          <w:t>ا</w:t>
        </w:r>
        <w:r w:rsidRPr="000E004C">
          <w:rPr>
            <w:rStyle w:val="FootnoteReference"/>
            <w:rFonts w:hint="cs"/>
            <w:vertAlign w:val="baseline"/>
            <w:rtl/>
          </w:rPr>
          <w:t xml:space="preserve">لبلاغ </w:t>
        </w:r>
        <w:r w:rsidRPr="000E004C">
          <w:rPr>
            <w:rStyle w:val="FootnoteReference"/>
            <w:vertAlign w:val="baseline"/>
            <w:rtl/>
          </w:rPr>
          <w:t xml:space="preserve">رقم 41827/07، </w:t>
        </w:r>
        <w:r w:rsidRPr="000E004C">
          <w:rPr>
            <w:rStyle w:val="FootnoteReference"/>
            <w:i/>
            <w:iCs/>
            <w:vertAlign w:val="baseline"/>
            <w:rtl/>
          </w:rPr>
          <w:t>ر.</w:t>
        </w:r>
        <w:r w:rsidR="000E004C">
          <w:rPr>
            <w:rStyle w:val="FootnoteReference"/>
            <w:rFonts w:hint="cs"/>
            <w:i/>
            <w:iCs/>
            <w:vertAlign w:val="baseline"/>
            <w:rtl/>
          </w:rPr>
          <w:t xml:space="preserve"> </w:t>
        </w:r>
        <w:r w:rsidRPr="000E004C">
          <w:rPr>
            <w:rStyle w:val="FootnoteReference"/>
            <w:i/>
            <w:iCs/>
            <w:vertAlign w:val="baseline"/>
            <w:rtl/>
          </w:rPr>
          <w:t>س. ضد السويد،</w:t>
        </w:r>
        <w:r w:rsidRPr="000E004C">
          <w:rPr>
            <w:rStyle w:val="FootnoteReference"/>
            <w:vertAlign w:val="baseline"/>
            <w:rtl/>
          </w:rPr>
          <w:t xml:space="preserve"> الحكم الص</w:t>
        </w:r>
        <w:r w:rsidR="000E004C">
          <w:rPr>
            <w:rStyle w:val="FootnoteReference"/>
            <w:vertAlign w:val="baseline"/>
            <w:rtl/>
          </w:rPr>
          <w:t>ادر في 9 آذار/مارس 2010، الفقرة</w:t>
        </w:r>
        <w:r w:rsidR="000E004C">
          <w:rPr>
            <w:rStyle w:val="FootnoteReference"/>
            <w:rFonts w:hint="eastAsia"/>
            <w:vertAlign w:val="baseline"/>
            <w:rtl/>
          </w:rPr>
          <w:t> </w:t>
        </w:r>
        <w:r w:rsidRPr="000E004C">
          <w:rPr>
            <w:rStyle w:val="FootnoteReference"/>
            <w:vertAlign w:val="baseline"/>
            <w:rtl/>
          </w:rPr>
          <w:t>52.</w:t>
        </w:r>
        <w:r w:rsidRPr="000E004C">
          <w:rPr>
            <w:rStyle w:val="FootnoteReference"/>
            <w:vertAlign w:val="baseline"/>
            <w:rtl/>
          </w:rPr>
          <w:t>‬ تشير المحكمة، في ال</w:t>
        </w:r>
        <w:r w:rsidRPr="000E004C">
          <w:rPr>
            <w:rStyle w:val="FootnoteReference"/>
            <w:rFonts w:hint="cs"/>
            <w:vertAlign w:val="baseline"/>
            <w:rtl/>
          </w:rPr>
          <w:t>بلاغ</w:t>
        </w:r>
        <w:r w:rsidRPr="000E004C">
          <w:rPr>
            <w:rStyle w:val="FootnoteReference"/>
            <w:vertAlign w:val="baseline"/>
            <w:rtl/>
          </w:rPr>
          <w:t xml:space="preserve"> رقم 71398/12، </w:t>
        </w:r>
        <w:r w:rsidRPr="000E004C">
          <w:rPr>
            <w:rStyle w:val="FootnoteReference"/>
            <w:i/>
            <w:iCs/>
            <w:vertAlign w:val="baseline"/>
            <w:rtl/>
          </w:rPr>
          <w:t>م.</w:t>
        </w:r>
        <w:r w:rsidRPr="000E004C">
          <w:rPr>
            <w:rStyle w:val="FootnoteReference"/>
            <w:rFonts w:hint="cs"/>
            <w:i/>
            <w:iCs/>
            <w:vertAlign w:val="baseline"/>
            <w:rtl/>
          </w:rPr>
          <w:t xml:space="preserve"> </w:t>
        </w:r>
        <w:r w:rsidRPr="000E004C">
          <w:rPr>
            <w:rStyle w:val="FootnoteReference"/>
            <w:i/>
            <w:iCs/>
            <w:vertAlign w:val="baseline"/>
            <w:rtl/>
          </w:rPr>
          <w:t>أ. ضد السويد،</w:t>
        </w:r>
        <w:r w:rsidRPr="000E004C">
          <w:rPr>
            <w:rStyle w:val="FootnoteReference"/>
            <w:vertAlign w:val="baseline"/>
            <w:rtl/>
          </w:rPr>
          <w:t xml:space="preserve"> الحكم الصادر في 26 حزيران/يونيه 2014، إلى "مصداقية صاحب ال</w:t>
        </w:r>
        <w:r w:rsidR="000E004C">
          <w:rPr>
            <w:rStyle w:val="FootnoteReference"/>
            <w:rFonts w:hint="cs"/>
            <w:vertAlign w:val="baseline"/>
            <w:rtl/>
          </w:rPr>
          <w:t>بلاغ</w:t>
        </w:r>
        <w:r w:rsidRPr="000E004C">
          <w:rPr>
            <w:rStyle w:val="FootnoteReference"/>
            <w:rFonts w:hint="cs"/>
            <w:vertAlign w:val="baseline"/>
            <w:rtl/>
          </w:rPr>
          <w:t>".</w:t>
        </w:r>
        <w:r w:rsidRPr="000E004C">
          <w:rPr>
            <w:rStyle w:val="FootnoteReference"/>
            <w:vertAlign w:val="baseline"/>
            <w:lang w:eastAsia="zh-TW"/>
          </w:rPr>
          <w:t>‬</w:t>
        </w:r>
        <w:r w:rsidR="00D3340E">
          <w:t>‬</w:t>
        </w:r>
        <w:r w:rsidR="002C3FDD">
          <w:t>‬</w:t>
        </w:r>
      </w:dir>
    </w:p>
  </w:footnote>
  <w:footnote w:id="15">
    <w:p w:rsidR="001E4BF4" w:rsidRPr="000E004C" w:rsidRDefault="001E4BF4" w:rsidP="000E004C">
      <w:pPr>
        <w:pStyle w:val="FootnoteText1"/>
        <w:textDirection w:val="tbRlV"/>
        <w:rPr>
          <w:rStyle w:val="FootnoteReference"/>
          <w:rFonts w:ascii="Times New Roman Bold" w:hAnsi="Times New Roman Bold"/>
          <w:vertAlign w:val="baseline"/>
          <w:rtl/>
          <w:lang w:eastAsia="zh-TW"/>
        </w:rPr>
      </w:pPr>
      <w:r w:rsidRPr="000E004C">
        <w:rPr>
          <w:rStyle w:val="FootnoteReference"/>
          <w:rFonts w:ascii="Times New Roman Bold" w:hAnsi="Times New Roman Bold" w:hint="cs"/>
          <w:vertAlign w:val="baseline"/>
          <w:rtl/>
        </w:rPr>
        <w:t>(</w:t>
      </w:r>
      <w:r w:rsidRPr="000E004C">
        <w:rPr>
          <w:rStyle w:val="FootnoteReference"/>
          <w:rFonts w:ascii="Times New Roman Bold" w:hAnsi="Times New Roman Bold"/>
          <w:vertAlign w:val="baseline"/>
          <w:rtl/>
          <w:lang w:eastAsia="zh-TW"/>
        </w:rPr>
        <w:footnoteRef/>
      </w:r>
      <w:r w:rsidRPr="000E004C">
        <w:rPr>
          <w:rStyle w:val="FootnoteReference"/>
          <w:rFonts w:ascii="Times New Roman Bold" w:hAnsi="Times New Roman Bold" w:hint="cs"/>
          <w:vertAlign w:val="baseline"/>
          <w:rtl/>
        </w:rPr>
        <w:t>)</w:t>
      </w:r>
      <w:r w:rsidRPr="000E004C">
        <w:rPr>
          <w:rStyle w:val="FootnoteReference"/>
          <w:rFonts w:ascii="Times New Roman Bold" w:hAnsi="Times New Roman Bold" w:hint="cs"/>
          <w:vertAlign w:val="baseline"/>
          <w:rtl/>
        </w:rPr>
        <w:tab/>
      </w:r>
      <w:r w:rsidRPr="000E004C">
        <w:rPr>
          <w:rStyle w:val="FootnoteReference"/>
          <w:rFonts w:ascii="Times New Roman Bold" w:hAnsi="Times New Roman Bold"/>
          <w:vertAlign w:val="baseline"/>
          <w:rtl/>
        </w:rPr>
        <w:t xml:space="preserve">يشار هنا إلى مقال منشور على موقع </w:t>
      </w:r>
      <w:r w:rsidR="000E004C" w:rsidRPr="000E004C">
        <w:rPr>
          <w:rStyle w:val="FootnoteReference"/>
          <w:b w:val="0"/>
          <w:bCs/>
          <w:vertAlign w:val="baseline"/>
        </w:rPr>
        <w:t>Caucasian Knot</w:t>
      </w:r>
      <w:r w:rsidR="002D164F">
        <w:rPr>
          <w:rStyle w:val="FootnoteReference"/>
          <w:b w:val="0"/>
          <w:bCs/>
          <w:vertAlign w:val="baseline"/>
          <w:rtl/>
        </w:rPr>
        <w:t xml:space="preserve"> </w:t>
      </w:r>
      <w:r w:rsidRPr="000E004C">
        <w:rPr>
          <w:rStyle w:val="FootnoteReference"/>
          <w:rFonts w:ascii="Times New Roman Bold" w:hAnsi="Times New Roman Bold"/>
          <w:vertAlign w:val="baseline"/>
          <w:rtl/>
        </w:rPr>
        <w:t xml:space="preserve">الإلكتروني بتاريخ 21 أيلول/سبتمبر 2015، يفيد بأنه عُثِر على عدة مخابئ أسلحة تعود إلى المتمردين الشيشان عند الحدود بين </w:t>
      </w:r>
      <w:proofErr w:type="spellStart"/>
      <w:r w:rsidRPr="000E004C">
        <w:rPr>
          <w:rStyle w:val="FootnoteReference"/>
          <w:rFonts w:ascii="Times New Roman Bold" w:hAnsi="Times New Roman Bold"/>
          <w:vertAlign w:val="baseline"/>
          <w:rtl/>
        </w:rPr>
        <w:t>إنغوشتيا</w:t>
      </w:r>
      <w:proofErr w:type="spellEnd"/>
      <w:r w:rsidRPr="000E004C">
        <w:rPr>
          <w:rStyle w:val="FootnoteReference"/>
          <w:rFonts w:ascii="Times New Roman Bold" w:hAnsi="Times New Roman Bold"/>
          <w:vertAlign w:val="baseline"/>
          <w:rtl/>
        </w:rPr>
        <w:t xml:space="preserve"> والشيشان. </w:t>
      </w:r>
    </w:p>
  </w:footnote>
  <w:footnote w:id="16">
    <w:p w:rsidR="001E4BF4" w:rsidRPr="000E004C" w:rsidRDefault="001E4BF4" w:rsidP="000E004C">
      <w:pPr>
        <w:pStyle w:val="FootnoteText1"/>
        <w:textDirection w:val="tbRlV"/>
        <w:rPr>
          <w:rStyle w:val="FootnoteReference"/>
          <w:rFonts w:ascii="Times New Roman Bold" w:hAnsi="Times New Roman Bold"/>
          <w:vertAlign w:val="baseline"/>
          <w:rtl/>
          <w:lang w:eastAsia="zh-TW"/>
        </w:rPr>
      </w:pPr>
      <w:r w:rsidRPr="000E004C">
        <w:rPr>
          <w:rStyle w:val="FootnoteReference"/>
          <w:rFonts w:ascii="Times New Roman Bold" w:hAnsi="Times New Roman Bold" w:hint="cs"/>
          <w:vertAlign w:val="baseline"/>
          <w:rtl/>
          <w:lang w:eastAsia="zh-TW"/>
        </w:rPr>
        <w:t>(</w:t>
      </w:r>
      <w:r w:rsidRPr="000E004C">
        <w:rPr>
          <w:rStyle w:val="FootnoteReference"/>
          <w:rFonts w:ascii="Times New Roman Bold" w:hAnsi="Times New Roman Bold"/>
          <w:vertAlign w:val="baseline"/>
          <w:rtl/>
          <w:lang w:eastAsia="zh-TW"/>
        </w:rPr>
        <w:footnoteRef/>
      </w:r>
      <w:r w:rsidRPr="000E004C">
        <w:rPr>
          <w:rStyle w:val="FootnoteReference"/>
          <w:rFonts w:ascii="Times New Roman Bold" w:hAnsi="Times New Roman Bold" w:hint="cs"/>
          <w:vertAlign w:val="baseline"/>
          <w:rtl/>
          <w:lang w:eastAsia="zh-TW"/>
        </w:rPr>
        <w:t>)</w:t>
      </w:r>
      <w:r w:rsidRPr="000E004C">
        <w:rPr>
          <w:rStyle w:val="FootnoteReference"/>
          <w:rFonts w:ascii="Times New Roman Bold" w:hAnsi="Times New Roman Bold" w:hint="cs"/>
          <w:vertAlign w:val="baseline"/>
          <w:rtl/>
          <w:lang w:eastAsia="zh-TW"/>
        </w:rPr>
        <w:tab/>
      </w:r>
      <w:r w:rsidRPr="000E004C">
        <w:rPr>
          <w:rStyle w:val="FootnoteReference"/>
          <w:rFonts w:ascii="Times New Roman Bold" w:hAnsi="Times New Roman Bold"/>
          <w:vertAlign w:val="baseline"/>
          <w:rtl/>
          <w:lang w:eastAsia="zh-TW"/>
        </w:rPr>
        <w:t>يشار هنا إلى مقال بعنوان "</w:t>
      </w:r>
      <w:proofErr w:type="spellStart"/>
      <w:r w:rsidR="000E004C" w:rsidRPr="000E004C">
        <w:rPr>
          <w:rStyle w:val="FootnoteReference"/>
          <w:b w:val="0"/>
          <w:bCs/>
          <w:vertAlign w:val="baseline"/>
        </w:rPr>
        <w:t>Yevkurov</w:t>
      </w:r>
      <w:proofErr w:type="spellEnd"/>
      <w:r w:rsidR="000E004C" w:rsidRPr="000E004C">
        <w:rPr>
          <w:rStyle w:val="FootnoteReference"/>
          <w:b w:val="0"/>
          <w:bCs/>
          <w:vertAlign w:val="baseline"/>
        </w:rPr>
        <w:t xml:space="preserve"> says insurgency ‘defeated’ in Ingushetia</w:t>
      </w:r>
      <w:r w:rsidRPr="000E004C">
        <w:rPr>
          <w:rStyle w:val="FootnoteReference"/>
          <w:rFonts w:ascii="Times New Roman Bold" w:hAnsi="Times New Roman Bold"/>
          <w:vertAlign w:val="baseline"/>
          <w:rtl/>
          <w:lang w:eastAsia="zh-TW"/>
        </w:rPr>
        <w:t>" نشر على الموقع الإلكتروني لإذاعة أوروبا الحرة/راديو الحرية في 8 تشرين</w:t>
      </w:r>
      <w:r w:rsidRPr="000E004C">
        <w:rPr>
          <w:rStyle w:val="FootnoteReference"/>
          <w:rFonts w:ascii="Times New Roman Bold" w:hAnsi="Times New Roman Bold"/>
          <w:vertAlign w:val="baseline"/>
          <w:rtl/>
        </w:rPr>
        <w:t xml:space="preserve"> الأول/أكتوبر 2015. </w:t>
      </w:r>
    </w:p>
  </w:footnote>
  <w:footnote w:id="17">
    <w:p w:rsidR="001E4BF4" w:rsidRPr="000E004C" w:rsidRDefault="001E4BF4" w:rsidP="000E004C">
      <w:pPr>
        <w:pStyle w:val="FootnoteText1"/>
        <w:textDirection w:val="tbRlV"/>
        <w:rPr>
          <w:rStyle w:val="FootnoteReference"/>
          <w:vertAlign w:val="baseline"/>
          <w:rtl/>
          <w:lang w:eastAsia="zh-TW"/>
        </w:rPr>
      </w:pPr>
      <w:r w:rsidRPr="000E004C">
        <w:rPr>
          <w:rStyle w:val="FootnoteReference"/>
          <w:rFonts w:hint="cs"/>
          <w:vertAlign w:val="baseline"/>
          <w:rtl/>
          <w:lang w:eastAsia="zh-TW"/>
        </w:rPr>
        <w:t>(</w:t>
      </w:r>
      <w:r w:rsidRPr="000E004C">
        <w:rPr>
          <w:rStyle w:val="FootnoteReference"/>
          <w:vertAlign w:val="baseline"/>
          <w:rtl/>
          <w:lang w:eastAsia="zh-TW"/>
        </w:rPr>
        <w:footnoteRef/>
      </w:r>
      <w:r w:rsidRPr="000E004C">
        <w:rPr>
          <w:rStyle w:val="FootnoteReference"/>
          <w:rFonts w:hint="cs"/>
          <w:vertAlign w:val="baseline"/>
          <w:rtl/>
          <w:lang w:eastAsia="zh-TW"/>
        </w:rPr>
        <w:t>)</w:t>
      </w:r>
      <w:r w:rsidRPr="000E004C">
        <w:rPr>
          <w:rStyle w:val="FootnoteReference"/>
          <w:rFonts w:hint="cs"/>
          <w:vertAlign w:val="baseline"/>
          <w:rtl/>
          <w:lang w:eastAsia="zh-TW"/>
        </w:rPr>
        <w:tab/>
      </w:r>
      <w:r w:rsidRPr="000E004C">
        <w:rPr>
          <w:rStyle w:val="FootnoteReference"/>
          <w:vertAlign w:val="baseline"/>
          <w:rtl/>
          <w:lang w:eastAsia="zh-TW"/>
        </w:rPr>
        <w:t xml:space="preserve">انظر قضية </w:t>
      </w:r>
      <w:r w:rsidRPr="000E004C">
        <w:rPr>
          <w:rStyle w:val="FootnoteReference"/>
          <w:i/>
          <w:iCs/>
          <w:vertAlign w:val="baseline"/>
          <w:rtl/>
          <w:lang w:eastAsia="zh-TW"/>
        </w:rPr>
        <w:t xml:space="preserve">كي تشون </w:t>
      </w:r>
      <w:proofErr w:type="spellStart"/>
      <w:r w:rsidRPr="000E004C">
        <w:rPr>
          <w:rStyle w:val="FootnoteReference"/>
          <w:i/>
          <w:iCs/>
          <w:vertAlign w:val="baseline"/>
          <w:rtl/>
          <w:lang w:eastAsia="zh-TW"/>
        </w:rPr>
        <w:t>رونغ</w:t>
      </w:r>
      <w:proofErr w:type="spellEnd"/>
      <w:r w:rsidRPr="000E004C">
        <w:rPr>
          <w:rStyle w:val="FootnoteReference"/>
          <w:i/>
          <w:iCs/>
          <w:vertAlign w:val="baseline"/>
          <w:rtl/>
          <w:lang w:eastAsia="zh-TW"/>
        </w:rPr>
        <w:t xml:space="preserve"> ضد أستراليا،</w:t>
      </w:r>
      <w:r w:rsidRPr="000E004C">
        <w:rPr>
          <w:rStyle w:val="FootnoteReference"/>
          <w:vertAlign w:val="baseline"/>
          <w:rtl/>
          <w:lang w:eastAsia="zh-TW"/>
        </w:rPr>
        <w:t xml:space="preserve"> الفقرة 7-5.</w:t>
      </w:r>
    </w:p>
  </w:footnote>
  <w:footnote w:id="18">
    <w:p w:rsidR="001E4BF4" w:rsidRPr="000E004C" w:rsidRDefault="001E4BF4" w:rsidP="00D3340E">
      <w:pPr>
        <w:pStyle w:val="FootnoteText1"/>
        <w:textDirection w:val="tbRlV"/>
        <w:rPr>
          <w:rStyle w:val="FootnoteReference"/>
          <w:vertAlign w:val="baseline"/>
          <w:rtl/>
          <w:lang w:eastAsia="zh-TW"/>
        </w:rPr>
      </w:pPr>
      <w:r w:rsidRPr="000E004C">
        <w:rPr>
          <w:rStyle w:val="FootnoteReference"/>
          <w:rFonts w:hint="cs"/>
          <w:vertAlign w:val="baseline"/>
          <w:rtl/>
          <w:lang w:eastAsia="zh-TW"/>
        </w:rPr>
        <w:t>(</w:t>
      </w:r>
      <w:r w:rsidRPr="000E004C">
        <w:rPr>
          <w:rStyle w:val="FootnoteReference"/>
          <w:vertAlign w:val="baseline"/>
          <w:lang w:eastAsia="zh-TW"/>
        </w:rPr>
        <w:footnoteRef/>
      </w:r>
      <w:r w:rsidRPr="000E004C">
        <w:rPr>
          <w:rStyle w:val="FootnoteReference"/>
          <w:rFonts w:hint="cs"/>
          <w:vertAlign w:val="baseline"/>
          <w:rtl/>
        </w:rPr>
        <w:t>)</w:t>
      </w:r>
      <w:r w:rsidRPr="000E004C">
        <w:rPr>
          <w:rStyle w:val="FootnoteReference"/>
          <w:rFonts w:hint="cs"/>
          <w:vertAlign w:val="baseline"/>
          <w:rtl/>
        </w:rPr>
        <w:tab/>
      </w:r>
      <w:r w:rsidRPr="000E004C">
        <w:rPr>
          <w:rStyle w:val="FootnoteReference"/>
          <w:vertAlign w:val="baseline"/>
          <w:rtl/>
        </w:rPr>
        <w:t xml:space="preserve">المقالات التالية موجودة في الملف: "مقتل شخص واحد في تبادل لإطلاق النار في </w:t>
      </w:r>
      <w:proofErr w:type="spellStart"/>
      <w:r w:rsidRPr="000E004C">
        <w:rPr>
          <w:rStyle w:val="FootnoteReference"/>
          <w:vertAlign w:val="baseline"/>
          <w:rtl/>
        </w:rPr>
        <w:t>إنغوشتيا</w:t>
      </w:r>
      <w:proofErr w:type="spellEnd"/>
      <w:r w:rsidRPr="000E004C">
        <w:rPr>
          <w:rStyle w:val="FootnoteReference"/>
          <w:vertAlign w:val="baseline"/>
          <w:rtl/>
        </w:rPr>
        <w:t xml:space="preserve">" و"موظفو إنفاذ القانون يبحثون عن شخص آخر شارك في الهجوم على عسكريين" و"انتهاء القتال في منطقة </w:t>
      </w:r>
      <w:proofErr w:type="spellStart"/>
      <w:r w:rsidRPr="000E004C">
        <w:rPr>
          <w:rStyle w:val="FootnoteReference"/>
          <w:vertAlign w:val="baseline"/>
          <w:rtl/>
        </w:rPr>
        <w:t>سونزن</w:t>
      </w:r>
      <w:proofErr w:type="spellEnd"/>
      <w:r w:rsidRPr="000E004C">
        <w:rPr>
          <w:rStyle w:val="FootnoteReference"/>
          <w:vertAlign w:val="baseline"/>
          <w:rtl/>
        </w:rPr>
        <w:t xml:space="preserve"> في </w:t>
      </w:r>
      <w:proofErr w:type="spellStart"/>
      <w:r w:rsidRPr="000E004C">
        <w:rPr>
          <w:rStyle w:val="FootnoteReference"/>
          <w:vertAlign w:val="baseline"/>
          <w:rtl/>
        </w:rPr>
        <w:t>إنغوشتيا</w:t>
      </w:r>
      <w:proofErr w:type="spellEnd"/>
      <w:r w:rsidRPr="000E004C">
        <w:rPr>
          <w:rStyle w:val="FootnoteReference"/>
          <w:vertAlign w:val="baseline"/>
          <w:rtl/>
        </w:rPr>
        <w:t xml:space="preserve">، موظفو إنفاذ القانون يمشطون </w:t>
      </w:r>
      <w:r w:rsidRPr="000E004C">
        <w:rPr>
          <w:rStyle w:val="FootnoteReference"/>
          <w:rFonts w:hint="cs"/>
          <w:vertAlign w:val="baseline"/>
          <w:rtl/>
        </w:rPr>
        <w:t>إحدى الغابات</w:t>
      </w:r>
      <w:r w:rsidRPr="000E004C">
        <w:rPr>
          <w:rStyle w:val="FootnoteReference"/>
          <w:vertAlign w:val="baseline"/>
          <w:rtl/>
        </w:rPr>
        <w:t>". أدلى أصحاب الشكوى بنص الترجمة الإنكليزية لهذه المقالات في ١٢ نيسان/أبريل ٢٠١٦.</w:t>
      </w:r>
    </w:p>
  </w:footnote>
  <w:footnote w:id="19">
    <w:p w:rsidR="001E4BF4" w:rsidRPr="000E004C" w:rsidRDefault="001E4BF4" w:rsidP="000E004C">
      <w:pPr>
        <w:pStyle w:val="FootnoteText1"/>
        <w:textDirection w:val="tbRlV"/>
        <w:rPr>
          <w:rStyle w:val="FootnoteReference"/>
          <w:vertAlign w:val="baseline"/>
          <w:rtl/>
          <w:lang w:eastAsia="zh-TW"/>
        </w:rPr>
      </w:pPr>
      <w:r w:rsidRPr="000E004C">
        <w:rPr>
          <w:rStyle w:val="FootnoteReference"/>
          <w:rFonts w:hint="cs"/>
          <w:vertAlign w:val="baseline"/>
          <w:rtl/>
        </w:rPr>
        <w:t>(</w:t>
      </w:r>
      <w:r w:rsidRPr="000E004C">
        <w:rPr>
          <w:rStyle w:val="FootnoteReference"/>
          <w:vertAlign w:val="baseline"/>
          <w:lang w:eastAsia="zh-TW"/>
        </w:rPr>
        <w:footnoteRef/>
      </w:r>
      <w:r w:rsidRPr="000E004C">
        <w:rPr>
          <w:rStyle w:val="FootnoteReference"/>
          <w:rFonts w:hint="cs"/>
          <w:vertAlign w:val="baseline"/>
          <w:rtl/>
        </w:rPr>
        <w:t>)</w:t>
      </w:r>
      <w:r w:rsidRPr="000E004C">
        <w:rPr>
          <w:rStyle w:val="FootnoteReference"/>
          <w:rFonts w:hint="cs"/>
          <w:vertAlign w:val="baseline"/>
          <w:rtl/>
        </w:rPr>
        <w:tab/>
      </w:r>
      <w:r w:rsidRPr="000E004C">
        <w:rPr>
          <w:rStyle w:val="FootnoteReference"/>
          <w:vertAlign w:val="baseline"/>
          <w:rtl/>
        </w:rPr>
        <w:t xml:space="preserve">يشار هنا إلى الإفادات التي أدلى بها صاحب الشكوى الأول في مقابلة فرز ملتمسي اللجوء التي تجريها دائرة الهجرة </w:t>
      </w:r>
      <w:proofErr w:type="spellStart"/>
      <w:r w:rsidRPr="000E004C">
        <w:rPr>
          <w:rStyle w:val="FootnoteReference"/>
          <w:vertAlign w:val="baseline"/>
          <w:rtl/>
        </w:rPr>
        <w:t>الدانمركية</w:t>
      </w:r>
      <w:proofErr w:type="spellEnd"/>
      <w:r w:rsidRPr="000E004C">
        <w:rPr>
          <w:rStyle w:val="FootnoteReference"/>
          <w:vertAlign w:val="baseline"/>
          <w:rtl/>
        </w:rPr>
        <w:t xml:space="preserve">، وفي المقابلة الأساسية التي تجريها دائرة الهجرة </w:t>
      </w:r>
      <w:proofErr w:type="spellStart"/>
      <w:r w:rsidRPr="000E004C">
        <w:rPr>
          <w:rStyle w:val="FootnoteReference"/>
          <w:vertAlign w:val="baseline"/>
          <w:rtl/>
        </w:rPr>
        <w:t>الدانمركية</w:t>
      </w:r>
      <w:proofErr w:type="spellEnd"/>
      <w:r w:rsidRPr="000E004C">
        <w:rPr>
          <w:rStyle w:val="FootnoteReference"/>
          <w:vertAlign w:val="baseline"/>
          <w:rtl/>
        </w:rPr>
        <w:t xml:space="preserve"> وفي جلسة الاستماع التي جرت أمام مجلس طعون اللاجئين.</w:t>
      </w:r>
    </w:p>
  </w:footnote>
  <w:footnote w:id="20">
    <w:p w:rsidR="001E4BF4" w:rsidRPr="000E004C" w:rsidRDefault="000E004C" w:rsidP="000E004C">
      <w:pPr>
        <w:pStyle w:val="FootnoteText1"/>
        <w:textDirection w:val="tbRlV"/>
        <w:rPr>
          <w:rStyle w:val="FootnoteReference"/>
          <w:vertAlign w:val="baseline"/>
          <w:rtl/>
          <w:lang w:eastAsia="zh-TW"/>
        </w:rPr>
      </w:pPr>
      <w:r w:rsidRPr="000E004C">
        <w:rPr>
          <w:rStyle w:val="FootnoteReference"/>
          <w:rFonts w:hint="cs"/>
          <w:vertAlign w:val="baseline"/>
          <w:rtl/>
          <w:lang w:eastAsia="zh-TW"/>
        </w:rPr>
        <w:t>(</w:t>
      </w:r>
      <w:r w:rsidR="001E4BF4" w:rsidRPr="000E004C">
        <w:rPr>
          <w:rStyle w:val="FootnoteReference"/>
          <w:vertAlign w:val="baseline"/>
          <w:lang w:eastAsia="zh-TW"/>
        </w:rPr>
        <w:footnoteRef/>
      </w:r>
      <w:r w:rsidRPr="000E004C">
        <w:rPr>
          <w:rStyle w:val="FootnoteReference"/>
          <w:rFonts w:hint="cs"/>
          <w:vertAlign w:val="baseline"/>
          <w:rtl/>
        </w:rPr>
        <w:t>)</w:t>
      </w:r>
      <w:r w:rsidRPr="000E004C">
        <w:rPr>
          <w:rStyle w:val="FootnoteReference"/>
          <w:rFonts w:hint="cs"/>
          <w:vertAlign w:val="baseline"/>
          <w:rtl/>
        </w:rPr>
        <w:tab/>
      </w:r>
      <w:r w:rsidR="001E4BF4" w:rsidRPr="000E004C">
        <w:rPr>
          <w:rStyle w:val="FootnoteReference"/>
          <w:vertAlign w:val="baseline"/>
          <w:rtl/>
        </w:rPr>
        <w:t>انظر البلاغ رقم 580/2014، القرار المعتمد في 23 تشرين ال</w:t>
      </w:r>
      <w:r w:rsidRPr="000E004C">
        <w:rPr>
          <w:rStyle w:val="FootnoteReference"/>
          <w:vertAlign w:val="baseline"/>
          <w:rtl/>
        </w:rPr>
        <w:t xml:space="preserve">ثاني/نوفمبر 2015، الفقرة 7-6. </w:t>
      </w:r>
      <w:r w:rsidRPr="000E004C">
        <w:rPr>
          <w:rStyle w:val="FootnoteReference"/>
          <w:vertAlign w:val="baseline"/>
          <w:rtl/>
        </w:rPr>
        <w:t>‬</w:t>
      </w:r>
    </w:p>
  </w:footnote>
  <w:footnote w:id="21">
    <w:p w:rsidR="001E4BF4" w:rsidRPr="000E004C" w:rsidRDefault="001E4BF4" w:rsidP="000E004C">
      <w:pPr>
        <w:pStyle w:val="FootnoteText1"/>
        <w:textDirection w:val="tbRlV"/>
        <w:rPr>
          <w:rStyle w:val="FootnoteReference"/>
          <w:vertAlign w:val="baseline"/>
          <w:rtl/>
          <w:lang w:eastAsia="zh-TW"/>
        </w:rPr>
      </w:pPr>
      <w:r w:rsidRPr="000E004C">
        <w:rPr>
          <w:rStyle w:val="FootnoteReference"/>
          <w:rFonts w:hint="cs"/>
          <w:vertAlign w:val="baseline"/>
          <w:rtl/>
          <w:lang w:eastAsia="zh-TW"/>
        </w:rPr>
        <w:t>(</w:t>
      </w:r>
      <w:r w:rsidRPr="000E004C">
        <w:rPr>
          <w:rStyle w:val="FootnoteReference"/>
          <w:vertAlign w:val="baseline"/>
          <w:rtl/>
          <w:lang w:eastAsia="zh-TW"/>
        </w:rPr>
        <w:footnoteRef/>
      </w:r>
      <w:r w:rsidRPr="000E004C">
        <w:rPr>
          <w:rStyle w:val="FootnoteReference"/>
          <w:rFonts w:hint="cs"/>
          <w:vertAlign w:val="baseline"/>
          <w:rtl/>
          <w:lang w:eastAsia="zh-TW"/>
        </w:rPr>
        <w:t>)</w:t>
      </w:r>
      <w:r w:rsidRPr="000E004C">
        <w:rPr>
          <w:rStyle w:val="FootnoteReference"/>
          <w:rFonts w:hint="cs"/>
          <w:vertAlign w:val="baseline"/>
          <w:rtl/>
          <w:lang w:eastAsia="zh-TW"/>
        </w:rPr>
        <w:tab/>
      </w:r>
      <w:r w:rsidRPr="000E004C">
        <w:rPr>
          <w:rStyle w:val="FootnoteReference"/>
          <w:vertAlign w:val="baseline"/>
          <w:rtl/>
        </w:rPr>
        <w:t xml:space="preserve">يشار هنا إلى البلاغ رقم 555/2013، </w:t>
      </w:r>
      <w:r w:rsidRPr="000E004C">
        <w:rPr>
          <w:rStyle w:val="FootnoteReference"/>
          <w:i/>
          <w:iCs/>
          <w:vertAlign w:val="baseline"/>
          <w:rtl/>
        </w:rPr>
        <w:t>ز. ضد الدانمرك،</w:t>
      </w:r>
      <w:r w:rsidRPr="000E004C">
        <w:rPr>
          <w:rStyle w:val="FootnoteReference"/>
          <w:vertAlign w:val="baseline"/>
          <w:rtl/>
        </w:rPr>
        <w:t xml:space="preserve"> القرار المعتمد في 10 آب/أغسطس 2015، الفقرة 7-2؛</w:t>
      </w:r>
      <w:r w:rsidRPr="000E004C">
        <w:rPr>
          <w:rStyle w:val="FootnoteReference"/>
          <w:vertAlign w:val="baseline"/>
          <w:rtl/>
        </w:rPr>
        <w:t>‬</w:t>
      </w:r>
      <w:r w:rsidRPr="000E004C">
        <w:rPr>
          <w:rStyle w:val="FootnoteReference"/>
          <w:vertAlign w:val="baseline"/>
          <w:rtl/>
        </w:rPr>
        <w:t xml:space="preserve">‬ والبلاغ رقم 571/2013، </w:t>
      </w:r>
      <w:r w:rsidRPr="000E004C">
        <w:rPr>
          <w:rStyle w:val="FootnoteReference"/>
          <w:i/>
          <w:iCs/>
          <w:vertAlign w:val="baseline"/>
          <w:rtl/>
        </w:rPr>
        <w:t>م. س. ضد الدانمرك،</w:t>
      </w:r>
      <w:r w:rsidRPr="000E004C">
        <w:rPr>
          <w:rStyle w:val="FootnoteReference"/>
          <w:vertAlign w:val="baseline"/>
          <w:rtl/>
        </w:rPr>
        <w:t xml:space="preserve"> القرار المعتمد في 10 آب/أغسطس 2015، الفقرة 7-3.</w:t>
      </w:r>
      <w:r w:rsidRPr="000E004C">
        <w:rPr>
          <w:rStyle w:val="FootnoteReference"/>
          <w:vertAlign w:val="baseline"/>
          <w:rtl/>
        </w:rPr>
        <w:t>‬</w:t>
      </w:r>
    </w:p>
  </w:footnote>
  <w:footnote w:id="22">
    <w:p w:rsidR="001E4BF4" w:rsidRPr="000E004C" w:rsidRDefault="000E004C" w:rsidP="000E004C">
      <w:pPr>
        <w:pStyle w:val="FootnoteText1"/>
        <w:textDirection w:val="tbRlV"/>
        <w:rPr>
          <w:rStyle w:val="FootnoteReference"/>
          <w:vertAlign w:val="baseline"/>
          <w:rtl/>
          <w:lang w:eastAsia="zh-TW"/>
        </w:rPr>
      </w:pPr>
      <w:r w:rsidRPr="000E004C">
        <w:rPr>
          <w:rStyle w:val="FootnoteReference"/>
          <w:rFonts w:hint="cs"/>
          <w:vertAlign w:val="baseline"/>
          <w:rtl/>
          <w:lang w:eastAsia="zh-TW"/>
        </w:rPr>
        <w:t>(</w:t>
      </w:r>
      <w:r w:rsidR="001E4BF4" w:rsidRPr="000E004C">
        <w:rPr>
          <w:rStyle w:val="FootnoteReference"/>
          <w:vertAlign w:val="baseline"/>
          <w:lang w:eastAsia="zh-TW"/>
        </w:rPr>
        <w:footnoteRef/>
      </w:r>
      <w:r w:rsidRPr="000E004C">
        <w:rPr>
          <w:rStyle w:val="FootnoteReference"/>
          <w:rFonts w:hint="cs"/>
          <w:vertAlign w:val="baseline"/>
          <w:rtl/>
        </w:rPr>
        <w:t>)</w:t>
      </w:r>
      <w:r w:rsidRPr="000E004C">
        <w:rPr>
          <w:rStyle w:val="FootnoteReference"/>
          <w:rFonts w:hint="cs"/>
          <w:vertAlign w:val="baseline"/>
          <w:rtl/>
        </w:rPr>
        <w:tab/>
      </w:r>
      <w:r w:rsidR="001E4BF4" w:rsidRPr="000E004C">
        <w:rPr>
          <w:rStyle w:val="FootnoteReference"/>
          <w:vertAlign w:val="baseline"/>
          <w:rtl/>
        </w:rPr>
        <w:t>يقدم أصحاب الشكوى نسخة من مقال بعنوان "تعرض صحفيين وناشطين للضرب وإحراق حافلة أثناء</w:t>
      </w:r>
      <w:r w:rsidR="001E4BF4" w:rsidRPr="000E004C">
        <w:rPr>
          <w:szCs w:val="28"/>
          <w:rtl/>
          <w:lang w:eastAsia="zh-TW"/>
        </w:rPr>
        <w:t xml:space="preserve"> </w:t>
      </w:r>
      <w:r w:rsidR="001E4BF4" w:rsidRPr="000E004C">
        <w:rPr>
          <w:rStyle w:val="FootnoteReference"/>
          <w:vertAlign w:val="baseline"/>
          <w:rtl/>
        </w:rPr>
        <w:t>جولة</w:t>
      </w:r>
      <w:r w:rsidR="001E4BF4" w:rsidRPr="000E004C">
        <w:rPr>
          <w:szCs w:val="28"/>
          <w:rtl/>
          <w:lang w:eastAsia="zh-TW"/>
        </w:rPr>
        <w:t xml:space="preserve"> في الشيشان" نشرته </w:t>
      </w:r>
      <w:r w:rsidR="001E4BF4" w:rsidRPr="000E004C">
        <w:rPr>
          <w:rStyle w:val="FootnoteReference"/>
          <w:vertAlign w:val="baseline"/>
          <w:rtl/>
        </w:rPr>
        <w:t>صحيفة الغارديان بتاريخ ١٠ آذار/مارس ٢٠١٦.</w:t>
      </w:r>
    </w:p>
  </w:footnote>
  <w:footnote w:id="23">
    <w:p w:rsidR="001E4BF4" w:rsidRPr="000E004C" w:rsidRDefault="000E004C" w:rsidP="000E004C">
      <w:pPr>
        <w:pStyle w:val="FootnoteText1"/>
        <w:textDirection w:val="tbRlV"/>
        <w:rPr>
          <w:rStyle w:val="FootnoteReference"/>
          <w:vertAlign w:val="baseline"/>
          <w:rtl/>
          <w:lang w:eastAsia="zh-TW"/>
        </w:rPr>
      </w:pPr>
      <w:r w:rsidRPr="000E004C">
        <w:rPr>
          <w:rStyle w:val="FootnoteReference"/>
          <w:rFonts w:hint="cs"/>
          <w:vertAlign w:val="baseline"/>
          <w:rtl/>
          <w:lang w:eastAsia="zh-TW"/>
        </w:rPr>
        <w:t>(</w:t>
      </w:r>
      <w:r w:rsidR="001E4BF4" w:rsidRPr="000E004C">
        <w:rPr>
          <w:rStyle w:val="FootnoteReference"/>
          <w:vertAlign w:val="baseline"/>
          <w:rtl/>
          <w:lang w:eastAsia="zh-TW"/>
        </w:rPr>
        <w:footnoteRef/>
      </w:r>
      <w:r w:rsidRPr="000E004C">
        <w:rPr>
          <w:rStyle w:val="FootnoteReference"/>
          <w:rFonts w:hint="cs"/>
          <w:vertAlign w:val="baseline"/>
          <w:rtl/>
        </w:rPr>
        <w:t>)</w:t>
      </w:r>
      <w:r w:rsidRPr="000E004C">
        <w:rPr>
          <w:rFonts w:hint="cs"/>
          <w:rtl/>
        </w:rPr>
        <w:tab/>
      </w:r>
      <w:r w:rsidR="001E4BF4" w:rsidRPr="000E004C">
        <w:rPr>
          <w:rStyle w:val="FootnoteReference"/>
          <w:vertAlign w:val="baseline"/>
          <w:rtl/>
        </w:rPr>
        <w:t>لم يدل أصحاب الشكوى بأية تفاصيل إضافية بهذا الشأن.</w:t>
      </w:r>
      <w:r w:rsidR="001E4BF4" w:rsidRPr="000E004C">
        <w:rPr>
          <w:rStyle w:val="FootnoteReference"/>
          <w:vertAlign w:val="baseline"/>
          <w:rtl/>
        </w:rPr>
        <w:t xml:space="preserve">‬ </w:t>
      </w:r>
    </w:p>
  </w:footnote>
  <w:footnote w:id="24">
    <w:p w:rsidR="001E4BF4" w:rsidRPr="000E004C" w:rsidRDefault="001E4BF4" w:rsidP="000E004C">
      <w:pPr>
        <w:pStyle w:val="FootnoteText1"/>
        <w:textDirection w:val="tbRlV"/>
        <w:rPr>
          <w:rStyle w:val="FootnoteReference"/>
          <w:rtl/>
          <w:lang w:eastAsia="zh-TW"/>
        </w:rPr>
      </w:pPr>
      <w:r w:rsidRPr="000E004C">
        <w:rPr>
          <w:rStyle w:val="FootnoteReference"/>
          <w:rFonts w:hint="cs"/>
          <w:vertAlign w:val="baseline"/>
          <w:rtl/>
          <w:lang w:eastAsia="zh-TW"/>
        </w:rPr>
        <w:t>(</w:t>
      </w:r>
      <w:r w:rsidRPr="000E004C">
        <w:rPr>
          <w:rStyle w:val="FootnoteReference"/>
          <w:vertAlign w:val="baseline"/>
          <w:lang w:eastAsia="zh-TW"/>
        </w:rPr>
        <w:footnoteRef/>
      </w:r>
      <w:r w:rsidRPr="000E004C">
        <w:rPr>
          <w:rStyle w:val="FootnoteReference"/>
          <w:rFonts w:hint="cs"/>
          <w:vertAlign w:val="baseline"/>
          <w:rtl/>
        </w:rPr>
        <w:t>)</w:t>
      </w:r>
      <w:r w:rsidRPr="000E004C">
        <w:rPr>
          <w:rStyle w:val="FootnoteReference"/>
          <w:rFonts w:hint="cs"/>
          <w:vertAlign w:val="baseline"/>
          <w:rtl/>
        </w:rPr>
        <w:tab/>
      </w:r>
      <w:r w:rsidRPr="000E004C">
        <w:rPr>
          <w:rStyle w:val="FootnoteReference"/>
          <w:vertAlign w:val="baseline"/>
          <w:rtl/>
        </w:rPr>
        <w:t xml:space="preserve">انظر في جملة بلاغات أخرى، البلاغ رقم 519/2012، </w:t>
      </w:r>
      <w:r w:rsidRPr="000E004C">
        <w:rPr>
          <w:rStyle w:val="FootnoteReference"/>
          <w:i/>
          <w:iCs/>
          <w:vertAlign w:val="baseline"/>
          <w:rtl/>
        </w:rPr>
        <w:t>ت. م. ضد جمهورية كوريا،</w:t>
      </w:r>
      <w:r w:rsidRPr="000E004C">
        <w:rPr>
          <w:rStyle w:val="FootnoteReference"/>
          <w:vertAlign w:val="baseline"/>
          <w:rtl/>
        </w:rPr>
        <w:t xml:space="preserve"> القرار المعتمد في</w:t>
      </w:r>
      <w:r w:rsidRPr="000E004C">
        <w:rPr>
          <w:szCs w:val="28"/>
          <w:rtl/>
          <w:lang w:eastAsia="zh-TW"/>
        </w:rPr>
        <w:t xml:space="preserve"> 21 تشرين الثاني/نوفمبر 2014، الفقرة 9-3.</w:t>
      </w:r>
      <w:r w:rsidRPr="000E004C">
        <w:rPr>
          <w:szCs w:val="28"/>
          <w:rtl/>
          <w:lang w:eastAsia="zh-TW"/>
        </w:rPr>
        <w:t>‬</w:t>
      </w:r>
      <w:r w:rsidRPr="000E004C">
        <w:rPr>
          <w:rtl/>
          <w:lang w:eastAsia="zh-TW"/>
        </w:rPr>
        <w:t xml:space="preserve"> </w:t>
      </w:r>
    </w:p>
  </w:footnote>
  <w:footnote w:id="25">
    <w:p w:rsidR="001E4BF4" w:rsidRPr="000E004C" w:rsidRDefault="001E4BF4" w:rsidP="000E004C">
      <w:pPr>
        <w:pStyle w:val="FootnoteText1"/>
        <w:textDirection w:val="tbRlV"/>
        <w:rPr>
          <w:rStyle w:val="FootnoteReference"/>
          <w:vertAlign w:val="baseline"/>
          <w:rtl/>
          <w:lang w:eastAsia="zh-TW"/>
        </w:rPr>
      </w:pPr>
      <w:r w:rsidRPr="000E004C">
        <w:rPr>
          <w:rStyle w:val="FootnoteReference"/>
          <w:rFonts w:hint="cs"/>
          <w:vertAlign w:val="baseline"/>
          <w:rtl/>
          <w:lang w:eastAsia="zh-TW"/>
        </w:rPr>
        <w:t>(</w:t>
      </w:r>
      <w:r w:rsidRPr="000E004C">
        <w:rPr>
          <w:rStyle w:val="FootnoteReference"/>
          <w:vertAlign w:val="baseline"/>
          <w:rtl/>
          <w:lang w:eastAsia="zh-TW"/>
        </w:rPr>
        <w:footnoteRef/>
      </w:r>
      <w:r w:rsidRPr="000E004C">
        <w:rPr>
          <w:rStyle w:val="FootnoteReference"/>
          <w:rFonts w:hint="cs"/>
          <w:vertAlign w:val="baseline"/>
          <w:rtl/>
        </w:rPr>
        <w:t>)</w:t>
      </w:r>
      <w:r w:rsidRPr="000E004C">
        <w:rPr>
          <w:rStyle w:val="FootnoteReference"/>
          <w:rFonts w:hint="cs"/>
          <w:vertAlign w:val="baseline"/>
          <w:rtl/>
        </w:rPr>
        <w:tab/>
      </w:r>
      <w:r w:rsidRPr="000E004C">
        <w:rPr>
          <w:rStyle w:val="FootnoteReference"/>
          <w:vertAlign w:val="baseline"/>
          <w:rtl/>
        </w:rPr>
        <w:t xml:space="preserve">انظر </w:t>
      </w:r>
      <w:r w:rsidRPr="000E004C">
        <w:rPr>
          <w:rStyle w:val="FootnoteReference"/>
          <w:i/>
          <w:iCs/>
          <w:vertAlign w:val="baseline"/>
          <w:rtl/>
        </w:rPr>
        <w:t xml:space="preserve">كي تشون </w:t>
      </w:r>
      <w:proofErr w:type="spellStart"/>
      <w:r w:rsidRPr="000E004C">
        <w:rPr>
          <w:rStyle w:val="FootnoteReference"/>
          <w:i/>
          <w:iCs/>
          <w:vertAlign w:val="baseline"/>
          <w:rtl/>
        </w:rPr>
        <w:t>رونغ</w:t>
      </w:r>
      <w:proofErr w:type="spellEnd"/>
      <w:r w:rsidRPr="000E004C">
        <w:rPr>
          <w:rStyle w:val="FootnoteReference"/>
          <w:i/>
          <w:iCs/>
          <w:vertAlign w:val="baseline"/>
          <w:rtl/>
        </w:rPr>
        <w:t xml:space="preserve"> ضد أستراليا،</w:t>
      </w:r>
      <w:r w:rsidRPr="000E004C">
        <w:rPr>
          <w:rStyle w:val="FootnoteReference"/>
          <w:vertAlign w:val="baseline"/>
          <w:rtl/>
        </w:rPr>
        <w:t xml:space="preserve"> الفقرة 7-5.</w:t>
      </w:r>
    </w:p>
  </w:footnote>
  <w:footnote w:id="26">
    <w:p w:rsidR="001E4BF4" w:rsidRPr="000E004C" w:rsidRDefault="001E4BF4" w:rsidP="000E004C">
      <w:pPr>
        <w:pStyle w:val="FootnoteText1"/>
        <w:textDirection w:val="tbRlV"/>
        <w:rPr>
          <w:rStyle w:val="FootnoteReference"/>
          <w:vertAlign w:val="baseline"/>
          <w:rtl/>
          <w:lang w:eastAsia="zh-TW"/>
        </w:rPr>
      </w:pPr>
      <w:r w:rsidRPr="000E004C">
        <w:rPr>
          <w:rStyle w:val="FootnoteReference"/>
          <w:rFonts w:hint="cs"/>
          <w:vertAlign w:val="baseline"/>
          <w:rtl/>
          <w:lang w:eastAsia="zh-TW"/>
        </w:rPr>
        <w:t>(</w:t>
      </w:r>
      <w:r w:rsidRPr="000E004C">
        <w:rPr>
          <w:rStyle w:val="FootnoteReference"/>
          <w:vertAlign w:val="baseline"/>
          <w:lang w:eastAsia="zh-TW"/>
        </w:rPr>
        <w:footnoteRef/>
      </w:r>
      <w:r w:rsidRPr="000E004C">
        <w:rPr>
          <w:rStyle w:val="FootnoteReference"/>
          <w:rFonts w:hint="cs"/>
          <w:vertAlign w:val="baseline"/>
          <w:rtl/>
        </w:rPr>
        <w:t>)</w:t>
      </w:r>
      <w:r w:rsidRPr="000E004C">
        <w:rPr>
          <w:rStyle w:val="FootnoteReference"/>
          <w:rFonts w:hint="cs"/>
          <w:vertAlign w:val="baseline"/>
          <w:rtl/>
        </w:rPr>
        <w:tab/>
      </w:r>
      <w:r w:rsidRPr="000E004C">
        <w:rPr>
          <w:rStyle w:val="FootnoteReference"/>
          <w:vertAlign w:val="baseline"/>
          <w:rtl/>
        </w:rPr>
        <w:t xml:space="preserve">انظر، في جملة بلاغات، </w:t>
      </w:r>
      <w:r w:rsidRPr="000E004C">
        <w:rPr>
          <w:rStyle w:val="FootnoteReference"/>
          <w:i/>
          <w:iCs/>
          <w:vertAlign w:val="baseline"/>
          <w:rtl/>
        </w:rPr>
        <w:t>ف.</w:t>
      </w:r>
      <w:r w:rsidR="000E004C" w:rsidRPr="000E004C">
        <w:rPr>
          <w:rFonts w:hint="cs"/>
          <w:i/>
          <w:iCs/>
          <w:rtl/>
        </w:rPr>
        <w:t xml:space="preserve"> </w:t>
      </w:r>
      <w:r w:rsidRPr="000E004C">
        <w:rPr>
          <w:rStyle w:val="FootnoteReference"/>
          <w:i/>
          <w:iCs/>
          <w:vertAlign w:val="baseline"/>
          <w:rtl/>
        </w:rPr>
        <w:t>ك. ضد الدانمرك،</w:t>
      </w:r>
      <w:r w:rsidR="005F7605">
        <w:rPr>
          <w:rStyle w:val="FootnoteReference"/>
          <w:vertAlign w:val="baseline"/>
          <w:rtl/>
        </w:rPr>
        <w:t xml:space="preserve"> الفقرة 7-6.</w:t>
      </w:r>
    </w:p>
  </w:footnote>
  <w:footnote w:id="27">
    <w:p w:rsidR="001E4BF4" w:rsidRPr="000E004C" w:rsidRDefault="001E4BF4" w:rsidP="000E004C">
      <w:pPr>
        <w:pStyle w:val="FootnoteText1"/>
        <w:textDirection w:val="tbRlV"/>
        <w:rPr>
          <w:rStyle w:val="FootnoteReference"/>
          <w:vertAlign w:val="baseline"/>
          <w:rtl/>
          <w:lang w:eastAsia="zh-TW"/>
        </w:rPr>
      </w:pPr>
      <w:r w:rsidRPr="000E004C">
        <w:rPr>
          <w:rStyle w:val="FootnoteReference"/>
          <w:rFonts w:hint="cs"/>
          <w:vertAlign w:val="baseline"/>
          <w:rtl/>
          <w:lang w:eastAsia="zh-TW"/>
        </w:rPr>
        <w:t>(</w:t>
      </w:r>
      <w:r w:rsidRPr="000E004C">
        <w:rPr>
          <w:rStyle w:val="FootnoteReference"/>
          <w:vertAlign w:val="baseline"/>
          <w:rtl/>
          <w:lang w:eastAsia="zh-TW"/>
        </w:rPr>
        <w:footnoteRef/>
      </w:r>
      <w:r w:rsidRPr="000E004C">
        <w:rPr>
          <w:rStyle w:val="FootnoteReference"/>
          <w:rFonts w:hint="cs"/>
          <w:vertAlign w:val="baseline"/>
          <w:rtl/>
          <w:lang w:eastAsia="zh-TW"/>
        </w:rPr>
        <w:t>)</w:t>
      </w:r>
      <w:r w:rsidRPr="000E004C">
        <w:rPr>
          <w:rStyle w:val="FootnoteReference"/>
          <w:rFonts w:hint="cs"/>
          <w:vertAlign w:val="baseline"/>
          <w:rtl/>
        </w:rPr>
        <w:tab/>
      </w:r>
      <w:r w:rsidRPr="000E004C">
        <w:rPr>
          <w:rStyle w:val="FootnoteReference"/>
          <w:vertAlign w:val="baseline"/>
          <w:rtl/>
        </w:rPr>
        <w:t xml:space="preserve">انظر، في جملة بلاغات، البلاغ رقم 464/2011، </w:t>
      </w:r>
      <w:r w:rsidRPr="000E004C">
        <w:rPr>
          <w:rStyle w:val="FootnoteReference"/>
          <w:i/>
          <w:iCs/>
          <w:vertAlign w:val="baseline"/>
          <w:rtl/>
        </w:rPr>
        <w:t>ك. ه. ضد الدانمرك،</w:t>
      </w:r>
      <w:r w:rsidRPr="000E004C">
        <w:rPr>
          <w:rStyle w:val="FootnoteReference"/>
          <w:vertAlign w:val="baseline"/>
          <w:rtl/>
        </w:rPr>
        <w:t xml:space="preserve"> القرار الم</w:t>
      </w:r>
      <w:r w:rsidR="00D3340E">
        <w:rPr>
          <w:rStyle w:val="FootnoteReference"/>
          <w:vertAlign w:val="baseline"/>
          <w:rtl/>
        </w:rPr>
        <w:t>عتمد في 23 تشرين الثاني/</w:t>
      </w:r>
      <w:r w:rsidRPr="000E004C">
        <w:rPr>
          <w:rStyle w:val="FootnoteReference"/>
          <w:vertAlign w:val="baseline"/>
          <w:rtl/>
        </w:rPr>
        <w:t>نوفمبر 2012، الفقرة 8-8</w:t>
      </w:r>
      <w:r w:rsidRPr="000E004C">
        <w:rPr>
          <w:rStyle w:val="FootnoteReference"/>
          <w:vertAlign w:val="baseline"/>
          <w:rtl/>
        </w:rPr>
        <w:t>‬.</w:t>
      </w:r>
    </w:p>
  </w:footnote>
  <w:footnote w:id="28">
    <w:p w:rsidR="001E4BF4" w:rsidRPr="000E004C" w:rsidRDefault="001E4BF4" w:rsidP="000E004C">
      <w:pPr>
        <w:pStyle w:val="FootnoteText1"/>
        <w:textDirection w:val="tbRlV"/>
        <w:rPr>
          <w:rStyle w:val="FootnoteReference"/>
          <w:vertAlign w:val="baseline"/>
          <w:rtl/>
          <w:lang w:eastAsia="zh-TW"/>
        </w:rPr>
      </w:pPr>
      <w:r w:rsidRPr="000E004C">
        <w:rPr>
          <w:rStyle w:val="FootnoteReference"/>
          <w:rFonts w:hint="cs"/>
          <w:vertAlign w:val="baseline"/>
          <w:rtl/>
          <w:lang w:eastAsia="zh-TW"/>
        </w:rPr>
        <w:t>(</w:t>
      </w:r>
      <w:r w:rsidRPr="000E004C">
        <w:rPr>
          <w:rStyle w:val="FootnoteReference"/>
          <w:vertAlign w:val="baseline"/>
          <w:lang w:eastAsia="zh-TW"/>
        </w:rPr>
        <w:footnoteRef/>
      </w:r>
      <w:r w:rsidRPr="000E004C">
        <w:rPr>
          <w:rStyle w:val="FootnoteReference"/>
          <w:rFonts w:hint="cs"/>
          <w:vertAlign w:val="baseline"/>
          <w:rtl/>
          <w:lang w:eastAsia="zh-TW"/>
        </w:rPr>
        <w:t>)</w:t>
      </w:r>
      <w:r w:rsidRPr="000E004C">
        <w:rPr>
          <w:rStyle w:val="FootnoteReference"/>
          <w:rFonts w:hint="cs"/>
          <w:vertAlign w:val="baseline"/>
          <w:rtl/>
          <w:lang w:eastAsia="zh-TW"/>
        </w:rPr>
        <w:tab/>
        <w:t>ا</w:t>
      </w:r>
      <w:r w:rsidRPr="000E004C">
        <w:rPr>
          <w:rStyle w:val="FootnoteReference"/>
          <w:vertAlign w:val="baseline"/>
          <w:rtl/>
          <w:lang w:eastAsia="zh-TW"/>
        </w:rPr>
        <w:t xml:space="preserve">نظر </w:t>
      </w:r>
      <w:r w:rsidRPr="000E004C">
        <w:rPr>
          <w:rStyle w:val="FootnoteReference"/>
          <w:b w:val="0"/>
          <w:bCs/>
          <w:vertAlign w:val="baseline"/>
          <w:lang w:eastAsia="zh-TW"/>
        </w:rPr>
        <w:t>CAT/C/RUS/CO/5</w:t>
      </w:r>
      <w:r w:rsidRPr="000E004C">
        <w:rPr>
          <w:rStyle w:val="FootnoteReference"/>
          <w:vertAlign w:val="baseline"/>
          <w:rtl/>
          <w:lang w:eastAsia="zh-TW"/>
        </w:rPr>
        <w:t>، الفقرة 13.</w:t>
      </w:r>
    </w:p>
  </w:footnote>
  <w:footnote w:id="29">
    <w:p w:rsidR="001E4BF4" w:rsidRPr="000E004C" w:rsidRDefault="001E4BF4" w:rsidP="000E004C">
      <w:pPr>
        <w:pStyle w:val="FootnoteText1"/>
        <w:textDirection w:val="tbRlV"/>
        <w:rPr>
          <w:rStyle w:val="FootnoteReference"/>
          <w:vertAlign w:val="baseline"/>
          <w:rtl/>
          <w:lang w:eastAsia="zh-TW"/>
        </w:rPr>
      </w:pPr>
      <w:r w:rsidRPr="000E004C">
        <w:rPr>
          <w:rStyle w:val="FootnoteReference"/>
          <w:rFonts w:hint="cs"/>
          <w:vertAlign w:val="baseline"/>
          <w:rtl/>
          <w:lang w:eastAsia="zh-TW"/>
        </w:rPr>
        <w:t>(</w:t>
      </w:r>
      <w:r w:rsidRPr="000E004C">
        <w:rPr>
          <w:rStyle w:val="FootnoteReference"/>
          <w:vertAlign w:val="baseline"/>
          <w:rtl/>
          <w:lang w:eastAsia="zh-TW"/>
        </w:rPr>
        <w:footnoteRef/>
      </w:r>
      <w:r w:rsidRPr="000E004C">
        <w:rPr>
          <w:rStyle w:val="FootnoteReference"/>
          <w:rFonts w:hint="cs"/>
          <w:vertAlign w:val="baseline"/>
          <w:rtl/>
        </w:rPr>
        <w:t>)</w:t>
      </w:r>
      <w:r w:rsidRPr="000E004C">
        <w:rPr>
          <w:rStyle w:val="FootnoteReference"/>
          <w:rFonts w:hint="cs"/>
          <w:vertAlign w:val="baseline"/>
          <w:rtl/>
        </w:rPr>
        <w:tab/>
      </w:r>
      <w:r w:rsidRPr="000E004C">
        <w:rPr>
          <w:rStyle w:val="FootnoteReference"/>
          <w:vertAlign w:val="baseline"/>
          <w:rtl/>
        </w:rPr>
        <w:t xml:space="preserve">انظر، في جملة بلاغات، </w:t>
      </w:r>
      <w:r w:rsidRPr="000E004C">
        <w:rPr>
          <w:rStyle w:val="FootnoteReference"/>
          <w:i/>
          <w:iCs/>
          <w:vertAlign w:val="baseline"/>
          <w:rtl/>
        </w:rPr>
        <w:t>ف.</w:t>
      </w:r>
      <w:r w:rsidRPr="000E004C">
        <w:rPr>
          <w:rStyle w:val="FootnoteReference"/>
          <w:rFonts w:hint="cs"/>
          <w:i/>
          <w:iCs/>
          <w:vertAlign w:val="baseline"/>
          <w:rtl/>
        </w:rPr>
        <w:t xml:space="preserve"> </w:t>
      </w:r>
      <w:r w:rsidRPr="000E004C">
        <w:rPr>
          <w:rStyle w:val="FootnoteReference"/>
          <w:i/>
          <w:iCs/>
          <w:vertAlign w:val="baseline"/>
          <w:rtl/>
        </w:rPr>
        <w:t>ك. ضد الدانمرك،</w:t>
      </w:r>
      <w:r w:rsidRPr="000E004C">
        <w:rPr>
          <w:rStyle w:val="FootnoteReference"/>
          <w:vertAlign w:val="baseline"/>
          <w:rtl/>
        </w:rPr>
        <w:t xml:space="preserve"> الفقرة 7-6.</w:t>
      </w:r>
      <w:r w:rsidRPr="000E004C">
        <w:rPr>
          <w:rStyle w:val="FootnoteReference"/>
          <w:vertAlign w:val="baseli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F4" w:rsidRPr="00521363" w:rsidRDefault="001E4BF4" w:rsidP="00521363">
    <w:pPr>
      <w:pStyle w:val="Header"/>
      <w:jc w:val="right"/>
    </w:pPr>
    <w:r w:rsidRPr="00521363">
      <w:t>CAT/C/59/D/634/2014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F4" w:rsidRPr="00521363" w:rsidRDefault="001E4BF4" w:rsidP="00521363">
    <w:pPr>
      <w:pStyle w:val="Header"/>
      <w:jc w:val="left"/>
    </w:pPr>
    <w:r w:rsidRPr="00521363">
      <w:t>CAT/C/59/D/634/2014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D4948"/>
    <w:rsid w:val="000076D5"/>
    <w:rsid w:val="00043663"/>
    <w:rsid w:val="000505CF"/>
    <w:rsid w:val="000A2113"/>
    <w:rsid w:val="000A3045"/>
    <w:rsid w:val="000C59A7"/>
    <w:rsid w:val="000C69DF"/>
    <w:rsid w:val="000D701C"/>
    <w:rsid w:val="000E004C"/>
    <w:rsid w:val="000E2A71"/>
    <w:rsid w:val="00154CAC"/>
    <w:rsid w:val="00160263"/>
    <w:rsid w:val="00167825"/>
    <w:rsid w:val="00181F96"/>
    <w:rsid w:val="001A1371"/>
    <w:rsid w:val="001B346A"/>
    <w:rsid w:val="001E1CAD"/>
    <w:rsid w:val="001E290D"/>
    <w:rsid w:val="001E4BF4"/>
    <w:rsid w:val="00210628"/>
    <w:rsid w:val="002144FA"/>
    <w:rsid w:val="0023469A"/>
    <w:rsid w:val="00242E31"/>
    <w:rsid w:val="00243C8A"/>
    <w:rsid w:val="00267A0E"/>
    <w:rsid w:val="002901D9"/>
    <w:rsid w:val="002976C2"/>
    <w:rsid w:val="002A4B7F"/>
    <w:rsid w:val="002D164F"/>
    <w:rsid w:val="002D4948"/>
    <w:rsid w:val="003260FF"/>
    <w:rsid w:val="00343D95"/>
    <w:rsid w:val="00374341"/>
    <w:rsid w:val="00377B19"/>
    <w:rsid w:val="00384DA7"/>
    <w:rsid w:val="003D1062"/>
    <w:rsid w:val="00420D7B"/>
    <w:rsid w:val="00450B21"/>
    <w:rsid w:val="00453B63"/>
    <w:rsid w:val="00455780"/>
    <w:rsid w:val="004956DC"/>
    <w:rsid w:val="004B0A1C"/>
    <w:rsid w:val="004D298E"/>
    <w:rsid w:val="00521363"/>
    <w:rsid w:val="0054472E"/>
    <w:rsid w:val="005662A9"/>
    <w:rsid w:val="005827D4"/>
    <w:rsid w:val="0059622A"/>
    <w:rsid w:val="005A3015"/>
    <w:rsid w:val="005C5878"/>
    <w:rsid w:val="005C7CEA"/>
    <w:rsid w:val="005D3C0B"/>
    <w:rsid w:val="005E5217"/>
    <w:rsid w:val="005F0FA4"/>
    <w:rsid w:val="005F30EE"/>
    <w:rsid w:val="005F7605"/>
    <w:rsid w:val="0060473A"/>
    <w:rsid w:val="00656392"/>
    <w:rsid w:val="006646E9"/>
    <w:rsid w:val="0068781D"/>
    <w:rsid w:val="006959B0"/>
    <w:rsid w:val="006B3E27"/>
    <w:rsid w:val="006B6507"/>
    <w:rsid w:val="006C104C"/>
    <w:rsid w:val="007145F1"/>
    <w:rsid w:val="007316A1"/>
    <w:rsid w:val="00733704"/>
    <w:rsid w:val="00761849"/>
    <w:rsid w:val="0078071A"/>
    <w:rsid w:val="007925BE"/>
    <w:rsid w:val="00817373"/>
    <w:rsid w:val="00852A9A"/>
    <w:rsid w:val="00860CDE"/>
    <w:rsid w:val="00893A8A"/>
    <w:rsid w:val="008B0E80"/>
    <w:rsid w:val="008F49E1"/>
    <w:rsid w:val="0090370F"/>
    <w:rsid w:val="009269D2"/>
    <w:rsid w:val="00942135"/>
    <w:rsid w:val="009473E1"/>
    <w:rsid w:val="009521B0"/>
    <w:rsid w:val="00981C12"/>
    <w:rsid w:val="009A7E9F"/>
    <w:rsid w:val="009E5018"/>
    <w:rsid w:val="00A12B37"/>
    <w:rsid w:val="00A34EA8"/>
    <w:rsid w:val="00A67AF5"/>
    <w:rsid w:val="00A94CA3"/>
    <w:rsid w:val="00A96991"/>
    <w:rsid w:val="00AB6758"/>
    <w:rsid w:val="00AC61F8"/>
    <w:rsid w:val="00B13763"/>
    <w:rsid w:val="00B477A4"/>
    <w:rsid w:val="00B54045"/>
    <w:rsid w:val="00C438D7"/>
    <w:rsid w:val="00C81B50"/>
    <w:rsid w:val="00C87F1F"/>
    <w:rsid w:val="00CB0AA9"/>
    <w:rsid w:val="00CD1801"/>
    <w:rsid w:val="00D10EF1"/>
    <w:rsid w:val="00D3340E"/>
    <w:rsid w:val="00D42810"/>
    <w:rsid w:val="00D914A7"/>
    <w:rsid w:val="00D91FD5"/>
    <w:rsid w:val="00DA27E1"/>
    <w:rsid w:val="00DC1D29"/>
    <w:rsid w:val="00DD13C3"/>
    <w:rsid w:val="00DD596E"/>
    <w:rsid w:val="00DD621E"/>
    <w:rsid w:val="00DF0575"/>
    <w:rsid w:val="00E372ED"/>
    <w:rsid w:val="00E70E04"/>
    <w:rsid w:val="00E76499"/>
    <w:rsid w:val="00EC05A7"/>
    <w:rsid w:val="00EC4B6B"/>
    <w:rsid w:val="00EF1EE5"/>
    <w:rsid w:val="00F763B4"/>
    <w:rsid w:val="00F900C3"/>
    <w:rsid w:val="00FC052E"/>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521363"/>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521363"/>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521363"/>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521363"/>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521363"/>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521363"/>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rsid w:val="00521363"/>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521363"/>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521363"/>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521363"/>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521363"/>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521363"/>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521363"/>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521363"/>
    <w:pPr>
      <w:numPr>
        <w:numId w:val="14"/>
      </w:numPr>
      <w:tabs>
        <w:tab w:val="clear" w:pos="0"/>
        <w:tab w:val="num" w:pos="2310"/>
      </w:tabs>
      <w:ind w:left="2310" w:hanging="360"/>
    </w:pPr>
  </w:style>
  <w:style w:type="numbering" w:styleId="111111">
    <w:name w:val="Outline List 2"/>
    <w:basedOn w:val="NoList"/>
    <w:semiHidden/>
    <w:rsid w:val="00521363"/>
    <w:pPr>
      <w:numPr>
        <w:numId w:val="19"/>
      </w:numPr>
    </w:pPr>
  </w:style>
  <w:style w:type="numbering" w:styleId="1ai">
    <w:name w:val="Outline List 1"/>
    <w:basedOn w:val="NoList"/>
    <w:semiHidden/>
    <w:rsid w:val="00521363"/>
    <w:pPr>
      <w:numPr>
        <w:numId w:val="17"/>
      </w:numPr>
    </w:pPr>
  </w:style>
  <w:style w:type="character" w:customStyle="1" w:styleId="SingleTxtGChar">
    <w:name w:val="_ Single Txt_G Char"/>
    <w:basedOn w:val="DefaultParagraphFont"/>
    <w:link w:val="SingleTxtG"/>
    <w:locked/>
    <w:rsid w:val="00521363"/>
    <w:rPr>
      <w:rFonts w:ascii="Times New Roman" w:eastAsia="SimSun" w:cs="Traditional Arabic"/>
      <w:sz w:val="20"/>
      <w:szCs w:val="30"/>
      <w:lang w:val="en-GB" w:eastAsia="zh-CN"/>
    </w:rPr>
  </w:style>
  <w:style w:type="paragraph" w:styleId="Caption">
    <w:name w:val="caption"/>
    <w:basedOn w:val="Normal"/>
    <w:next w:val="Normal"/>
    <w:uiPriority w:val="35"/>
    <w:unhideWhenUsed/>
    <w:qFormat/>
    <w:rsid w:val="00521363"/>
    <w:pPr>
      <w:suppressAutoHyphens/>
      <w:bidi w:val="0"/>
      <w:spacing w:before="120"/>
      <w:jc w:val="left"/>
    </w:pPr>
    <w:rPr>
      <w:rFonts w:eastAsia="SimSun" w:hAnsiTheme="minorHAnsi" w:hint="cs"/>
      <w:b/>
      <w:bCs/>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521363"/>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521363"/>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521363"/>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521363"/>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521363"/>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521363"/>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rsid w:val="00521363"/>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521363"/>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521363"/>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521363"/>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521363"/>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521363"/>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521363"/>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521363"/>
    <w:pPr>
      <w:numPr>
        <w:numId w:val="14"/>
      </w:numPr>
      <w:tabs>
        <w:tab w:val="clear" w:pos="0"/>
        <w:tab w:val="num" w:pos="2310"/>
      </w:tabs>
      <w:ind w:left="2310" w:hanging="360"/>
    </w:pPr>
  </w:style>
  <w:style w:type="numbering" w:styleId="111111">
    <w:name w:val="Outline List 2"/>
    <w:basedOn w:val="NoList"/>
    <w:semiHidden/>
    <w:rsid w:val="00521363"/>
    <w:pPr>
      <w:numPr>
        <w:numId w:val="19"/>
      </w:numPr>
    </w:pPr>
  </w:style>
  <w:style w:type="numbering" w:styleId="1ai">
    <w:name w:val="Outline List 1"/>
    <w:basedOn w:val="NoList"/>
    <w:semiHidden/>
    <w:rsid w:val="00521363"/>
    <w:pPr>
      <w:numPr>
        <w:numId w:val="17"/>
      </w:numPr>
    </w:pPr>
  </w:style>
  <w:style w:type="character" w:customStyle="1" w:styleId="SingleTxtGChar">
    <w:name w:val="_ Single Txt_G Char"/>
    <w:basedOn w:val="DefaultParagraphFont"/>
    <w:link w:val="SingleTxtG"/>
    <w:locked/>
    <w:rsid w:val="00521363"/>
    <w:rPr>
      <w:rFonts w:ascii="Times New Roman" w:eastAsia="SimSun" w:cs="Traditional Arabic"/>
      <w:sz w:val="20"/>
      <w:szCs w:val="30"/>
      <w:lang w:val="en-GB" w:eastAsia="zh-CN"/>
    </w:rPr>
  </w:style>
  <w:style w:type="paragraph" w:styleId="Caption">
    <w:name w:val="caption"/>
    <w:basedOn w:val="Normal"/>
    <w:next w:val="Normal"/>
    <w:uiPriority w:val="35"/>
    <w:unhideWhenUsed/>
    <w:qFormat/>
    <w:rsid w:val="00521363"/>
    <w:pPr>
      <w:suppressAutoHyphens/>
      <w:bidi w:val="0"/>
      <w:spacing w:before="120"/>
      <w:jc w:val="left"/>
    </w:pPr>
    <w:rPr>
      <w:rFonts w:eastAsia="SimSun" w:hAnsiTheme="minorHAnsi" w:hint="cs"/>
      <w:b/>
      <w:bC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4349-0A6C-4C8E-A54B-F62CA004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18</Pages>
  <Words>6496</Words>
  <Characters>37029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CAT/C/59/D/634/2014</vt:lpstr>
    </vt:vector>
  </TitlesOfParts>
  <Company>DCM</Company>
  <LinksUpToDate>false</LinksUpToDate>
  <CharactersWithSpaces>43439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CAT/C/59/D/634/2014</dc:title>
  <dc:subject>GE.1701010A</dc:subject>
  <dc:creator>MBUH42 - E LTI</dc:creator>
  <cp:keywords>ODS No.1701747</cp:keywords>
  <dc:description>Distribution:_x000d_
Original: English_x000d_
_x000d_
Date: 24 January 2017</dc:description>
  <cp:lastModifiedBy>Tpsara</cp:lastModifiedBy>
  <cp:revision>2</cp:revision>
  <cp:lastPrinted>2017-04-18T12:19:00Z</cp:lastPrinted>
  <dcterms:created xsi:type="dcterms:W3CDTF">2017-04-20T12:24:00Z</dcterms:created>
  <dcterms:modified xsi:type="dcterms:W3CDTF">2017-04-20T12:24:00Z</dcterms:modified>
  <cp:category>Final</cp:category>
</cp:coreProperties>
</file>