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37B70" w:rsidP="00D37B70">
            <w:pPr>
              <w:suppressAutoHyphens w:val="0"/>
              <w:spacing w:after="20"/>
              <w:jc w:val="right"/>
            </w:pPr>
            <w:r w:rsidRPr="00D37B70">
              <w:rPr>
                <w:sz w:val="40"/>
              </w:rPr>
              <w:t>CRC</w:t>
            </w:r>
            <w:r>
              <w:t>/C/CPV/Q/2/Add.1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37B70" w:rsidP="00D37B70">
            <w:pPr>
              <w:spacing w:before="240"/>
            </w:pPr>
            <w:r>
              <w:t>Distr.: General</w:t>
            </w:r>
          </w:p>
          <w:p w:rsidR="00D37B70" w:rsidRDefault="00D37B70" w:rsidP="00D37B70">
            <w:pPr>
              <w:suppressAutoHyphens w:val="0"/>
            </w:pPr>
            <w:r>
              <w:t>30 April 2019</w:t>
            </w:r>
          </w:p>
          <w:p w:rsidR="00D37B70" w:rsidRDefault="00D37B70" w:rsidP="00D37B70">
            <w:pPr>
              <w:suppressAutoHyphens w:val="0"/>
            </w:pPr>
          </w:p>
          <w:p w:rsidR="00D37B70" w:rsidRDefault="00D37B70" w:rsidP="00D37B70">
            <w:pPr>
              <w:suppressAutoHyphens w:val="0"/>
            </w:pPr>
            <w:r>
              <w:t>Original: English</w:t>
            </w:r>
          </w:p>
          <w:p w:rsidR="00D37B70" w:rsidRDefault="00D37B70" w:rsidP="00D37B70">
            <w:pPr>
              <w:suppressAutoHyphens w:val="0"/>
            </w:pPr>
            <w:r>
              <w:t>English, French and Spanish only</w:t>
            </w:r>
          </w:p>
        </w:tc>
      </w:tr>
    </w:tbl>
    <w:p w:rsidR="00D37B70" w:rsidRPr="0003433A" w:rsidRDefault="008E34DE" w:rsidP="008E34DE">
      <w:pPr>
        <w:spacing w:before="120"/>
        <w:rPr>
          <w:b/>
          <w:sz w:val="24"/>
          <w:szCs w:val="24"/>
        </w:rPr>
      </w:pPr>
      <w:r w:rsidRPr="0003433A">
        <w:rPr>
          <w:b/>
          <w:sz w:val="24"/>
          <w:szCs w:val="24"/>
        </w:rPr>
        <w:t>Committee on the Rights of the Child</w:t>
      </w:r>
    </w:p>
    <w:p w:rsidR="00D37B70" w:rsidRPr="0003433A" w:rsidRDefault="008E34DE" w:rsidP="003522C2">
      <w:pPr>
        <w:rPr>
          <w:rFonts w:eastAsiaTheme="minorEastAsia"/>
          <w:b/>
          <w:bCs/>
          <w:lang w:eastAsia="zh-CN"/>
        </w:rPr>
      </w:pPr>
      <w:r w:rsidRPr="0003433A">
        <w:rPr>
          <w:rFonts w:eastAsiaTheme="minorEastAsia"/>
          <w:b/>
          <w:bCs/>
          <w:lang w:eastAsia="zh-CN"/>
        </w:rPr>
        <w:t>Eighty-first session</w:t>
      </w:r>
    </w:p>
    <w:p w:rsidR="008E34DE" w:rsidRPr="0003433A" w:rsidRDefault="008E34DE" w:rsidP="003522C2">
      <w:pPr>
        <w:rPr>
          <w:rFonts w:eastAsiaTheme="minorEastAsia"/>
          <w:lang w:eastAsia="zh-CN"/>
        </w:rPr>
      </w:pPr>
      <w:r w:rsidRPr="0003433A">
        <w:rPr>
          <w:rFonts w:eastAsiaTheme="minorEastAsia"/>
          <w:lang w:eastAsia="zh-CN"/>
        </w:rPr>
        <w:t>13–31 May 2019</w:t>
      </w:r>
    </w:p>
    <w:p w:rsidR="008E34DE" w:rsidRPr="0003433A" w:rsidRDefault="008E34DE" w:rsidP="003522C2">
      <w:pPr>
        <w:rPr>
          <w:rFonts w:eastAsiaTheme="minorEastAsia"/>
          <w:lang w:eastAsia="zh-CN"/>
        </w:rPr>
      </w:pPr>
      <w:r w:rsidRPr="0003433A">
        <w:rPr>
          <w:rFonts w:eastAsiaTheme="minorEastAsia"/>
          <w:lang w:eastAsia="zh-CN"/>
        </w:rPr>
        <w:t>Item 4 of the provisional agenda</w:t>
      </w:r>
    </w:p>
    <w:p w:rsidR="008E34DE" w:rsidRPr="0003433A" w:rsidRDefault="008E34DE" w:rsidP="003522C2">
      <w:pPr>
        <w:rPr>
          <w:rFonts w:eastAsiaTheme="minorEastAsia"/>
          <w:b/>
          <w:bCs/>
          <w:lang w:eastAsia="zh-CN"/>
        </w:rPr>
      </w:pPr>
      <w:bookmarkStart w:id="0" w:name="_GoBack"/>
      <w:r w:rsidRPr="0003433A">
        <w:rPr>
          <w:rFonts w:eastAsiaTheme="minorEastAsia"/>
          <w:b/>
          <w:bCs/>
          <w:lang w:eastAsia="zh-CN"/>
        </w:rPr>
        <w:t>C</w:t>
      </w:r>
      <w:bookmarkEnd w:id="0"/>
      <w:r w:rsidRPr="0003433A">
        <w:rPr>
          <w:rFonts w:eastAsiaTheme="minorEastAsia"/>
          <w:b/>
          <w:bCs/>
          <w:lang w:eastAsia="zh-CN"/>
        </w:rPr>
        <w:t>onsideration of reports of States parties</w:t>
      </w:r>
    </w:p>
    <w:p w:rsidR="008E34DE" w:rsidRPr="0003433A" w:rsidRDefault="008E34DE" w:rsidP="002A0B1D">
      <w:pPr>
        <w:pStyle w:val="HChG"/>
      </w:pPr>
      <w:r w:rsidRPr="0003433A">
        <w:tab/>
      </w:r>
      <w:r w:rsidRPr="0003433A">
        <w:tab/>
        <w:t xml:space="preserve">List of issues in relation to the </w:t>
      </w:r>
      <w:r w:rsidR="002A0B1D" w:rsidRPr="0003433A">
        <w:t>second periodic report of</w:t>
      </w:r>
      <w:r w:rsidR="002A0B1D" w:rsidRPr="0003433A">
        <w:br/>
        <w:t>Cabo Verde</w:t>
      </w:r>
    </w:p>
    <w:p w:rsidR="008E34DE" w:rsidRPr="0003433A" w:rsidRDefault="008E34DE" w:rsidP="002A0B1D">
      <w:pPr>
        <w:pStyle w:val="H23G"/>
      </w:pPr>
      <w:r w:rsidRPr="0003433A">
        <w:tab/>
      </w:r>
      <w:r w:rsidRPr="0003433A">
        <w:tab/>
        <w:t>Addendum</w:t>
      </w:r>
    </w:p>
    <w:p w:rsidR="008E34DE" w:rsidRPr="0003433A" w:rsidRDefault="008E34DE" w:rsidP="002A0B1D">
      <w:pPr>
        <w:pStyle w:val="HChG"/>
      </w:pPr>
      <w:r w:rsidRPr="0003433A">
        <w:tab/>
      </w:r>
      <w:r w:rsidRPr="0003433A">
        <w:tab/>
        <w:t xml:space="preserve">Replies of </w:t>
      </w:r>
      <w:r w:rsidR="002A0B1D" w:rsidRPr="0003433A">
        <w:t>Cabo Verde</w:t>
      </w:r>
      <w:r w:rsidRPr="0003433A">
        <w:t xml:space="preserve"> to the list of issues</w:t>
      </w:r>
      <w:r w:rsidRPr="0003433A">
        <w:rPr>
          <w:b w:val="0"/>
          <w:bCs/>
          <w:sz w:val="20"/>
        </w:rPr>
        <w:footnoteReference w:customMarkFollows="1" w:id="1"/>
        <w:t>*</w:t>
      </w:r>
    </w:p>
    <w:p w:rsidR="008E34DE" w:rsidRPr="0003433A" w:rsidRDefault="008E34DE" w:rsidP="00AB0CE7">
      <w:pPr>
        <w:pStyle w:val="SingleTxtG"/>
        <w:jc w:val="right"/>
      </w:pPr>
      <w:r w:rsidRPr="0003433A">
        <w:t>[Date received: 26 April 2019]</w:t>
      </w:r>
    </w:p>
    <w:p w:rsidR="008E34DE" w:rsidRPr="0003433A" w:rsidRDefault="008E34DE" w:rsidP="00AB0CE7">
      <w:pPr>
        <w:pStyle w:val="H1G"/>
      </w:pPr>
      <w:r w:rsidRPr="0003433A">
        <w:br w:type="page"/>
      </w:r>
      <w:r w:rsidRPr="0003433A">
        <w:lastRenderedPageBreak/>
        <w:tab/>
      </w:r>
      <w:r w:rsidRPr="0003433A">
        <w:tab/>
        <w:t xml:space="preserve">First part </w:t>
      </w:r>
    </w:p>
    <w:p w:rsidR="008E34DE" w:rsidRPr="0003433A" w:rsidRDefault="008E34DE" w:rsidP="00AB0CE7">
      <w:pPr>
        <w:pStyle w:val="H23G"/>
      </w:pPr>
      <w:r w:rsidRPr="0003433A">
        <w:tab/>
      </w:r>
      <w:r w:rsidRPr="0003433A">
        <w:tab/>
        <w:t>Reply to question 1</w:t>
      </w:r>
    </w:p>
    <w:p w:rsidR="008E34DE" w:rsidRPr="0003433A" w:rsidRDefault="008E34DE" w:rsidP="002A0B1D">
      <w:pPr>
        <w:pStyle w:val="SingleTxtG"/>
      </w:pPr>
      <w:r w:rsidRPr="0003433A">
        <w:t>1.</w:t>
      </w:r>
      <w:r w:rsidRPr="0003433A">
        <w:tab/>
        <w:t>Proposals for the timely revision of the Statute of the Child and Adolescent (ECA) and its regulations were sent to the Minister for Family and Social Inclusion at the end of February 2019 for their consideration and due referral.</w:t>
      </w:r>
    </w:p>
    <w:p w:rsidR="008E34DE" w:rsidRPr="0003433A" w:rsidRDefault="008E34DE" w:rsidP="002A0B1D">
      <w:pPr>
        <w:pStyle w:val="SingleTxtG"/>
      </w:pPr>
      <w:r w:rsidRPr="0003433A">
        <w:t>2.</w:t>
      </w:r>
      <w:r w:rsidRPr="0003433A">
        <w:tab/>
        <w:t>In Cape Verde, the minimum age for marriage is 18 years. The marriage to be valid must be registered in the Civil Registry Services. Exceptionally, marriage of persons of different sex, under the age of 18 but not less than 16 years and with the consent of the parents of the spouses, may be accepted.</w:t>
      </w:r>
    </w:p>
    <w:p w:rsidR="008E34DE" w:rsidRPr="0003433A" w:rsidRDefault="008E34DE" w:rsidP="002A0B1D">
      <w:pPr>
        <w:pStyle w:val="SingleTxtG"/>
      </w:pPr>
      <w:r w:rsidRPr="0003433A">
        <w:t>3.</w:t>
      </w:r>
      <w:r w:rsidRPr="0003433A">
        <w:tab/>
        <w:t>Some distinctions concerning the rights of children under age 11 and children aged 12 to 17 can be found in the following ECA articles:</w:t>
      </w:r>
    </w:p>
    <w:p w:rsidR="008E34DE" w:rsidRPr="0003433A" w:rsidRDefault="004150D9" w:rsidP="002A0B1D">
      <w:pPr>
        <w:pStyle w:val="SingleTxtG"/>
      </w:pPr>
      <w:r w:rsidRPr="0003433A">
        <w:tab/>
      </w:r>
      <w:r w:rsidR="008E34DE" w:rsidRPr="0003433A">
        <w:t>(a)</w:t>
      </w:r>
      <w:r w:rsidR="008E34DE" w:rsidRPr="0003433A">
        <w:tab/>
        <w:t>21º;</w:t>
      </w:r>
    </w:p>
    <w:p w:rsidR="008E34DE" w:rsidRPr="0003433A" w:rsidRDefault="004150D9" w:rsidP="004150D9">
      <w:pPr>
        <w:pStyle w:val="SingleTxtG"/>
      </w:pPr>
      <w:r w:rsidRPr="0003433A">
        <w:tab/>
      </w:r>
      <w:r w:rsidR="008E34DE" w:rsidRPr="0003433A">
        <w:t>(b)</w:t>
      </w:r>
      <w:r w:rsidR="008E34DE" w:rsidRPr="0003433A">
        <w:tab/>
        <w:t>43</w:t>
      </w:r>
      <w:r w:rsidRPr="0003433A">
        <w:t xml:space="preserve"> –</w:t>
      </w:r>
      <w:r w:rsidR="008E34DE" w:rsidRPr="0003433A">
        <w:t xml:space="preserve"> paragraphs 3 and 6;</w:t>
      </w:r>
    </w:p>
    <w:p w:rsidR="008E34DE" w:rsidRPr="0003433A" w:rsidRDefault="004150D9" w:rsidP="00BE2540">
      <w:pPr>
        <w:pStyle w:val="SingleTxtG"/>
      </w:pPr>
      <w:r w:rsidRPr="0003433A">
        <w:tab/>
      </w:r>
      <w:r w:rsidR="008E34DE" w:rsidRPr="0003433A">
        <w:t>(c)</w:t>
      </w:r>
      <w:r w:rsidR="008E34DE" w:rsidRPr="0003433A">
        <w:tab/>
        <w:t>61</w:t>
      </w:r>
      <w:r w:rsidR="00BE2540" w:rsidRPr="0003433A">
        <w:t>º</w:t>
      </w:r>
      <w:r w:rsidR="008E34DE" w:rsidRPr="0003433A">
        <w:t xml:space="preserve"> to 68</w:t>
      </w:r>
      <w:r w:rsidR="00BE2540" w:rsidRPr="0003433A">
        <w:t>º</w:t>
      </w:r>
      <w:r w:rsidR="008E34DE" w:rsidRPr="0003433A">
        <w:t>;</w:t>
      </w:r>
    </w:p>
    <w:p w:rsidR="008E34DE" w:rsidRPr="0003433A" w:rsidRDefault="00BE2540" w:rsidP="002A0B1D">
      <w:pPr>
        <w:pStyle w:val="SingleTxtG"/>
      </w:pPr>
      <w:r w:rsidRPr="0003433A">
        <w:tab/>
      </w:r>
      <w:r w:rsidR="008E34DE" w:rsidRPr="0003433A">
        <w:t>(d)</w:t>
      </w:r>
      <w:r w:rsidR="008E34DE" w:rsidRPr="0003433A">
        <w:tab/>
        <w:t>118 (1) (b) and (c);</w:t>
      </w:r>
    </w:p>
    <w:p w:rsidR="008E34DE" w:rsidRPr="0003433A" w:rsidRDefault="00BE2540" w:rsidP="002A0B1D">
      <w:pPr>
        <w:pStyle w:val="SingleTxtG"/>
      </w:pPr>
      <w:r w:rsidRPr="0003433A">
        <w:tab/>
      </w:r>
      <w:r w:rsidR="008E34DE" w:rsidRPr="0003433A">
        <w:t>(e)</w:t>
      </w:r>
      <w:r w:rsidR="008E34DE" w:rsidRPr="0003433A">
        <w:tab/>
        <w:t>164;</w:t>
      </w:r>
    </w:p>
    <w:p w:rsidR="008E34DE" w:rsidRPr="0003433A" w:rsidRDefault="00BE2540" w:rsidP="00BE2540">
      <w:pPr>
        <w:pStyle w:val="SingleTxtG"/>
      </w:pPr>
      <w:r w:rsidRPr="0003433A">
        <w:tab/>
      </w:r>
      <w:r w:rsidR="008E34DE" w:rsidRPr="0003433A">
        <w:t>(f)</w:t>
      </w:r>
      <w:r w:rsidR="008E34DE" w:rsidRPr="0003433A">
        <w:tab/>
        <w:t>168</w:t>
      </w:r>
      <w:r w:rsidRPr="0003433A">
        <w:t>º</w:t>
      </w:r>
      <w:r w:rsidR="008E34DE" w:rsidRPr="0003433A">
        <w:t>.</w:t>
      </w:r>
    </w:p>
    <w:p w:rsidR="008E34DE" w:rsidRPr="0003433A" w:rsidRDefault="008E34DE" w:rsidP="00BE2540">
      <w:pPr>
        <w:pStyle w:val="H23G"/>
      </w:pPr>
      <w:r w:rsidRPr="0003433A">
        <w:tab/>
      </w:r>
      <w:r w:rsidRPr="0003433A">
        <w:tab/>
        <w:t>Reply to question 2</w:t>
      </w:r>
      <w:r w:rsidR="00BE2540" w:rsidRPr="0003433A">
        <w:t xml:space="preserve"> </w:t>
      </w:r>
      <w:r w:rsidRPr="0003433A">
        <w:t xml:space="preserve">(a) </w:t>
      </w:r>
    </w:p>
    <w:p w:rsidR="008E34DE" w:rsidRPr="0003433A" w:rsidRDefault="008E34DE" w:rsidP="002A0B1D">
      <w:pPr>
        <w:pStyle w:val="SingleTxtG"/>
      </w:pPr>
      <w:r w:rsidRPr="0003433A">
        <w:t>4.</w:t>
      </w:r>
      <w:r w:rsidRPr="0003433A">
        <w:tab/>
        <w:t>The process of preparing the Child and Adolescent Protection Policy in Cape Verde is underway.</w:t>
      </w:r>
    </w:p>
    <w:p w:rsidR="008E34DE" w:rsidRPr="0003433A" w:rsidRDefault="008E34DE" w:rsidP="00B1117E">
      <w:pPr>
        <w:pStyle w:val="H23G"/>
      </w:pPr>
      <w:r w:rsidRPr="0003433A">
        <w:tab/>
      </w:r>
      <w:r w:rsidRPr="0003433A">
        <w:tab/>
        <w:t>Reply to question 2</w:t>
      </w:r>
      <w:r w:rsidR="00B1117E" w:rsidRPr="0003433A">
        <w:t xml:space="preserve"> </w:t>
      </w:r>
      <w:r w:rsidRPr="0003433A">
        <w:t xml:space="preserve">(c) </w:t>
      </w:r>
    </w:p>
    <w:p w:rsidR="008E34DE" w:rsidRPr="0003433A" w:rsidRDefault="008E34DE" w:rsidP="002A0B1D">
      <w:pPr>
        <w:pStyle w:val="SingleTxtG"/>
      </w:pPr>
      <w:r w:rsidRPr="0003433A">
        <w:t>5.</w:t>
      </w:r>
      <w:r w:rsidRPr="0003433A">
        <w:tab/>
        <w:t>The entities in charge of receiving the denunciations are:</w:t>
      </w:r>
    </w:p>
    <w:p w:rsidR="008E34DE" w:rsidRPr="0003433A" w:rsidRDefault="00B1117E" w:rsidP="002A0B1D">
      <w:pPr>
        <w:pStyle w:val="SingleTxtG"/>
      </w:pPr>
      <w:r w:rsidRPr="0003433A">
        <w:tab/>
      </w:r>
      <w:r w:rsidR="008E34DE" w:rsidRPr="0003433A">
        <w:t>(a)</w:t>
      </w:r>
      <w:r w:rsidR="008E34DE" w:rsidRPr="0003433A">
        <w:tab/>
        <w:t>Cape Verdean Institute for Children and Adolescents (ICCA)</w:t>
      </w:r>
      <w:r w:rsidRPr="0003433A">
        <w:t>;</w:t>
      </w:r>
    </w:p>
    <w:p w:rsidR="008E34DE" w:rsidRPr="0003433A" w:rsidRDefault="00B1117E" w:rsidP="002A0B1D">
      <w:pPr>
        <w:pStyle w:val="SingleTxtG"/>
      </w:pPr>
      <w:r w:rsidRPr="0003433A">
        <w:tab/>
      </w:r>
      <w:r w:rsidR="008E34DE" w:rsidRPr="0003433A">
        <w:t>(b)</w:t>
      </w:r>
      <w:r w:rsidR="008E34DE" w:rsidRPr="0003433A">
        <w:tab/>
        <w:t>National Police;</w:t>
      </w:r>
    </w:p>
    <w:p w:rsidR="008E34DE" w:rsidRPr="0003433A" w:rsidRDefault="00B1117E" w:rsidP="002A0B1D">
      <w:pPr>
        <w:pStyle w:val="SingleTxtG"/>
      </w:pPr>
      <w:r w:rsidRPr="0003433A">
        <w:tab/>
      </w:r>
      <w:r w:rsidR="008E34DE" w:rsidRPr="0003433A">
        <w:t>(c)</w:t>
      </w:r>
      <w:r w:rsidR="008E34DE" w:rsidRPr="0003433A">
        <w:tab/>
        <w:t>Public Prosecutor</w:t>
      </w:r>
      <w:r w:rsidR="0003433A">
        <w:t>’</w:t>
      </w:r>
      <w:r w:rsidR="008E34DE" w:rsidRPr="0003433A">
        <w:t>s Office;</w:t>
      </w:r>
    </w:p>
    <w:p w:rsidR="008E34DE" w:rsidRPr="0003433A" w:rsidRDefault="00B1117E" w:rsidP="002A0B1D">
      <w:pPr>
        <w:pStyle w:val="SingleTxtG"/>
      </w:pPr>
      <w:r w:rsidRPr="0003433A">
        <w:tab/>
      </w:r>
      <w:r w:rsidR="008E34DE" w:rsidRPr="0003433A">
        <w:t>(d)</w:t>
      </w:r>
      <w:r w:rsidR="008E34DE" w:rsidRPr="0003433A">
        <w:tab/>
        <w:t>Municipal Committee for the Defense of the Rights of Children and Adolescents.</w:t>
      </w:r>
    </w:p>
    <w:p w:rsidR="008E34DE" w:rsidRPr="0003433A" w:rsidRDefault="008E34DE" w:rsidP="00B1117E">
      <w:pPr>
        <w:pStyle w:val="H23G"/>
      </w:pPr>
      <w:r w:rsidRPr="0003433A">
        <w:tab/>
      </w:r>
      <w:r w:rsidRPr="0003433A">
        <w:tab/>
        <w:t>Reply to question 3</w:t>
      </w:r>
    </w:p>
    <w:p w:rsidR="008E34DE" w:rsidRPr="0003433A" w:rsidRDefault="008E34DE" w:rsidP="002A0B1D">
      <w:pPr>
        <w:pStyle w:val="SingleTxtG"/>
      </w:pPr>
      <w:r w:rsidRPr="0003433A">
        <w:t>6.</w:t>
      </w:r>
      <w:r w:rsidRPr="0003433A">
        <w:tab/>
        <w:t>In Cape Verde there is no practice of child marriage or genital mutilation.</w:t>
      </w:r>
    </w:p>
    <w:p w:rsidR="008E34DE" w:rsidRPr="0003433A" w:rsidRDefault="008E34DE" w:rsidP="00B1117E">
      <w:pPr>
        <w:pStyle w:val="H23G"/>
      </w:pPr>
      <w:r w:rsidRPr="0003433A">
        <w:tab/>
      </w:r>
      <w:r w:rsidRPr="0003433A">
        <w:tab/>
        <w:t>Reply to question 5</w:t>
      </w:r>
    </w:p>
    <w:p w:rsidR="008E34DE" w:rsidRPr="0003433A" w:rsidRDefault="008E34DE" w:rsidP="002A0B1D">
      <w:pPr>
        <w:pStyle w:val="SingleTxtG"/>
      </w:pPr>
      <w:r w:rsidRPr="0003433A">
        <w:t>7.</w:t>
      </w:r>
      <w:r w:rsidRPr="0003433A">
        <w:tab/>
        <w:t>In these situations, the following measures are taken in terms of responses:</w:t>
      </w:r>
    </w:p>
    <w:p w:rsidR="008E34DE" w:rsidRPr="0003433A" w:rsidRDefault="00B1117E" w:rsidP="002A0B1D">
      <w:pPr>
        <w:pStyle w:val="SingleTxtG"/>
      </w:pPr>
      <w:r w:rsidRPr="0003433A">
        <w:tab/>
      </w:r>
      <w:r w:rsidR="008E34DE" w:rsidRPr="0003433A">
        <w:t>(a)</w:t>
      </w:r>
      <w:r w:rsidR="008E34DE" w:rsidRPr="0003433A">
        <w:tab/>
        <w:t>Family reintegration (nuclear or extended family);</w:t>
      </w:r>
    </w:p>
    <w:p w:rsidR="008E34DE" w:rsidRPr="0003433A" w:rsidRDefault="00B1117E" w:rsidP="002A0B1D">
      <w:pPr>
        <w:pStyle w:val="SingleTxtG"/>
      </w:pPr>
      <w:r w:rsidRPr="0003433A">
        <w:tab/>
      </w:r>
      <w:r w:rsidR="008E34DE" w:rsidRPr="0003433A">
        <w:t>(b)</w:t>
      </w:r>
      <w:r w:rsidR="008E34DE" w:rsidRPr="0003433A">
        <w:tab/>
        <w:t>Integration into a foster family;</w:t>
      </w:r>
    </w:p>
    <w:p w:rsidR="008E34DE" w:rsidRPr="0003433A" w:rsidRDefault="00B1117E" w:rsidP="002A0B1D">
      <w:pPr>
        <w:pStyle w:val="SingleTxtG"/>
      </w:pPr>
      <w:r w:rsidRPr="0003433A">
        <w:tab/>
      </w:r>
      <w:r w:rsidR="008E34DE" w:rsidRPr="0003433A">
        <w:t>(c)</w:t>
      </w:r>
      <w:r w:rsidR="008E34DE" w:rsidRPr="0003433A">
        <w:tab/>
        <w:t>Psychological monitoring;</w:t>
      </w:r>
    </w:p>
    <w:p w:rsidR="008E34DE" w:rsidRPr="0003433A" w:rsidRDefault="00B1117E" w:rsidP="002A0B1D">
      <w:pPr>
        <w:pStyle w:val="SingleTxtG"/>
      </w:pPr>
      <w:r w:rsidRPr="0003433A">
        <w:tab/>
      </w:r>
      <w:r w:rsidR="008E34DE" w:rsidRPr="0003433A">
        <w:t>(d)</w:t>
      </w:r>
      <w:r w:rsidR="008E34DE" w:rsidRPr="0003433A">
        <w:tab/>
        <w:t>Family counsel</w:t>
      </w:r>
      <w:r w:rsidRPr="0003433A">
        <w:t>l</w:t>
      </w:r>
      <w:r w:rsidR="008E34DE" w:rsidRPr="0003433A">
        <w:t>ing;</w:t>
      </w:r>
    </w:p>
    <w:p w:rsidR="008E34DE" w:rsidRPr="0003433A" w:rsidRDefault="00B1117E" w:rsidP="002A0B1D">
      <w:pPr>
        <w:pStyle w:val="SingleTxtG"/>
      </w:pPr>
      <w:r w:rsidRPr="0003433A">
        <w:tab/>
      </w:r>
      <w:r w:rsidR="008E34DE" w:rsidRPr="0003433A">
        <w:t>(e)</w:t>
      </w:r>
      <w:r w:rsidR="008E34DE" w:rsidRPr="0003433A">
        <w:tab/>
        <w:t>Referral to judicial services;</w:t>
      </w:r>
    </w:p>
    <w:p w:rsidR="008E34DE" w:rsidRPr="0003433A" w:rsidRDefault="00B1117E" w:rsidP="002A0B1D">
      <w:pPr>
        <w:pStyle w:val="SingleTxtG"/>
      </w:pPr>
      <w:r w:rsidRPr="0003433A">
        <w:tab/>
      </w:r>
      <w:r w:rsidR="008E34DE" w:rsidRPr="0003433A">
        <w:t>(f)</w:t>
      </w:r>
      <w:r w:rsidR="008E34DE" w:rsidRPr="0003433A">
        <w:tab/>
        <w:t>Social support (health, food and education);</w:t>
      </w:r>
    </w:p>
    <w:p w:rsidR="008E34DE" w:rsidRPr="0003433A" w:rsidRDefault="00B1117E" w:rsidP="002A0B1D">
      <w:pPr>
        <w:pStyle w:val="SingleTxtG"/>
      </w:pPr>
      <w:r w:rsidRPr="0003433A">
        <w:tab/>
      </w:r>
      <w:r w:rsidR="008E34DE" w:rsidRPr="0003433A">
        <w:t>(g)</w:t>
      </w:r>
      <w:r w:rsidR="008E34DE" w:rsidRPr="0003433A">
        <w:tab/>
        <w:t>Institutional reception.</w:t>
      </w:r>
    </w:p>
    <w:p w:rsidR="008E34DE" w:rsidRPr="0003433A" w:rsidRDefault="008E34DE" w:rsidP="00B1117E">
      <w:pPr>
        <w:pStyle w:val="H23G"/>
      </w:pPr>
      <w:r w:rsidRPr="0003433A">
        <w:lastRenderedPageBreak/>
        <w:tab/>
      </w:r>
      <w:r w:rsidRPr="0003433A">
        <w:tab/>
        <w:t>Reply to question 6</w:t>
      </w:r>
    </w:p>
    <w:p w:rsidR="008E34DE" w:rsidRPr="0003433A" w:rsidRDefault="008E34DE" w:rsidP="002A0B1D">
      <w:pPr>
        <w:pStyle w:val="SingleTxtG"/>
      </w:pPr>
      <w:r w:rsidRPr="0003433A">
        <w:t>8.</w:t>
      </w:r>
      <w:r w:rsidRPr="0003433A">
        <w:tab/>
        <w:t>The procedure takes place in accordance with Articles 113 and 114 of the ECA, reference to Article 89 to Article 124.</w:t>
      </w:r>
    </w:p>
    <w:p w:rsidR="008E34DE" w:rsidRPr="0003433A" w:rsidRDefault="008E34DE" w:rsidP="00B1117E">
      <w:pPr>
        <w:pStyle w:val="H23G"/>
      </w:pPr>
      <w:r w:rsidRPr="0003433A">
        <w:tab/>
      </w:r>
      <w:r w:rsidRPr="0003433A">
        <w:tab/>
        <w:t>Reply to question 10</w:t>
      </w:r>
      <w:r w:rsidR="00B1117E" w:rsidRPr="0003433A">
        <w:t xml:space="preserve"> </w:t>
      </w:r>
      <w:r w:rsidRPr="0003433A">
        <w:t xml:space="preserve">(a) </w:t>
      </w:r>
    </w:p>
    <w:p w:rsidR="008E34DE" w:rsidRPr="0003433A" w:rsidRDefault="008E34DE" w:rsidP="00532FA5">
      <w:pPr>
        <w:pStyle w:val="SingleTxtG"/>
      </w:pPr>
      <w:r w:rsidRPr="0003433A">
        <w:t>9.</w:t>
      </w:r>
      <w:r w:rsidRPr="0003433A">
        <w:tab/>
        <w:t>Naturally, since the Labo</w:t>
      </w:r>
      <w:r w:rsidR="00921755" w:rsidRPr="0003433A">
        <w:t>u</w:t>
      </w:r>
      <w:r w:rsidRPr="0003433A">
        <w:t>r Code, Cape Verdean (CLC) is of applicability, throughout the national territory as such, legal and labo</w:t>
      </w:r>
      <w:r w:rsidR="00921755" w:rsidRPr="0003433A">
        <w:t>u</w:t>
      </w:r>
      <w:r w:rsidRPr="0003433A">
        <w:t>r forecasts, contained therein, do indeed apply to all legal</w:t>
      </w:r>
      <w:r w:rsidR="0003433A">
        <w:t xml:space="preserve"> –</w:t>
      </w:r>
      <w:r w:rsidRPr="0003433A">
        <w:t xml:space="preserve"> both formal and informal sectors. In this perspective, it is an example of those previously mentioned, the legal-labo</w:t>
      </w:r>
      <w:r w:rsidR="00921755" w:rsidRPr="0003433A">
        <w:t>u</w:t>
      </w:r>
      <w:r w:rsidRPr="0003433A">
        <w:t>r prediction established in the terms of no. 1 of article 261 of said CLC, from which it can be deduced that the minimum age to work in Cape Verde is of 15 years, given that under no legal basis (article 261, paragraph 1, of the CLC), no minor can work under any circumstances in Cape Verde, without having reached the age of 15 years, legal fact, validly, observable and applicable to all employment situations, involving children/children, in the context of work, in Cape Verde, without exceptions, including those working children/minors in the informal sector.</w:t>
      </w:r>
    </w:p>
    <w:p w:rsidR="008E34DE" w:rsidRPr="0003433A" w:rsidRDefault="008E34DE" w:rsidP="002A0B1D">
      <w:pPr>
        <w:pStyle w:val="SingleTxtG"/>
      </w:pPr>
      <w:r w:rsidRPr="0003433A">
        <w:t>10.</w:t>
      </w:r>
      <w:r w:rsidRPr="0003433A">
        <w:tab/>
        <w:t>National legislation guarantees the protection of all children with respect to the minimum working age, in order to verify compliance with this determination the General Labo</w:t>
      </w:r>
      <w:r w:rsidR="00921755" w:rsidRPr="0003433A">
        <w:t>u</w:t>
      </w:r>
      <w:r w:rsidRPr="0003433A">
        <w:t>r Inspection, to make constant visits to the employers and to have taken notice of any situation of child labo</w:t>
      </w:r>
      <w:r w:rsidR="00921755" w:rsidRPr="0003433A">
        <w:t>u</w:t>
      </w:r>
      <w:r w:rsidRPr="0003433A">
        <w:t>r is communicated the ICA or the Attorney General</w:t>
      </w:r>
      <w:r w:rsidR="0003433A">
        <w:t>’</w:t>
      </w:r>
      <w:r w:rsidRPr="0003433A">
        <w:t>s Office, in addition to prosecuting the employer for the infraction.</w:t>
      </w:r>
    </w:p>
    <w:p w:rsidR="008E34DE" w:rsidRPr="0003433A" w:rsidRDefault="008E34DE" w:rsidP="002A0B1D">
      <w:pPr>
        <w:pStyle w:val="SingleTxtG"/>
      </w:pPr>
      <w:r w:rsidRPr="0003433A">
        <w:t>11.</w:t>
      </w:r>
      <w:r w:rsidRPr="0003433A">
        <w:tab/>
        <w:t>As regards the aforementioned measures, in terms of actions carried out, it should be pointed out that the General Directorate of Labo</w:t>
      </w:r>
      <w:r w:rsidR="00921755" w:rsidRPr="0003433A">
        <w:t>u</w:t>
      </w:r>
      <w:r w:rsidRPr="0003433A">
        <w:t>r (DGT), on the occasion of the holding of the Labo</w:t>
      </w:r>
      <w:r w:rsidR="00921755" w:rsidRPr="0003433A">
        <w:t>u</w:t>
      </w:r>
      <w:r w:rsidRPr="0003433A">
        <w:t>r Fair, on April 30, 2018, promoted by the DGT itself, It is highlighted the dissemination and dissemination of information and clarification, referring to the legal and labo</w:t>
      </w:r>
      <w:r w:rsidR="00921755" w:rsidRPr="0003433A">
        <w:t>u</w:t>
      </w:r>
      <w:r w:rsidRPr="0003433A">
        <w:t>r perspective, of the legal basis, referred to above (Article 261, paragraph 1 of the CLC), with a view to their compression, seizure and , or appropriation by the target public, with one of the main objectives being the promotion of actions aimed at eliminating child labo</w:t>
      </w:r>
      <w:r w:rsidR="00921755" w:rsidRPr="0003433A">
        <w:t>u</w:t>
      </w:r>
      <w:r w:rsidRPr="0003433A">
        <w:t>r in both formal and informal sectors.</w:t>
      </w:r>
    </w:p>
    <w:p w:rsidR="008E34DE" w:rsidRPr="0003433A" w:rsidRDefault="00921755" w:rsidP="00921755">
      <w:pPr>
        <w:pStyle w:val="H23G"/>
      </w:pPr>
      <w:r w:rsidRPr="0003433A">
        <w:tab/>
      </w:r>
      <w:r w:rsidRPr="0003433A">
        <w:tab/>
      </w:r>
      <w:r w:rsidR="008E34DE" w:rsidRPr="0003433A">
        <w:t>Reply to question 10</w:t>
      </w:r>
      <w:r w:rsidRPr="0003433A">
        <w:t xml:space="preserve"> </w:t>
      </w:r>
      <w:r w:rsidR="008E34DE" w:rsidRPr="0003433A">
        <w:t>(c)</w:t>
      </w:r>
    </w:p>
    <w:p w:rsidR="008E34DE" w:rsidRPr="0003433A" w:rsidRDefault="008E34DE" w:rsidP="002A0B1D">
      <w:pPr>
        <w:pStyle w:val="SingleTxtG"/>
      </w:pPr>
      <w:r w:rsidRPr="0003433A">
        <w:t>12.</w:t>
      </w:r>
      <w:r w:rsidRPr="0003433A">
        <w:tab/>
        <w:t>Following the publication of the multi-objective survey on child labo</w:t>
      </w:r>
      <w:r w:rsidR="00921755" w:rsidRPr="0003433A">
        <w:t>u</w:t>
      </w:r>
      <w:r w:rsidRPr="0003433A">
        <w:t>r in Cape Verde, the following measures were adopted:</w:t>
      </w:r>
    </w:p>
    <w:p w:rsidR="008E34DE" w:rsidRPr="0003433A" w:rsidRDefault="005054D3" w:rsidP="005054D3">
      <w:pPr>
        <w:pStyle w:val="Bullet1G"/>
        <w:numPr>
          <w:ilvl w:val="0"/>
          <w:numId w:val="0"/>
        </w:numPr>
        <w:tabs>
          <w:tab w:val="left" w:pos="1701"/>
        </w:tabs>
        <w:ind w:left="1701" w:hanging="170"/>
      </w:pPr>
      <w:r w:rsidRPr="0003433A">
        <w:t>•</w:t>
      </w:r>
      <w:r w:rsidRPr="0003433A">
        <w:tab/>
      </w:r>
      <w:r w:rsidR="008E34DE" w:rsidRPr="0003433A">
        <w:t>Approval of Resolution 43/2014, on the National Plan of Action for the Prevention and Elimination of Child Labo</w:t>
      </w:r>
      <w:r w:rsidR="00921755" w:rsidRPr="0003433A">
        <w:t>u</w:t>
      </w:r>
      <w:r w:rsidR="008E34DE" w:rsidRPr="0003433A">
        <w:t>r;</w:t>
      </w:r>
    </w:p>
    <w:p w:rsidR="008E34DE" w:rsidRPr="0003433A" w:rsidRDefault="005054D3" w:rsidP="005054D3">
      <w:pPr>
        <w:pStyle w:val="Bullet1G"/>
        <w:numPr>
          <w:ilvl w:val="0"/>
          <w:numId w:val="0"/>
        </w:numPr>
        <w:tabs>
          <w:tab w:val="left" w:pos="1701"/>
        </w:tabs>
        <w:ind w:left="1701" w:hanging="170"/>
      </w:pPr>
      <w:r w:rsidRPr="0003433A">
        <w:t>•</w:t>
      </w:r>
      <w:r w:rsidRPr="0003433A">
        <w:tab/>
      </w:r>
      <w:r w:rsidR="008E34DE" w:rsidRPr="0003433A">
        <w:t>The National Plan to Combat Violence against</w:t>
      </w:r>
      <w:r w:rsidR="0003433A">
        <w:t xml:space="preserve"> Children and Adolescents (2017–</w:t>
      </w:r>
      <w:r w:rsidR="008E34DE" w:rsidRPr="0003433A">
        <w:t>2019), and the National Plan against Trafficking in Persons;</w:t>
      </w:r>
    </w:p>
    <w:p w:rsidR="008E34DE" w:rsidRPr="0003433A" w:rsidRDefault="005054D3" w:rsidP="005054D3">
      <w:pPr>
        <w:pStyle w:val="Bullet1G"/>
        <w:numPr>
          <w:ilvl w:val="0"/>
          <w:numId w:val="0"/>
        </w:numPr>
        <w:tabs>
          <w:tab w:val="left" w:pos="1701"/>
        </w:tabs>
        <w:ind w:left="1701" w:hanging="170"/>
      </w:pPr>
      <w:r w:rsidRPr="0003433A">
        <w:t>•</w:t>
      </w:r>
      <w:r w:rsidRPr="0003433A">
        <w:tab/>
      </w:r>
      <w:r w:rsidR="00921755" w:rsidRPr="0003433A">
        <w:t>The National Care Plan (2017–</w:t>
      </w:r>
      <w:r w:rsidR="008E34DE" w:rsidRPr="0003433A">
        <w:t xml:space="preserve">2019) Resolution </w:t>
      </w:r>
      <w:r w:rsidR="00921755" w:rsidRPr="0003433A">
        <w:t>No.</w:t>
      </w:r>
      <w:r w:rsidR="008E34DE" w:rsidRPr="0003433A">
        <w:t xml:space="preserve"> 143/2017;</w:t>
      </w:r>
    </w:p>
    <w:p w:rsidR="008E34DE" w:rsidRPr="0003433A" w:rsidRDefault="005054D3" w:rsidP="005054D3">
      <w:pPr>
        <w:pStyle w:val="Bullet1G"/>
        <w:numPr>
          <w:ilvl w:val="0"/>
          <w:numId w:val="0"/>
        </w:numPr>
        <w:tabs>
          <w:tab w:val="left" w:pos="1701"/>
        </w:tabs>
        <w:ind w:left="1701" w:hanging="170"/>
      </w:pPr>
      <w:r w:rsidRPr="0003433A">
        <w:t>•</w:t>
      </w:r>
      <w:r w:rsidRPr="0003433A">
        <w:tab/>
      </w:r>
      <w:r w:rsidR="00921755" w:rsidRPr="0003433A">
        <w:t>Law N</w:t>
      </w:r>
      <w:r w:rsidR="008E34DE" w:rsidRPr="0003433A">
        <w:t xml:space="preserve">o. 50/VIII/2013, of B.O. I Series, </w:t>
      </w:r>
      <w:r w:rsidR="00921755" w:rsidRPr="0003433A">
        <w:t>No.</w:t>
      </w:r>
      <w:r w:rsidR="008E34DE" w:rsidRPr="0003433A">
        <w:t xml:space="preserve"> 70, of December 26, which approves the Statute of the Child and Adolescent.</w:t>
      </w:r>
    </w:p>
    <w:p w:rsidR="008E34DE" w:rsidRPr="0003433A" w:rsidRDefault="008E34DE" w:rsidP="00F279F3">
      <w:pPr>
        <w:pStyle w:val="H1G"/>
      </w:pPr>
      <w:r w:rsidRPr="0003433A">
        <w:tab/>
      </w:r>
      <w:r w:rsidRPr="0003433A">
        <w:tab/>
        <w:t xml:space="preserve">Second part </w:t>
      </w:r>
    </w:p>
    <w:p w:rsidR="008E34DE" w:rsidRPr="0003433A" w:rsidRDefault="00F279F3" w:rsidP="00F279F3">
      <w:pPr>
        <w:pStyle w:val="H23G"/>
      </w:pPr>
      <w:r w:rsidRPr="0003433A">
        <w:tab/>
      </w:r>
      <w:r w:rsidRPr="0003433A">
        <w:tab/>
      </w:r>
      <w:r w:rsidR="008E34DE" w:rsidRPr="0003433A">
        <w:t>Reply to question 13</w:t>
      </w:r>
      <w:r w:rsidRPr="0003433A">
        <w:t xml:space="preserve"> </w:t>
      </w:r>
      <w:r w:rsidR="008E34DE" w:rsidRPr="0003433A">
        <w:t>(a)</w:t>
      </w:r>
    </w:p>
    <w:p w:rsidR="008E34DE" w:rsidRPr="0003433A" w:rsidRDefault="008E34DE" w:rsidP="002A0B1D">
      <w:pPr>
        <w:pStyle w:val="SingleTxtG"/>
      </w:pPr>
      <w:r w:rsidRPr="0003433A">
        <w:t>13.</w:t>
      </w:r>
      <w:r w:rsidRPr="0003433A">
        <w:tab/>
        <w:t>A draft Bill on Sexual Abuse and Exploitation of Children and Adolescents, including a proposal for its regulation, is currently being drafted.</w:t>
      </w:r>
    </w:p>
    <w:p w:rsidR="008E34DE" w:rsidRPr="0003433A" w:rsidRDefault="008E34DE" w:rsidP="00F279F3">
      <w:pPr>
        <w:pStyle w:val="H1G"/>
      </w:pPr>
      <w:r w:rsidRPr="0003433A">
        <w:tab/>
      </w:r>
      <w:r w:rsidRPr="0003433A">
        <w:tab/>
        <w:t xml:space="preserve">Third part </w:t>
      </w:r>
    </w:p>
    <w:p w:rsidR="008E34DE" w:rsidRPr="0003433A" w:rsidRDefault="00F279F3" w:rsidP="00F279F3">
      <w:pPr>
        <w:pStyle w:val="H23G"/>
      </w:pPr>
      <w:r w:rsidRPr="0003433A">
        <w:tab/>
      </w:r>
      <w:r w:rsidRPr="0003433A">
        <w:tab/>
      </w:r>
      <w:r w:rsidR="008E34DE" w:rsidRPr="0003433A">
        <w:t>Reply to question 14</w:t>
      </w:r>
    </w:p>
    <w:p w:rsidR="008E34DE" w:rsidRPr="0003433A" w:rsidRDefault="008E34DE" w:rsidP="002A0B1D">
      <w:pPr>
        <w:pStyle w:val="SingleTxtG"/>
      </w:pPr>
      <w:r w:rsidRPr="0003433A">
        <w:t>14.</w:t>
      </w:r>
      <w:r w:rsidRPr="0003433A">
        <w:tab/>
        <w:t>ICCA budget in the last 3 years:</w:t>
      </w:r>
    </w:p>
    <w:p w:rsidR="008E34DE" w:rsidRPr="0003433A" w:rsidRDefault="008E34DE" w:rsidP="00DB7788">
      <w:pPr>
        <w:pStyle w:val="SingleTxtG"/>
        <w:ind w:left="1701"/>
      </w:pPr>
      <w:r w:rsidRPr="0003433A">
        <w:t xml:space="preserve">2016 </w:t>
      </w:r>
      <w:r w:rsidR="00DB7788" w:rsidRPr="0003433A">
        <w:t>–</w:t>
      </w:r>
      <w:r w:rsidRPr="0003433A">
        <w:t xml:space="preserve"> 106 728 155 ECV = 967</w:t>
      </w:r>
      <w:r w:rsidR="00DB7788" w:rsidRPr="0003433A">
        <w:t>,</w:t>
      </w:r>
      <w:r w:rsidRPr="0003433A">
        <w:t>924 Euros;</w:t>
      </w:r>
    </w:p>
    <w:p w:rsidR="008E34DE" w:rsidRPr="0003433A" w:rsidRDefault="008E34DE" w:rsidP="00DB7788">
      <w:pPr>
        <w:pStyle w:val="SingleTxtG"/>
        <w:ind w:left="1701"/>
      </w:pPr>
      <w:r w:rsidRPr="0003433A">
        <w:lastRenderedPageBreak/>
        <w:t xml:space="preserve">2017 </w:t>
      </w:r>
      <w:r w:rsidR="00DB7788" w:rsidRPr="0003433A">
        <w:t>–</w:t>
      </w:r>
      <w:r w:rsidRPr="0003433A">
        <w:t xml:space="preserve"> 130 520 578 ECV = 1</w:t>
      </w:r>
      <w:r w:rsidR="00DB7788" w:rsidRPr="0003433A">
        <w:t>,</w:t>
      </w:r>
      <w:r w:rsidRPr="0003433A">
        <w:t>183</w:t>
      </w:r>
      <w:r w:rsidR="00DB7788" w:rsidRPr="0003433A">
        <w:t>,</w:t>
      </w:r>
      <w:r w:rsidRPr="0003433A">
        <w:t>699 Euros;</w:t>
      </w:r>
    </w:p>
    <w:p w:rsidR="008E34DE" w:rsidRPr="0003433A" w:rsidRDefault="008E34DE" w:rsidP="002859BF">
      <w:pPr>
        <w:pStyle w:val="SingleTxtG"/>
        <w:ind w:left="1701"/>
      </w:pPr>
      <w:r w:rsidRPr="0003433A">
        <w:t xml:space="preserve">2018 </w:t>
      </w:r>
      <w:r w:rsidR="002859BF" w:rsidRPr="0003433A">
        <w:t>–</w:t>
      </w:r>
      <w:r w:rsidRPr="0003433A">
        <w:t xml:space="preserve"> 150 424 150</w:t>
      </w:r>
      <w:r w:rsidR="002859BF" w:rsidRPr="0003433A">
        <w:t xml:space="preserve"> </w:t>
      </w:r>
      <w:r w:rsidRPr="0003433A">
        <w:t>ECV = 1</w:t>
      </w:r>
      <w:r w:rsidR="002859BF" w:rsidRPr="0003433A">
        <w:t>,</w:t>
      </w:r>
      <w:r w:rsidRPr="0003433A">
        <w:t>364</w:t>
      </w:r>
      <w:r w:rsidR="002859BF" w:rsidRPr="0003433A">
        <w:t>,</w:t>
      </w:r>
      <w:r w:rsidRPr="0003433A">
        <w:t>206 Euros.</w:t>
      </w:r>
    </w:p>
    <w:p w:rsidR="008E34DE" w:rsidRPr="0003433A" w:rsidRDefault="008E34DE" w:rsidP="002859BF">
      <w:pPr>
        <w:pStyle w:val="H23G"/>
      </w:pPr>
      <w:r w:rsidRPr="0003433A">
        <w:tab/>
      </w:r>
      <w:r w:rsidRPr="0003433A">
        <w:tab/>
        <w:t>Reply to question 15</w:t>
      </w:r>
      <w:r w:rsidR="002859BF" w:rsidRPr="0003433A">
        <w:t xml:space="preserve"> </w:t>
      </w:r>
      <w:r w:rsidRPr="0003433A">
        <w:t xml:space="preserve">(c) </w:t>
      </w:r>
    </w:p>
    <w:p w:rsidR="008E34DE" w:rsidRPr="0003433A" w:rsidRDefault="008E34DE" w:rsidP="002A0B1D">
      <w:pPr>
        <w:pStyle w:val="SingleTxtG"/>
      </w:pPr>
      <w:r w:rsidRPr="0003433A">
        <w:t>15.</w:t>
      </w:r>
      <w:r w:rsidRPr="0003433A">
        <w:tab/>
        <w:t>According to the INE data, 3 marriages of adolescents under 18 years of age, all girls and with a mean age of 16.6 years (two of 17 and one of 16 years) were performed between 2016 and 2018.</w:t>
      </w:r>
    </w:p>
    <w:p w:rsidR="008E34DE" w:rsidRPr="0003433A" w:rsidRDefault="008E34DE" w:rsidP="002859BF">
      <w:pPr>
        <w:pStyle w:val="H23G"/>
      </w:pPr>
      <w:r w:rsidRPr="0003433A">
        <w:tab/>
      </w:r>
      <w:r w:rsidRPr="0003433A">
        <w:tab/>
        <w:t>Reply to question 16</w:t>
      </w:r>
      <w:r w:rsidR="002859BF" w:rsidRPr="0003433A">
        <w:t xml:space="preserve"> </w:t>
      </w:r>
      <w:r w:rsidRPr="0003433A">
        <w:t>(b)</w:t>
      </w:r>
    </w:p>
    <w:p w:rsidR="008E34DE" w:rsidRPr="0003433A" w:rsidRDefault="008E34DE" w:rsidP="002A0B1D">
      <w:pPr>
        <w:pStyle w:val="SingleTxtG"/>
      </w:pPr>
      <w:r w:rsidRPr="0003433A">
        <w:t>16.</w:t>
      </w:r>
      <w:r w:rsidRPr="0003433A">
        <w:tab/>
        <w:t>Children and adolescents institutionalized in ICCA centers:</w:t>
      </w:r>
    </w:p>
    <w:p w:rsidR="008E34DE" w:rsidRPr="0003433A" w:rsidRDefault="008E34DE" w:rsidP="002859BF">
      <w:pPr>
        <w:pStyle w:val="SingleTxtG"/>
        <w:ind w:left="1701"/>
      </w:pPr>
      <w:r w:rsidRPr="0003433A">
        <w:t xml:space="preserve">2016 </w:t>
      </w:r>
      <w:r w:rsidR="002859BF" w:rsidRPr="0003433A">
        <w:t>–</w:t>
      </w:r>
      <w:r w:rsidRPr="0003433A">
        <w:t xml:space="preserve"> 196 children and adolescents;</w:t>
      </w:r>
    </w:p>
    <w:p w:rsidR="008E34DE" w:rsidRPr="0003433A" w:rsidRDefault="008E34DE" w:rsidP="002859BF">
      <w:pPr>
        <w:pStyle w:val="SingleTxtG"/>
        <w:ind w:left="1701"/>
      </w:pPr>
      <w:r w:rsidRPr="0003433A">
        <w:t xml:space="preserve">2017 </w:t>
      </w:r>
      <w:r w:rsidR="002859BF" w:rsidRPr="0003433A">
        <w:t>–</w:t>
      </w:r>
      <w:r w:rsidRPr="0003433A">
        <w:t xml:space="preserve"> 150 children and adolescents;</w:t>
      </w:r>
    </w:p>
    <w:p w:rsidR="008E34DE" w:rsidRPr="0003433A" w:rsidRDefault="008E34DE" w:rsidP="002859BF">
      <w:pPr>
        <w:pStyle w:val="SingleTxtG"/>
        <w:ind w:left="1701"/>
      </w:pPr>
      <w:r w:rsidRPr="0003433A">
        <w:t xml:space="preserve">2018 </w:t>
      </w:r>
      <w:r w:rsidR="002859BF" w:rsidRPr="0003433A">
        <w:t>–</w:t>
      </w:r>
      <w:r w:rsidRPr="0003433A">
        <w:t xml:space="preserve"> 134 adolescent children.</w:t>
      </w:r>
    </w:p>
    <w:p w:rsidR="008E34DE" w:rsidRPr="0003433A" w:rsidRDefault="008E34DE" w:rsidP="002859BF">
      <w:pPr>
        <w:pStyle w:val="H23G"/>
      </w:pPr>
      <w:r w:rsidRPr="0003433A">
        <w:tab/>
      </w:r>
      <w:r w:rsidRPr="0003433A">
        <w:tab/>
        <w:t>Reply to question 16</w:t>
      </w:r>
      <w:r w:rsidR="002859BF" w:rsidRPr="0003433A">
        <w:t xml:space="preserve"> </w:t>
      </w:r>
      <w:r w:rsidRPr="0003433A">
        <w:t>(c)</w:t>
      </w:r>
    </w:p>
    <w:p w:rsidR="008E34DE" w:rsidRPr="0003433A" w:rsidRDefault="008E34DE" w:rsidP="002A0B1D">
      <w:pPr>
        <w:pStyle w:val="SingleTxtG"/>
      </w:pPr>
      <w:r w:rsidRPr="0003433A">
        <w:t>17.</w:t>
      </w:r>
      <w:r w:rsidRPr="0003433A">
        <w:tab/>
        <w:t>Reintegrated children and adolescents in the host families:</w:t>
      </w:r>
    </w:p>
    <w:p w:rsidR="008E34DE" w:rsidRPr="0003433A" w:rsidRDefault="008E34DE" w:rsidP="002859BF">
      <w:pPr>
        <w:pStyle w:val="SingleTxtG"/>
        <w:ind w:left="1701"/>
      </w:pPr>
      <w:r w:rsidRPr="0003433A">
        <w:t xml:space="preserve">2016 </w:t>
      </w:r>
      <w:r w:rsidR="002859BF" w:rsidRPr="0003433A">
        <w:t>–</w:t>
      </w:r>
      <w:r w:rsidRPr="0003433A">
        <w:t xml:space="preserve"> 65 children and adolescents;</w:t>
      </w:r>
    </w:p>
    <w:p w:rsidR="008E34DE" w:rsidRPr="0003433A" w:rsidRDefault="008E34DE" w:rsidP="002859BF">
      <w:pPr>
        <w:pStyle w:val="SingleTxtG"/>
        <w:ind w:left="1701"/>
      </w:pPr>
      <w:r w:rsidRPr="0003433A">
        <w:t xml:space="preserve">2017 </w:t>
      </w:r>
      <w:r w:rsidR="002859BF" w:rsidRPr="0003433A">
        <w:t>–</w:t>
      </w:r>
      <w:r w:rsidRPr="0003433A">
        <w:t xml:space="preserve"> 65 children and adolescents;</w:t>
      </w:r>
    </w:p>
    <w:p w:rsidR="008E34DE" w:rsidRPr="0003433A" w:rsidRDefault="008E34DE" w:rsidP="002859BF">
      <w:pPr>
        <w:pStyle w:val="SingleTxtG"/>
        <w:ind w:left="1701"/>
      </w:pPr>
      <w:r w:rsidRPr="0003433A">
        <w:t>2018</w:t>
      </w:r>
      <w:r w:rsidR="002859BF" w:rsidRPr="0003433A">
        <w:t xml:space="preserve"> –</w:t>
      </w:r>
      <w:r w:rsidRPr="0003433A">
        <w:t xml:space="preserve"> 1 female case, 4 years old (island of Santiago, Praia municipality).</w:t>
      </w:r>
    </w:p>
    <w:p w:rsidR="008E34DE" w:rsidRPr="0003433A" w:rsidRDefault="008E34DE" w:rsidP="001F0F3E">
      <w:pPr>
        <w:pStyle w:val="H23G"/>
      </w:pPr>
      <w:r w:rsidRPr="0003433A">
        <w:tab/>
      </w:r>
      <w:r w:rsidRPr="0003433A">
        <w:tab/>
        <w:t>Reply to question 16</w:t>
      </w:r>
      <w:r w:rsidR="001F0F3E" w:rsidRPr="0003433A">
        <w:t xml:space="preserve"> </w:t>
      </w:r>
      <w:r w:rsidRPr="0003433A">
        <w:t>(d)</w:t>
      </w:r>
    </w:p>
    <w:p w:rsidR="008E34DE" w:rsidRPr="0003433A" w:rsidRDefault="008E34DE" w:rsidP="002A0B1D">
      <w:pPr>
        <w:pStyle w:val="SingleTxtG"/>
      </w:pPr>
      <w:r w:rsidRPr="0003433A">
        <w:t>18.</w:t>
      </w:r>
      <w:r w:rsidRPr="0003433A">
        <w:tab/>
        <w:t>Adolescent adopted in Cape Verde:</w:t>
      </w:r>
    </w:p>
    <w:p w:rsidR="008E34DE" w:rsidRPr="0003433A" w:rsidRDefault="008E34DE" w:rsidP="001F0F3E">
      <w:pPr>
        <w:pStyle w:val="SingleTxtG"/>
        <w:ind w:left="1701"/>
      </w:pPr>
      <w:r w:rsidRPr="0003433A">
        <w:t xml:space="preserve">2018 </w:t>
      </w:r>
      <w:r w:rsidR="001F0F3E" w:rsidRPr="0003433A">
        <w:t>–</w:t>
      </w:r>
      <w:r w:rsidRPr="0003433A">
        <w:t xml:space="preserve"> 1 female national adoption, 10 months old, of the island of S. Vicente.</w:t>
      </w:r>
    </w:p>
    <w:p w:rsidR="008E34DE" w:rsidRPr="0003433A" w:rsidRDefault="008E34DE" w:rsidP="001F0F3E">
      <w:pPr>
        <w:pStyle w:val="H23G"/>
      </w:pPr>
      <w:r w:rsidRPr="0003433A">
        <w:tab/>
      </w:r>
      <w:r w:rsidRPr="0003433A">
        <w:tab/>
        <w:t>Reply to question 17</w:t>
      </w:r>
      <w:r w:rsidR="001F0F3E" w:rsidRPr="0003433A">
        <w:t xml:space="preserve"> </w:t>
      </w:r>
      <w:r w:rsidRPr="0003433A">
        <w:t>(b)</w:t>
      </w:r>
    </w:p>
    <w:p w:rsidR="008E34DE" w:rsidRPr="0003433A" w:rsidRDefault="008E34DE" w:rsidP="002A0B1D">
      <w:pPr>
        <w:pStyle w:val="SingleTxtG"/>
      </w:pPr>
      <w:r w:rsidRPr="0003433A">
        <w:t>19.</w:t>
      </w:r>
      <w:r w:rsidRPr="0003433A">
        <w:tab/>
        <w:t>Children and Adolescents with disabilities, hosted by ICCA:</w:t>
      </w:r>
    </w:p>
    <w:p w:rsidR="008E34DE" w:rsidRPr="0003433A" w:rsidRDefault="001F0F3E" w:rsidP="001F0F3E">
      <w:pPr>
        <w:pStyle w:val="SingleTxtG"/>
        <w:ind w:left="1701"/>
      </w:pPr>
      <w:r w:rsidRPr="0003433A">
        <w:t>2016–2017–2018 –</w:t>
      </w:r>
      <w:r w:rsidR="008E34DE" w:rsidRPr="0003433A">
        <w:t xml:space="preserve"> 5 children; being 2 females and 3 males </w:t>
      </w:r>
      <w:r w:rsidRPr="0003433A">
        <w:t>a</w:t>
      </w:r>
      <w:r w:rsidR="008E34DE" w:rsidRPr="0003433A">
        <w:t>ges: 5, 9, 11, 12 and 13 years old.</w:t>
      </w:r>
    </w:p>
    <w:p w:rsidR="008E34DE" w:rsidRPr="0003433A" w:rsidRDefault="008E34DE" w:rsidP="001F0F3E">
      <w:pPr>
        <w:pStyle w:val="H23G"/>
      </w:pPr>
      <w:r w:rsidRPr="0003433A">
        <w:tab/>
      </w:r>
      <w:r w:rsidRPr="0003433A">
        <w:tab/>
        <w:t>Reply to question 17</w:t>
      </w:r>
      <w:r w:rsidR="001F0F3E" w:rsidRPr="0003433A">
        <w:t xml:space="preserve"> </w:t>
      </w:r>
      <w:r w:rsidRPr="0003433A">
        <w:t>(c)</w:t>
      </w:r>
    </w:p>
    <w:p w:rsidR="008E34DE" w:rsidRPr="0003433A" w:rsidRDefault="008E34DE" w:rsidP="002A0B1D">
      <w:pPr>
        <w:pStyle w:val="SingleTxtG"/>
      </w:pPr>
      <w:r w:rsidRPr="0003433A">
        <w:t>20.</w:t>
      </w:r>
      <w:r w:rsidRPr="0003433A">
        <w:tab/>
        <w:t>Children and Adolescents with disabilities, hosted by ICCA, attending Normal Primary School:</w:t>
      </w:r>
    </w:p>
    <w:p w:rsidR="008E34DE" w:rsidRPr="0003433A" w:rsidRDefault="00E7688C" w:rsidP="00E7688C">
      <w:pPr>
        <w:pStyle w:val="SingleTxtG"/>
        <w:ind w:left="1701"/>
      </w:pPr>
      <w:r w:rsidRPr="0003433A">
        <w:t>2018 –</w:t>
      </w:r>
      <w:r w:rsidR="008E34DE" w:rsidRPr="0003433A">
        <w:t xml:space="preserve"> 2 male.</w:t>
      </w:r>
    </w:p>
    <w:p w:rsidR="008E34DE" w:rsidRPr="0003433A" w:rsidRDefault="008E34DE" w:rsidP="00E7688C">
      <w:pPr>
        <w:pStyle w:val="H23G"/>
      </w:pPr>
      <w:r w:rsidRPr="0003433A">
        <w:tab/>
      </w:r>
      <w:r w:rsidRPr="0003433A">
        <w:tab/>
        <w:t>Reply to question 17</w:t>
      </w:r>
      <w:r w:rsidR="00E7688C" w:rsidRPr="0003433A">
        <w:t xml:space="preserve"> </w:t>
      </w:r>
      <w:r w:rsidRPr="0003433A">
        <w:t xml:space="preserve">(e) </w:t>
      </w:r>
    </w:p>
    <w:p w:rsidR="008E34DE" w:rsidRPr="0003433A" w:rsidRDefault="008E34DE" w:rsidP="002A0B1D">
      <w:pPr>
        <w:pStyle w:val="SingleTxtG"/>
      </w:pPr>
      <w:r w:rsidRPr="0003433A">
        <w:t>21.</w:t>
      </w:r>
      <w:r w:rsidRPr="0003433A">
        <w:tab/>
        <w:t>Children and Adolescents with disabilities, hosted by ICCA, attending School for Children with Special Needs:</w:t>
      </w:r>
    </w:p>
    <w:p w:rsidR="008E34DE" w:rsidRPr="0003433A" w:rsidRDefault="00E7688C" w:rsidP="00E7688C">
      <w:pPr>
        <w:pStyle w:val="SingleTxtG"/>
        <w:ind w:left="1701"/>
      </w:pPr>
      <w:r w:rsidRPr="0003433A">
        <w:t>2017–</w:t>
      </w:r>
      <w:r w:rsidR="008E34DE" w:rsidRPr="0003433A">
        <w:t xml:space="preserve">2018 </w:t>
      </w:r>
      <w:r w:rsidRPr="0003433A">
        <w:t>–</w:t>
      </w:r>
      <w:r w:rsidR="008E34DE" w:rsidRPr="0003433A">
        <w:t xml:space="preserve"> 1 female.</w:t>
      </w:r>
    </w:p>
    <w:p w:rsidR="008E34DE" w:rsidRPr="0003433A" w:rsidRDefault="008E34DE" w:rsidP="00E7688C">
      <w:pPr>
        <w:pStyle w:val="H23G"/>
      </w:pPr>
      <w:r w:rsidRPr="0003433A">
        <w:tab/>
      </w:r>
      <w:r w:rsidRPr="0003433A">
        <w:tab/>
        <w:t>Reply to question 17</w:t>
      </w:r>
      <w:r w:rsidR="00E7688C" w:rsidRPr="0003433A">
        <w:t xml:space="preserve"> </w:t>
      </w:r>
      <w:r w:rsidRPr="0003433A">
        <w:t xml:space="preserve">(f) </w:t>
      </w:r>
    </w:p>
    <w:p w:rsidR="008E34DE" w:rsidRPr="0003433A" w:rsidRDefault="008E34DE" w:rsidP="002A0B1D">
      <w:pPr>
        <w:pStyle w:val="SingleTxtG"/>
      </w:pPr>
      <w:r w:rsidRPr="0003433A">
        <w:t>22.</w:t>
      </w:r>
      <w:r w:rsidRPr="0003433A">
        <w:tab/>
        <w:t>Children and Adolescents with disabilities, hosted by ICCA, who do not attend schools:</w:t>
      </w:r>
    </w:p>
    <w:p w:rsidR="008E34DE" w:rsidRPr="0003433A" w:rsidRDefault="00E7688C" w:rsidP="00E7688C">
      <w:pPr>
        <w:pStyle w:val="SingleTxtG"/>
        <w:ind w:left="1701"/>
      </w:pPr>
      <w:r w:rsidRPr="0003433A">
        <w:t xml:space="preserve">2016–2017–2018 – </w:t>
      </w:r>
      <w:r w:rsidR="008E34DE" w:rsidRPr="0003433A">
        <w:t>1 female of 11 years.</w:t>
      </w:r>
    </w:p>
    <w:p w:rsidR="008E34DE" w:rsidRPr="0003433A" w:rsidRDefault="008E34DE" w:rsidP="00E7688C">
      <w:pPr>
        <w:pStyle w:val="H23G"/>
      </w:pPr>
      <w:r w:rsidRPr="0003433A">
        <w:tab/>
      </w:r>
      <w:r w:rsidRPr="0003433A">
        <w:tab/>
        <w:t>Reply to question 17</w:t>
      </w:r>
      <w:r w:rsidR="00E7688C" w:rsidRPr="0003433A">
        <w:t xml:space="preserve"> </w:t>
      </w:r>
      <w:r w:rsidRPr="0003433A">
        <w:t xml:space="preserve">(g) </w:t>
      </w:r>
    </w:p>
    <w:p w:rsidR="008E34DE" w:rsidRPr="0003433A" w:rsidRDefault="008E34DE" w:rsidP="002A0B1D">
      <w:pPr>
        <w:pStyle w:val="SingleTxtG"/>
      </w:pPr>
      <w:r w:rsidRPr="0003433A">
        <w:t>23.</w:t>
      </w:r>
      <w:r w:rsidRPr="0003433A">
        <w:tab/>
        <w:t>Children and adolescents with disabilities, hosted by ICCA who were abandoned by the family:</w:t>
      </w:r>
    </w:p>
    <w:p w:rsidR="008E34DE" w:rsidRPr="0003433A" w:rsidRDefault="008E34DE" w:rsidP="00E7688C">
      <w:pPr>
        <w:pStyle w:val="SingleTxtG"/>
        <w:ind w:left="1701"/>
      </w:pPr>
      <w:r w:rsidRPr="0003433A">
        <w:t>2016</w:t>
      </w:r>
      <w:r w:rsidR="00E7688C" w:rsidRPr="0003433A">
        <w:t>–2017–2018 –</w:t>
      </w:r>
      <w:r w:rsidRPr="0003433A">
        <w:t xml:space="preserve"> The 5 children and adolescents mentioned above.</w:t>
      </w:r>
    </w:p>
    <w:p w:rsidR="008E34DE" w:rsidRPr="0003433A" w:rsidRDefault="008E34DE" w:rsidP="00E7688C">
      <w:pPr>
        <w:pStyle w:val="H23G"/>
      </w:pPr>
      <w:r w:rsidRPr="0003433A">
        <w:lastRenderedPageBreak/>
        <w:tab/>
      </w:r>
      <w:r w:rsidRPr="0003433A">
        <w:tab/>
        <w:t>Reply to question 20</w:t>
      </w:r>
    </w:p>
    <w:p w:rsidR="008E34DE" w:rsidRPr="0003433A" w:rsidRDefault="008E34DE" w:rsidP="00532B16">
      <w:pPr>
        <w:pStyle w:val="SingleTxtG"/>
      </w:pPr>
      <w:r w:rsidRPr="0003433A">
        <w:t>24.</w:t>
      </w:r>
      <w:r w:rsidRPr="0003433A">
        <w:tab/>
        <w:t>Priority areas for working for/or with children and adolescents are:</w:t>
      </w:r>
    </w:p>
    <w:p w:rsidR="008E34DE" w:rsidRPr="0003433A" w:rsidRDefault="00E7688C" w:rsidP="002A0B1D">
      <w:pPr>
        <w:pStyle w:val="SingleTxtG"/>
      </w:pPr>
      <w:r w:rsidRPr="0003433A">
        <w:tab/>
      </w:r>
      <w:r w:rsidR="008E34DE" w:rsidRPr="0003433A">
        <w:t>(a)</w:t>
      </w:r>
      <w:r w:rsidR="008E34DE" w:rsidRPr="0003433A">
        <w:tab/>
        <w:t>Sexual violence;</w:t>
      </w:r>
    </w:p>
    <w:p w:rsidR="008E34DE" w:rsidRPr="0003433A" w:rsidRDefault="00E7688C" w:rsidP="002A0B1D">
      <w:pPr>
        <w:pStyle w:val="SingleTxtG"/>
      </w:pPr>
      <w:r w:rsidRPr="0003433A">
        <w:tab/>
      </w:r>
      <w:r w:rsidR="008E34DE" w:rsidRPr="0003433A">
        <w:t>(b)</w:t>
      </w:r>
      <w:r w:rsidR="008E34DE" w:rsidRPr="0003433A">
        <w:tab/>
        <w:t>Consumption of alcohol and other drugs;</w:t>
      </w:r>
    </w:p>
    <w:p w:rsidR="008E34DE" w:rsidRPr="0003433A" w:rsidRDefault="00E7688C" w:rsidP="002A0B1D">
      <w:pPr>
        <w:pStyle w:val="SingleTxtG"/>
      </w:pPr>
      <w:r w:rsidRPr="0003433A">
        <w:tab/>
      </w:r>
      <w:r w:rsidR="008E34DE" w:rsidRPr="0003433A">
        <w:t>(c)</w:t>
      </w:r>
      <w:r w:rsidR="008E34DE" w:rsidRPr="0003433A">
        <w:tab/>
        <w:t>Mental health of children;</w:t>
      </w:r>
    </w:p>
    <w:p w:rsidR="008E34DE" w:rsidRPr="0003433A" w:rsidRDefault="00E7688C" w:rsidP="002A0B1D">
      <w:pPr>
        <w:pStyle w:val="SingleTxtG"/>
      </w:pPr>
      <w:r w:rsidRPr="0003433A">
        <w:tab/>
      </w:r>
      <w:r w:rsidR="008E34DE" w:rsidRPr="0003433A">
        <w:t>(d)</w:t>
      </w:r>
      <w:r w:rsidR="008E34DE" w:rsidRPr="0003433A">
        <w:tab/>
        <w:t>Disappearance.</w:t>
      </w:r>
    </w:p>
    <w:p w:rsidR="00E7688C" w:rsidRPr="0003433A" w:rsidRDefault="00E7688C" w:rsidP="00E7688C">
      <w:pPr>
        <w:pStyle w:val="SingleTxtG"/>
        <w:spacing w:before="240"/>
        <w:jc w:val="center"/>
      </w:pPr>
      <w:r w:rsidRPr="0003433A">
        <w:rPr>
          <w:u w:val="single"/>
        </w:rPr>
        <w:tab/>
      </w:r>
      <w:r w:rsidRPr="0003433A">
        <w:rPr>
          <w:u w:val="single"/>
        </w:rPr>
        <w:tab/>
      </w:r>
      <w:r w:rsidRPr="0003433A">
        <w:rPr>
          <w:u w:val="single"/>
        </w:rPr>
        <w:tab/>
      </w:r>
    </w:p>
    <w:sectPr w:rsidR="00E7688C" w:rsidRPr="0003433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5F" w:rsidRPr="00C60504" w:rsidRDefault="00FE1A5F" w:rsidP="00C60504">
      <w:pPr>
        <w:pStyle w:val="Footer"/>
      </w:pPr>
    </w:p>
  </w:endnote>
  <w:endnote w:type="continuationSeparator" w:id="0">
    <w:p w:rsidR="00FE1A5F" w:rsidRPr="00C60504" w:rsidRDefault="00FE1A5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70" w:rsidRDefault="00D37B70" w:rsidP="00AB0CE7">
    <w:pPr>
      <w:pStyle w:val="Footer"/>
      <w:tabs>
        <w:tab w:val="right" w:pos="9638"/>
      </w:tabs>
    </w:pPr>
    <w:r w:rsidRPr="00D37B70">
      <w:rPr>
        <w:b/>
        <w:bCs/>
        <w:sz w:val="18"/>
      </w:rPr>
      <w:fldChar w:fldCharType="begin"/>
    </w:r>
    <w:r w:rsidRPr="00D37B70">
      <w:rPr>
        <w:b/>
        <w:bCs/>
        <w:sz w:val="18"/>
      </w:rPr>
      <w:instrText xml:space="preserve"> PAGE  \* MERGEFORMAT </w:instrText>
    </w:r>
    <w:r w:rsidRPr="00D37B70">
      <w:rPr>
        <w:b/>
        <w:bCs/>
        <w:sz w:val="18"/>
      </w:rPr>
      <w:fldChar w:fldCharType="separate"/>
    </w:r>
    <w:r w:rsidR="005054D3">
      <w:rPr>
        <w:b/>
        <w:bCs/>
        <w:noProof/>
        <w:sz w:val="18"/>
      </w:rPr>
      <w:t>4</w:t>
    </w:r>
    <w:r w:rsidRPr="00D37B7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70" w:rsidRDefault="00D37B70" w:rsidP="00D37B70">
    <w:pPr>
      <w:pStyle w:val="Footer"/>
      <w:tabs>
        <w:tab w:val="right" w:pos="9638"/>
      </w:tabs>
    </w:pPr>
    <w:r>
      <w:tab/>
    </w:r>
    <w:r w:rsidRPr="00D37B70">
      <w:rPr>
        <w:b/>
        <w:bCs/>
        <w:sz w:val="18"/>
      </w:rPr>
      <w:fldChar w:fldCharType="begin"/>
    </w:r>
    <w:r w:rsidRPr="00D37B70">
      <w:rPr>
        <w:b/>
        <w:bCs/>
        <w:sz w:val="18"/>
      </w:rPr>
      <w:instrText xml:space="preserve"> PAGE  \* MERGEFORMAT </w:instrText>
    </w:r>
    <w:r w:rsidRPr="00D37B70">
      <w:rPr>
        <w:b/>
        <w:bCs/>
        <w:sz w:val="18"/>
      </w:rPr>
      <w:fldChar w:fldCharType="separate"/>
    </w:r>
    <w:r w:rsidR="005054D3">
      <w:rPr>
        <w:b/>
        <w:bCs/>
        <w:noProof/>
        <w:sz w:val="18"/>
      </w:rPr>
      <w:t>5</w:t>
    </w:r>
    <w:r w:rsidRPr="00D37B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D3" w:rsidRDefault="005054D3" w:rsidP="005054D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054D3" w:rsidRDefault="005054D3" w:rsidP="005054D3">
    <w:pPr>
      <w:pStyle w:val="Footer"/>
      <w:ind w:right="1134"/>
      <w:rPr>
        <w:sz w:val="20"/>
      </w:rPr>
    </w:pPr>
    <w:r>
      <w:rPr>
        <w:sz w:val="20"/>
      </w:rPr>
      <w:t>GE.19-06963(E)</w:t>
    </w:r>
  </w:p>
  <w:p w:rsidR="005054D3" w:rsidRPr="005054D3" w:rsidRDefault="005054D3" w:rsidP="005054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PV/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5F" w:rsidRPr="00C60504" w:rsidRDefault="00FE1A5F" w:rsidP="00C60504">
      <w:pPr>
        <w:tabs>
          <w:tab w:val="right" w:pos="2155"/>
        </w:tabs>
        <w:spacing w:after="80" w:line="240" w:lineRule="auto"/>
        <w:ind w:left="680"/>
      </w:pPr>
      <w:r>
        <w:rPr>
          <w:u w:val="single"/>
        </w:rPr>
        <w:tab/>
      </w:r>
    </w:p>
  </w:footnote>
  <w:footnote w:type="continuationSeparator" w:id="0">
    <w:p w:rsidR="00FE1A5F" w:rsidRPr="00C60504" w:rsidRDefault="00FE1A5F" w:rsidP="00C60504">
      <w:pPr>
        <w:tabs>
          <w:tab w:val="right" w:pos="2155"/>
        </w:tabs>
        <w:spacing w:after="80" w:line="240" w:lineRule="auto"/>
        <w:ind w:left="680"/>
      </w:pPr>
      <w:r>
        <w:rPr>
          <w:u w:val="single"/>
        </w:rPr>
        <w:tab/>
      </w:r>
    </w:p>
  </w:footnote>
  <w:footnote w:id="1">
    <w:p w:rsidR="008E34DE" w:rsidRDefault="008E34DE" w:rsidP="008E34DE">
      <w:pPr>
        <w:pStyle w:val="FootnoteText"/>
        <w:rPr>
          <w:lang w:val="en-US"/>
        </w:rPr>
      </w:pPr>
      <w:r w:rsidRPr="00AB0CE7">
        <w:rPr>
          <w:sz w:val="20"/>
        </w:rPr>
        <w:tab/>
      </w:r>
      <w:r w:rsidRPr="00AB0CE7">
        <w:rPr>
          <w:rStyle w:val="FootnoteReference"/>
          <w:sz w:val="20"/>
          <w:vertAlign w:val="baseline"/>
        </w:rPr>
        <w:t>*</w:t>
      </w:r>
      <w:r w:rsidRPr="00AB0CE7">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70" w:rsidRDefault="00D37B70" w:rsidP="00D37B70">
    <w:pPr>
      <w:pStyle w:val="Header"/>
    </w:pPr>
    <w:r>
      <w:t>CRC/C/CPV/Q/2/Add.1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70" w:rsidRDefault="00D37B70" w:rsidP="00D37B70">
    <w:pPr>
      <w:pStyle w:val="Header"/>
      <w:jc w:val="right"/>
    </w:pPr>
    <w:r>
      <w:t>CRC/C/CPV/Q/2/Add.1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A5F"/>
    <w:rsid w:val="0003433A"/>
    <w:rsid w:val="00046E92"/>
    <w:rsid w:val="001F0F3E"/>
    <w:rsid w:val="00226ADD"/>
    <w:rsid w:val="00247E2C"/>
    <w:rsid w:val="002859BF"/>
    <w:rsid w:val="002A09CA"/>
    <w:rsid w:val="002A0B1D"/>
    <w:rsid w:val="002D6C53"/>
    <w:rsid w:val="002F5595"/>
    <w:rsid w:val="00334F6A"/>
    <w:rsid w:val="00342AC8"/>
    <w:rsid w:val="003522C2"/>
    <w:rsid w:val="003B4550"/>
    <w:rsid w:val="004150D9"/>
    <w:rsid w:val="00461253"/>
    <w:rsid w:val="005042C2"/>
    <w:rsid w:val="005054D3"/>
    <w:rsid w:val="00532B16"/>
    <w:rsid w:val="00532FA5"/>
    <w:rsid w:val="00550437"/>
    <w:rsid w:val="00671529"/>
    <w:rsid w:val="006F0959"/>
    <w:rsid w:val="007268F9"/>
    <w:rsid w:val="007C52B0"/>
    <w:rsid w:val="008E34DE"/>
    <w:rsid w:val="00921755"/>
    <w:rsid w:val="009411B4"/>
    <w:rsid w:val="009D0139"/>
    <w:rsid w:val="009F5CDC"/>
    <w:rsid w:val="00A775CF"/>
    <w:rsid w:val="00A9548D"/>
    <w:rsid w:val="00AB0CE7"/>
    <w:rsid w:val="00B06045"/>
    <w:rsid w:val="00B1117E"/>
    <w:rsid w:val="00BE00EE"/>
    <w:rsid w:val="00BE2540"/>
    <w:rsid w:val="00C073FD"/>
    <w:rsid w:val="00C35A27"/>
    <w:rsid w:val="00C60504"/>
    <w:rsid w:val="00CD0365"/>
    <w:rsid w:val="00D21089"/>
    <w:rsid w:val="00D37B70"/>
    <w:rsid w:val="00DB7788"/>
    <w:rsid w:val="00E02C2B"/>
    <w:rsid w:val="00E7688C"/>
    <w:rsid w:val="00E96D00"/>
    <w:rsid w:val="00ED625E"/>
    <w:rsid w:val="00ED6C48"/>
    <w:rsid w:val="00F279F3"/>
    <w:rsid w:val="00F65F5D"/>
    <w:rsid w:val="00F757FA"/>
    <w:rsid w:val="00F86A3A"/>
    <w:rsid w:val="00F93C73"/>
    <w:rsid w:val="00FE1A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1EC00E5-8E23-4FBE-9BE4-F7C142A0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4B3C-D6EB-45F9-AF8B-F6846B54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1168</Words>
  <Characters>5887</Characters>
  <Application>Microsoft Office Word</Application>
  <DocSecurity>0</DocSecurity>
  <Lines>151</Lines>
  <Paragraphs>103</Paragraphs>
  <ScaleCrop>false</ScaleCrop>
  <HeadingPairs>
    <vt:vector size="2" baseType="variant">
      <vt:variant>
        <vt:lpstr>Title</vt:lpstr>
      </vt:variant>
      <vt:variant>
        <vt:i4>1</vt:i4>
      </vt:variant>
    </vt:vector>
  </HeadingPairs>
  <TitlesOfParts>
    <vt:vector size="1" baseType="lpstr">
      <vt:lpstr>CRC/C/CPV/Q/2/Add.1</vt:lpstr>
    </vt:vector>
  </TitlesOfParts>
  <Company>DCM</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CRC/C/CPV/Q/2/Add.1</dc:title>
  <dc:subject>1906963</dc:subject>
  <dc:creator>Giltsoff</dc:creator>
  <cp:keywords/>
  <dc:description/>
  <cp:lastModifiedBy>Linda Ollerenshaw</cp:lastModifiedBy>
  <cp:revision>2</cp:revision>
  <cp:lastPrinted>2019-04-29T14:44:00Z</cp:lastPrinted>
  <dcterms:created xsi:type="dcterms:W3CDTF">2019-04-30T06:50:00Z</dcterms:created>
  <dcterms:modified xsi:type="dcterms:W3CDTF">2019-04-30T06:50:00Z</dcterms:modified>
</cp:coreProperties>
</file>