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B5DCF" w:rsidP="008B5DCF">
            <w:pPr>
              <w:bidi w:val="0"/>
              <w:spacing w:after="20"/>
              <w:jc w:val="left"/>
              <w:rPr>
                <w:szCs w:val="20"/>
              </w:rPr>
            </w:pPr>
            <w:r w:rsidRPr="008B5DCF">
              <w:rPr>
                <w:sz w:val="40"/>
                <w:szCs w:val="20"/>
              </w:rPr>
              <w:t>CEDAW</w:t>
            </w:r>
            <w:r>
              <w:rPr>
                <w:szCs w:val="20"/>
              </w:rPr>
              <w:t>/C/GRC/Q/7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8B5DCF" w:rsidRDefault="008B5DCF" w:rsidP="008B5DCF">
            <w:pPr>
              <w:bidi w:val="0"/>
              <w:spacing w:before="240"/>
              <w:jc w:val="left"/>
            </w:pPr>
            <w:r>
              <w:t>Distr.: General</w:t>
            </w:r>
          </w:p>
          <w:p w:rsidR="008B5DCF" w:rsidRDefault="008B5DCF" w:rsidP="008B5DCF">
            <w:pPr>
              <w:bidi w:val="0"/>
              <w:jc w:val="left"/>
            </w:pPr>
            <w:r>
              <w:t>21 August 2012</w:t>
            </w:r>
          </w:p>
          <w:p w:rsidR="008B5DCF" w:rsidRDefault="008B5DCF" w:rsidP="008B5DCF">
            <w:pPr>
              <w:bidi w:val="0"/>
              <w:jc w:val="left"/>
            </w:pPr>
            <w:r>
              <w:t>Arabic</w:t>
            </w:r>
          </w:p>
          <w:p w:rsidR="00257225" w:rsidRPr="008B4BC6" w:rsidRDefault="008B5DCF" w:rsidP="008B5DCF">
            <w:pPr>
              <w:bidi w:val="0"/>
              <w:jc w:val="left"/>
            </w:pPr>
            <w:r>
              <w:t>Original: English</w:t>
            </w:r>
          </w:p>
        </w:tc>
      </w:tr>
    </w:tbl>
    <w:p w:rsidR="003D146C" w:rsidRPr="000A29B7" w:rsidRDefault="003D146C" w:rsidP="003D146C">
      <w:pPr>
        <w:pStyle w:val="SingleTxtGA"/>
        <w:spacing w:before="120" w:after="0"/>
        <w:ind w:left="0" w:right="0"/>
        <w:rPr>
          <w:rFonts w:hint="cs"/>
          <w:b/>
          <w:bCs/>
          <w:rtl/>
          <w:lang w:val="fr-CH"/>
        </w:rPr>
      </w:pPr>
      <w:r w:rsidRPr="000A29B7">
        <w:rPr>
          <w:rFonts w:hint="cs"/>
          <w:b/>
          <w:bCs/>
          <w:rtl/>
          <w:lang w:val="fr-CH"/>
        </w:rPr>
        <w:t xml:space="preserve">اللجنة المعنية بالقضاء على التمييز ضد المرأة </w:t>
      </w:r>
    </w:p>
    <w:p w:rsidR="003D146C" w:rsidRPr="000A29B7" w:rsidRDefault="003D146C" w:rsidP="003D146C">
      <w:pPr>
        <w:pStyle w:val="SingleTxtGA"/>
        <w:spacing w:after="0"/>
        <w:ind w:left="0" w:right="0"/>
        <w:rPr>
          <w:rFonts w:hint="cs"/>
          <w:b/>
          <w:bCs/>
          <w:rtl/>
          <w:lang w:val="fr-CH"/>
        </w:rPr>
      </w:pPr>
      <w:r w:rsidRPr="000A29B7">
        <w:rPr>
          <w:rFonts w:hint="cs"/>
          <w:b/>
          <w:bCs/>
          <w:rtl/>
          <w:lang w:val="fr-CH"/>
        </w:rPr>
        <w:t>الدورة الرابعة والخمسون</w:t>
      </w:r>
    </w:p>
    <w:p w:rsidR="003D146C" w:rsidRDefault="003D146C" w:rsidP="003D146C">
      <w:pPr>
        <w:pStyle w:val="SingleTxtGA"/>
        <w:spacing w:after="0"/>
        <w:ind w:left="0" w:right="0"/>
        <w:rPr>
          <w:rFonts w:hint="cs"/>
          <w:rtl/>
          <w:lang w:val="fr-CH"/>
        </w:rPr>
      </w:pPr>
      <w:r>
        <w:rPr>
          <w:rFonts w:hint="cs"/>
          <w:rtl/>
          <w:lang w:val="fr-CH"/>
        </w:rPr>
        <w:t xml:space="preserve">11 </w:t>
      </w:r>
      <w:r w:rsidRPr="00B9566F">
        <w:rPr>
          <w:rFonts w:hint="cs"/>
          <w:sz w:val="30"/>
          <w:rtl/>
          <w:lang w:val="fr-CH"/>
        </w:rPr>
        <w:t xml:space="preserve">شباط/فبراير </w:t>
      </w:r>
      <w:r>
        <w:rPr>
          <w:rFonts w:hint="cs"/>
          <w:rtl/>
          <w:lang w:val="fr-CH"/>
        </w:rPr>
        <w:t xml:space="preserve">- 1 </w:t>
      </w:r>
      <w:r w:rsidRPr="00B9566F">
        <w:rPr>
          <w:rFonts w:hint="cs"/>
          <w:sz w:val="30"/>
          <w:rtl/>
          <w:lang w:val="fr-CH"/>
        </w:rPr>
        <w:t xml:space="preserve">آذار/مارس </w:t>
      </w:r>
      <w:r>
        <w:rPr>
          <w:rFonts w:hint="cs"/>
          <w:rtl/>
          <w:lang w:val="fr-CH"/>
        </w:rPr>
        <w:t xml:space="preserve">2013 </w:t>
      </w:r>
    </w:p>
    <w:p w:rsidR="003D146C" w:rsidRDefault="003D146C" w:rsidP="00180680">
      <w:pPr>
        <w:pStyle w:val="HChGA"/>
        <w:rPr>
          <w:rFonts w:hint="cs"/>
          <w:rtl/>
          <w:lang w:val="fr-CH"/>
        </w:rPr>
      </w:pPr>
      <w:r>
        <w:rPr>
          <w:rFonts w:hint="cs"/>
          <w:rtl/>
          <w:lang w:val="fr-CH"/>
        </w:rPr>
        <w:tab/>
      </w:r>
      <w:r>
        <w:rPr>
          <w:rFonts w:hint="cs"/>
          <w:rtl/>
          <w:lang w:val="fr-CH"/>
        </w:rPr>
        <w:tab/>
        <w:t xml:space="preserve">قائمة القضايا والأسئلة </w:t>
      </w:r>
      <w:r w:rsidR="00180680">
        <w:rPr>
          <w:rFonts w:hint="cs"/>
          <w:rtl/>
          <w:lang w:val="fr-CH"/>
        </w:rPr>
        <w:t xml:space="preserve">في سياق </w:t>
      </w:r>
      <w:r>
        <w:rPr>
          <w:rFonts w:hint="cs"/>
          <w:rtl/>
          <w:lang w:val="fr-CH"/>
        </w:rPr>
        <w:t>النظر في التقارير الدورية</w:t>
      </w:r>
    </w:p>
    <w:p w:rsidR="003D146C" w:rsidRDefault="003D146C" w:rsidP="003D146C">
      <w:pPr>
        <w:pStyle w:val="H1GA"/>
        <w:rPr>
          <w:rFonts w:hint="cs"/>
          <w:rtl/>
          <w:lang w:val="fr-CH"/>
        </w:rPr>
      </w:pPr>
      <w:r>
        <w:rPr>
          <w:rFonts w:hint="cs"/>
          <w:rtl/>
          <w:lang w:val="fr-CH"/>
        </w:rPr>
        <w:tab/>
      </w:r>
      <w:r>
        <w:rPr>
          <w:rFonts w:hint="cs"/>
          <w:rtl/>
          <w:lang w:val="fr-CH"/>
        </w:rPr>
        <w:tab/>
        <w:t>اليونان</w:t>
      </w:r>
    </w:p>
    <w:p w:rsidR="003D146C" w:rsidRDefault="003D146C" w:rsidP="003D146C">
      <w:pPr>
        <w:pStyle w:val="SingleTxtGA"/>
        <w:rPr>
          <w:rFonts w:hint="cs"/>
          <w:rtl/>
        </w:rPr>
      </w:pPr>
      <w:r>
        <w:rPr>
          <w:rFonts w:hint="cs"/>
          <w:rtl/>
          <w:lang w:val="fr-CH"/>
        </w:rPr>
        <w:tab/>
        <w:t>نظر الفريق العامل لما قبل الدورة في التقرير الدوري السابع لليونان (</w:t>
      </w:r>
      <w:r>
        <w:t>CEDAW/C/GRC/7</w:t>
      </w:r>
      <w:r>
        <w:rPr>
          <w:rFonts w:hint="cs"/>
          <w:rtl/>
        </w:rPr>
        <w:t>).</w:t>
      </w:r>
    </w:p>
    <w:p w:rsidR="003D146C" w:rsidRDefault="003D146C" w:rsidP="003D146C">
      <w:pPr>
        <w:pStyle w:val="H23GA"/>
        <w:rPr>
          <w:rFonts w:hint="cs"/>
          <w:rtl/>
        </w:rPr>
      </w:pPr>
      <w:r>
        <w:rPr>
          <w:rFonts w:hint="cs"/>
          <w:rtl/>
        </w:rPr>
        <w:tab/>
      </w:r>
      <w:r>
        <w:rPr>
          <w:rFonts w:hint="cs"/>
          <w:rtl/>
        </w:rPr>
        <w:tab/>
        <w:t>نظرة عامة</w:t>
      </w:r>
    </w:p>
    <w:p w:rsidR="003D146C" w:rsidRDefault="003D146C" w:rsidP="00874ECE">
      <w:pPr>
        <w:pStyle w:val="SingleTxtGA"/>
        <w:rPr>
          <w:rFonts w:hint="cs"/>
          <w:rtl/>
        </w:rPr>
      </w:pPr>
      <w:r w:rsidRPr="00BE0789">
        <w:rPr>
          <w:rFonts w:hint="cs"/>
          <w:rtl/>
        </w:rPr>
        <w:t>1-</w:t>
      </w:r>
      <w:r w:rsidRPr="00BE0789">
        <w:rPr>
          <w:rFonts w:hint="cs"/>
          <w:rtl/>
        </w:rPr>
        <w:tab/>
      </w:r>
      <w:r>
        <w:rPr>
          <w:rFonts w:hint="cs"/>
          <w:rtl/>
        </w:rPr>
        <w:t xml:space="preserve">يرجى تقديم بيانات إحصائية محدثة مصنفة حسب نوع الجنس والموقع الجغرافي تتعلق بمجالات </w:t>
      </w:r>
      <w:r w:rsidR="00414E5D">
        <w:rPr>
          <w:rFonts w:hint="cs"/>
          <w:rtl/>
        </w:rPr>
        <w:t>ا</w:t>
      </w:r>
      <w:r>
        <w:rPr>
          <w:rFonts w:hint="cs"/>
          <w:rtl/>
        </w:rPr>
        <w:t>لاتفاقية وأحكامها</w:t>
      </w:r>
      <w:r w:rsidR="00414E5D">
        <w:rPr>
          <w:rFonts w:hint="cs"/>
          <w:rtl/>
        </w:rPr>
        <w:t xml:space="preserve"> الرئيسية</w:t>
      </w:r>
      <w:r>
        <w:rPr>
          <w:rFonts w:hint="cs"/>
          <w:rtl/>
        </w:rPr>
        <w:t xml:space="preserve">، مثل التعليم </w:t>
      </w:r>
      <w:r w:rsidR="005B4B2B">
        <w:rPr>
          <w:rFonts w:hint="cs"/>
          <w:rtl/>
        </w:rPr>
        <w:t>والعمالة</w:t>
      </w:r>
      <w:r>
        <w:rPr>
          <w:rFonts w:hint="cs"/>
          <w:rtl/>
        </w:rPr>
        <w:t xml:space="preserve"> والصحة والعنف ضد المرأة. ويرجى </w:t>
      </w:r>
      <w:r w:rsidR="00593ECA">
        <w:rPr>
          <w:rFonts w:hint="cs"/>
          <w:rtl/>
        </w:rPr>
        <w:t>بيان</w:t>
      </w:r>
      <w:r w:rsidR="00A95599">
        <w:rPr>
          <w:rFonts w:hint="cs"/>
          <w:rtl/>
        </w:rPr>
        <w:t xml:space="preserve"> </w:t>
      </w:r>
      <w:r>
        <w:rPr>
          <w:rFonts w:hint="cs"/>
          <w:rtl/>
        </w:rPr>
        <w:t xml:space="preserve">الخطوات المتخذة لجمع وتحليل البيانات بصورة منتظمة </w:t>
      </w:r>
      <w:r w:rsidR="00874ECE">
        <w:rPr>
          <w:rFonts w:hint="cs"/>
          <w:rtl/>
        </w:rPr>
        <w:t>بغرض الوقوف</w:t>
      </w:r>
      <w:r>
        <w:rPr>
          <w:rFonts w:hint="cs"/>
          <w:rtl/>
        </w:rPr>
        <w:t xml:space="preserve"> على الوضع الحقيقي </w:t>
      </w:r>
      <w:r w:rsidR="00874ECE">
        <w:rPr>
          <w:rFonts w:hint="cs"/>
          <w:rtl/>
        </w:rPr>
        <w:t>للنساء</w:t>
      </w:r>
      <w:r>
        <w:rPr>
          <w:rFonts w:hint="cs"/>
          <w:rtl/>
        </w:rPr>
        <w:t xml:space="preserve"> المنتميات إلى الفئات المحرومة.</w:t>
      </w:r>
    </w:p>
    <w:p w:rsidR="003D146C" w:rsidRDefault="003D146C" w:rsidP="00E2624B">
      <w:pPr>
        <w:pStyle w:val="SingleTxtGA"/>
        <w:rPr>
          <w:rFonts w:hint="cs"/>
          <w:rtl/>
        </w:rPr>
      </w:pPr>
      <w:r>
        <w:rPr>
          <w:rFonts w:hint="cs"/>
          <w:rtl/>
        </w:rPr>
        <w:t>2-</w:t>
      </w:r>
      <w:r>
        <w:rPr>
          <w:rFonts w:hint="cs"/>
          <w:rtl/>
        </w:rPr>
        <w:tab/>
        <w:t>يرجى تقديم معلومات مفصلة عن عملية إعداد التقرير</w:t>
      </w:r>
      <w:r w:rsidR="00E2624B">
        <w:rPr>
          <w:rFonts w:hint="cs"/>
          <w:rtl/>
        </w:rPr>
        <w:t>،</w:t>
      </w:r>
      <w:r>
        <w:rPr>
          <w:rFonts w:hint="cs"/>
          <w:rtl/>
        </w:rPr>
        <w:t xml:space="preserve"> </w:t>
      </w:r>
      <w:r w:rsidR="00E2624B">
        <w:rPr>
          <w:rFonts w:hint="cs"/>
          <w:rtl/>
        </w:rPr>
        <w:t xml:space="preserve">وبيان على وجه الخصوص </w:t>
      </w:r>
      <w:r>
        <w:rPr>
          <w:rFonts w:hint="cs"/>
          <w:rtl/>
        </w:rPr>
        <w:t>مدى إجراء مشاورات مع المجتمع المدني</w:t>
      </w:r>
      <w:r w:rsidR="00083E0B">
        <w:rPr>
          <w:rFonts w:hint="cs"/>
          <w:rtl/>
        </w:rPr>
        <w:t>،</w:t>
      </w:r>
      <w:r>
        <w:rPr>
          <w:rFonts w:hint="cs"/>
          <w:rtl/>
        </w:rPr>
        <w:t xml:space="preserve"> ولا سيما مع المنظمات النسائية غير الحكومية. ويرجى أيضاً بيان ما إذا كانت الحكومة قد اعتمدت التقرير وقدمته إلى البرلمان.</w:t>
      </w:r>
    </w:p>
    <w:p w:rsidR="004F42D2" w:rsidRDefault="003D146C" w:rsidP="00003048">
      <w:pPr>
        <w:pStyle w:val="SingleTxtGA"/>
        <w:rPr>
          <w:rtl/>
        </w:rPr>
      </w:pPr>
      <w:r>
        <w:rPr>
          <w:rFonts w:hint="cs"/>
          <w:rtl/>
        </w:rPr>
        <w:t>3-</w:t>
      </w:r>
      <w:r>
        <w:rPr>
          <w:rFonts w:hint="cs"/>
          <w:rtl/>
        </w:rPr>
        <w:tab/>
        <w:t xml:space="preserve">يرجى تقديم بيانات ومعلومات محدثة عن آثار الأزمة المالية على الفقر </w:t>
      </w:r>
      <w:r w:rsidR="00003048">
        <w:rPr>
          <w:rFonts w:hint="cs"/>
          <w:rtl/>
        </w:rPr>
        <w:t>والتخفيضات</w:t>
      </w:r>
      <w:r>
        <w:rPr>
          <w:rFonts w:hint="cs"/>
          <w:rtl/>
        </w:rPr>
        <w:t xml:space="preserve"> في الميزانية التي تؤثر على حالة المرأة. ويرجى </w:t>
      </w:r>
      <w:r w:rsidR="00EA37A2">
        <w:rPr>
          <w:rFonts w:hint="cs"/>
          <w:rtl/>
        </w:rPr>
        <w:t xml:space="preserve">تقديم معلومات مستفيضة عن </w:t>
      </w:r>
      <w:r>
        <w:rPr>
          <w:rFonts w:hint="cs"/>
          <w:rtl/>
        </w:rPr>
        <w:t>التدابير المتخذة للتصدي لآثار الأزمة المالية على المرأة منذ عام 2010 والتخفيف من حدتها.</w:t>
      </w:r>
    </w:p>
    <w:p w:rsidR="003D146C" w:rsidRDefault="004F42D2" w:rsidP="004F42D2">
      <w:pPr>
        <w:pStyle w:val="H23GA"/>
        <w:rPr>
          <w:rFonts w:hint="cs"/>
          <w:rtl/>
        </w:rPr>
      </w:pPr>
      <w:r>
        <w:rPr>
          <w:rtl/>
        </w:rPr>
        <w:br w:type="page"/>
      </w:r>
      <w:r w:rsidR="00A41F09">
        <w:rPr>
          <w:rFonts w:hint="cs"/>
          <w:rtl/>
        </w:rPr>
        <w:tab/>
      </w:r>
      <w:r w:rsidR="00A41F09">
        <w:rPr>
          <w:rFonts w:hint="cs"/>
          <w:rtl/>
        </w:rPr>
        <w:tab/>
      </w:r>
      <w:r w:rsidR="003D146C">
        <w:rPr>
          <w:rFonts w:hint="cs"/>
          <w:rtl/>
        </w:rPr>
        <w:t>الإطار الدستوري والتشريعي والمؤسسي</w:t>
      </w:r>
    </w:p>
    <w:p w:rsidR="003D146C" w:rsidRDefault="003D146C" w:rsidP="006D23DA">
      <w:pPr>
        <w:pStyle w:val="SingleTxtGA"/>
        <w:rPr>
          <w:rFonts w:hint="cs"/>
          <w:rtl/>
        </w:rPr>
      </w:pPr>
      <w:r>
        <w:rPr>
          <w:rFonts w:hint="cs"/>
          <w:rtl/>
        </w:rPr>
        <w:t>4-</w:t>
      </w:r>
      <w:r>
        <w:rPr>
          <w:rFonts w:hint="cs"/>
          <w:rtl/>
        </w:rPr>
        <w:tab/>
        <w:t>يشير التقرير (الفقرة 6 من المرفق 1)</w:t>
      </w:r>
      <w:r>
        <w:rPr>
          <w:vertAlign w:val="superscript"/>
          <w:rtl/>
        </w:rPr>
        <w:t>(</w:t>
      </w:r>
      <w:r>
        <w:rPr>
          <w:rStyle w:val="FootnoteReference"/>
          <w:rtl/>
        </w:rPr>
        <w:footnoteReference w:id="1"/>
      </w:r>
      <w:r>
        <w:rPr>
          <w:vertAlign w:val="superscript"/>
          <w:rtl/>
        </w:rPr>
        <w:t>)</w:t>
      </w:r>
      <w:r>
        <w:rPr>
          <w:rtl/>
        </w:rPr>
        <w:t xml:space="preserve"> </w:t>
      </w:r>
      <w:r>
        <w:rPr>
          <w:rFonts w:hint="cs"/>
          <w:rtl/>
        </w:rPr>
        <w:t xml:space="preserve">إلى أن اللجنة التشريعية المتخصصة في </w:t>
      </w:r>
      <w:r w:rsidRPr="004125E9">
        <w:rPr>
          <w:rFonts w:hint="cs"/>
          <w:sz w:val="30"/>
          <w:rtl/>
        </w:rPr>
        <w:t xml:space="preserve">تموز/يوليه </w:t>
      </w:r>
      <w:r>
        <w:rPr>
          <w:rFonts w:hint="cs"/>
          <w:rtl/>
        </w:rPr>
        <w:t>2010 و</w:t>
      </w:r>
      <w:r w:rsidR="006D23DA">
        <w:rPr>
          <w:rFonts w:hint="cs"/>
          <w:rtl/>
        </w:rPr>
        <w:t>إلى أن</w:t>
      </w:r>
      <w:r>
        <w:rPr>
          <w:rFonts w:hint="cs"/>
          <w:rtl/>
        </w:rPr>
        <w:t xml:space="preserve"> هذه اللجنة كانت وقت تقديم التقرير، </w:t>
      </w:r>
      <w:r w:rsidR="000B4D50">
        <w:rPr>
          <w:rFonts w:hint="cs"/>
          <w:rtl/>
        </w:rPr>
        <w:t xml:space="preserve">بصدد </w:t>
      </w:r>
      <w:r>
        <w:rPr>
          <w:rFonts w:hint="cs"/>
          <w:rtl/>
        </w:rPr>
        <w:t xml:space="preserve">إعداد قانون جديد بشأن المساواة </w:t>
      </w:r>
      <w:r w:rsidR="009D4373">
        <w:rPr>
          <w:rFonts w:hint="cs"/>
          <w:rtl/>
        </w:rPr>
        <w:t xml:space="preserve">الحقيقية </w:t>
      </w:r>
      <w:r>
        <w:rPr>
          <w:rFonts w:hint="cs"/>
          <w:rtl/>
        </w:rPr>
        <w:t xml:space="preserve">بين الجنسين (الفقرة 12 من المرفق 1) وإعادة صياغة التشريع المتعلق بمكافحة العنف ضد المرأة (الفقرة 6 من المرفق 1). يرجى تقديم معلومات مفصلة عن ولاية هذه اللجنة </w:t>
      </w:r>
      <w:r w:rsidR="00FB43AF">
        <w:rPr>
          <w:rFonts w:hint="cs"/>
          <w:rtl/>
        </w:rPr>
        <w:t>وتكوينها،</w:t>
      </w:r>
      <w:r>
        <w:rPr>
          <w:rFonts w:hint="cs"/>
          <w:rtl/>
        </w:rPr>
        <w:t xml:space="preserve"> وكذلك معلومات محدثة عما إذا كان</w:t>
      </w:r>
      <w:r w:rsidR="00AB7525">
        <w:rPr>
          <w:rFonts w:hint="cs"/>
          <w:rtl/>
        </w:rPr>
        <w:t>ت</w:t>
      </w:r>
      <w:r>
        <w:rPr>
          <w:rFonts w:hint="cs"/>
          <w:rtl/>
        </w:rPr>
        <w:t xml:space="preserve"> </w:t>
      </w:r>
      <w:r w:rsidR="00AB7525">
        <w:rPr>
          <w:rFonts w:hint="cs"/>
          <w:rtl/>
        </w:rPr>
        <w:t xml:space="preserve">الأحكام التشريعية </w:t>
      </w:r>
      <w:r>
        <w:rPr>
          <w:rFonts w:hint="cs"/>
          <w:rtl/>
        </w:rPr>
        <w:t>المشار إليه</w:t>
      </w:r>
      <w:r w:rsidR="00AB7525">
        <w:rPr>
          <w:rFonts w:hint="cs"/>
          <w:rtl/>
        </w:rPr>
        <w:t>ا</w:t>
      </w:r>
      <w:r>
        <w:rPr>
          <w:rFonts w:hint="cs"/>
          <w:rtl/>
        </w:rPr>
        <w:t xml:space="preserve"> أعلاه قد صيغ</w:t>
      </w:r>
      <w:r w:rsidR="00977E98">
        <w:rPr>
          <w:rFonts w:hint="cs"/>
          <w:rtl/>
        </w:rPr>
        <w:t>ت</w:t>
      </w:r>
      <w:r w:rsidR="007C6FDD">
        <w:rPr>
          <w:rFonts w:hint="cs"/>
          <w:rtl/>
        </w:rPr>
        <w:t xml:space="preserve"> </w:t>
      </w:r>
      <w:r w:rsidR="00977E98">
        <w:rPr>
          <w:rFonts w:hint="cs"/>
          <w:rtl/>
        </w:rPr>
        <w:t>وعُدلت</w:t>
      </w:r>
      <w:r>
        <w:rPr>
          <w:rFonts w:hint="cs"/>
          <w:rtl/>
        </w:rPr>
        <w:t xml:space="preserve">. </w:t>
      </w:r>
    </w:p>
    <w:p w:rsidR="00135B83" w:rsidRDefault="003D146C" w:rsidP="00F71960">
      <w:pPr>
        <w:pStyle w:val="SingleTxtGA"/>
        <w:rPr>
          <w:rFonts w:hint="cs"/>
          <w:rtl/>
        </w:rPr>
      </w:pPr>
      <w:r>
        <w:rPr>
          <w:rFonts w:hint="cs"/>
          <w:rtl/>
        </w:rPr>
        <w:t>5-</w:t>
      </w:r>
      <w:r>
        <w:rPr>
          <w:rFonts w:hint="cs"/>
          <w:rtl/>
        </w:rPr>
        <w:tab/>
      </w:r>
      <w:r w:rsidR="00735B06">
        <w:rPr>
          <w:rFonts w:hint="cs"/>
          <w:rtl/>
        </w:rPr>
        <w:t>و</w:t>
      </w:r>
      <w:r>
        <w:rPr>
          <w:rFonts w:hint="cs"/>
          <w:rtl/>
        </w:rPr>
        <w:t xml:space="preserve">يشير التقرير (الفقرة 25 من المرفق 1) إلى أن اللجنة التشريعية المتخصصة </w:t>
      </w:r>
      <w:r w:rsidR="008A34E1">
        <w:rPr>
          <w:rFonts w:hint="cs"/>
          <w:rtl/>
        </w:rPr>
        <w:t xml:space="preserve">كانت وقت تقديم التقرير، </w:t>
      </w:r>
      <w:r>
        <w:rPr>
          <w:rFonts w:hint="cs"/>
          <w:rtl/>
        </w:rPr>
        <w:t xml:space="preserve">بصدد النظر </w:t>
      </w:r>
      <w:r w:rsidR="00B55E99">
        <w:rPr>
          <w:rFonts w:hint="cs"/>
          <w:rtl/>
        </w:rPr>
        <w:t>في الأ</w:t>
      </w:r>
      <w:r>
        <w:rPr>
          <w:rFonts w:hint="cs"/>
          <w:rtl/>
        </w:rPr>
        <w:t xml:space="preserve">حكام </w:t>
      </w:r>
      <w:r w:rsidR="00C41B2D">
        <w:rPr>
          <w:rFonts w:hint="cs"/>
          <w:rtl/>
        </w:rPr>
        <w:t>الحالية ل</w:t>
      </w:r>
      <w:r>
        <w:rPr>
          <w:rFonts w:hint="cs"/>
          <w:rtl/>
        </w:rPr>
        <w:t xml:space="preserve">قانون الأسرة بغية "تحديثها وتحسينها" </w:t>
      </w:r>
      <w:r w:rsidR="00EE7941">
        <w:rPr>
          <w:rFonts w:hint="cs"/>
          <w:rtl/>
        </w:rPr>
        <w:t xml:space="preserve">بالنظر إلى التناقضات في </w:t>
      </w:r>
      <w:r>
        <w:rPr>
          <w:rFonts w:hint="cs"/>
          <w:rtl/>
        </w:rPr>
        <w:t xml:space="preserve">تطبيق القانون الوطني والشريعة في الدولة الطرف. </w:t>
      </w:r>
      <w:r w:rsidR="00135B83">
        <w:rPr>
          <w:rFonts w:hint="cs"/>
          <w:rtl/>
        </w:rPr>
        <w:t>و</w:t>
      </w:r>
      <w:r>
        <w:rPr>
          <w:rFonts w:hint="cs"/>
          <w:rtl/>
        </w:rPr>
        <w:t>يرجى تقديم معلومات إ</w:t>
      </w:r>
      <w:r w:rsidR="00135B83">
        <w:rPr>
          <w:rFonts w:hint="cs"/>
          <w:rtl/>
        </w:rPr>
        <w:t>ن</w:t>
      </w:r>
      <w:r>
        <w:rPr>
          <w:rFonts w:hint="cs"/>
          <w:rtl/>
        </w:rPr>
        <w:t xml:space="preserve"> كان</w:t>
      </w:r>
      <w:r w:rsidR="00135B83">
        <w:rPr>
          <w:rFonts w:hint="cs"/>
          <w:rtl/>
        </w:rPr>
        <w:t xml:space="preserve">ت </w:t>
      </w:r>
      <w:r w:rsidR="00735B06">
        <w:rPr>
          <w:rFonts w:hint="cs"/>
          <w:rtl/>
        </w:rPr>
        <w:t xml:space="preserve">هذه التعديلات </w:t>
      </w:r>
      <w:r w:rsidR="00135B83">
        <w:rPr>
          <w:rFonts w:hint="cs"/>
          <w:rtl/>
        </w:rPr>
        <w:t>قد أ</w:t>
      </w:r>
      <w:r w:rsidR="00735B06">
        <w:rPr>
          <w:rFonts w:hint="cs"/>
          <w:rtl/>
        </w:rPr>
        <w:t>د</w:t>
      </w:r>
      <w:r w:rsidR="00135B83">
        <w:rPr>
          <w:rFonts w:hint="cs"/>
          <w:rtl/>
        </w:rPr>
        <w:t>خلت، وإذا كان الأمر كذلك فما هي النتائج التي أسفرت عنها.</w:t>
      </w:r>
    </w:p>
    <w:p w:rsidR="003D146C" w:rsidRDefault="002D5957" w:rsidP="002D5957">
      <w:pPr>
        <w:pStyle w:val="H23GA"/>
        <w:rPr>
          <w:rFonts w:hint="cs"/>
          <w:rtl/>
        </w:rPr>
      </w:pPr>
      <w:r>
        <w:rPr>
          <w:rFonts w:hint="cs"/>
          <w:rtl/>
        </w:rPr>
        <w:tab/>
      </w:r>
      <w:r>
        <w:rPr>
          <w:rFonts w:hint="cs"/>
          <w:rtl/>
        </w:rPr>
        <w:tab/>
      </w:r>
      <w:r w:rsidR="00F14AA5">
        <w:rPr>
          <w:rFonts w:hint="cs"/>
          <w:rtl/>
        </w:rPr>
        <w:t>إمكانية اللجوء</w:t>
      </w:r>
      <w:r w:rsidR="003D146C">
        <w:rPr>
          <w:rFonts w:hint="cs"/>
          <w:rtl/>
        </w:rPr>
        <w:t xml:space="preserve"> إلى القضاء</w:t>
      </w:r>
    </w:p>
    <w:p w:rsidR="003D146C" w:rsidRDefault="003D146C" w:rsidP="00B75F2B">
      <w:pPr>
        <w:pStyle w:val="SingleTxtGA"/>
        <w:rPr>
          <w:rFonts w:hint="cs"/>
          <w:rtl/>
        </w:rPr>
      </w:pPr>
      <w:r>
        <w:rPr>
          <w:rFonts w:hint="cs"/>
          <w:rtl/>
        </w:rPr>
        <w:t>6-</w:t>
      </w:r>
      <w:r>
        <w:rPr>
          <w:rFonts w:hint="cs"/>
          <w:rtl/>
        </w:rPr>
        <w:tab/>
        <w:t xml:space="preserve">يشير التقرير (الفقرة 23) إلى أنه بغية تيسير </w:t>
      </w:r>
      <w:r w:rsidR="00FA7AE5">
        <w:rPr>
          <w:rFonts w:hint="cs"/>
          <w:rtl/>
        </w:rPr>
        <w:t>فرص لجوء</w:t>
      </w:r>
      <w:r>
        <w:rPr>
          <w:rFonts w:hint="cs"/>
          <w:rtl/>
        </w:rPr>
        <w:t xml:space="preserve"> المرأة إلى القضاء، </w:t>
      </w:r>
      <w:r w:rsidR="0052642C">
        <w:rPr>
          <w:rFonts w:hint="cs"/>
          <w:rtl/>
        </w:rPr>
        <w:t>تعتزم</w:t>
      </w:r>
      <w:r>
        <w:rPr>
          <w:rFonts w:hint="cs"/>
          <w:rtl/>
        </w:rPr>
        <w:t xml:space="preserve"> الأمانة العامة للمساواة بين الجنسين إجراء دراسة </w:t>
      </w:r>
      <w:r w:rsidR="00772E1F">
        <w:rPr>
          <w:rFonts w:hint="cs"/>
          <w:rtl/>
        </w:rPr>
        <w:t xml:space="preserve">منهجية </w:t>
      </w:r>
      <w:r>
        <w:rPr>
          <w:rFonts w:hint="cs"/>
          <w:rtl/>
        </w:rPr>
        <w:t xml:space="preserve">في عام 2011 بشأن التشريع الحالي للمساواة بين الجنسين في القطاعين العام والخاص بغية تحسين وتبسيط اللوائح لتنفيذها تنفيذاً فعالاً في الإدارات العامة والمحاكم وآليات الرصد. يرجى تقديم معلومات </w:t>
      </w:r>
      <w:r w:rsidR="008C0C6A">
        <w:rPr>
          <w:rFonts w:hint="cs"/>
          <w:rtl/>
        </w:rPr>
        <w:t>مستجدة</w:t>
      </w:r>
      <w:r>
        <w:rPr>
          <w:rFonts w:hint="cs"/>
          <w:rtl/>
        </w:rPr>
        <w:t xml:space="preserve"> ومفصلة عن حالة </w:t>
      </w:r>
      <w:r w:rsidR="00583B07">
        <w:rPr>
          <w:rFonts w:hint="cs"/>
          <w:rtl/>
        </w:rPr>
        <w:t xml:space="preserve">التقدم في إجراء </w:t>
      </w:r>
      <w:r>
        <w:rPr>
          <w:rFonts w:hint="cs"/>
          <w:rtl/>
        </w:rPr>
        <w:t>هذه الدراسة</w:t>
      </w:r>
      <w:r w:rsidR="00583B07">
        <w:rPr>
          <w:rFonts w:hint="cs"/>
          <w:rtl/>
        </w:rPr>
        <w:t>،</w:t>
      </w:r>
      <w:r>
        <w:rPr>
          <w:rFonts w:hint="cs"/>
          <w:rtl/>
        </w:rPr>
        <w:t xml:space="preserve"> وكذلك عن الخطوات الملموسة المتخذة لتحسين </w:t>
      </w:r>
      <w:r w:rsidR="00627144">
        <w:rPr>
          <w:rFonts w:hint="cs"/>
          <w:rtl/>
        </w:rPr>
        <w:t>فرص لجوء</w:t>
      </w:r>
      <w:r>
        <w:rPr>
          <w:rFonts w:hint="cs"/>
          <w:rtl/>
        </w:rPr>
        <w:t xml:space="preserve"> المرأة إلى القضاء في الدو</w:t>
      </w:r>
      <w:r w:rsidR="00B75F2B">
        <w:rPr>
          <w:rFonts w:hint="cs"/>
          <w:rtl/>
        </w:rPr>
        <w:t>ل</w:t>
      </w:r>
      <w:r>
        <w:rPr>
          <w:rFonts w:hint="cs"/>
          <w:rtl/>
        </w:rPr>
        <w:t xml:space="preserve">ة </w:t>
      </w:r>
      <w:r w:rsidR="00B75F2B">
        <w:rPr>
          <w:rFonts w:hint="cs"/>
          <w:rtl/>
        </w:rPr>
        <w:t>ا</w:t>
      </w:r>
      <w:r>
        <w:rPr>
          <w:rFonts w:hint="cs"/>
          <w:rtl/>
        </w:rPr>
        <w:t>لطرف.</w:t>
      </w:r>
    </w:p>
    <w:p w:rsidR="003D146C" w:rsidRDefault="00116328" w:rsidP="00116328">
      <w:pPr>
        <w:pStyle w:val="H23GA"/>
        <w:rPr>
          <w:rFonts w:hint="cs"/>
          <w:rtl/>
        </w:rPr>
      </w:pPr>
      <w:r>
        <w:rPr>
          <w:rFonts w:hint="cs"/>
          <w:rtl/>
        </w:rPr>
        <w:tab/>
      </w:r>
      <w:r>
        <w:rPr>
          <w:rFonts w:hint="cs"/>
          <w:rtl/>
        </w:rPr>
        <w:tab/>
      </w:r>
      <w:r w:rsidR="003D146C">
        <w:rPr>
          <w:rFonts w:hint="cs"/>
          <w:rtl/>
        </w:rPr>
        <w:t>العنف ضد المرأة</w:t>
      </w:r>
    </w:p>
    <w:p w:rsidR="003D146C" w:rsidRDefault="003D146C" w:rsidP="00CE6BC0">
      <w:pPr>
        <w:pStyle w:val="SingleTxtGA"/>
        <w:rPr>
          <w:rFonts w:hint="cs"/>
          <w:rtl/>
        </w:rPr>
      </w:pPr>
      <w:r>
        <w:rPr>
          <w:rFonts w:hint="cs"/>
          <w:rtl/>
        </w:rPr>
        <w:t>7-</w:t>
      </w:r>
      <w:r>
        <w:rPr>
          <w:rFonts w:hint="cs"/>
          <w:rtl/>
        </w:rPr>
        <w:tab/>
        <w:t xml:space="preserve">يشير التقرير (الفقرة 3 من المرفق 1) إلى أن الأمانة العامة للمساواة بين الجنسين أنشأت مراكز استشارية </w:t>
      </w:r>
      <w:r w:rsidR="002F73E1">
        <w:rPr>
          <w:rFonts w:hint="cs"/>
          <w:rtl/>
        </w:rPr>
        <w:t>على أن</w:t>
      </w:r>
      <w:r>
        <w:rPr>
          <w:rFonts w:hint="cs"/>
          <w:rtl/>
        </w:rPr>
        <w:t xml:space="preserve"> تبدأ عملها ابتداءً من عام 2011 في جميع مناطق البلاد لتقديم المعلومات القانونية المتخصصة ومكافحة العنف القائم على نوع الجنس في جميع أنحاء البلاد </w:t>
      </w:r>
      <w:r w:rsidR="00BD5A4B">
        <w:rPr>
          <w:rFonts w:hint="cs"/>
          <w:rtl/>
        </w:rPr>
        <w:t>وإتاحة</w:t>
      </w:r>
      <w:r>
        <w:rPr>
          <w:rFonts w:hint="cs"/>
          <w:rtl/>
        </w:rPr>
        <w:t xml:space="preserve"> التمثل القانوني المجاني للنساء ضحايا العنف. ويشير التقرير أيضاً (الفقرة 5 المرفق 1) </w:t>
      </w:r>
      <w:r w:rsidR="00464D71">
        <w:rPr>
          <w:rFonts w:hint="cs"/>
          <w:rtl/>
        </w:rPr>
        <w:t xml:space="preserve">إلى إنشاء بعض </w:t>
      </w:r>
      <w:r>
        <w:rPr>
          <w:rFonts w:hint="cs"/>
          <w:rtl/>
        </w:rPr>
        <w:t xml:space="preserve">الخطوط الساخنة لنجدة ضحايا العنف المنزلي </w:t>
      </w:r>
      <w:r w:rsidR="00B770FF">
        <w:rPr>
          <w:rFonts w:hint="cs"/>
          <w:rtl/>
        </w:rPr>
        <w:t>كان من المقرر أن تشغَّل</w:t>
      </w:r>
      <w:r>
        <w:rPr>
          <w:rFonts w:hint="cs"/>
          <w:rtl/>
        </w:rPr>
        <w:t xml:space="preserve"> </w:t>
      </w:r>
      <w:r w:rsidR="00BA6C00">
        <w:rPr>
          <w:rFonts w:hint="cs"/>
          <w:rtl/>
        </w:rPr>
        <w:t xml:space="preserve">تشغيلاً كاملاً </w:t>
      </w:r>
      <w:r>
        <w:rPr>
          <w:rFonts w:hint="cs"/>
          <w:rtl/>
        </w:rPr>
        <w:t xml:space="preserve">في عام 2012. يرجى </w:t>
      </w:r>
      <w:r w:rsidR="0009577C">
        <w:rPr>
          <w:rFonts w:hint="cs"/>
          <w:rtl/>
        </w:rPr>
        <w:t xml:space="preserve">الإفادة إن بدأت </w:t>
      </w:r>
      <w:r>
        <w:rPr>
          <w:rFonts w:hint="cs"/>
          <w:rtl/>
        </w:rPr>
        <w:t>هذه المراكز وخطوط النجدة الساخنة</w:t>
      </w:r>
      <w:r w:rsidR="0009577C">
        <w:rPr>
          <w:rFonts w:hint="cs"/>
          <w:rtl/>
        </w:rPr>
        <w:t xml:space="preserve"> عملها</w:t>
      </w:r>
      <w:r>
        <w:rPr>
          <w:rFonts w:hint="cs"/>
          <w:rtl/>
        </w:rPr>
        <w:t xml:space="preserve">. </w:t>
      </w:r>
      <w:r w:rsidR="0009577C">
        <w:rPr>
          <w:rFonts w:hint="cs"/>
          <w:rtl/>
        </w:rPr>
        <w:t>و</w:t>
      </w:r>
      <w:r>
        <w:rPr>
          <w:rFonts w:hint="cs"/>
          <w:rtl/>
        </w:rPr>
        <w:t xml:space="preserve">يرجى </w:t>
      </w:r>
      <w:r w:rsidR="00C6167A">
        <w:rPr>
          <w:rFonts w:hint="cs"/>
          <w:rtl/>
        </w:rPr>
        <w:t xml:space="preserve">الإحاطة إذا ما أنشئت </w:t>
      </w:r>
      <w:r>
        <w:rPr>
          <w:rFonts w:hint="cs"/>
          <w:rtl/>
        </w:rPr>
        <w:t xml:space="preserve">آلية </w:t>
      </w:r>
      <w:r w:rsidR="00C6167A">
        <w:rPr>
          <w:rFonts w:hint="cs"/>
          <w:rtl/>
        </w:rPr>
        <w:t xml:space="preserve">ما </w:t>
      </w:r>
      <w:r>
        <w:rPr>
          <w:rFonts w:hint="cs"/>
          <w:rtl/>
        </w:rPr>
        <w:t xml:space="preserve">لتقييم أثر </w:t>
      </w:r>
      <w:r w:rsidR="00C6167A">
        <w:rPr>
          <w:rFonts w:hint="cs"/>
          <w:rtl/>
        </w:rPr>
        <w:t xml:space="preserve">خطة العمل </w:t>
      </w:r>
      <w:r>
        <w:rPr>
          <w:rFonts w:hint="cs"/>
          <w:rtl/>
        </w:rPr>
        <w:t xml:space="preserve">الوطنية </w:t>
      </w:r>
      <w:r w:rsidR="003B5596">
        <w:rPr>
          <w:rFonts w:hint="cs"/>
          <w:rtl/>
        </w:rPr>
        <w:t>ل</w:t>
      </w:r>
      <w:r>
        <w:rPr>
          <w:rFonts w:hint="cs"/>
          <w:rtl/>
        </w:rPr>
        <w:t xml:space="preserve">مكافحة العنف ضد المرأة 2009-2013. (الفقرة 5 من المرفق 1) وتقديم معلومات عن التقدم المحرز حتى الآن </w:t>
      </w:r>
      <w:r w:rsidR="003B5596">
        <w:rPr>
          <w:rFonts w:hint="cs"/>
          <w:rtl/>
        </w:rPr>
        <w:t>في تنفيذ هذه الخطة</w:t>
      </w:r>
      <w:r>
        <w:rPr>
          <w:rFonts w:hint="cs"/>
          <w:rtl/>
        </w:rPr>
        <w:t>.</w:t>
      </w:r>
    </w:p>
    <w:p w:rsidR="003D146C" w:rsidRDefault="003D146C" w:rsidP="00676D86">
      <w:pPr>
        <w:pStyle w:val="SingleTxtGA"/>
        <w:rPr>
          <w:rFonts w:hint="cs"/>
          <w:rtl/>
        </w:rPr>
      </w:pPr>
      <w:r>
        <w:rPr>
          <w:rFonts w:hint="cs"/>
          <w:rtl/>
        </w:rPr>
        <w:t>8-</w:t>
      </w:r>
      <w:r>
        <w:rPr>
          <w:rFonts w:hint="cs"/>
          <w:rtl/>
        </w:rPr>
        <w:tab/>
      </w:r>
      <w:r w:rsidR="00A320DC">
        <w:rPr>
          <w:rFonts w:hint="cs"/>
          <w:rtl/>
        </w:rPr>
        <w:t>و</w:t>
      </w:r>
      <w:r>
        <w:rPr>
          <w:rFonts w:hint="cs"/>
          <w:rtl/>
        </w:rPr>
        <w:t>يرجى تقديم معلومات عن الخطوات المتخذة للتصديق على اتفاقية مجلس أوروبا لمنع ومكافحة العنف والعنف المنزلي ضد المرأة</w:t>
      </w:r>
      <w:r w:rsidR="00676D86">
        <w:rPr>
          <w:rFonts w:hint="cs"/>
          <w:rtl/>
        </w:rPr>
        <w:t>،</w:t>
      </w:r>
      <w:r>
        <w:rPr>
          <w:rFonts w:hint="cs"/>
          <w:rtl/>
        </w:rPr>
        <w:t xml:space="preserve"> ال</w:t>
      </w:r>
      <w:r w:rsidR="00676D86">
        <w:rPr>
          <w:rFonts w:hint="cs"/>
          <w:rtl/>
        </w:rPr>
        <w:t>ت</w:t>
      </w:r>
      <w:r>
        <w:rPr>
          <w:rFonts w:hint="cs"/>
          <w:rtl/>
        </w:rPr>
        <w:t>ي وقعت عليه</w:t>
      </w:r>
      <w:r w:rsidR="00A320DC">
        <w:rPr>
          <w:rFonts w:hint="cs"/>
          <w:rtl/>
        </w:rPr>
        <w:t>ا</w:t>
      </w:r>
      <w:r>
        <w:rPr>
          <w:rFonts w:hint="cs"/>
          <w:rtl/>
        </w:rPr>
        <w:t xml:space="preserve"> الدو</w:t>
      </w:r>
      <w:r w:rsidR="00676D86">
        <w:rPr>
          <w:rFonts w:hint="cs"/>
          <w:rtl/>
        </w:rPr>
        <w:t>ل</w:t>
      </w:r>
      <w:r>
        <w:rPr>
          <w:rFonts w:hint="cs"/>
          <w:rtl/>
        </w:rPr>
        <w:t>ة الطرف.</w:t>
      </w:r>
    </w:p>
    <w:p w:rsidR="003D146C" w:rsidRDefault="00116328" w:rsidP="00116328">
      <w:pPr>
        <w:pStyle w:val="H23GA"/>
        <w:rPr>
          <w:rFonts w:hint="cs"/>
          <w:rtl/>
        </w:rPr>
      </w:pPr>
      <w:r>
        <w:rPr>
          <w:rFonts w:hint="cs"/>
          <w:rtl/>
        </w:rPr>
        <w:tab/>
      </w:r>
      <w:r>
        <w:rPr>
          <w:rFonts w:hint="cs"/>
          <w:rtl/>
        </w:rPr>
        <w:tab/>
      </w:r>
      <w:r w:rsidR="003D146C">
        <w:rPr>
          <w:rFonts w:hint="cs"/>
          <w:rtl/>
        </w:rPr>
        <w:t>الاتجار والاستغلال في البغاء</w:t>
      </w:r>
    </w:p>
    <w:p w:rsidR="003D146C" w:rsidRDefault="003D146C" w:rsidP="00DC277C">
      <w:pPr>
        <w:pStyle w:val="SingleTxtGA"/>
        <w:rPr>
          <w:rFonts w:hint="cs"/>
          <w:rtl/>
        </w:rPr>
      </w:pPr>
      <w:r>
        <w:rPr>
          <w:rFonts w:hint="cs"/>
          <w:rtl/>
        </w:rPr>
        <w:t>9-</w:t>
      </w:r>
      <w:r>
        <w:rPr>
          <w:rFonts w:hint="cs"/>
          <w:rtl/>
        </w:rPr>
        <w:tab/>
        <w:t xml:space="preserve">يقدم تقرير بعض </w:t>
      </w:r>
      <w:r w:rsidR="00591531">
        <w:rPr>
          <w:rFonts w:hint="cs"/>
          <w:rtl/>
        </w:rPr>
        <w:t>البيانات</w:t>
      </w:r>
      <w:r>
        <w:rPr>
          <w:rFonts w:hint="cs"/>
          <w:rtl/>
        </w:rPr>
        <w:t xml:space="preserve"> عن الاتجار بالبشر (الفقرة 79)، </w:t>
      </w:r>
      <w:r w:rsidR="000C67FF">
        <w:rPr>
          <w:rFonts w:hint="cs"/>
          <w:rtl/>
        </w:rPr>
        <w:t xml:space="preserve">بيد أن </w:t>
      </w:r>
      <w:r>
        <w:rPr>
          <w:rFonts w:hint="cs"/>
          <w:rtl/>
        </w:rPr>
        <w:t>هذه البيانات غير مصنفة بحسب الجنس والموقع الجغرافي. يرجى تقديم بيانات إحصائية محدثة ومفصلة</w:t>
      </w:r>
      <w:r w:rsidR="00347FBD">
        <w:rPr>
          <w:rFonts w:hint="cs"/>
          <w:rtl/>
        </w:rPr>
        <w:t>،</w:t>
      </w:r>
      <w:r>
        <w:rPr>
          <w:rFonts w:hint="cs"/>
          <w:rtl/>
        </w:rPr>
        <w:t xml:space="preserve"> مصنفة بحسب الجنس والموقع </w:t>
      </w:r>
      <w:r w:rsidR="00DC277C">
        <w:rPr>
          <w:rFonts w:hint="cs"/>
          <w:rtl/>
        </w:rPr>
        <w:t xml:space="preserve">الجغرافي، عن </w:t>
      </w:r>
      <w:r>
        <w:rPr>
          <w:rFonts w:hint="cs"/>
          <w:rtl/>
        </w:rPr>
        <w:t>الاتجار بالمرأة واستغلالها في البغاء</w:t>
      </w:r>
      <w:r w:rsidR="00395F00">
        <w:rPr>
          <w:rFonts w:hint="cs"/>
          <w:rtl/>
        </w:rPr>
        <w:t>،</w:t>
      </w:r>
      <w:r>
        <w:rPr>
          <w:rFonts w:hint="cs"/>
          <w:rtl/>
        </w:rPr>
        <w:t xml:space="preserve"> ولا سيما عن عدد الضحايا</w:t>
      </w:r>
      <w:r w:rsidR="0001451E">
        <w:rPr>
          <w:rFonts w:hint="cs"/>
          <w:rtl/>
        </w:rPr>
        <w:t>،</w:t>
      </w:r>
      <w:r>
        <w:rPr>
          <w:rFonts w:hint="cs"/>
          <w:rtl/>
        </w:rPr>
        <w:t xml:space="preserve"> بمن فيهم القصر</w:t>
      </w:r>
      <w:r w:rsidR="0001451E">
        <w:rPr>
          <w:rFonts w:hint="cs"/>
          <w:rtl/>
        </w:rPr>
        <w:t>،</w:t>
      </w:r>
      <w:r>
        <w:rPr>
          <w:rFonts w:hint="cs"/>
          <w:rtl/>
        </w:rPr>
        <w:t xml:space="preserve"> وعدد الشكاوى الواردة والتحقيقات والملاحقات والإدانات والعقوبات المفروضة على مرتكبي مثل هذه الجرائم. </w:t>
      </w:r>
      <w:r w:rsidR="0001451E">
        <w:rPr>
          <w:rFonts w:hint="cs"/>
          <w:rtl/>
        </w:rPr>
        <w:t>و</w:t>
      </w:r>
      <w:r>
        <w:rPr>
          <w:rFonts w:hint="cs"/>
          <w:rtl/>
        </w:rPr>
        <w:t>يرجى تقديم معلومات عن التدابير المتخذة للتصدي للأسباب الجذرية للبغاء.</w:t>
      </w:r>
    </w:p>
    <w:p w:rsidR="003D146C" w:rsidRDefault="00F50C8C" w:rsidP="00F50C8C">
      <w:pPr>
        <w:pStyle w:val="H23GA"/>
        <w:rPr>
          <w:rFonts w:hint="cs"/>
          <w:rtl/>
        </w:rPr>
      </w:pPr>
      <w:r>
        <w:rPr>
          <w:rFonts w:hint="cs"/>
          <w:rtl/>
        </w:rPr>
        <w:tab/>
      </w:r>
      <w:r>
        <w:rPr>
          <w:rFonts w:hint="cs"/>
          <w:rtl/>
        </w:rPr>
        <w:tab/>
      </w:r>
      <w:r w:rsidR="003D146C">
        <w:rPr>
          <w:rFonts w:hint="cs"/>
          <w:rtl/>
        </w:rPr>
        <w:t>المشاركة</w:t>
      </w:r>
      <w:r w:rsidR="0001451E">
        <w:rPr>
          <w:rFonts w:hint="cs"/>
          <w:rtl/>
        </w:rPr>
        <w:t xml:space="preserve"> في الحياة</w:t>
      </w:r>
      <w:r w:rsidR="003D146C">
        <w:rPr>
          <w:rFonts w:hint="cs"/>
          <w:rtl/>
        </w:rPr>
        <w:t xml:space="preserve"> السياسية و</w:t>
      </w:r>
      <w:r w:rsidR="0001451E">
        <w:rPr>
          <w:rFonts w:hint="cs"/>
          <w:rtl/>
        </w:rPr>
        <w:t xml:space="preserve">في </w:t>
      </w:r>
      <w:r w:rsidR="003D146C">
        <w:rPr>
          <w:rFonts w:hint="cs"/>
          <w:rtl/>
        </w:rPr>
        <w:t>صنع القرار</w:t>
      </w:r>
    </w:p>
    <w:p w:rsidR="003D146C" w:rsidRDefault="003D146C" w:rsidP="006162FC">
      <w:pPr>
        <w:pStyle w:val="SingleTxtGA"/>
        <w:rPr>
          <w:rFonts w:hint="cs"/>
          <w:rtl/>
        </w:rPr>
      </w:pPr>
      <w:r>
        <w:rPr>
          <w:rFonts w:hint="cs"/>
          <w:rtl/>
        </w:rPr>
        <w:t>10-</w:t>
      </w:r>
      <w:r>
        <w:rPr>
          <w:rFonts w:hint="cs"/>
          <w:rtl/>
        </w:rPr>
        <w:tab/>
      </w:r>
      <w:r w:rsidR="00C71B03">
        <w:rPr>
          <w:rFonts w:hint="cs"/>
          <w:rtl/>
        </w:rPr>
        <w:t xml:space="preserve">يذكر </w:t>
      </w:r>
      <w:r>
        <w:rPr>
          <w:rFonts w:hint="cs"/>
          <w:rtl/>
        </w:rPr>
        <w:t>التقرير (الفقرة 136) أنه على الرغم من الخطوات المتعددة التي اتخذتها الدولة الطرف لزيادة مشاركة المرأة في صنع القرار</w:t>
      </w:r>
      <w:r w:rsidR="008303FA">
        <w:rPr>
          <w:rFonts w:hint="cs"/>
          <w:rtl/>
        </w:rPr>
        <w:t>،</w:t>
      </w:r>
      <w:r>
        <w:rPr>
          <w:rFonts w:hint="cs"/>
          <w:rtl/>
        </w:rPr>
        <w:t xml:space="preserve"> لا </w:t>
      </w:r>
      <w:r w:rsidR="008303FA">
        <w:rPr>
          <w:rFonts w:hint="cs"/>
          <w:rtl/>
        </w:rPr>
        <w:t>ي</w:t>
      </w:r>
      <w:r>
        <w:rPr>
          <w:rFonts w:hint="cs"/>
          <w:rtl/>
        </w:rPr>
        <w:t xml:space="preserve">زال </w:t>
      </w:r>
      <w:r w:rsidR="008303FA">
        <w:rPr>
          <w:rFonts w:hint="cs"/>
          <w:rtl/>
        </w:rPr>
        <w:t xml:space="preserve">تمثيل المرأة ضعيفاً </w:t>
      </w:r>
      <w:r>
        <w:rPr>
          <w:rFonts w:hint="cs"/>
          <w:rtl/>
        </w:rPr>
        <w:t>في الحياة السياسية والأحزاب السياسية والبرلمان والحكومة والإدارة العامة</w:t>
      </w:r>
      <w:r w:rsidR="002454B7">
        <w:rPr>
          <w:rFonts w:hint="cs"/>
          <w:rtl/>
        </w:rPr>
        <w:t>،</w:t>
      </w:r>
      <w:r>
        <w:rPr>
          <w:rFonts w:hint="cs"/>
          <w:rtl/>
        </w:rPr>
        <w:t xml:space="preserve"> وكذلك في</w:t>
      </w:r>
      <w:r w:rsidR="002454B7">
        <w:rPr>
          <w:rFonts w:hint="cs"/>
          <w:rtl/>
        </w:rPr>
        <w:t xml:space="preserve"> السلك الدبلوماسي والتعليم العالي. </w:t>
      </w:r>
      <w:r w:rsidR="00DA5AB6">
        <w:rPr>
          <w:rFonts w:hint="cs"/>
          <w:rtl/>
        </w:rPr>
        <w:t xml:space="preserve">يرجى </w:t>
      </w:r>
      <w:r>
        <w:rPr>
          <w:rFonts w:hint="cs"/>
          <w:rtl/>
        </w:rPr>
        <w:t xml:space="preserve">تقديم معلومات عن </w:t>
      </w:r>
      <w:r w:rsidR="00CD021C">
        <w:rPr>
          <w:rFonts w:hint="cs"/>
          <w:rtl/>
        </w:rPr>
        <w:t>ال</w:t>
      </w:r>
      <w:r>
        <w:rPr>
          <w:rFonts w:hint="cs"/>
          <w:rtl/>
        </w:rPr>
        <w:t xml:space="preserve">تدابير </w:t>
      </w:r>
      <w:r w:rsidR="00CD021C">
        <w:rPr>
          <w:rFonts w:hint="cs"/>
          <w:rtl/>
        </w:rPr>
        <w:t>ال</w:t>
      </w:r>
      <w:r>
        <w:rPr>
          <w:rFonts w:hint="cs"/>
          <w:rtl/>
        </w:rPr>
        <w:t xml:space="preserve">متخذة لضمان زيادة عدد النساء في هيئات صنع القرار في جميع القطاعات وعلى جميع المستويات. </w:t>
      </w:r>
      <w:r w:rsidR="00CD021C">
        <w:rPr>
          <w:rFonts w:hint="cs"/>
          <w:rtl/>
        </w:rPr>
        <w:t>و</w:t>
      </w:r>
      <w:r>
        <w:rPr>
          <w:rFonts w:hint="cs"/>
          <w:rtl/>
        </w:rPr>
        <w:t xml:space="preserve">يرجى أيضاً </w:t>
      </w:r>
      <w:r w:rsidR="00CD021C">
        <w:rPr>
          <w:rFonts w:hint="cs"/>
          <w:rtl/>
        </w:rPr>
        <w:t xml:space="preserve">بيان إن </w:t>
      </w:r>
      <w:r>
        <w:rPr>
          <w:rFonts w:hint="cs"/>
          <w:rtl/>
        </w:rPr>
        <w:t xml:space="preserve">كانت هذه التدابير تتضمن حملات </w:t>
      </w:r>
      <w:r w:rsidR="006162FC">
        <w:rPr>
          <w:rFonts w:hint="cs"/>
          <w:rtl/>
        </w:rPr>
        <w:t xml:space="preserve">لإذكاء </w:t>
      </w:r>
      <w:r>
        <w:rPr>
          <w:rFonts w:hint="cs"/>
          <w:rtl/>
        </w:rPr>
        <w:t>الوعي بشأن أهمية مشاركة المرأة في صنع القرار بالنسبة للمجتمع ككل ورصد أثر هذه التدابير.</w:t>
      </w:r>
    </w:p>
    <w:p w:rsidR="00DE6309" w:rsidRDefault="003D146C" w:rsidP="00DE6309">
      <w:pPr>
        <w:pStyle w:val="SingleTxtGA"/>
        <w:rPr>
          <w:rFonts w:hint="cs"/>
          <w:rtl/>
        </w:rPr>
      </w:pPr>
      <w:r>
        <w:rPr>
          <w:rFonts w:hint="cs"/>
          <w:rtl/>
        </w:rPr>
        <w:t>11-</w:t>
      </w:r>
      <w:r>
        <w:rPr>
          <w:rFonts w:hint="cs"/>
          <w:rtl/>
        </w:rPr>
        <w:tab/>
      </w:r>
      <w:r w:rsidR="00C9634F">
        <w:rPr>
          <w:rFonts w:hint="cs"/>
          <w:rtl/>
        </w:rPr>
        <w:t>ويذكر</w:t>
      </w:r>
      <w:r>
        <w:rPr>
          <w:rFonts w:hint="cs"/>
          <w:rtl/>
        </w:rPr>
        <w:t xml:space="preserve"> التقرير (الفقرة 47) أن المادة 3 من القانون 3636/2008 </w:t>
      </w:r>
      <w:r w:rsidR="00DB26FA">
        <w:rPr>
          <w:rFonts w:hint="cs"/>
          <w:rtl/>
        </w:rPr>
        <w:t xml:space="preserve">           </w:t>
      </w:r>
      <w:r>
        <w:rPr>
          <w:rFonts w:hint="cs"/>
          <w:rtl/>
        </w:rPr>
        <w:t>(</w:t>
      </w:r>
      <w:r>
        <w:t>G.G.11/A/1-2-2008</w:t>
      </w:r>
      <w:r>
        <w:rPr>
          <w:rFonts w:hint="cs"/>
          <w:rtl/>
        </w:rPr>
        <w:t xml:space="preserve">) </w:t>
      </w:r>
      <w:r w:rsidR="00DB26FA">
        <w:rPr>
          <w:rFonts w:hint="cs"/>
          <w:rtl/>
        </w:rPr>
        <w:t xml:space="preserve">المتعلقة بانتخاب أعضاء البرلمان تنص على أن يكون عدد المرشحين من كل جنس في قوائم الأحزاب السياسية يعادل نسبة الثلث على الأقل من مجموع المرشحين، في جميع أنحاء البلاد وليس لكل دائرة انتخابية. ويقدم التقرير أيضاً بعض البيانات </w:t>
      </w:r>
      <w:r>
        <w:rPr>
          <w:rFonts w:hint="cs"/>
          <w:rtl/>
        </w:rPr>
        <w:t xml:space="preserve">(الفقرة 143) </w:t>
      </w:r>
      <w:r w:rsidR="00095B64">
        <w:rPr>
          <w:rFonts w:hint="cs"/>
          <w:rtl/>
        </w:rPr>
        <w:t xml:space="preserve">بشأن </w:t>
      </w:r>
      <w:r>
        <w:rPr>
          <w:rFonts w:hint="cs"/>
          <w:rtl/>
        </w:rPr>
        <w:t xml:space="preserve">مشاركة المرأة في البرلمان الوطني في عامي 2007 و2009. يرجى تقديم معلومات عن تنفيذ القانون </w:t>
      </w:r>
      <w:r w:rsidR="00C55B3D">
        <w:rPr>
          <w:rFonts w:hint="cs"/>
          <w:rtl/>
        </w:rPr>
        <w:t xml:space="preserve">المذكور </w:t>
      </w:r>
      <w:r>
        <w:rPr>
          <w:rFonts w:hint="cs"/>
          <w:rtl/>
        </w:rPr>
        <w:t>أعلاه</w:t>
      </w:r>
      <w:r w:rsidR="00081A40">
        <w:rPr>
          <w:rFonts w:hint="cs"/>
          <w:rtl/>
        </w:rPr>
        <w:t>،</w:t>
      </w:r>
      <w:r>
        <w:rPr>
          <w:rFonts w:hint="cs"/>
          <w:rtl/>
        </w:rPr>
        <w:t xml:space="preserve"> وكذلك معلومات عن آخر الانتخابات </w:t>
      </w:r>
      <w:r w:rsidR="00124736">
        <w:rPr>
          <w:rFonts w:hint="cs"/>
          <w:rtl/>
        </w:rPr>
        <w:t xml:space="preserve">التي جرت </w:t>
      </w:r>
      <w:r>
        <w:rPr>
          <w:rFonts w:hint="cs"/>
          <w:rtl/>
        </w:rPr>
        <w:t xml:space="preserve">في الدولة الطرف، في </w:t>
      </w:r>
      <w:r w:rsidRPr="00F51C66">
        <w:rPr>
          <w:rFonts w:hint="cs"/>
          <w:sz w:val="30"/>
          <w:rtl/>
        </w:rPr>
        <w:t xml:space="preserve">حزيران/يونيه </w:t>
      </w:r>
      <w:r>
        <w:rPr>
          <w:rFonts w:hint="cs"/>
          <w:rtl/>
        </w:rPr>
        <w:t>2012</w:t>
      </w:r>
      <w:r w:rsidR="002C2880">
        <w:rPr>
          <w:rFonts w:hint="cs"/>
          <w:rtl/>
        </w:rPr>
        <w:t>،</w:t>
      </w:r>
      <w:r>
        <w:rPr>
          <w:rFonts w:hint="cs"/>
          <w:rtl/>
        </w:rPr>
        <w:t xml:space="preserve"> وعن تشكيلة البرلمان الجديد </w:t>
      </w:r>
      <w:r w:rsidR="00DE6309">
        <w:rPr>
          <w:rFonts w:hint="cs"/>
          <w:rtl/>
        </w:rPr>
        <w:t xml:space="preserve">من حيث </w:t>
      </w:r>
      <w:r>
        <w:rPr>
          <w:rFonts w:hint="cs"/>
          <w:rtl/>
        </w:rPr>
        <w:t xml:space="preserve">التمثيل </w:t>
      </w:r>
      <w:r w:rsidR="00DE6309">
        <w:rPr>
          <w:rFonts w:hint="cs"/>
          <w:rtl/>
        </w:rPr>
        <w:t xml:space="preserve">المتوازن للجنسين. </w:t>
      </w:r>
    </w:p>
    <w:p w:rsidR="003D146C" w:rsidRDefault="003D146C" w:rsidP="0039686F">
      <w:pPr>
        <w:pStyle w:val="SingleTxtGA"/>
        <w:rPr>
          <w:rFonts w:hint="cs"/>
          <w:rtl/>
        </w:rPr>
      </w:pPr>
      <w:r>
        <w:rPr>
          <w:rFonts w:hint="cs"/>
          <w:rtl/>
        </w:rPr>
        <w:t>12-</w:t>
      </w:r>
      <w:r>
        <w:rPr>
          <w:rFonts w:hint="cs"/>
          <w:rtl/>
        </w:rPr>
        <w:tab/>
      </w:r>
      <w:r w:rsidR="00575958">
        <w:rPr>
          <w:rFonts w:hint="cs"/>
          <w:rtl/>
        </w:rPr>
        <w:t>ويذكر</w:t>
      </w:r>
      <w:r>
        <w:rPr>
          <w:rFonts w:hint="cs"/>
          <w:rtl/>
        </w:rPr>
        <w:t xml:space="preserve"> التقرير (الفقرتان 31 و33) أن القانونين رقم 3387/2005 و3448/2006 ألغيا </w:t>
      </w:r>
      <w:r w:rsidR="00963A80">
        <w:rPr>
          <w:rFonts w:hint="cs"/>
          <w:rtl/>
        </w:rPr>
        <w:t>نظام الحصص القاضي ب</w:t>
      </w:r>
      <w:r>
        <w:rPr>
          <w:rFonts w:hint="cs"/>
          <w:rtl/>
        </w:rPr>
        <w:t xml:space="preserve">تخصيص </w:t>
      </w:r>
      <w:r w:rsidR="00963A80">
        <w:rPr>
          <w:rFonts w:hint="cs"/>
          <w:rtl/>
        </w:rPr>
        <w:t xml:space="preserve">نسبة أقصاها </w:t>
      </w:r>
      <w:r>
        <w:rPr>
          <w:rFonts w:hint="cs"/>
          <w:rtl/>
        </w:rPr>
        <w:t xml:space="preserve">10 في المائة </w:t>
      </w:r>
      <w:r w:rsidR="005E5DA9">
        <w:rPr>
          <w:rFonts w:hint="cs"/>
          <w:rtl/>
        </w:rPr>
        <w:t>ل</w:t>
      </w:r>
      <w:r>
        <w:rPr>
          <w:rFonts w:hint="cs"/>
          <w:rtl/>
        </w:rPr>
        <w:t xml:space="preserve">لنساء </w:t>
      </w:r>
      <w:r w:rsidR="005E5DA9">
        <w:rPr>
          <w:rFonts w:hint="cs"/>
          <w:rtl/>
        </w:rPr>
        <w:t xml:space="preserve">الملتحقات </w:t>
      </w:r>
      <w:r>
        <w:rPr>
          <w:rFonts w:hint="cs"/>
          <w:rtl/>
        </w:rPr>
        <w:t xml:space="preserve">بمدارس الإطفاء الأكاديمية التابعة </w:t>
      </w:r>
      <w:r w:rsidR="00363EB0">
        <w:rPr>
          <w:rFonts w:hint="cs"/>
          <w:rtl/>
        </w:rPr>
        <w:t xml:space="preserve">لهيئة </w:t>
      </w:r>
      <w:r>
        <w:rPr>
          <w:rFonts w:hint="cs"/>
          <w:rtl/>
        </w:rPr>
        <w:t xml:space="preserve">المطافئ اليونانية </w:t>
      </w:r>
      <w:r w:rsidR="002B0AB7">
        <w:rPr>
          <w:rFonts w:hint="cs"/>
          <w:rtl/>
        </w:rPr>
        <w:t xml:space="preserve">ونسبة أقصاها </w:t>
      </w:r>
      <w:r>
        <w:rPr>
          <w:rFonts w:hint="cs"/>
          <w:rtl/>
        </w:rPr>
        <w:t xml:space="preserve">15 في المائة </w:t>
      </w:r>
      <w:r w:rsidR="00ED5213">
        <w:rPr>
          <w:rFonts w:hint="cs"/>
          <w:rtl/>
        </w:rPr>
        <w:t>ل</w:t>
      </w:r>
      <w:r>
        <w:rPr>
          <w:rFonts w:hint="cs"/>
          <w:rtl/>
        </w:rPr>
        <w:t xml:space="preserve">لنساء </w:t>
      </w:r>
      <w:r w:rsidR="00ED5213">
        <w:rPr>
          <w:rFonts w:hint="cs"/>
          <w:rtl/>
        </w:rPr>
        <w:t xml:space="preserve">العاملات </w:t>
      </w:r>
      <w:r>
        <w:rPr>
          <w:rFonts w:hint="cs"/>
          <w:rtl/>
        </w:rPr>
        <w:t>في قو</w:t>
      </w:r>
      <w:r w:rsidR="00ED5213">
        <w:rPr>
          <w:rFonts w:hint="cs"/>
          <w:rtl/>
        </w:rPr>
        <w:t>ات</w:t>
      </w:r>
      <w:r>
        <w:rPr>
          <w:rFonts w:hint="cs"/>
          <w:rtl/>
        </w:rPr>
        <w:t xml:space="preserve"> شرطة البلدي</w:t>
      </w:r>
      <w:r w:rsidR="00ED5213">
        <w:rPr>
          <w:rFonts w:hint="cs"/>
          <w:rtl/>
        </w:rPr>
        <w:t>ة</w:t>
      </w:r>
      <w:r>
        <w:rPr>
          <w:rFonts w:hint="cs"/>
          <w:rtl/>
        </w:rPr>
        <w:t xml:space="preserve">. يرجى توضيح </w:t>
      </w:r>
      <w:r w:rsidR="003D1BDE">
        <w:rPr>
          <w:rFonts w:hint="cs"/>
          <w:rtl/>
        </w:rPr>
        <w:t xml:space="preserve">إن </w:t>
      </w:r>
      <w:r>
        <w:rPr>
          <w:rFonts w:hint="cs"/>
          <w:rtl/>
        </w:rPr>
        <w:t xml:space="preserve">كان القانون قد حدد حصص أعلى بغية تحقيق مساواة </w:t>
      </w:r>
      <w:r w:rsidR="00556406">
        <w:rPr>
          <w:rFonts w:hint="cs"/>
          <w:rtl/>
        </w:rPr>
        <w:t xml:space="preserve">حقيقية </w:t>
      </w:r>
      <w:r>
        <w:rPr>
          <w:rFonts w:hint="cs"/>
          <w:rtl/>
        </w:rPr>
        <w:t xml:space="preserve">بين النساء والرجال. ويرجى تقديم معلومات عما إذا </w:t>
      </w:r>
      <w:r w:rsidR="0039686F">
        <w:rPr>
          <w:rFonts w:hint="cs"/>
          <w:rtl/>
        </w:rPr>
        <w:t>كان</w:t>
      </w:r>
      <w:r>
        <w:rPr>
          <w:rFonts w:hint="cs"/>
          <w:rtl/>
        </w:rPr>
        <w:t xml:space="preserve"> إلغاء هذه الحصص </w:t>
      </w:r>
      <w:r w:rsidR="0039686F">
        <w:rPr>
          <w:rFonts w:hint="cs"/>
          <w:rtl/>
        </w:rPr>
        <w:t xml:space="preserve">أدى </w:t>
      </w:r>
      <w:r>
        <w:rPr>
          <w:rFonts w:hint="cs"/>
          <w:rtl/>
        </w:rPr>
        <w:t xml:space="preserve">إلى زيادة </w:t>
      </w:r>
      <w:r w:rsidR="00A41254">
        <w:rPr>
          <w:rFonts w:hint="cs"/>
          <w:rtl/>
        </w:rPr>
        <w:t xml:space="preserve">أعداد نساء المؤسستين </w:t>
      </w:r>
      <w:r>
        <w:rPr>
          <w:rFonts w:hint="cs"/>
          <w:rtl/>
        </w:rPr>
        <w:t>المشار إليه</w:t>
      </w:r>
      <w:r w:rsidR="0033231F">
        <w:rPr>
          <w:rFonts w:hint="cs"/>
          <w:rtl/>
        </w:rPr>
        <w:t>م</w:t>
      </w:r>
      <w:r>
        <w:rPr>
          <w:rFonts w:hint="cs"/>
          <w:rtl/>
        </w:rPr>
        <w:t xml:space="preserve">ا أعلاه وتقديم بيانات مقارنة عن </w:t>
      </w:r>
      <w:r w:rsidR="0033231F">
        <w:rPr>
          <w:rFonts w:hint="cs"/>
          <w:rtl/>
        </w:rPr>
        <w:t xml:space="preserve">الفترتين السابقة واللاحقة لهذا </w:t>
      </w:r>
      <w:r>
        <w:rPr>
          <w:rFonts w:hint="cs"/>
          <w:rtl/>
        </w:rPr>
        <w:t>التعديل.</w:t>
      </w:r>
    </w:p>
    <w:p w:rsidR="003D146C" w:rsidRDefault="00D725CD" w:rsidP="00D725CD">
      <w:pPr>
        <w:pStyle w:val="H23GA"/>
        <w:rPr>
          <w:rFonts w:hint="cs"/>
          <w:rtl/>
        </w:rPr>
      </w:pPr>
      <w:r>
        <w:rPr>
          <w:rFonts w:hint="cs"/>
          <w:rtl/>
        </w:rPr>
        <w:tab/>
      </w:r>
      <w:r>
        <w:rPr>
          <w:rFonts w:hint="cs"/>
          <w:rtl/>
        </w:rPr>
        <w:tab/>
      </w:r>
      <w:r w:rsidR="003D146C">
        <w:rPr>
          <w:rFonts w:hint="cs"/>
          <w:rtl/>
        </w:rPr>
        <w:t>التعليم</w:t>
      </w:r>
    </w:p>
    <w:p w:rsidR="003D146C" w:rsidRDefault="003D146C" w:rsidP="00C1434D">
      <w:pPr>
        <w:pStyle w:val="SingleTxtGA"/>
        <w:rPr>
          <w:rFonts w:hint="cs"/>
          <w:rtl/>
        </w:rPr>
      </w:pPr>
      <w:r w:rsidRPr="00D67639">
        <w:rPr>
          <w:rFonts w:hint="cs"/>
          <w:rtl/>
        </w:rPr>
        <w:t>13-</w:t>
      </w:r>
      <w:r w:rsidRPr="00D67639">
        <w:rPr>
          <w:rFonts w:hint="cs"/>
          <w:rtl/>
        </w:rPr>
        <w:tab/>
      </w:r>
      <w:r>
        <w:rPr>
          <w:rFonts w:hint="cs"/>
          <w:rtl/>
        </w:rPr>
        <w:t xml:space="preserve">يسلم التقرير (الفقرة 172) </w:t>
      </w:r>
      <w:r w:rsidR="000A02EB">
        <w:rPr>
          <w:rFonts w:hint="cs"/>
          <w:rtl/>
        </w:rPr>
        <w:t>ب</w:t>
      </w:r>
      <w:r>
        <w:rPr>
          <w:rFonts w:hint="cs"/>
          <w:rtl/>
        </w:rPr>
        <w:t>أن عدد الأولاد في التعليم الثانوي أعلى من عدد البنات. يرجى تقديم</w:t>
      </w:r>
      <w:r w:rsidR="006903E3">
        <w:rPr>
          <w:rFonts w:hint="cs"/>
          <w:rtl/>
        </w:rPr>
        <w:t xml:space="preserve"> معلومات عن الأسباب الجذرية لهذه</w:t>
      </w:r>
      <w:r>
        <w:rPr>
          <w:rFonts w:hint="cs"/>
          <w:rtl/>
        </w:rPr>
        <w:t xml:space="preserve"> </w:t>
      </w:r>
      <w:r w:rsidR="006903E3">
        <w:rPr>
          <w:rFonts w:hint="cs"/>
          <w:rtl/>
        </w:rPr>
        <w:t xml:space="preserve">الحالة وعن </w:t>
      </w:r>
      <w:r>
        <w:rPr>
          <w:rFonts w:hint="cs"/>
          <w:rtl/>
        </w:rPr>
        <w:t xml:space="preserve">معدلات التسرب من الدراسة والتدابير المتخذة </w:t>
      </w:r>
      <w:r w:rsidR="004A4E5E">
        <w:rPr>
          <w:rFonts w:hint="cs"/>
          <w:rtl/>
        </w:rPr>
        <w:t xml:space="preserve">لكي تواصل </w:t>
      </w:r>
      <w:r>
        <w:rPr>
          <w:rFonts w:hint="cs"/>
          <w:rtl/>
        </w:rPr>
        <w:t>البنات</w:t>
      </w:r>
      <w:r w:rsidR="00C1434D">
        <w:rPr>
          <w:rFonts w:hint="cs"/>
          <w:rtl/>
        </w:rPr>
        <w:t xml:space="preserve"> دراستهن</w:t>
      </w:r>
      <w:r>
        <w:rPr>
          <w:rFonts w:hint="cs"/>
          <w:rtl/>
        </w:rPr>
        <w:t>.</w:t>
      </w:r>
    </w:p>
    <w:p w:rsidR="003D146C" w:rsidRDefault="003D146C" w:rsidP="008628F6">
      <w:pPr>
        <w:pStyle w:val="SingleTxtGA"/>
        <w:rPr>
          <w:rFonts w:hint="cs"/>
          <w:rtl/>
        </w:rPr>
      </w:pPr>
      <w:r>
        <w:rPr>
          <w:rFonts w:hint="cs"/>
          <w:rtl/>
        </w:rPr>
        <w:t>14-</w:t>
      </w:r>
      <w:r>
        <w:rPr>
          <w:rFonts w:hint="cs"/>
          <w:rtl/>
        </w:rPr>
        <w:tab/>
        <w:t xml:space="preserve">ويسلم التقرير (الفقرة 173) بأن خيارات التعليم والمهنة أمام المرأة لا تزال تحدد </w:t>
      </w:r>
      <w:r w:rsidR="00F261CC">
        <w:rPr>
          <w:rFonts w:hint="cs"/>
          <w:rtl/>
        </w:rPr>
        <w:t>على أساس</w:t>
      </w:r>
      <w:r>
        <w:rPr>
          <w:rFonts w:hint="cs"/>
          <w:rtl/>
        </w:rPr>
        <w:t xml:space="preserve"> القوالب النمطية الجنسانية. </w:t>
      </w:r>
      <w:r w:rsidR="004C4CA7">
        <w:rPr>
          <w:rFonts w:hint="cs"/>
          <w:rtl/>
        </w:rPr>
        <w:t xml:space="preserve">ويذكر </w:t>
      </w:r>
      <w:r>
        <w:rPr>
          <w:rFonts w:hint="cs"/>
          <w:rtl/>
        </w:rPr>
        <w:t>التقرير أيضاً (الفقرة 16، المرفق 1) أن</w:t>
      </w:r>
      <w:r w:rsidR="002C4746">
        <w:rPr>
          <w:rFonts w:hint="cs"/>
          <w:rtl/>
        </w:rPr>
        <w:t xml:space="preserve">          </w:t>
      </w:r>
      <w:r>
        <w:rPr>
          <w:rFonts w:hint="cs"/>
          <w:rtl/>
        </w:rPr>
        <w:t xml:space="preserve"> بعض التدابير </w:t>
      </w:r>
      <w:r w:rsidR="00CA5B5B">
        <w:rPr>
          <w:rFonts w:hint="cs"/>
          <w:rtl/>
        </w:rPr>
        <w:t xml:space="preserve">قد </w:t>
      </w:r>
      <w:r>
        <w:rPr>
          <w:rFonts w:hint="cs"/>
          <w:rtl/>
        </w:rPr>
        <w:t>اتخذت</w:t>
      </w:r>
      <w:r w:rsidR="00CA5B5B">
        <w:rPr>
          <w:rFonts w:hint="cs"/>
          <w:rtl/>
        </w:rPr>
        <w:t>،</w:t>
      </w:r>
      <w:r>
        <w:rPr>
          <w:rFonts w:hint="cs"/>
          <w:rtl/>
        </w:rPr>
        <w:t xml:space="preserve"> </w:t>
      </w:r>
      <w:r w:rsidR="00CA5B5B">
        <w:rPr>
          <w:rFonts w:hint="cs"/>
          <w:rtl/>
        </w:rPr>
        <w:t xml:space="preserve">في إطار </w:t>
      </w:r>
      <w:r w:rsidR="001452E7">
        <w:rPr>
          <w:rFonts w:hint="cs"/>
          <w:rtl/>
        </w:rPr>
        <w:t xml:space="preserve">لخطة </w:t>
      </w:r>
      <w:r>
        <w:rPr>
          <w:rFonts w:hint="cs"/>
          <w:rtl/>
        </w:rPr>
        <w:t>العمل الوطنية للمساواة الموضوعية بين</w:t>
      </w:r>
      <w:r w:rsidR="002C4746">
        <w:rPr>
          <w:rFonts w:hint="cs"/>
          <w:rtl/>
        </w:rPr>
        <w:t xml:space="preserve">              </w:t>
      </w:r>
      <w:r>
        <w:rPr>
          <w:rFonts w:hint="cs"/>
          <w:rtl/>
        </w:rPr>
        <w:t xml:space="preserve"> الجنسين 2010-2013، </w:t>
      </w:r>
      <w:r w:rsidR="002C4746">
        <w:rPr>
          <w:rFonts w:hint="cs"/>
          <w:rtl/>
        </w:rPr>
        <w:t>لمرا</w:t>
      </w:r>
      <w:r w:rsidR="00506B6D">
        <w:rPr>
          <w:rFonts w:hint="cs"/>
          <w:rtl/>
        </w:rPr>
        <w:t>ج</w:t>
      </w:r>
      <w:r w:rsidR="002C4746">
        <w:rPr>
          <w:rFonts w:hint="cs"/>
          <w:rtl/>
        </w:rPr>
        <w:t xml:space="preserve">عة </w:t>
      </w:r>
      <w:r>
        <w:rPr>
          <w:rFonts w:hint="cs"/>
          <w:rtl/>
        </w:rPr>
        <w:t>المناهج الدراسية للتعليم العالي</w:t>
      </w:r>
      <w:r w:rsidR="00506B6D">
        <w:rPr>
          <w:rFonts w:hint="cs"/>
          <w:rtl/>
        </w:rPr>
        <w:t xml:space="preserve"> بحيث تشمل الاعتبارات الجنسانية. و</w:t>
      </w:r>
      <w:r>
        <w:rPr>
          <w:rFonts w:hint="cs"/>
          <w:rtl/>
        </w:rPr>
        <w:t xml:space="preserve">يرجى تقديم معلومات عن </w:t>
      </w:r>
      <w:r w:rsidR="00970BA6">
        <w:rPr>
          <w:rFonts w:hint="cs"/>
          <w:rtl/>
        </w:rPr>
        <w:t>ال</w:t>
      </w:r>
      <w:r>
        <w:rPr>
          <w:rFonts w:hint="cs"/>
          <w:rtl/>
        </w:rPr>
        <w:t xml:space="preserve">تدابير </w:t>
      </w:r>
      <w:r w:rsidR="00970BA6">
        <w:rPr>
          <w:rFonts w:hint="cs"/>
          <w:rtl/>
        </w:rPr>
        <w:t>ال</w:t>
      </w:r>
      <w:r>
        <w:rPr>
          <w:rFonts w:hint="cs"/>
          <w:rtl/>
        </w:rPr>
        <w:t xml:space="preserve">متخذة لمراجعة </w:t>
      </w:r>
      <w:r w:rsidR="00B137FC">
        <w:rPr>
          <w:rFonts w:hint="cs"/>
          <w:rtl/>
        </w:rPr>
        <w:t>ال</w:t>
      </w:r>
      <w:r>
        <w:rPr>
          <w:rFonts w:hint="cs"/>
          <w:rtl/>
        </w:rPr>
        <w:t>مواد التعليم</w:t>
      </w:r>
      <w:r w:rsidR="00B137FC">
        <w:rPr>
          <w:rFonts w:hint="cs"/>
          <w:rtl/>
        </w:rPr>
        <w:t>ية</w:t>
      </w:r>
      <w:r>
        <w:rPr>
          <w:rFonts w:hint="cs"/>
          <w:rtl/>
        </w:rPr>
        <w:t xml:space="preserve"> والمناهج الدراسية والكتب المدرسية </w:t>
      </w:r>
      <w:r w:rsidR="00B137FC">
        <w:rPr>
          <w:rFonts w:hint="cs"/>
          <w:rtl/>
        </w:rPr>
        <w:t xml:space="preserve">لتضمينها مسائل </w:t>
      </w:r>
      <w:r>
        <w:rPr>
          <w:rFonts w:hint="cs"/>
          <w:rtl/>
        </w:rPr>
        <w:t xml:space="preserve">المساواة بين الجنسين وحقوق الإنسان والقضاء على التمييز القائم على نوع الجنس في جميع مستويات التعليم. </w:t>
      </w:r>
    </w:p>
    <w:p w:rsidR="003D146C" w:rsidRDefault="001A5ACE" w:rsidP="001A5ACE">
      <w:pPr>
        <w:pStyle w:val="H23GA"/>
        <w:rPr>
          <w:rFonts w:hint="cs"/>
          <w:rtl/>
        </w:rPr>
      </w:pPr>
      <w:r>
        <w:rPr>
          <w:rFonts w:hint="cs"/>
          <w:rtl/>
        </w:rPr>
        <w:tab/>
      </w:r>
      <w:r>
        <w:rPr>
          <w:rFonts w:hint="cs"/>
          <w:rtl/>
        </w:rPr>
        <w:tab/>
      </w:r>
      <w:r w:rsidR="003D146C">
        <w:rPr>
          <w:rFonts w:hint="cs"/>
          <w:rtl/>
        </w:rPr>
        <w:t>العمالة</w:t>
      </w:r>
    </w:p>
    <w:p w:rsidR="003D146C" w:rsidRDefault="003D146C" w:rsidP="000D75BD">
      <w:pPr>
        <w:pStyle w:val="SingleTxtGA"/>
        <w:rPr>
          <w:rFonts w:hint="cs"/>
          <w:rtl/>
        </w:rPr>
      </w:pPr>
      <w:r>
        <w:rPr>
          <w:rFonts w:hint="cs"/>
          <w:rtl/>
        </w:rPr>
        <w:t>15-</w:t>
      </w:r>
      <w:r>
        <w:rPr>
          <w:rFonts w:hint="cs"/>
          <w:rtl/>
        </w:rPr>
        <w:tab/>
      </w:r>
      <w:r w:rsidR="00214ADC">
        <w:rPr>
          <w:rFonts w:hint="cs"/>
          <w:rtl/>
        </w:rPr>
        <w:t>تحدث</w:t>
      </w:r>
      <w:r>
        <w:rPr>
          <w:rFonts w:hint="cs"/>
          <w:rtl/>
        </w:rPr>
        <w:t xml:space="preserve"> التقرير (الفقرة 22</w:t>
      </w:r>
      <w:r w:rsidR="008C120F">
        <w:rPr>
          <w:rFonts w:hint="cs"/>
          <w:rtl/>
        </w:rPr>
        <w:t>،</w:t>
      </w:r>
      <w:r>
        <w:rPr>
          <w:rFonts w:hint="cs"/>
          <w:rtl/>
        </w:rPr>
        <w:t xml:space="preserve"> المرفق 1) </w:t>
      </w:r>
      <w:r w:rsidR="00214ADC">
        <w:rPr>
          <w:rFonts w:hint="cs"/>
          <w:rtl/>
        </w:rPr>
        <w:t>عن</w:t>
      </w:r>
      <w:r>
        <w:rPr>
          <w:rFonts w:hint="cs"/>
          <w:rtl/>
        </w:rPr>
        <w:t xml:space="preserve"> </w:t>
      </w:r>
      <w:r w:rsidR="00DE6B75">
        <w:rPr>
          <w:rFonts w:hint="cs"/>
          <w:rtl/>
        </w:rPr>
        <w:t xml:space="preserve">إعادة تشكيل </w:t>
      </w:r>
      <w:r>
        <w:rPr>
          <w:rFonts w:hint="cs"/>
          <w:rtl/>
        </w:rPr>
        <w:t xml:space="preserve">مفتشية العمل. يرجى تقديم معلومات عن التشكيل الجديد لمفتشية العمل وولايتها والتدابير التي اتخذتها هذه المفتشية الجديدة وغيرها من هيئات الدولة الطرف للتصدي </w:t>
      </w:r>
      <w:r w:rsidR="00DE6B75">
        <w:rPr>
          <w:rFonts w:hint="cs"/>
          <w:rtl/>
        </w:rPr>
        <w:t xml:space="preserve">للتفاوت </w:t>
      </w:r>
      <w:r w:rsidR="005C13EF">
        <w:rPr>
          <w:rFonts w:hint="cs"/>
          <w:rtl/>
        </w:rPr>
        <w:t xml:space="preserve">في الأجور </w:t>
      </w:r>
      <w:r>
        <w:rPr>
          <w:rFonts w:hint="cs"/>
          <w:rtl/>
        </w:rPr>
        <w:t>بين الجنسين. و</w:t>
      </w:r>
      <w:r w:rsidR="00F15009">
        <w:rPr>
          <w:rFonts w:hint="cs"/>
          <w:rtl/>
        </w:rPr>
        <w:t>يذكر</w:t>
      </w:r>
      <w:r>
        <w:rPr>
          <w:rFonts w:hint="cs"/>
          <w:rtl/>
        </w:rPr>
        <w:t xml:space="preserve"> التقرير أيضاً (الفقرة 232) أن</w:t>
      </w:r>
      <w:r w:rsidR="0048430E">
        <w:rPr>
          <w:rFonts w:hint="cs"/>
          <w:rtl/>
        </w:rPr>
        <w:t xml:space="preserve"> الشركاء الاجتماعيين اتفقوا، في إطار استحداث أشكال جديدة من تنظيم العمل، على أن يلحقوا بعقد العمل الجماعي الوطني للفترة 2008-2009 اتفاقاً إطارياً بشأن ال</w:t>
      </w:r>
      <w:r w:rsidR="00F74737">
        <w:rPr>
          <w:rFonts w:hint="cs"/>
          <w:rtl/>
        </w:rPr>
        <w:t>عمل عن بُعد الذي يتوقع أن يسهم،</w:t>
      </w:r>
      <w:r w:rsidR="0048430E">
        <w:rPr>
          <w:rFonts w:hint="cs"/>
          <w:rtl/>
        </w:rPr>
        <w:t xml:space="preserve"> في حال الترويج له، في التوفيق بين الحياة </w:t>
      </w:r>
      <w:r w:rsidR="00413B38">
        <w:rPr>
          <w:rFonts w:hint="cs"/>
          <w:rtl/>
        </w:rPr>
        <w:t xml:space="preserve">الأسرية </w:t>
      </w:r>
      <w:r w:rsidR="00A9595E">
        <w:rPr>
          <w:rFonts w:hint="cs"/>
          <w:rtl/>
        </w:rPr>
        <w:t>و</w:t>
      </w:r>
      <w:r>
        <w:rPr>
          <w:rFonts w:hint="cs"/>
          <w:rtl/>
        </w:rPr>
        <w:t xml:space="preserve">المهنية وتعزيز </w:t>
      </w:r>
      <w:r w:rsidR="00F74737">
        <w:rPr>
          <w:rFonts w:hint="cs"/>
          <w:rtl/>
        </w:rPr>
        <w:t>إمكانية توظيف</w:t>
      </w:r>
      <w:r>
        <w:rPr>
          <w:rFonts w:hint="cs"/>
          <w:rtl/>
        </w:rPr>
        <w:t xml:space="preserve"> المرأة. </w:t>
      </w:r>
      <w:r w:rsidR="00A9595E">
        <w:rPr>
          <w:rFonts w:hint="cs"/>
          <w:rtl/>
        </w:rPr>
        <w:t>و</w:t>
      </w:r>
      <w:r>
        <w:rPr>
          <w:rFonts w:hint="cs"/>
          <w:rtl/>
        </w:rPr>
        <w:t xml:space="preserve">يرجى تقديم معلومات عن نتاج هذه المبادرة وكذلك معلومات عن غيرها من التدابير </w:t>
      </w:r>
      <w:r w:rsidR="00A9595E">
        <w:rPr>
          <w:rFonts w:hint="cs"/>
          <w:rtl/>
        </w:rPr>
        <w:t xml:space="preserve">التي اتخذت مؤخراً </w:t>
      </w:r>
      <w:r>
        <w:rPr>
          <w:rFonts w:hint="cs"/>
          <w:rtl/>
        </w:rPr>
        <w:t xml:space="preserve">لتعزيز تكافؤ الفرص </w:t>
      </w:r>
      <w:r w:rsidR="002362DF">
        <w:rPr>
          <w:rFonts w:hint="cs"/>
          <w:rtl/>
        </w:rPr>
        <w:t>ل</w:t>
      </w:r>
      <w:r>
        <w:rPr>
          <w:rFonts w:hint="cs"/>
          <w:rtl/>
        </w:rPr>
        <w:t xml:space="preserve">لمرأة في </w:t>
      </w:r>
      <w:r w:rsidR="002362DF">
        <w:rPr>
          <w:rFonts w:hint="cs"/>
          <w:rtl/>
        </w:rPr>
        <w:t xml:space="preserve">العمالة </w:t>
      </w:r>
      <w:r>
        <w:rPr>
          <w:rFonts w:hint="cs"/>
          <w:rtl/>
        </w:rPr>
        <w:t>والمشاركة وتقاسم مسؤوليات الأسرة بشكل متساوي بين المرأة والرجل.</w:t>
      </w:r>
    </w:p>
    <w:p w:rsidR="003D146C" w:rsidRDefault="003D146C" w:rsidP="002E709C">
      <w:pPr>
        <w:pStyle w:val="SingleTxtGA"/>
        <w:rPr>
          <w:rFonts w:hint="cs"/>
          <w:rtl/>
        </w:rPr>
      </w:pPr>
      <w:r>
        <w:rPr>
          <w:rFonts w:hint="cs"/>
          <w:rtl/>
        </w:rPr>
        <w:t>16-</w:t>
      </w:r>
      <w:r>
        <w:rPr>
          <w:rFonts w:hint="cs"/>
          <w:rtl/>
        </w:rPr>
        <w:tab/>
      </w:r>
      <w:r w:rsidR="004313AA">
        <w:rPr>
          <w:rFonts w:hint="cs"/>
          <w:rtl/>
        </w:rPr>
        <w:t>و</w:t>
      </w:r>
      <w:r>
        <w:rPr>
          <w:rFonts w:hint="cs"/>
          <w:rtl/>
        </w:rPr>
        <w:t xml:space="preserve">يشير تقرير منظمة العمل الدولية إلى القانون رقم 3846 المؤرخ 11 </w:t>
      </w:r>
      <w:r w:rsidRPr="00064F75">
        <w:rPr>
          <w:rFonts w:hint="cs"/>
          <w:sz w:val="30"/>
          <w:rtl/>
        </w:rPr>
        <w:t>أيار/</w:t>
      </w:r>
      <w:r w:rsidR="009D752F">
        <w:rPr>
          <w:rFonts w:hint="cs"/>
          <w:sz w:val="30"/>
          <w:rtl/>
        </w:rPr>
        <w:t xml:space="preserve">              </w:t>
      </w:r>
      <w:r w:rsidRPr="00064F75">
        <w:rPr>
          <w:rFonts w:hint="cs"/>
          <w:sz w:val="30"/>
          <w:rtl/>
        </w:rPr>
        <w:t xml:space="preserve">مايو </w:t>
      </w:r>
      <w:r>
        <w:rPr>
          <w:rFonts w:hint="cs"/>
          <w:rtl/>
        </w:rPr>
        <w:t xml:space="preserve">2010 </w:t>
      </w:r>
      <w:r w:rsidR="001E2B63">
        <w:rPr>
          <w:rFonts w:hint="cs"/>
          <w:rtl/>
        </w:rPr>
        <w:t>و</w:t>
      </w:r>
      <w:r w:rsidR="000D75BD">
        <w:rPr>
          <w:rFonts w:hint="cs"/>
          <w:rtl/>
        </w:rPr>
        <w:t xml:space="preserve">المتعلق </w:t>
      </w:r>
      <w:r>
        <w:rPr>
          <w:rFonts w:hint="cs"/>
          <w:rtl/>
        </w:rPr>
        <w:t>"</w:t>
      </w:r>
      <w:r w:rsidR="000D75BD">
        <w:rPr>
          <w:rFonts w:hint="cs"/>
          <w:rtl/>
        </w:rPr>
        <w:t>ب</w:t>
      </w:r>
      <w:r>
        <w:rPr>
          <w:rFonts w:hint="cs"/>
          <w:rtl/>
        </w:rPr>
        <w:t xml:space="preserve">الإدارة والمسؤولية الماليتين" </w:t>
      </w:r>
      <w:r w:rsidR="0066345E">
        <w:rPr>
          <w:rFonts w:hint="cs"/>
          <w:rtl/>
        </w:rPr>
        <w:t xml:space="preserve">والذي قضى باستحداث </w:t>
      </w:r>
      <w:r>
        <w:rPr>
          <w:rFonts w:hint="cs"/>
          <w:rtl/>
        </w:rPr>
        <w:t xml:space="preserve">طائفة من أشكال </w:t>
      </w:r>
      <w:r w:rsidR="007B5509">
        <w:rPr>
          <w:rFonts w:hint="cs"/>
          <w:rtl/>
        </w:rPr>
        <w:t>العمالة المرنة</w:t>
      </w:r>
      <w:r w:rsidR="00D03351">
        <w:rPr>
          <w:rFonts w:hint="cs"/>
          <w:rtl/>
        </w:rPr>
        <w:t>،</w:t>
      </w:r>
      <w:r w:rsidR="007B5509">
        <w:rPr>
          <w:rFonts w:hint="cs"/>
          <w:rtl/>
        </w:rPr>
        <w:t xml:space="preserve"> </w:t>
      </w:r>
      <w:r w:rsidR="006B64E5">
        <w:rPr>
          <w:rFonts w:hint="cs"/>
          <w:rtl/>
        </w:rPr>
        <w:t>ويذكر أن أشكال العمالة المرنة هذه، ولا سيما العمل لبعض الوقت أو العمل بالتناوب، هي التي ت</w:t>
      </w:r>
      <w:r w:rsidR="00A150AB">
        <w:rPr>
          <w:rFonts w:hint="cs"/>
          <w:rtl/>
        </w:rPr>
        <w:t>ُ</w:t>
      </w:r>
      <w:r w:rsidR="006B64E5">
        <w:rPr>
          <w:rFonts w:hint="cs"/>
          <w:rtl/>
        </w:rPr>
        <w:t xml:space="preserve">عرض على النساء في غالب الأحيان. ويذكر التقرير أيضاً </w:t>
      </w:r>
      <w:r w:rsidR="00A150AB">
        <w:rPr>
          <w:rFonts w:hint="cs"/>
          <w:rtl/>
        </w:rPr>
        <w:t xml:space="preserve">أن النساء اللاتي تعدن إلى العمل بعد إجازة الوضع </w:t>
      </w:r>
      <w:r w:rsidR="004A4FA3">
        <w:rPr>
          <w:rFonts w:hint="cs"/>
          <w:rtl/>
        </w:rPr>
        <w:t xml:space="preserve">تسند إليهن أعمال لبعض الوقت وأعمال </w:t>
      </w:r>
      <w:r>
        <w:rPr>
          <w:rFonts w:hint="cs"/>
          <w:rtl/>
        </w:rPr>
        <w:t>بالتناوب</w:t>
      </w:r>
      <w:r w:rsidR="00D348CA">
        <w:rPr>
          <w:rFonts w:hint="cs"/>
          <w:rtl/>
        </w:rPr>
        <w:t xml:space="preserve"> </w:t>
      </w:r>
      <w:r w:rsidR="008E7EAE">
        <w:rPr>
          <w:rFonts w:hint="cs"/>
          <w:rtl/>
        </w:rPr>
        <w:t xml:space="preserve">مما يقلل من مستويات أجورهن. يرجى تقديم بيانات إحصائية، مصنفة بحسب الجنس، </w:t>
      </w:r>
      <w:r w:rsidR="00B306B2">
        <w:rPr>
          <w:rFonts w:hint="cs"/>
          <w:rtl/>
        </w:rPr>
        <w:t xml:space="preserve">عن اللجوء إلى العمالة لبعض الوقت والعمالة بالتناوب أو أشكال العمالة المرنة وآثارها على مستويات أجور المرأة. ويرجى </w:t>
      </w:r>
      <w:r>
        <w:rPr>
          <w:rFonts w:hint="cs"/>
          <w:rtl/>
        </w:rPr>
        <w:t>تقديم معلومات أيضاً عن التدابير المتخذة للتصدي</w:t>
      </w:r>
      <w:r w:rsidR="00343175">
        <w:rPr>
          <w:rFonts w:hint="cs"/>
          <w:rtl/>
        </w:rPr>
        <w:t xml:space="preserve"> </w:t>
      </w:r>
      <w:r w:rsidR="004A7856">
        <w:rPr>
          <w:rFonts w:hint="cs"/>
          <w:rtl/>
        </w:rPr>
        <w:t>لهذه القضية.</w:t>
      </w:r>
      <w:r>
        <w:rPr>
          <w:rFonts w:hint="cs"/>
          <w:rtl/>
        </w:rPr>
        <w:t xml:space="preserve"> </w:t>
      </w:r>
    </w:p>
    <w:p w:rsidR="003D146C" w:rsidRDefault="004A7856" w:rsidP="004A7856">
      <w:pPr>
        <w:pStyle w:val="H23GA"/>
        <w:rPr>
          <w:rFonts w:hint="cs"/>
          <w:rtl/>
        </w:rPr>
      </w:pPr>
      <w:r>
        <w:rPr>
          <w:rFonts w:hint="cs"/>
          <w:rtl/>
        </w:rPr>
        <w:tab/>
      </w:r>
      <w:r>
        <w:rPr>
          <w:rFonts w:hint="cs"/>
          <w:rtl/>
        </w:rPr>
        <w:tab/>
      </w:r>
      <w:r w:rsidR="003D146C">
        <w:rPr>
          <w:rFonts w:hint="cs"/>
          <w:rtl/>
        </w:rPr>
        <w:t>الصحة</w:t>
      </w:r>
    </w:p>
    <w:p w:rsidR="00D348CA" w:rsidRDefault="003D146C" w:rsidP="00D348CA">
      <w:pPr>
        <w:pStyle w:val="SingleTxtGA"/>
        <w:rPr>
          <w:rFonts w:hint="cs"/>
          <w:rtl/>
        </w:rPr>
      </w:pPr>
      <w:r>
        <w:rPr>
          <w:rFonts w:hint="cs"/>
          <w:rtl/>
        </w:rPr>
        <w:t>17-</w:t>
      </w:r>
      <w:r>
        <w:rPr>
          <w:rFonts w:hint="cs"/>
          <w:rtl/>
        </w:rPr>
        <w:tab/>
      </w:r>
      <w:r w:rsidR="00B31BDA">
        <w:rPr>
          <w:rFonts w:hint="cs"/>
          <w:rtl/>
        </w:rPr>
        <w:t>يذكر</w:t>
      </w:r>
      <w:r>
        <w:rPr>
          <w:rFonts w:hint="cs"/>
          <w:rtl/>
        </w:rPr>
        <w:t xml:space="preserve"> التقرير (الفقرة 19) أن</w:t>
      </w:r>
      <w:r w:rsidR="00D348CA">
        <w:rPr>
          <w:rFonts w:hint="cs"/>
          <w:rtl/>
        </w:rPr>
        <w:t xml:space="preserve"> وزارة الصحة والتضامن الاجتماعي اليونانية نفذت في عام 2007 خطط عمل وطنية تتعلق بالصحة الجنسية والإنجابية، وفيروس نقص المناعة البشري/الإيدز والأمراض المنقولة جنسياً. ويذكر </w:t>
      </w:r>
      <w:r>
        <w:rPr>
          <w:rFonts w:hint="cs"/>
          <w:rtl/>
        </w:rPr>
        <w:t xml:space="preserve">التقرير أيضاً (الفقرة 255) أن الوزارة </w:t>
      </w:r>
      <w:r w:rsidR="00D348CA">
        <w:rPr>
          <w:rFonts w:hint="cs"/>
          <w:rtl/>
        </w:rPr>
        <w:t xml:space="preserve">وضعت </w:t>
      </w:r>
      <w:r>
        <w:rPr>
          <w:rFonts w:hint="cs"/>
          <w:rtl/>
        </w:rPr>
        <w:t>خطة أخرى للفترة 2008-2012. يرجى تقديم معلومات محدثة عن</w:t>
      </w:r>
      <w:r w:rsidR="00D348CA">
        <w:rPr>
          <w:rFonts w:hint="cs"/>
          <w:rtl/>
        </w:rPr>
        <w:t xml:space="preserve"> النتائج التي أسفرت عنها الخطة الأولى وعن حالة التقدم في تنفيذ الخطة الثانية. ويرجى بيان أهم المنجزات التي تحققت حتى الآن والصعوبات الرئيسية التي ووجهت أثناء تنفيذها.</w:t>
      </w:r>
    </w:p>
    <w:p w:rsidR="00DD6CDE" w:rsidRDefault="00DD6CDE" w:rsidP="00DD6CDE">
      <w:pPr>
        <w:pStyle w:val="SingleTxtGA"/>
        <w:rPr>
          <w:rFonts w:hint="cs"/>
          <w:rtl/>
        </w:rPr>
      </w:pPr>
      <w:r>
        <w:rPr>
          <w:rFonts w:hint="cs"/>
          <w:rtl/>
        </w:rPr>
        <w:t>18-</w:t>
      </w:r>
      <w:r>
        <w:rPr>
          <w:rFonts w:hint="cs"/>
          <w:rtl/>
        </w:rPr>
        <w:tab/>
        <w:t>لم يتعرض التقرير لمسألة استهلاك التبغ والمشروبات الكحولية من قبل سكان الدولة الطرف. يرجى تقديم معلوم</w:t>
      </w:r>
      <w:r w:rsidR="00343175">
        <w:rPr>
          <w:rFonts w:hint="cs"/>
          <w:rtl/>
        </w:rPr>
        <w:t>ات عن مستوى استهلاك النساء للتبغ</w:t>
      </w:r>
      <w:r>
        <w:rPr>
          <w:rFonts w:hint="cs"/>
          <w:rtl/>
        </w:rPr>
        <w:t xml:space="preserve"> والمشروبات الكحولية، وعن التدابير المتخذة للتصدي للأمراض الناجمة عن هذا الاستهلاك، وعن الحملات الرامية إلى الحد من استهلاك التبغ والمشروبات الكحولية، إن وجدت.</w:t>
      </w:r>
    </w:p>
    <w:p w:rsidR="003D146C" w:rsidRDefault="003D146C" w:rsidP="00101EF0">
      <w:pPr>
        <w:pStyle w:val="SingleTxtGA"/>
        <w:rPr>
          <w:rFonts w:hint="cs"/>
          <w:rtl/>
        </w:rPr>
      </w:pPr>
      <w:r>
        <w:rPr>
          <w:rFonts w:hint="cs"/>
          <w:rtl/>
        </w:rPr>
        <w:t>19-</w:t>
      </w:r>
      <w:r>
        <w:rPr>
          <w:rFonts w:hint="cs"/>
          <w:rtl/>
        </w:rPr>
        <w:tab/>
      </w:r>
      <w:r w:rsidR="00101EF0">
        <w:rPr>
          <w:rFonts w:hint="cs"/>
          <w:rtl/>
        </w:rPr>
        <w:t>يذكر</w:t>
      </w:r>
      <w:r>
        <w:rPr>
          <w:rFonts w:hint="cs"/>
          <w:rtl/>
        </w:rPr>
        <w:t xml:space="preserve"> التقرير (الفقرة 256) أن أحد أهداف خطة العمل الوطنية للصحة الجنسية والإنجابية</w:t>
      </w:r>
      <w:r w:rsidR="002E709C">
        <w:rPr>
          <w:rFonts w:hint="cs"/>
          <w:rtl/>
        </w:rPr>
        <w:t xml:space="preserve"> للفترة</w:t>
      </w:r>
      <w:r>
        <w:rPr>
          <w:rFonts w:hint="cs"/>
          <w:rtl/>
        </w:rPr>
        <w:t xml:space="preserve"> </w:t>
      </w:r>
      <w:r w:rsidR="00101EF0">
        <w:rPr>
          <w:rFonts w:hint="cs"/>
          <w:rtl/>
        </w:rPr>
        <w:t>2008-2012</w:t>
      </w:r>
      <w:r>
        <w:rPr>
          <w:rFonts w:hint="cs"/>
          <w:rtl/>
        </w:rPr>
        <w:t xml:space="preserve"> هي تحديث التشريع الوطني المتعلق بالإجهاض. يرجى تقديم معلومات عن الخطوات المتخذة في هذا المجال </w:t>
      </w:r>
      <w:r w:rsidR="00101EF0">
        <w:rPr>
          <w:rFonts w:hint="cs"/>
          <w:rtl/>
        </w:rPr>
        <w:t>والنتائج التي تحققت حتى الآن.</w:t>
      </w:r>
    </w:p>
    <w:p w:rsidR="003D146C" w:rsidRDefault="001D297B" w:rsidP="001D297B">
      <w:pPr>
        <w:pStyle w:val="H23GA"/>
        <w:rPr>
          <w:rFonts w:hint="cs"/>
          <w:rtl/>
        </w:rPr>
      </w:pPr>
      <w:r>
        <w:rPr>
          <w:rFonts w:hint="cs"/>
          <w:rtl/>
        </w:rPr>
        <w:tab/>
      </w:r>
      <w:r>
        <w:rPr>
          <w:rFonts w:hint="cs"/>
          <w:rtl/>
        </w:rPr>
        <w:tab/>
      </w:r>
      <w:r w:rsidR="003D146C">
        <w:rPr>
          <w:rFonts w:hint="cs"/>
          <w:rtl/>
        </w:rPr>
        <w:t>النساء اللاجئات وملتمسات اللجوء</w:t>
      </w:r>
    </w:p>
    <w:p w:rsidR="008F2C52" w:rsidRDefault="003D146C" w:rsidP="00CE78C7">
      <w:pPr>
        <w:pStyle w:val="SingleTxtGA"/>
        <w:rPr>
          <w:rFonts w:hint="cs"/>
          <w:rtl/>
        </w:rPr>
      </w:pPr>
      <w:r>
        <w:rPr>
          <w:rFonts w:hint="cs"/>
          <w:rtl/>
        </w:rPr>
        <w:t>20-</w:t>
      </w:r>
      <w:r>
        <w:rPr>
          <w:rFonts w:hint="cs"/>
          <w:rtl/>
        </w:rPr>
        <w:tab/>
      </w:r>
      <w:r w:rsidR="008F2C52">
        <w:rPr>
          <w:rFonts w:hint="cs"/>
          <w:rtl/>
        </w:rPr>
        <w:t>نص المرسوم الرئاسي 114/2010، الذي يدمج التوجيه الأوروبي المتعلق بإجراءات اللجوء في القانون المحلي، على ضرورة حصول المرأة المتقد</w:t>
      </w:r>
      <w:r w:rsidR="00F71960">
        <w:rPr>
          <w:rFonts w:hint="cs"/>
          <w:rtl/>
        </w:rPr>
        <w:t>م</w:t>
      </w:r>
      <w:r w:rsidR="008F2C52">
        <w:rPr>
          <w:rFonts w:hint="cs"/>
          <w:rtl/>
        </w:rPr>
        <w:t xml:space="preserve">ة بطلب اللجوء على المساعدة من مترجمة فورية طوال عملية النظر في طلبها، إلا أن المعلومات التي بين يدي اللجنة تشير إلى أن النساء اللاجئات وملتمسات اللجوء يجهلن حقوقهن ويتعرضن للتمييز. ولا يقدم التقرير أي بيانات إحصائية رسمية عن النساء اللاجئات وملتمسات اللجوء ولا عن طلبات اللجوء المقدمة على أساس الاضطهاد القائم على نوع الجنس. يرجى تقديم بيانات إحصائية محدثة، مصنفة بحسب الجنس والموقع الجغرافي، عن </w:t>
      </w:r>
      <w:r w:rsidR="00710EAB">
        <w:rPr>
          <w:rFonts w:hint="cs"/>
          <w:rtl/>
        </w:rPr>
        <w:t>الأشخاص اللاجئين وملتمسي اللجوء وعن عدد المرافق المتاحة لهم، وكذلك معلومات عن نوعية هذه المرافق. ويرجى أيضاً بيان ما إذا كان الموظفون المكلفون بإنفاذ القانون وحراس الحدود يحصلون على التدريب والتوعية بالمبادئ التوجيهية في كيفية التعامل مع حالات الاضطهاد القائم على نوع الجنس وتقديم الحماية للاجئات وملتمسات اللجوء.</w:t>
      </w:r>
    </w:p>
    <w:p w:rsidR="00710EAB" w:rsidRPr="00710EAB" w:rsidRDefault="00710EAB" w:rsidP="00710EAB">
      <w:pPr>
        <w:spacing w:before="120"/>
        <w:jc w:val="center"/>
        <w:rPr>
          <w:rFonts w:hint="cs"/>
          <w:u w:val="single"/>
          <w:rtl/>
        </w:rPr>
      </w:pPr>
      <w:r>
        <w:rPr>
          <w:u w:val="single"/>
          <w:rtl/>
        </w:rPr>
        <w:tab/>
      </w:r>
      <w:r>
        <w:rPr>
          <w:u w:val="single"/>
          <w:rtl/>
        </w:rPr>
        <w:tab/>
      </w:r>
      <w:r>
        <w:rPr>
          <w:u w:val="single"/>
          <w:rtl/>
        </w:rPr>
        <w:tab/>
      </w:r>
    </w:p>
    <w:sectPr w:rsidR="00710EAB" w:rsidRPr="00710EAB"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E1" w:rsidRPr="00FE6865" w:rsidRDefault="008105E1" w:rsidP="00FE6865">
      <w:pPr>
        <w:pStyle w:val="Footer"/>
      </w:pPr>
    </w:p>
  </w:endnote>
  <w:endnote w:type="continuationSeparator" w:id="0">
    <w:p w:rsidR="008105E1" w:rsidRDefault="008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CF" w:rsidRPr="008B5DCF" w:rsidRDefault="008B5DCF" w:rsidP="008B5DCF">
    <w:pPr>
      <w:pStyle w:val="Footer"/>
      <w:tabs>
        <w:tab w:val="right" w:pos="9598"/>
      </w:tabs>
    </w:pPr>
    <w:r>
      <w:t>GE.12-45054</w:t>
    </w:r>
    <w:r>
      <w:tab/>
    </w:r>
    <w:r w:rsidRPr="008B5DCF">
      <w:rPr>
        <w:b/>
        <w:sz w:val="18"/>
      </w:rPr>
      <w:fldChar w:fldCharType="begin"/>
    </w:r>
    <w:r w:rsidRPr="008B5DCF">
      <w:rPr>
        <w:b/>
        <w:sz w:val="18"/>
      </w:rPr>
      <w:instrText xml:space="preserve"> PAGE  \* MERGEFORMAT </w:instrText>
    </w:r>
    <w:r w:rsidRPr="008B5DCF">
      <w:rPr>
        <w:b/>
        <w:sz w:val="18"/>
      </w:rPr>
      <w:fldChar w:fldCharType="separate"/>
    </w:r>
    <w:r w:rsidR="00F71960">
      <w:rPr>
        <w:b/>
        <w:noProof/>
        <w:sz w:val="18"/>
      </w:rPr>
      <w:t>2</w:t>
    </w:r>
    <w:r w:rsidRPr="008B5DC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CF" w:rsidRPr="008B5DCF" w:rsidRDefault="008B5DCF" w:rsidP="008B5DCF">
    <w:pPr>
      <w:pStyle w:val="Footer"/>
      <w:tabs>
        <w:tab w:val="right" w:pos="9598"/>
      </w:tabs>
      <w:rPr>
        <w:b/>
        <w:sz w:val="18"/>
      </w:rPr>
    </w:pPr>
    <w:r w:rsidRPr="008B5DCF">
      <w:rPr>
        <w:b/>
        <w:sz w:val="18"/>
      </w:rPr>
      <w:fldChar w:fldCharType="begin"/>
    </w:r>
    <w:r w:rsidRPr="008B5DCF">
      <w:rPr>
        <w:b/>
        <w:sz w:val="18"/>
      </w:rPr>
      <w:instrText xml:space="preserve"> PAGE  \* MERGEFORMAT </w:instrText>
    </w:r>
    <w:r w:rsidRPr="008B5DCF">
      <w:rPr>
        <w:b/>
        <w:sz w:val="18"/>
      </w:rPr>
      <w:fldChar w:fldCharType="separate"/>
    </w:r>
    <w:r w:rsidR="00F71960">
      <w:rPr>
        <w:b/>
        <w:noProof/>
        <w:sz w:val="18"/>
      </w:rPr>
      <w:t>5</w:t>
    </w:r>
    <w:r w:rsidRPr="008B5DCF">
      <w:rPr>
        <w:b/>
        <w:sz w:val="18"/>
      </w:rPr>
      <w:fldChar w:fldCharType="end"/>
    </w:r>
    <w:r>
      <w:rPr>
        <w:b/>
        <w:sz w:val="18"/>
      </w:rPr>
      <w:tab/>
    </w:r>
    <w:r>
      <w:t>GE.12-45054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99" w:rsidRDefault="008B5DCF" w:rsidP="004F42D2">
    <w:pPr>
      <w:pStyle w:val="Footer"/>
      <w:jc w:val="right"/>
    </w:pPr>
    <w:r>
      <w:rPr>
        <w:sz w:val="20"/>
      </w:rPr>
      <w:t>(A)   GE.12-4505</w:t>
    </w:r>
    <w:r w:rsidR="004F42D2">
      <w:rPr>
        <w:sz w:val="20"/>
      </w:rPr>
      <w:t>4    170912    180912</w:t>
    </w:r>
    <w:r w:rsidR="00E3769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E1" w:rsidRDefault="008105E1" w:rsidP="00834FF4">
      <w:pPr>
        <w:pStyle w:val="Footer"/>
        <w:bidi/>
        <w:spacing w:after="80" w:line="200" w:lineRule="exact"/>
        <w:ind w:left="680"/>
      </w:pPr>
      <w:r>
        <w:rPr>
          <w:rFonts w:hint="cs"/>
          <w:rtl/>
        </w:rPr>
        <w:t>__________</w:t>
      </w:r>
    </w:p>
  </w:footnote>
  <w:footnote w:type="continuationSeparator" w:id="0">
    <w:p w:rsidR="008105E1" w:rsidRDefault="008105E1" w:rsidP="00834FF4">
      <w:pPr>
        <w:pStyle w:val="Footer"/>
        <w:bidi/>
        <w:spacing w:after="80" w:line="200" w:lineRule="exact"/>
        <w:ind w:left="680"/>
      </w:pPr>
      <w:r>
        <w:rPr>
          <w:rFonts w:hint="cs"/>
          <w:rtl/>
        </w:rPr>
        <w:t>__________</w:t>
      </w:r>
    </w:p>
  </w:footnote>
  <w:footnote w:id="1">
    <w:p w:rsidR="003D146C" w:rsidRPr="00D83ED1" w:rsidRDefault="003D146C" w:rsidP="00CE6BC0">
      <w:pPr>
        <w:pStyle w:val="FootnoteText"/>
        <w:numPr>
          <w:ilvl w:val="0"/>
          <w:numId w:val="40"/>
        </w:numPr>
        <w:tabs>
          <w:tab w:val="clear" w:pos="1295"/>
          <w:tab w:val="left" w:pos="1239"/>
        </w:tabs>
        <w:spacing w:after="60" w:line="300" w:lineRule="exact"/>
        <w:ind w:left="1247" w:right="1247"/>
        <w:rPr>
          <w:rFonts w:hint="cs"/>
          <w:sz w:val="18"/>
          <w:szCs w:val="26"/>
        </w:rPr>
      </w:pPr>
      <w:r w:rsidRPr="00D83ED1">
        <w:rPr>
          <w:rFonts w:hint="cs"/>
          <w:sz w:val="18"/>
          <w:szCs w:val="26"/>
          <w:rtl/>
        </w:rPr>
        <w:t>تشير أرقام الفقر</w:t>
      </w:r>
      <w:r w:rsidR="00D83ED1">
        <w:rPr>
          <w:rFonts w:hint="cs"/>
          <w:sz w:val="18"/>
          <w:szCs w:val="26"/>
          <w:rtl/>
        </w:rPr>
        <w:t>ات</w:t>
      </w:r>
      <w:r w:rsidRPr="00D83ED1">
        <w:rPr>
          <w:rFonts w:hint="cs"/>
          <w:sz w:val="18"/>
          <w:szCs w:val="26"/>
          <w:rtl/>
        </w:rPr>
        <w:t xml:space="preserve"> إلى التقرير الدوري السابع للدولة الطرف </w:t>
      </w:r>
      <w:r w:rsidR="00D83ED1">
        <w:rPr>
          <w:sz w:val="18"/>
          <w:szCs w:val="26"/>
        </w:rPr>
        <w:t>(</w:t>
      </w:r>
      <w:r w:rsidRPr="00D83ED1">
        <w:rPr>
          <w:sz w:val="18"/>
          <w:szCs w:val="26"/>
        </w:rPr>
        <w:t>CEDAW/C/GRC/7</w:t>
      </w:r>
      <w:r w:rsidR="00D83ED1">
        <w:rPr>
          <w:sz w:val="18"/>
          <w:szCs w:val="26"/>
        </w:rPr>
        <w:t>)</w:t>
      </w:r>
      <w:r w:rsidR="00794F35">
        <w:rPr>
          <w:rFonts w:hint="cs"/>
          <w:sz w:val="18"/>
          <w:szCs w:val="26"/>
          <w:rtl/>
        </w:rPr>
        <w:t xml:space="preserve"> ما لم ترد الإشارة إلى غير ذلك</w:t>
      </w:r>
      <w:r w:rsidRPr="00D83ED1">
        <w:rPr>
          <w:rFonts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CF" w:rsidRPr="008B5DCF" w:rsidRDefault="008B5DCF" w:rsidP="008B5DCF">
    <w:pPr>
      <w:pStyle w:val="Header"/>
      <w:jc w:val="right"/>
    </w:pPr>
    <w:r w:rsidRPr="008B5DCF">
      <w:t>CEDAW/C/GRC/Q/7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99" w:rsidRPr="008B5DCF" w:rsidRDefault="008B5DCF" w:rsidP="008B5DCF">
    <w:pPr>
      <w:pStyle w:val="Header"/>
      <w:jc w:val="left"/>
    </w:pPr>
    <w:r w:rsidRPr="008B5DCF">
      <w:t>CEDAW/C/GRC/Q/7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99" w:rsidRDefault="00E3769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E37699" w:rsidRPr="00460CB7" w:rsidRDefault="00E37699"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240231D"/>
    <w:multiLevelType w:val="hybridMultilevel"/>
    <w:tmpl w:val="27149FBA"/>
    <w:lvl w:ilvl="0" w:tplc="91922D72">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99"/>
    <w:rsid w:val="00003048"/>
    <w:rsid w:val="0001451E"/>
    <w:rsid w:val="00040E25"/>
    <w:rsid w:val="00042149"/>
    <w:rsid w:val="000448E5"/>
    <w:rsid w:val="000648EA"/>
    <w:rsid w:val="00081A40"/>
    <w:rsid w:val="00083E0B"/>
    <w:rsid w:val="0009577C"/>
    <w:rsid w:val="000957C8"/>
    <w:rsid w:val="00095B64"/>
    <w:rsid w:val="00097049"/>
    <w:rsid w:val="000A02EB"/>
    <w:rsid w:val="000A04D5"/>
    <w:rsid w:val="000B4D50"/>
    <w:rsid w:val="000B52F2"/>
    <w:rsid w:val="000C67FF"/>
    <w:rsid w:val="000D0EAE"/>
    <w:rsid w:val="000D5380"/>
    <w:rsid w:val="000D6654"/>
    <w:rsid w:val="000D75BD"/>
    <w:rsid w:val="000E103D"/>
    <w:rsid w:val="000F0264"/>
    <w:rsid w:val="000F2EBF"/>
    <w:rsid w:val="000F3A9F"/>
    <w:rsid w:val="000F5FF6"/>
    <w:rsid w:val="00101EF0"/>
    <w:rsid w:val="001022B5"/>
    <w:rsid w:val="00113FA5"/>
    <w:rsid w:val="00116328"/>
    <w:rsid w:val="00124736"/>
    <w:rsid w:val="00135B83"/>
    <w:rsid w:val="001452E7"/>
    <w:rsid w:val="001455A0"/>
    <w:rsid w:val="001602A3"/>
    <w:rsid w:val="00180680"/>
    <w:rsid w:val="001A5161"/>
    <w:rsid w:val="001A5ACE"/>
    <w:rsid w:val="001A60BD"/>
    <w:rsid w:val="001C596C"/>
    <w:rsid w:val="001D297B"/>
    <w:rsid w:val="001E2B63"/>
    <w:rsid w:val="002063E2"/>
    <w:rsid w:val="00214ADC"/>
    <w:rsid w:val="002225D3"/>
    <w:rsid w:val="002244FB"/>
    <w:rsid w:val="00232277"/>
    <w:rsid w:val="002362DF"/>
    <w:rsid w:val="0023736D"/>
    <w:rsid w:val="002454B7"/>
    <w:rsid w:val="00252B9E"/>
    <w:rsid w:val="00254FFD"/>
    <w:rsid w:val="00257225"/>
    <w:rsid w:val="002B0AB7"/>
    <w:rsid w:val="002C2880"/>
    <w:rsid w:val="002C4746"/>
    <w:rsid w:val="002D5957"/>
    <w:rsid w:val="002E709C"/>
    <w:rsid w:val="002F73E1"/>
    <w:rsid w:val="00310160"/>
    <w:rsid w:val="0033231F"/>
    <w:rsid w:val="00341A8C"/>
    <w:rsid w:val="00343175"/>
    <w:rsid w:val="00347FBD"/>
    <w:rsid w:val="003519E6"/>
    <w:rsid w:val="00363EB0"/>
    <w:rsid w:val="00395F00"/>
    <w:rsid w:val="0039686F"/>
    <w:rsid w:val="003B4356"/>
    <w:rsid w:val="003B5596"/>
    <w:rsid w:val="003D146C"/>
    <w:rsid w:val="003D1BDE"/>
    <w:rsid w:val="003F08A8"/>
    <w:rsid w:val="00413B38"/>
    <w:rsid w:val="00414E5D"/>
    <w:rsid w:val="004250E3"/>
    <w:rsid w:val="004313AA"/>
    <w:rsid w:val="00460CB7"/>
    <w:rsid w:val="00464D71"/>
    <w:rsid w:val="00472A81"/>
    <w:rsid w:val="0048430E"/>
    <w:rsid w:val="004A20A6"/>
    <w:rsid w:val="004A4E5E"/>
    <w:rsid w:val="004A4FA3"/>
    <w:rsid w:val="004A7856"/>
    <w:rsid w:val="004B2C92"/>
    <w:rsid w:val="004C4CA7"/>
    <w:rsid w:val="004D6A3A"/>
    <w:rsid w:val="004F42D2"/>
    <w:rsid w:val="004F4AD7"/>
    <w:rsid w:val="00506B6D"/>
    <w:rsid w:val="0052642C"/>
    <w:rsid w:val="00556406"/>
    <w:rsid w:val="00557CD3"/>
    <w:rsid w:val="00571432"/>
    <w:rsid w:val="005732A2"/>
    <w:rsid w:val="00575958"/>
    <w:rsid w:val="005762A5"/>
    <w:rsid w:val="00583B07"/>
    <w:rsid w:val="00590BA3"/>
    <w:rsid w:val="00591531"/>
    <w:rsid w:val="00593ECA"/>
    <w:rsid w:val="005B46D9"/>
    <w:rsid w:val="005B4B2B"/>
    <w:rsid w:val="005B7AE0"/>
    <w:rsid w:val="005C13EF"/>
    <w:rsid w:val="005E5DA9"/>
    <w:rsid w:val="005F146F"/>
    <w:rsid w:val="005F5EE6"/>
    <w:rsid w:val="005F71B6"/>
    <w:rsid w:val="006162FC"/>
    <w:rsid w:val="00627144"/>
    <w:rsid w:val="00654786"/>
    <w:rsid w:val="00660FD4"/>
    <w:rsid w:val="0066345E"/>
    <w:rsid w:val="00676D86"/>
    <w:rsid w:val="006903E3"/>
    <w:rsid w:val="006A4425"/>
    <w:rsid w:val="006B00A4"/>
    <w:rsid w:val="006B4669"/>
    <w:rsid w:val="006B64E5"/>
    <w:rsid w:val="006D23DA"/>
    <w:rsid w:val="006F6BF8"/>
    <w:rsid w:val="00707BDF"/>
    <w:rsid w:val="00710727"/>
    <w:rsid w:val="00710EAB"/>
    <w:rsid w:val="00715F45"/>
    <w:rsid w:val="00731815"/>
    <w:rsid w:val="00731B84"/>
    <w:rsid w:val="00734AE7"/>
    <w:rsid w:val="00735B06"/>
    <w:rsid w:val="00772CA0"/>
    <w:rsid w:val="00772E1F"/>
    <w:rsid w:val="0079344E"/>
    <w:rsid w:val="00794597"/>
    <w:rsid w:val="00794F35"/>
    <w:rsid w:val="007B5509"/>
    <w:rsid w:val="007C6FDD"/>
    <w:rsid w:val="007E197F"/>
    <w:rsid w:val="007F68C4"/>
    <w:rsid w:val="008105E1"/>
    <w:rsid w:val="008153DE"/>
    <w:rsid w:val="008303FA"/>
    <w:rsid w:val="00834FF4"/>
    <w:rsid w:val="00852A10"/>
    <w:rsid w:val="00862634"/>
    <w:rsid w:val="008628F6"/>
    <w:rsid w:val="00866C59"/>
    <w:rsid w:val="00874ECE"/>
    <w:rsid w:val="00877306"/>
    <w:rsid w:val="008A34E1"/>
    <w:rsid w:val="008A6242"/>
    <w:rsid w:val="008B4BC6"/>
    <w:rsid w:val="008B5DCF"/>
    <w:rsid w:val="008C0C6A"/>
    <w:rsid w:val="008C120F"/>
    <w:rsid w:val="008E7EAE"/>
    <w:rsid w:val="008F2C52"/>
    <w:rsid w:val="00901E57"/>
    <w:rsid w:val="009070DF"/>
    <w:rsid w:val="00922026"/>
    <w:rsid w:val="00935F0E"/>
    <w:rsid w:val="0095208F"/>
    <w:rsid w:val="00963A80"/>
    <w:rsid w:val="00970BA6"/>
    <w:rsid w:val="00977B3F"/>
    <w:rsid w:val="00977E98"/>
    <w:rsid w:val="009814AE"/>
    <w:rsid w:val="009901D3"/>
    <w:rsid w:val="00996BBE"/>
    <w:rsid w:val="009B2C03"/>
    <w:rsid w:val="009D1DD5"/>
    <w:rsid w:val="009D4373"/>
    <w:rsid w:val="009D752F"/>
    <w:rsid w:val="009E6683"/>
    <w:rsid w:val="009F722C"/>
    <w:rsid w:val="00A150AB"/>
    <w:rsid w:val="00A26157"/>
    <w:rsid w:val="00A265C3"/>
    <w:rsid w:val="00A30FC8"/>
    <w:rsid w:val="00A320DC"/>
    <w:rsid w:val="00A41254"/>
    <w:rsid w:val="00A41F09"/>
    <w:rsid w:val="00A43F9A"/>
    <w:rsid w:val="00A453DD"/>
    <w:rsid w:val="00A53F38"/>
    <w:rsid w:val="00A543D4"/>
    <w:rsid w:val="00A95599"/>
    <w:rsid w:val="00A9595E"/>
    <w:rsid w:val="00AB7525"/>
    <w:rsid w:val="00AD0014"/>
    <w:rsid w:val="00AD4CF2"/>
    <w:rsid w:val="00AF0BBA"/>
    <w:rsid w:val="00AF5821"/>
    <w:rsid w:val="00B137FC"/>
    <w:rsid w:val="00B145B5"/>
    <w:rsid w:val="00B25BBD"/>
    <w:rsid w:val="00B30468"/>
    <w:rsid w:val="00B306B2"/>
    <w:rsid w:val="00B31BDA"/>
    <w:rsid w:val="00B44E31"/>
    <w:rsid w:val="00B55E99"/>
    <w:rsid w:val="00B75F2B"/>
    <w:rsid w:val="00B770FF"/>
    <w:rsid w:val="00BA4F7E"/>
    <w:rsid w:val="00BA6C00"/>
    <w:rsid w:val="00BB2C41"/>
    <w:rsid w:val="00BC55C8"/>
    <w:rsid w:val="00BC5C10"/>
    <w:rsid w:val="00BD5A4B"/>
    <w:rsid w:val="00BE2964"/>
    <w:rsid w:val="00C1434D"/>
    <w:rsid w:val="00C21623"/>
    <w:rsid w:val="00C24FBD"/>
    <w:rsid w:val="00C41B2D"/>
    <w:rsid w:val="00C473BA"/>
    <w:rsid w:val="00C55B3D"/>
    <w:rsid w:val="00C611ED"/>
    <w:rsid w:val="00C6167A"/>
    <w:rsid w:val="00C6490A"/>
    <w:rsid w:val="00C64FE1"/>
    <w:rsid w:val="00C71B03"/>
    <w:rsid w:val="00C74296"/>
    <w:rsid w:val="00C8345E"/>
    <w:rsid w:val="00C9634F"/>
    <w:rsid w:val="00CA5B5B"/>
    <w:rsid w:val="00CA5F7C"/>
    <w:rsid w:val="00CD021C"/>
    <w:rsid w:val="00CE6BC0"/>
    <w:rsid w:val="00CE78C7"/>
    <w:rsid w:val="00D03351"/>
    <w:rsid w:val="00D348CA"/>
    <w:rsid w:val="00D51067"/>
    <w:rsid w:val="00D66700"/>
    <w:rsid w:val="00D725CD"/>
    <w:rsid w:val="00D75657"/>
    <w:rsid w:val="00D83ED1"/>
    <w:rsid w:val="00D960AD"/>
    <w:rsid w:val="00DA0E0E"/>
    <w:rsid w:val="00DA5AB6"/>
    <w:rsid w:val="00DB0C39"/>
    <w:rsid w:val="00DB26FA"/>
    <w:rsid w:val="00DB6C86"/>
    <w:rsid w:val="00DB7679"/>
    <w:rsid w:val="00DC277C"/>
    <w:rsid w:val="00DD6CDE"/>
    <w:rsid w:val="00DE6309"/>
    <w:rsid w:val="00DE6B75"/>
    <w:rsid w:val="00DF1702"/>
    <w:rsid w:val="00DF4DD8"/>
    <w:rsid w:val="00DF668E"/>
    <w:rsid w:val="00E04826"/>
    <w:rsid w:val="00E14D2B"/>
    <w:rsid w:val="00E20DBA"/>
    <w:rsid w:val="00E2624B"/>
    <w:rsid w:val="00E37699"/>
    <w:rsid w:val="00E6524A"/>
    <w:rsid w:val="00E660D6"/>
    <w:rsid w:val="00E771AB"/>
    <w:rsid w:val="00EA37A2"/>
    <w:rsid w:val="00EA796F"/>
    <w:rsid w:val="00EB077B"/>
    <w:rsid w:val="00EC50B9"/>
    <w:rsid w:val="00ED26A0"/>
    <w:rsid w:val="00ED5213"/>
    <w:rsid w:val="00EE7941"/>
    <w:rsid w:val="00F14AA5"/>
    <w:rsid w:val="00F15009"/>
    <w:rsid w:val="00F1727A"/>
    <w:rsid w:val="00F261CC"/>
    <w:rsid w:val="00F34764"/>
    <w:rsid w:val="00F50C8C"/>
    <w:rsid w:val="00F54E3C"/>
    <w:rsid w:val="00F71960"/>
    <w:rsid w:val="00F7225E"/>
    <w:rsid w:val="00F74737"/>
    <w:rsid w:val="00F874BD"/>
    <w:rsid w:val="00FA7AE5"/>
    <w:rsid w:val="00FB1D0B"/>
    <w:rsid w:val="00FB43AF"/>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7</TotalTime>
  <Pages>5</Pages>
  <Words>1422</Words>
  <Characters>8109</Characters>
  <Application>Microsoft Office Word</Application>
  <DocSecurity>4</DocSecurity>
  <Lines>67</Lines>
  <Paragraphs>19</Paragraphs>
  <ScaleCrop>false</ScaleCrop>
  <HeadingPairs>
    <vt:vector size="2" baseType="variant">
      <vt:variant>
        <vt:lpstr>العنوان</vt:lpstr>
      </vt:variant>
      <vt:variant>
        <vt:i4>1</vt:i4>
      </vt:variant>
    </vt:vector>
  </HeadingPairs>
  <TitlesOfParts>
    <vt:vector size="1" baseType="lpstr">
      <vt:lpstr>CEDAW/C/GRC/Q/7</vt:lpstr>
    </vt:vector>
  </TitlesOfParts>
  <Company>CSD</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CEDAW/C/GRC/Q/7</dc:title>
  <dc:subject>Khudhairi</dc:subject>
  <dc:creator>Mervat</dc:creator>
  <cp:keywords/>
  <dc:description/>
  <cp:lastModifiedBy>Mervat</cp:lastModifiedBy>
  <cp:revision>2</cp:revision>
  <cp:lastPrinted>2012-09-18T09:39:00Z</cp:lastPrinted>
  <dcterms:created xsi:type="dcterms:W3CDTF">2012-09-18T09:48:00Z</dcterms:created>
  <dcterms:modified xsi:type="dcterms:W3CDTF">2012-09-18T09:48:00Z</dcterms:modified>
</cp:coreProperties>
</file>