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FF" w:rsidRDefault="00232EFF" w:rsidP="00692535">
      <w:pPr>
        <w:pStyle w:val="NormalSchedule"/>
        <w:spacing w:line="240" w:lineRule="auto"/>
        <w:rPr>
          <w:sz w:val="6"/>
        </w:rPr>
      </w:pPr>
      <w:r>
        <w:rPr>
          <w:rStyle w:val="CommentReference"/>
        </w:rPr>
        <w:commentReference w:id="0"/>
      </w:r>
    </w:p>
    <w:p w:rsidR="00692535" w:rsidRPr="00232EFF" w:rsidRDefault="00692535" w:rsidP="00232EFF">
      <w:pPr>
        <w:spacing w:line="20" w:lineRule="exact"/>
        <w:rPr>
          <w:sz w:val="2"/>
        </w:rPr>
        <w:sectPr w:rsidR="00692535" w:rsidRPr="00232EFF" w:rsidSect="00B92C1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8B1DF5" w:rsidRDefault="008B1DF5" w:rsidP="008B1D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Comité para la Eliminación de la Discriminación </w:t>
      </w:r>
    </w:p>
    <w:p w:rsidR="008B1DF5" w:rsidRDefault="008B1DF5" w:rsidP="008B1D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A95D80" w:rsidRPr="00A95D80" w:rsidRDefault="00A95D80" w:rsidP="00A95D80">
      <w:pPr>
        <w:framePr w:w="9792" w:h="432" w:hSpace="180" w:wrap="around" w:hAnchor="page" w:x="1210" w:yAlign="bottom"/>
        <w:spacing w:line="240" w:lineRule="auto"/>
        <w:rPr>
          <w:sz w:val="10"/>
        </w:rPr>
      </w:pPr>
    </w:p>
    <w:p w:rsidR="00A95D80" w:rsidRPr="00A95D80" w:rsidRDefault="00A95D80" w:rsidP="00A95D80">
      <w:pPr>
        <w:framePr w:w="9792" w:h="432" w:hSpace="180" w:wrap="around" w:hAnchor="page" w:x="1210" w:yAlign="bottom"/>
        <w:spacing w:line="240" w:lineRule="auto"/>
        <w:rPr>
          <w:sz w:val="6"/>
        </w:rPr>
      </w:pPr>
      <w:r w:rsidRPr="00A95D80">
        <w:rPr>
          <w:noProof/>
          <w:w w:val="100"/>
          <w:sz w:val="6"/>
          <w:lang w:val="en-US"/>
        </w:rPr>
        <w:pict>
          <v:line id="_x0000_s1026" style="position:absolute;z-index:1;mso-position-horizontal-relative:page" from="108pt,-1pt" to="180pt,-1pt" strokeweight=".25pt">
            <w10:wrap anchorx="page"/>
          </v:line>
        </w:pict>
      </w:r>
    </w:p>
    <w:p w:rsidR="00A95D80" w:rsidRPr="00A95D80" w:rsidRDefault="00A95D80" w:rsidP="00A95D8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595" w:hanging="576"/>
        <w:rPr>
          <w:sz w:val="17"/>
        </w:rPr>
      </w:pPr>
      <w:r>
        <w:rPr>
          <w:sz w:val="17"/>
        </w:rPr>
        <w:tab/>
      </w:r>
      <w:r w:rsidRPr="00A95D80">
        <w:rPr>
          <w:sz w:val="17"/>
        </w:rPr>
        <w:t>*</w:t>
      </w:r>
      <w:r w:rsidRPr="00A95D80">
        <w:rPr>
          <w:sz w:val="17"/>
        </w:rPr>
        <w:tab/>
        <w:t>El presente documento es traducción de un texto que no ha pasado por los servicios oficiales de edición.</w:t>
      </w:r>
    </w:p>
    <w:p w:rsidR="008B1DF5" w:rsidRPr="008B1DF5" w:rsidRDefault="008B1DF5" w:rsidP="008B1DF5">
      <w:pPr>
        <w:pStyle w:val="SingleTxt"/>
        <w:suppressAutoHyphens/>
        <w:spacing w:after="0" w:line="120" w:lineRule="exact"/>
        <w:rPr>
          <w:sz w:val="10"/>
        </w:rPr>
      </w:pPr>
    </w:p>
    <w:p w:rsidR="008B1DF5" w:rsidRPr="008B1DF5" w:rsidRDefault="008B1DF5" w:rsidP="008B1DF5">
      <w:pPr>
        <w:pStyle w:val="SingleTxt"/>
        <w:suppressAutoHyphens/>
        <w:spacing w:after="0" w:line="120" w:lineRule="exact"/>
        <w:rPr>
          <w:sz w:val="10"/>
        </w:rPr>
      </w:pPr>
    </w:p>
    <w:p w:rsidR="008B1DF5" w:rsidRPr="008B1DF5" w:rsidRDefault="008B1DF5" w:rsidP="008B1DF5">
      <w:pPr>
        <w:pStyle w:val="SingleTxt"/>
        <w:suppressAutoHyphens/>
        <w:spacing w:after="0" w:line="120" w:lineRule="exact"/>
        <w:rPr>
          <w:sz w:val="10"/>
        </w:rPr>
      </w:pPr>
    </w:p>
    <w:p w:rsidR="008B1DF5" w:rsidRDefault="008B1DF5" w:rsidP="008B1D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99" w:hanging="1267"/>
      </w:pPr>
      <w:r>
        <w:tab/>
      </w:r>
      <w:r>
        <w:tab/>
        <w:t>Examen de los informes presentados por los Estados partes de conformidad con el artículo 18 de la Convención sobre la eliminación de todas las formas de discriminación contra la mujer</w:t>
      </w:r>
    </w:p>
    <w:p w:rsidR="008B1DF5" w:rsidRPr="008B1DF5" w:rsidRDefault="008B1DF5" w:rsidP="008B1DF5">
      <w:pPr>
        <w:pStyle w:val="SingleTxt"/>
        <w:suppressAutoHyphens/>
        <w:spacing w:after="0" w:line="120" w:lineRule="exact"/>
        <w:rPr>
          <w:sz w:val="10"/>
        </w:rPr>
      </w:pPr>
    </w:p>
    <w:p w:rsidR="008B1DF5" w:rsidRPr="008B1DF5" w:rsidRDefault="008B1DF5" w:rsidP="008B1DF5">
      <w:pPr>
        <w:pStyle w:val="SingleTxt"/>
        <w:suppressAutoHyphens/>
        <w:spacing w:after="0" w:line="120" w:lineRule="exact"/>
        <w:rPr>
          <w:sz w:val="10"/>
        </w:rPr>
      </w:pPr>
    </w:p>
    <w:p w:rsidR="008B1DF5" w:rsidRDefault="008B1DF5" w:rsidP="008B1D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Sexto informe periódico de los Estados partes recibidos en 2010</w:t>
      </w:r>
    </w:p>
    <w:p w:rsidR="008B1DF5" w:rsidRPr="008B1DF5" w:rsidRDefault="008B1DF5" w:rsidP="008B1DF5">
      <w:pPr>
        <w:pStyle w:val="SingleTxt"/>
        <w:suppressAutoHyphens/>
        <w:spacing w:after="0" w:line="120" w:lineRule="exact"/>
        <w:rPr>
          <w:sz w:val="10"/>
        </w:rPr>
      </w:pPr>
    </w:p>
    <w:p w:rsidR="008B1DF5" w:rsidRPr="008B1DF5" w:rsidRDefault="008B1DF5" w:rsidP="008B1DF5">
      <w:pPr>
        <w:pStyle w:val="SingleTxt"/>
        <w:suppressAutoHyphens/>
        <w:spacing w:after="0" w:line="120" w:lineRule="exact"/>
        <w:rPr>
          <w:sz w:val="10"/>
        </w:rPr>
      </w:pPr>
    </w:p>
    <w:p w:rsidR="008B1DF5" w:rsidRDefault="008B1DF5" w:rsidP="008B1D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Gabón</w:t>
      </w:r>
      <w:r w:rsidRPr="00D32402">
        <w:rPr>
          <w:b w:val="0"/>
          <w:sz w:val="20"/>
        </w:rPr>
        <w:t>*</w:t>
      </w:r>
    </w:p>
    <w:p w:rsidR="00A95D80" w:rsidRPr="00A95D80" w:rsidRDefault="00A95D80" w:rsidP="00A95D80">
      <w:pPr>
        <w:pStyle w:val="SingleTxt"/>
        <w:suppressAutoHyphens/>
        <w:spacing w:after="0" w:line="120" w:lineRule="exact"/>
        <w:rPr>
          <w:sz w:val="10"/>
        </w:rPr>
      </w:pPr>
    </w:p>
    <w:p w:rsidR="00A95D80" w:rsidRPr="00A95D80" w:rsidRDefault="00A95D80" w:rsidP="00A95D80">
      <w:pPr>
        <w:pStyle w:val="SingleTxt"/>
        <w:suppressAutoHyphens/>
        <w:spacing w:after="0" w:line="120" w:lineRule="exact"/>
        <w:rPr>
          <w:sz w:val="10"/>
        </w:rPr>
      </w:pPr>
    </w:p>
    <w:p w:rsidR="008B1DF5" w:rsidRDefault="00A95D80" w:rsidP="00A95D80">
      <w:pPr>
        <w:pStyle w:val="SingleTxt"/>
        <w:suppressAutoHyphens/>
        <w:jc w:val="right"/>
      </w:pPr>
      <w:r>
        <w:t>[Fecha de recepción: 19 de enero de 2012</w:t>
      </w:r>
      <w:r w:rsidRPr="00A95D80">
        <w:t>]</w:t>
      </w:r>
    </w:p>
    <w:p w:rsidR="008B1DF5" w:rsidRDefault="008B1DF5" w:rsidP="008B1DF5">
      <w:pPr>
        <w:pStyle w:val="SingleTxt"/>
        <w:suppressAutoHyphens/>
      </w:pPr>
    </w:p>
    <w:p w:rsidR="00A95D80" w:rsidRPr="00A95D80" w:rsidRDefault="00A95D80" w:rsidP="00A95D80">
      <w:pPr>
        <w:pStyle w:val="HCh"/>
        <w:spacing w:after="120"/>
        <w:rPr>
          <w:b w:val="0"/>
        </w:rPr>
      </w:pPr>
      <w:r>
        <w:br w:type="page"/>
      </w:r>
      <w:r>
        <w:rPr>
          <w:b w:val="0"/>
        </w:rPr>
        <w:t>Índice</w:t>
      </w:r>
    </w:p>
    <w:tbl>
      <w:tblPr>
        <w:tblW w:w="9902" w:type="dxa"/>
        <w:tblLayout w:type="fixed"/>
        <w:tblCellMar>
          <w:left w:w="0" w:type="dxa"/>
          <w:right w:w="0" w:type="dxa"/>
        </w:tblCellMar>
        <w:tblLook w:val="0000"/>
      </w:tblPr>
      <w:tblGrid>
        <w:gridCol w:w="1060"/>
        <w:gridCol w:w="7056"/>
        <w:gridCol w:w="994"/>
        <w:gridCol w:w="792"/>
      </w:tblGrid>
      <w:tr w:rsidR="00A95D80" w:rsidRPr="00A95D80" w:rsidTr="00A95D80">
        <w:tblPrEx>
          <w:tblCellMar>
            <w:top w:w="0" w:type="dxa"/>
            <w:bottom w:w="0" w:type="dxa"/>
          </w:tblCellMar>
        </w:tblPrEx>
        <w:tc>
          <w:tcPr>
            <w:tcW w:w="1060" w:type="dxa"/>
            <w:shd w:val="clear" w:color="auto" w:fill="auto"/>
          </w:tcPr>
          <w:p w:rsidR="00A95D80" w:rsidRPr="00A95D80" w:rsidRDefault="00A95D80" w:rsidP="00A95D80">
            <w:pPr>
              <w:spacing w:after="120" w:line="240" w:lineRule="auto"/>
              <w:jc w:val="right"/>
              <w:rPr>
                <w:i/>
                <w:sz w:val="14"/>
              </w:rPr>
            </w:pPr>
          </w:p>
        </w:tc>
        <w:tc>
          <w:tcPr>
            <w:tcW w:w="7056" w:type="dxa"/>
            <w:shd w:val="clear" w:color="auto" w:fill="auto"/>
          </w:tcPr>
          <w:p w:rsidR="00A95D80" w:rsidRPr="00A95D80" w:rsidRDefault="00A95D80" w:rsidP="00A95D80">
            <w:pPr>
              <w:spacing w:after="120" w:line="240" w:lineRule="auto"/>
              <w:rPr>
                <w:i/>
                <w:sz w:val="14"/>
              </w:rPr>
            </w:pPr>
          </w:p>
        </w:tc>
        <w:tc>
          <w:tcPr>
            <w:tcW w:w="994" w:type="dxa"/>
            <w:shd w:val="clear" w:color="auto" w:fill="auto"/>
          </w:tcPr>
          <w:p w:rsidR="00A95D80" w:rsidRPr="00A95D80" w:rsidRDefault="00A95D80" w:rsidP="00A95D80">
            <w:pPr>
              <w:spacing w:after="120" w:line="240" w:lineRule="auto"/>
              <w:jc w:val="right"/>
              <w:rPr>
                <w:i/>
                <w:sz w:val="14"/>
              </w:rPr>
            </w:pPr>
          </w:p>
        </w:tc>
        <w:tc>
          <w:tcPr>
            <w:tcW w:w="792" w:type="dxa"/>
            <w:shd w:val="clear" w:color="auto" w:fill="auto"/>
          </w:tcPr>
          <w:p w:rsidR="00A95D80" w:rsidRPr="00A95D80" w:rsidRDefault="00A95D80" w:rsidP="00A95D80">
            <w:pPr>
              <w:spacing w:after="120" w:line="240" w:lineRule="auto"/>
              <w:jc w:val="right"/>
              <w:rPr>
                <w:i/>
                <w:sz w:val="14"/>
              </w:rPr>
            </w:pPr>
            <w:r>
              <w:rPr>
                <w:i/>
                <w:sz w:val="14"/>
              </w:rPr>
              <w:t>Página</w:t>
            </w:r>
          </w:p>
        </w:tc>
      </w:tr>
      <w:tr w:rsidR="00EE4E34" w:rsidRPr="00A95D80" w:rsidTr="000025EA">
        <w:tblPrEx>
          <w:tblCellMar>
            <w:top w:w="0" w:type="dxa"/>
            <w:bottom w:w="0" w:type="dxa"/>
          </w:tblCellMar>
        </w:tblPrEx>
        <w:tc>
          <w:tcPr>
            <w:tcW w:w="9110" w:type="dxa"/>
            <w:gridSpan w:val="3"/>
            <w:shd w:val="clear" w:color="auto" w:fill="auto"/>
          </w:tcPr>
          <w:p w:rsidR="00EE4E34" w:rsidRPr="00A95D80" w:rsidRDefault="00EE4E34" w:rsidP="000025EA">
            <w:pPr>
              <w:tabs>
                <w:tab w:val="right" w:pos="1080"/>
                <w:tab w:val="left" w:pos="1300"/>
                <w:tab w:val="right" w:leader="dot" w:pos="9245"/>
              </w:tabs>
              <w:spacing w:after="120"/>
              <w:ind w:left="1278"/>
            </w:pPr>
            <w:r>
              <w:t>Prefacio</w:t>
            </w:r>
            <w:r>
              <w:rPr>
                <w:spacing w:val="60"/>
                <w:sz w:val="17"/>
              </w:rPr>
              <w:tab/>
            </w:r>
          </w:p>
        </w:tc>
        <w:tc>
          <w:tcPr>
            <w:tcW w:w="792" w:type="dxa"/>
            <w:shd w:val="clear" w:color="auto" w:fill="auto"/>
            <w:vAlign w:val="bottom"/>
          </w:tcPr>
          <w:p w:rsidR="00EE4E34" w:rsidRPr="00A95D80" w:rsidRDefault="00D32402" w:rsidP="000025EA">
            <w:pPr>
              <w:spacing w:after="120"/>
              <w:jc w:val="right"/>
            </w:pPr>
            <w:r>
              <w:t>3</w:t>
            </w:r>
          </w:p>
        </w:tc>
      </w:tr>
      <w:tr w:rsidR="00A95D80" w:rsidRPr="00A95D80" w:rsidTr="00A95D80">
        <w:tblPrEx>
          <w:tblCellMar>
            <w:top w:w="0" w:type="dxa"/>
            <w:bottom w:w="0" w:type="dxa"/>
          </w:tblCellMar>
        </w:tblPrEx>
        <w:tc>
          <w:tcPr>
            <w:tcW w:w="9110" w:type="dxa"/>
            <w:gridSpan w:val="3"/>
            <w:shd w:val="clear" w:color="auto" w:fill="auto"/>
          </w:tcPr>
          <w:p w:rsidR="00A95D80" w:rsidRPr="00A95D80" w:rsidRDefault="00EE4E34" w:rsidP="00EE4E34">
            <w:pPr>
              <w:tabs>
                <w:tab w:val="right" w:pos="1080"/>
                <w:tab w:val="left" w:pos="1300"/>
                <w:tab w:val="right" w:leader="dot" w:pos="9245"/>
              </w:tabs>
              <w:spacing w:after="120"/>
              <w:ind w:left="1278"/>
            </w:pPr>
            <w:r>
              <w:t>Introducción</w:t>
            </w:r>
            <w:r>
              <w:rPr>
                <w:spacing w:val="60"/>
                <w:sz w:val="17"/>
              </w:rPr>
              <w:tab/>
            </w:r>
          </w:p>
        </w:tc>
        <w:tc>
          <w:tcPr>
            <w:tcW w:w="792" w:type="dxa"/>
            <w:shd w:val="clear" w:color="auto" w:fill="auto"/>
            <w:vAlign w:val="bottom"/>
          </w:tcPr>
          <w:p w:rsidR="00A95D80" w:rsidRPr="00A95D80" w:rsidRDefault="00D32402" w:rsidP="00A95D80">
            <w:pPr>
              <w:spacing w:after="120"/>
              <w:jc w:val="right"/>
            </w:pPr>
            <w:r>
              <w:t>4</w:t>
            </w:r>
          </w:p>
        </w:tc>
      </w:tr>
      <w:tr w:rsidR="00EE4E34" w:rsidRPr="00A95D80" w:rsidTr="00A95D80">
        <w:tblPrEx>
          <w:tblCellMar>
            <w:top w:w="0" w:type="dxa"/>
            <w:bottom w:w="0" w:type="dxa"/>
          </w:tblCellMar>
        </w:tblPrEx>
        <w:tc>
          <w:tcPr>
            <w:tcW w:w="9110" w:type="dxa"/>
            <w:gridSpan w:val="3"/>
            <w:shd w:val="clear" w:color="auto" w:fill="auto"/>
          </w:tcPr>
          <w:p w:rsidR="00EE4E34" w:rsidRDefault="00EE4E34" w:rsidP="00EE4E34">
            <w:pPr>
              <w:numPr>
                <w:ilvl w:val="0"/>
                <w:numId w:val="4"/>
              </w:numPr>
              <w:tabs>
                <w:tab w:val="clear" w:pos="1296"/>
                <w:tab w:val="right" w:pos="1080"/>
                <w:tab w:val="left" w:pos="1300"/>
                <w:tab w:val="right" w:leader="dot" w:pos="9245"/>
              </w:tabs>
              <w:spacing w:after="120"/>
            </w:pPr>
            <w:r>
              <w:tab/>
            </w:r>
            <w:r w:rsidR="00FF11CC" w:rsidRPr="00FF11CC">
              <w:t>La situación jurídica y social de la mujer gabonesa en la sociedad antes y después de la ratificación de la Convención</w:t>
            </w:r>
            <w:r>
              <w:rPr>
                <w:spacing w:val="60"/>
                <w:sz w:val="17"/>
              </w:rPr>
              <w:tab/>
            </w:r>
          </w:p>
        </w:tc>
        <w:tc>
          <w:tcPr>
            <w:tcW w:w="792" w:type="dxa"/>
            <w:shd w:val="clear" w:color="auto" w:fill="auto"/>
            <w:vAlign w:val="bottom"/>
          </w:tcPr>
          <w:p w:rsidR="00EE4E34" w:rsidRDefault="00D32402" w:rsidP="00A95D80">
            <w:pPr>
              <w:spacing w:after="120"/>
              <w:jc w:val="right"/>
            </w:pPr>
            <w:r>
              <w:t>4</w:t>
            </w:r>
          </w:p>
        </w:tc>
      </w:tr>
      <w:tr w:rsidR="00EE4E34" w:rsidRPr="00A95D80" w:rsidTr="00A95D80">
        <w:tblPrEx>
          <w:tblCellMar>
            <w:top w:w="0" w:type="dxa"/>
            <w:bottom w:w="0" w:type="dxa"/>
          </w:tblCellMar>
        </w:tblPrEx>
        <w:tc>
          <w:tcPr>
            <w:tcW w:w="9110" w:type="dxa"/>
            <w:gridSpan w:val="3"/>
            <w:shd w:val="clear" w:color="auto" w:fill="auto"/>
          </w:tcPr>
          <w:p w:rsidR="00EE4E34" w:rsidRDefault="00EE4E34" w:rsidP="00EE4E34">
            <w:pPr>
              <w:numPr>
                <w:ilvl w:val="0"/>
                <w:numId w:val="4"/>
              </w:numPr>
              <w:tabs>
                <w:tab w:val="clear" w:pos="1296"/>
                <w:tab w:val="right" w:pos="1080"/>
                <w:tab w:val="left" w:pos="1300"/>
                <w:tab w:val="right" w:leader="dot" w:pos="9245"/>
              </w:tabs>
              <w:spacing w:after="120"/>
            </w:pPr>
            <w:r>
              <w:tab/>
            </w:r>
            <w:r w:rsidR="007A0F02" w:rsidRPr="007A0F02">
              <w:t>Antecedentes del contexto que prevalecía en el momento de la ratificación de la Convención</w:t>
            </w:r>
            <w:r>
              <w:rPr>
                <w:spacing w:val="60"/>
                <w:sz w:val="17"/>
              </w:rPr>
              <w:tab/>
            </w:r>
          </w:p>
        </w:tc>
        <w:tc>
          <w:tcPr>
            <w:tcW w:w="792" w:type="dxa"/>
            <w:shd w:val="clear" w:color="auto" w:fill="auto"/>
            <w:vAlign w:val="bottom"/>
          </w:tcPr>
          <w:p w:rsidR="00EE4E34" w:rsidRDefault="00D32402" w:rsidP="00A95D80">
            <w:pPr>
              <w:spacing w:after="120"/>
              <w:jc w:val="right"/>
            </w:pPr>
            <w:r>
              <w:t>5</w:t>
            </w:r>
          </w:p>
        </w:tc>
      </w:tr>
      <w:tr w:rsidR="00EE4E34" w:rsidRPr="00A95D80" w:rsidTr="00A95D80">
        <w:tblPrEx>
          <w:tblCellMar>
            <w:top w:w="0" w:type="dxa"/>
            <w:bottom w:w="0" w:type="dxa"/>
          </w:tblCellMar>
        </w:tblPrEx>
        <w:tc>
          <w:tcPr>
            <w:tcW w:w="9110" w:type="dxa"/>
            <w:gridSpan w:val="3"/>
            <w:shd w:val="clear" w:color="auto" w:fill="auto"/>
          </w:tcPr>
          <w:p w:rsidR="00EE4E34" w:rsidRDefault="00EE4E34" w:rsidP="00EE4E34">
            <w:pPr>
              <w:numPr>
                <w:ilvl w:val="0"/>
                <w:numId w:val="4"/>
              </w:numPr>
              <w:tabs>
                <w:tab w:val="clear" w:pos="1296"/>
                <w:tab w:val="right" w:pos="1080"/>
                <w:tab w:val="left" w:pos="1300"/>
                <w:tab w:val="right" w:leader="dot" w:pos="9245"/>
              </w:tabs>
              <w:spacing w:after="120"/>
            </w:pPr>
            <w:r>
              <w:tab/>
            </w:r>
            <w:r w:rsidR="007A0F02" w:rsidRPr="007A0F02">
              <w:t>Examen concomitante de la aplicación de la Convención, inquietudes y recomendaciones del Comité</w:t>
            </w:r>
            <w:r>
              <w:rPr>
                <w:spacing w:val="60"/>
                <w:sz w:val="17"/>
              </w:rPr>
              <w:tab/>
            </w:r>
          </w:p>
        </w:tc>
        <w:tc>
          <w:tcPr>
            <w:tcW w:w="792" w:type="dxa"/>
            <w:shd w:val="clear" w:color="auto" w:fill="auto"/>
            <w:vAlign w:val="bottom"/>
          </w:tcPr>
          <w:p w:rsidR="00EE4E34" w:rsidRDefault="00D32402" w:rsidP="00A95D80">
            <w:pPr>
              <w:spacing w:after="120"/>
              <w:jc w:val="right"/>
            </w:pPr>
            <w:r>
              <w:t>7</w:t>
            </w:r>
          </w:p>
        </w:tc>
      </w:tr>
      <w:tr w:rsidR="00F25FFD" w:rsidTr="000025EA">
        <w:tblPrEx>
          <w:tblCellMar>
            <w:top w:w="0" w:type="dxa"/>
            <w:bottom w:w="0" w:type="dxa"/>
          </w:tblCellMar>
        </w:tblPrEx>
        <w:tc>
          <w:tcPr>
            <w:tcW w:w="9110" w:type="dxa"/>
            <w:gridSpan w:val="3"/>
            <w:shd w:val="clear" w:color="auto" w:fill="auto"/>
          </w:tcPr>
          <w:p w:rsidR="00F25FFD" w:rsidRPr="00EE4E34" w:rsidRDefault="007A0F02" w:rsidP="000025EA">
            <w:pPr>
              <w:tabs>
                <w:tab w:val="right" w:pos="1080"/>
                <w:tab w:val="left" w:pos="1300"/>
                <w:tab w:val="right" w:leader="dot" w:pos="9245"/>
              </w:tabs>
              <w:spacing w:after="120"/>
              <w:ind w:left="1278"/>
              <w:rPr>
                <w:spacing w:val="60"/>
                <w:sz w:val="17"/>
              </w:rPr>
            </w:pPr>
            <w:r w:rsidRPr="007A0F02">
              <w:t>Artículo 1 de la Convención: Definición de la discriminación</w:t>
            </w:r>
            <w:r w:rsidR="00F25FFD">
              <w:rPr>
                <w:spacing w:val="60"/>
                <w:sz w:val="17"/>
              </w:rPr>
              <w:tab/>
            </w:r>
          </w:p>
        </w:tc>
        <w:tc>
          <w:tcPr>
            <w:tcW w:w="792" w:type="dxa"/>
            <w:shd w:val="clear" w:color="auto" w:fill="auto"/>
            <w:vAlign w:val="bottom"/>
          </w:tcPr>
          <w:p w:rsidR="00F25FFD" w:rsidRDefault="00D32402" w:rsidP="000025EA">
            <w:pPr>
              <w:spacing w:after="120"/>
              <w:jc w:val="right"/>
            </w:pPr>
            <w:r>
              <w:t>7</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Artículo 2 de la Convención: Eliminación de la discriminación</w:t>
            </w:r>
            <w:r w:rsidR="00F25FFD">
              <w:rPr>
                <w:spacing w:val="60"/>
                <w:sz w:val="17"/>
              </w:rPr>
              <w:tab/>
            </w:r>
          </w:p>
        </w:tc>
        <w:tc>
          <w:tcPr>
            <w:tcW w:w="792" w:type="dxa"/>
            <w:shd w:val="clear" w:color="auto" w:fill="auto"/>
            <w:vAlign w:val="bottom"/>
          </w:tcPr>
          <w:p w:rsidR="00F25FFD" w:rsidRDefault="00D32402" w:rsidP="000025EA">
            <w:pPr>
              <w:spacing w:after="120"/>
              <w:jc w:val="right"/>
            </w:pPr>
            <w:r>
              <w:t>9</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Articulo 3 de la Convención: Pleno desarrollo y adelanto de la mujer</w:t>
            </w:r>
            <w:r w:rsidR="00F25FFD">
              <w:rPr>
                <w:spacing w:val="60"/>
                <w:sz w:val="17"/>
              </w:rPr>
              <w:tab/>
            </w:r>
          </w:p>
        </w:tc>
        <w:tc>
          <w:tcPr>
            <w:tcW w:w="792" w:type="dxa"/>
            <w:shd w:val="clear" w:color="auto" w:fill="auto"/>
            <w:vAlign w:val="bottom"/>
          </w:tcPr>
          <w:p w:rsidR="00F25FFD" w:rsidRDefault="00D32402" w:rsidP="000025EA">
            <w:pPr>
              <w:spacing w:after="120"/>
              <w:jc w:val="right"/>
            </w:pPr>
            <w:r>
              <w:t>10</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Artículo 4 de la Convención: Medidas especiales encaminadas a lograr más rápidamente la igualdad entre el hombre y la mujer</w:t>
            </w:r>
            <w:r w:rsidR="00F25FFD">
              <w:rPr>
                <w:spacing w:val="60"/>
                <w:sz w:val="17"/>
              </w:rPr>
              <w:tab/>
            </w:r>
          </w:p>
        </w:tc>
        <w:tc>
          <w:tcPr>
            <w:tcW w:w="792" w:type="dxa"/>
            <w:shd w:val="clear" w:color="auto" w:fill="auto"/>
            <w:vAlign w:val="bottom"/>
          </w:tcPr>
          <w:p w:rsidR="00F25FFD" w:rsidRDefault="00D32402" w:rsidP="000025EA">
            <w:pPr>
              <w:spacing w:after="120"/>
              <w:jc w:val="right"/>
            </w:pPr>
            <w:r>
              <w:t>11</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Artículo 5 de la Convención: Funciones y estereotipos sexuales</w:t>
            </w:r>
            <w:r w:rsidR="00F25FFD">
              <w:rPr>
                <w:spacing w:val="60"/>
                <w:sz w:val="17"/>
              </w:rPr>
              <w:tab/>
            </w:r>
          </w:p>
        </w:tc>
        <w:tc>
          <w:tcPr>
            <w:tcW w:w="792" w:type="dxa"/>
            <w:shd w:val="clear" w:color="auto" w:fill="auto"/>
            <w:vAlign w:val="bottom"/>
          </w:tcPr>
          <w:p w:rsidR="00F25FFD" w:rsidRDefault="00D32402" w:rsidP="000025EA">
            <w:pPr>
              <w:spacing w:after="120"/>
              <w:jc w:val="right"/>
            </w:pPr>
            <w:r>
              <w:t>11</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Artículo 6 de la Convención: Represión de la prostitución y de todas las formas de trata de</w:t>
            </w:r>
            <w:r>
              <w:t> </w:t>
            </w:r>
            <w:r w:rsidRPr="00D32402">
              <w:t>mujeres</w:t>
            </w:r>
            <w:r w:rsidR="00F25FFD">
              <w:rPr>
                <w:spacing w:val="60"/>
                <w:sz w:val="17"/>
              </w:rPr>
              <w:tab/>
            </w:r>
          </w:p>
        </w:tc>
        <w:tc>
          <w:tcPr>
            <w:tcW w:w="792" w:type="dxa"/>
            <w:shd w:val="clear" w:color="auto" w:fill="auto"/>
            <w:vAlign w:val="bottom"/>
          </w:tcPr>
          <w:p w:rsidR="00F25FFD" w:rsidRDefault="00D32402" w:rsidP="000025EA">
            <w:pPr>
              <w:spacing w:after="120"/>
              <w:jc w:val="right"/>
            </w:pPr>
            <w:r>
              <w:t>13</w:t>
            </w:r>
          </w:p>
        </w:tc>
      </w:tr>
      <w:tr w:rsidR="00F25FFD" w:rsidTr="000025EA">
        <w:tblPrEx>
          <w:tblCellMar>
            <w:top w:w="0" w:type="dxa"/>
            <w:bottom w:w="0" w:type="dxa"/>
          </w:tblCellMar>
        </w:tblPrEx>
        <w:tc>
          <w:tcPr>
            <w:tcW w:w="9110" w:type="dxa"/>
            <w:gridSpan w:val="3"/>
            <w:shd w:val="clear" w:color="auto" w:fill="auto"/>
          </w:tcPr>
          <w:p w:rsidR="00F25FFD" w:rsidRPr="00EE4E34" w:rsidRDefault="00D32402" w:rsidP="000025EA">
            <w:pPr>
              <w:tabs>
                <w:tab w:val="right" w:pos="1080"/>
                <w:tab w:val="left" w:pos="1300"/>
                <w:tab w:val="right" w:leader="dot" w:pos="9245"/>
              </w:tabs>
              <w:spacing w:after="120"/>
              <w:ind w:left="1278"/>
              <w:rPr>
                <w:spacing w:val="60"/>
                <w:sz w:val="17"/>
              </w:rPr>
            </w:pPr>
            <w:r w:rsidRPr="00D32402">
              <w:t>Artículo 7 de la Convención: Participación en la vida política y pública</w:t>
            </w:r>
            <w:r w:rsidR="00F25FFD">
              <w:rPr>
                <w:spacing w:val="60"/>
                <w:sz w:val="17"/>
              </w:rPr>
              <w:tab/>
            </w:r>
          </w:p>
        </w:tc>
        <w:tc>
          <w:tcPr>
            <w:tcW w:w="792" w:type="dxa"/>
            <w:shd w:val="clear" w:color="auto" w:fill="auto"/>
            <w:vAlign w:val="bottom"/>
          </w:tcPr>
          <w:p w:rsidR="00F25FFD" w:rsidRDefault="00D32402" w:rsidP="000025EA">
            <w:pPr>
              <w:spacing w:after="120"/>
              <w:jc w:val="right"/>
            </w:pPr>
            <w:r>
              <w:t>17</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8 de la Convención: Representación de las mujeres en el ámbito internacional</w:t>
            </w:r>
            <w:r w:rsidR="00F25FFD">
              <w:rPr>
                <w:spacing w:val="60"/>
                <w:sz w:val="17"/>
              </w:rPr>
              <w:tab/>
            </w:r>
          </w:p>
        </w:tc>
        <w:tc>
          <w:tcPr>
            <w:tcW w:w="792" w:type="dxa"/>
            <w:shd w:val="clear" w:color="auto" w:fill="auto"/>
            <w:vAlign w:val="bottom"/>
          </w:tcPr>
          <w:p w:rsidR="00F25FFD" w:rsidRDefault="00675743" w:rsidP="000025EA">
            <w:pPr>
              <w:spacing w:after="120"/>
              <w:jc w:val="right"/>
            </w:pPr>
            <w:r>
              <w:t>20</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9 de la Convención: La nacionalidad</w:t>
            </w:r>
            <w:r w:rsidR="00F25FFD">
              <w:rPr>
                <w:spacing w:val="60"/>
                <w:sz w:val="17"/>
              </w:rPr>
              <w:tab/>
            </w:r>
          </w:p>
        </w:tc>
        <w:tc>
          <w:tcPr>
            <w:tcW w:w="792" w:type="dxa"/>
            <w:shd w:val="clear" w:color="auto" w:fill="auto"/>
            <w:vAlign w:val="bottom"/>
          </w:tcPr>
          <w:p w:rsidR="00F25FFD" w:rsidRDefault="00675743" w:rsidP="000025EA">
            <w:pPr>
              <w:spacing w:after="120"/>
              <w:jc w:val="right"/>
            </w:pPr>
            <w:r>
              <w:t>21</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10 de la Convención: Promoción de la educación de la mujer</w:t>
            </w:r>
            <w:r w:rsidR="00F25FFD">
              <w:rPr>
                <w:spacing w:val="60"/>
                <w:sz w:val="17"/>
              </w:rPr>
              <w:tab/>
            </w:r>
          </w:p>
        </w:tc>
        <w:tc>
          <w:tcPr>
            <w:tcW w:w="792" w:type="dxa"/>
            <w:shd w:val="clear" w:color="auto" w:fill="auto"/>
            <w:vAlign w:val="bottom"/>
          </w:tcPr>
          <w:p w:rsidR="00F25FFD" w:rsidRDefault="00675743" w:rsidP="000025EA">
            <w:pPr>
              <w:spacing w:after="120"/>
              <w:jc w:val="right"/>
            </w:pPr>
            <w:r>
              <w:t>21</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11 de la Convención: Promoción de la mujer en el empleo</w:t>
            </w:r>
            <w:r w:rsidR="00F25FFD">
              <w:rPr>
                <w:spacing w:val="60"/>
                <w:sz w:val="17"/>
              </w:rPr>
              <w:tab/>
            </w:r>
          </w:p>
        </w:tc>
        <w:tc>
          <w:tcPr>
            <w:tcW w:w="792" w:type="dxa"/>
            <w:shd w:val="clear" w:color="auto" w:fill="auto"/>
            <w:vAlign w:val="bottom"/>
          </w:tcPr>
          <w:p w:rsidR="00F25FFD" w:rsidRDefault="00675743" w:rsidP="000025EA">
            <w:pPr>
              <w:spacing w:after="120"/>
              <w:jc w:val="right"/>
            </w:pPr>
            <w:r>
              <w:t>25</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12 de la Convención: Igualdad en materia de salud</w:t>
            </w:r>
            <w:r w:rsidR="00F25FFD">
              <w:rPr>
                <w:spacing w:val="60"/>
                <w:sz w:val="17"/>
              </w:rPr>
              <w:tab/>
            </w:r>
          </w:p>
        </w:tc>
        <w:tc>
          <w:tcPr>
            <w:tcW w:w="792" w:type="dxa"/>
            <w:shd w:val="clear" w:color="auto" w:fill="auto"/>
            <w:vAlign w:val="bottom"/>
          </w:tcPr>
          <w:p w:rsidR="00F25FFD" w:rsidRDefault="00675743" w:rsidP="000025EA">
            <w:pPr>
              <w:spacing w:after="120"/>
              <w:jc w:val="right"/>
            </w:pPr>
            <w:r>
              <w:t>26</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13 de la convención: Ventajas sociales</w:t>
            </w:r>
            <w:r w:rsidR="00F25FFD">
              <w:rPr>
                <w:spacing w:val="60"/>
                <w:sz w:val="17"/>
              </w:rPr>
              <w:tab/>
            </w:r>
          </w:p>
        </w:tc>
        <w:tc>
          <w:tcPr>
            <w:tcW w:w="792" w:type="dxa"/>
            <w:shd w:val="clear" w:color="auto" w:fill="auto"/>
            <w:vAlign w:val="bottom"/>
          </w:tcPr>
          <w:p w:rsidR="00F25FFD" w:rsidRDefault="00675743" w:rsidP="000025EA">
            <w:pPr>
              <w:spacing w:after="120"/>
              <w:jc w:val="right"/>
            </w:pPr>
            <w:r>
              <w:t>33</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14 de la Constitución: Problemas particulares de las mujeres en las zonas rurales</w:t>
            </w:r>
            <w:r w:rsidR="00F25FFD">
              <w:rPr>
                <w:spacing w:val="60"/>
                <w:sz w:val="17"/>
              </w:rPr>
              <w:tab/>
            </w:r>
          </w:p>
        </w:tc>
        <w:tc>
          <w:tcPr>
            <w:tcW w:w="792" w:type="dxa"/>
            <w:shd w:val="clear" w:color="auto" w:fill="auto"/>
            <w:vAlign w:val="bottom"/>
          </w:tcPr>
          <w:p w:rsidR="00F25FFD" w:rsidRDefault="00675743" w:rsidP="000025EA">
            <w:pPr>
              <w:spacing w:after="120"/>
              <w:jc w:val="right"/>
            </w:pPr>
            <w:r>
              <w:t>34</w:t>
            </w:r>
          </w:p>
        </w:tc>
      </w:tr>
      <w:tr w:rsidR="00F25FFD" w:rsidTr="000025EA">
        <w:tblPrEx>
          <w:tblCellMar>
            <w:top w:w="0" w:type="dxa"/>
            <w:bottom w:w="0" w:type="dxa"/>
          </w:tblCellMar>
        </w:tblPrEx>
        <w:tc>
          <w:tcPr>
            <w:tcW w:w="9110" w:type="dxa"/>
            <w:gridSpan w:val="3"/>
            <w:shd w:val="clear" w:color="auto" w:fill="auto"/>
          </w:tcPr>
          <w:p w:rsidR="00F25FFD" w:rsidRPr="00EE4E34" w:rsidRDefault="00675743" w:rsidP="000025EA">
            <w:pPr>
              <w:tabs>
                <w:tab w:val="right" w:pos="1080"/>
                <w:tab w:val="left" w:pos="1300"/>
                <w:tab w:val="right" w:leader="dot" w:pos="9245"/>
              </w:tabs>
              <w:spacing w:after="120"/>
              <w:ind w:left="1278"/>
              <w:rPr>
                <w:spacing w:val="60"/>
                <w:sz w:val="17"/>
              </w:rPr>
            </w:pPr>
            <w:r w:rsidRPr="00675743">
              <w:t>Artículo 15 de la Convención: Igualdad en materia de derechos civiles</w:t>
            </w:r>
            <w:r w:rsidR="00F25FFD">
              <w:rPr>
                <w:spacing w:val="60"/>
                <w:sz w:val="17"/>
              </w:rPr>
              <w:tab/>
            </w:r>
          </w:p>
        </w:tc>
        <w:tc>
          <w:tcPr>
            <w:tcW w:w="792" w:type="dxa"/>
            <w:shd w:val="clear" w:color="auto" w:fill="auto"/>
            <w:vAlign w:val="bottom"/>
          </w:tcPr>
          <w:p w:rsidR="00F25FFD" w:rsidRDefault="00675743" w:rsidP="000025EA">
            <w:pPr>
              <w:spacing w:after="120"/>
              <w:jc w:val="right"/>
            </w:pPr>
            <w:r>
              <w:t>36</w:t>
            </w:r>
          </w:p>
        </w:tc>
      </w:tr>
      <w:tr w:rsidR="00EE4E34" w:rsidRPr="00A95D80" w:rsidTr="00A95D80">
        <w:tblPrEx>
          <w:tblCellMar>
            <w:top w:w="0" w:type="dxa"/>
            <w:bottom w:w="0" w:type="dxa"/>
          </w:tblCellMar>
        </w:tblPrEx>
        <w:tc>
          <w:tcPr>
            <w:tcW w:w="9110" w:type="dxa"/>
            <w:gridSpan w:val="3"/>
            <w:shd w:val="clear" w:color="auto" w:fill="auto"/>
          </w:tcPr>
          <w:p w:rsidR="00EE4E34" w:rsidRPr="00EE4E34" w:rsidRDefault="00675743" w:rsidP="00EE4E34">
            <w:pPr>
              <w:tabs>
                <w:tab w:val="right" w:pos="1080"/>
                <w:tab w:val="left" w:pos="1300"/>
                <w:tab w:val="right" w:leader="dot" w:pos="9245"/>
              </w:tabs>
              <w:spacing w:after="120"/>
              <w:ind w:left="1278"/>
              <w:rPr>
                <w:spacing w:val="60"/>
                <w:sz w:val="17"/>
              </w:rPr>
            </w:pPr>
            <w:r w:rsidRPr="00675743">
              <w:t>Artículo 16 de la Convención: Eliminación de la discriminación en lo relativo al matrimonio</w:t>
            </w:r>
            <w:r w:rsidR="00EE4E34">
              <w:rPr>
                <w:spacing w:val="60"/>
                <w:sz w:val="17"/>
              </w:rPr>
              <w:tab/>
            </w:r>
          </w:p>
        </w:tc>
        <w:tc>
          <w:tcPr>
            <w:tcW w:w="792" w:type="dxa"/>
            <w:shd w:val="clear" w:color="auto" w:fill="auto"/>
            <w:vAlign w:val="bottom"/>
          </w:tcPr>
          <w:p w:rsidR="00EE4E34" w:rsidRDefault="00675743" w:rsidP="00A95D80">
            <w:pPr>
              <w:spacing w:after="120"/>
              <w:jc w:val="right"/>
            </w:pPr>
            <w:r>
              <w:t>36</w:t>
            </w:r>
          </w:p>
        </w:tc>
      </w:tr>
      <w:tr w:rsidR="00EE4E34" w:rsidRPr="00A95D80" w:rsidTr="00A95D80">
        <w:tblPrEx>
          <w:tblCellMar>
            <w:top w:w="0" w:type="dxa"/>
            <w:bottom w:w="0" w:type="dxa"/>
          </w:tblCellMar>
        </w:tblPrEx>
        <w:tc>
          <w:tcPr>
            <w:tcW w:w="9110" w:type="dxa"/>
            <w:gridSpan w:val="3"/>
            <w:shd w:val="clear" w:color="auto" w:fill="auto"/>
          </w:tcPr>
          <w:p w:rsidR="00EE4E34" w:rsidRDefault="00EE4E34" w:rsidP="00EE4E34">
            <w:pPr>
              <w:numPr>
                <w:ilvl w:val="0"/>
                <w:numId w:val="4"/>
              </w:numPr>
              <w:tabs>
                <w:tab w:val="clear" w:pos="1296"/>
                <w:tab w:val="right" w:pos="1080"/>
                <w:tab w:val="left" w:pos="1300"/>
                <w:tab w:val="right" w:leader="dot" w:pos="9245"/>
              </w:tabs>
              <w:spacing w:after="120"/>
            </w:pPr>
            <w:r>
              <w:tab/>
            </w:r>
            <w:r w:rsidR="00675743" w:rsidRPr="00675743">
              <w:t>Obstáculos a la plena participación de las mujeres en pie de igualdad con los hombres en la vida política, social, económica y cultural</w:t>
            </w:r>
            <w:r>
              <w:rPr>
                <w:spacing w:val="60"/>
                <w:sz w:val="17"/>
              </w:rPr>
              <w:tab/>
            </w:r>
          </w:p>
        </w:tc>
        <w:tc>
          <w:tcPr>
            <w:tcW w:w="792" w:type="dxa"/>
            <w:shd w:val="clear" w:color="auto" w:fill="auto"/>
            <w:vAlign w:val="bottom"/>
          </w:tcPr>
          <w:p w:rsidR="00EE4E34" w:rsidRDefault="00675743" w:rsidP="00A95D80">
            <w:pPr>
              <w:spacing w:after="120"/>
              <w:jc w:val="right"/>
            </w:pPr>
            <w:r>
              <w:t>40</w:t>
            </w:r>
          </w:p>
        </w:tc>
      </w:tr>
      <w:tr w:rsidR="00F25FFD" w:rsidRPr="00A95D80" w:rsidTr="00A95D80">
        <w:tblPrEx>
          <w:tblCellMar>
            <w:top w:w="0" w:type="dxa"/>
            <w:bottom w:w="0" w:type="dxa"/>
          </w:tblCellMar>
        </w:tblPrEx>
        <w:tc>
          <w:tcPr>
            <w:tcW w:w="9110" w:type="dxa"/>
            <w:gridSpan w:val="3"/>
            <w:shd w:val="clear" w:color="auto" w:fill="auto"/>
          </w:tcPr>
          <w:p w:rsidR="00F25FFD" w:rsidRDefault="00F25FFD" w:rsidP="00F25FFD">
            <w:pPr>
              <w:numPr>
                <w:ilvl w:val="0"/>
                <w:numId w:val="4"/>
              </w:numPr>
              <w:tabs>
                <w:tab w:val="clear" w:pos="1296"/>
                <w:tab w:val="right" w:pos="1080"/>
                <w:tab w:val="left" w:pos="1300"/>
                <w:tab w:val="right" w:leader="dot" w:pos="9245"/>
              </w:tabs>
              <w:spacing w:after="120"/>
            </w:pPr>
            <w:r>
              <w:tab/>
              <w:t>Conclusión</w:t>
            </w:r>
            <w:r>
              <w:rPr>
                <w:spacing w:val="60"/>
                <w:sz w:val="17"/>
              </w:rPr>
              <w:tab/>
            </w:r>
          </w:p>
        </w:tc>
        <w:tc>
          <w:tcPr>
            <w:tcW w:w="792" w:type="dxa"/>
            <w:shd w:val="clear" w:color="auto" w:fill="auto"/>
            <w:vAlign w:val="bottom"/>
          </w:tcPr>
          <w:p w:rsidR="00F25FFD" w:rsidRDefault="00675743" w:rsidP="00A95D80">
            <w:pPr>
              <w:spacing w:after="120"/>
              <w:jc w:val="right"/>
            </w:pPr>
            <w:r>
              <w:t>41</w:t>
            </w:r>
          </w:p>
        </w:tc>
      </w:tr>
      <w:tr w:rsidR="00F25FFD" w:rsidTr="000025EA">
        <w:tblPrEx>
          <w:tblCellMar>
            <w:top w:w="0" w:type="dxa"/>
            <w:bottom w:w="0" w:type="dxa"/>
          </w:tblCellMar>
        </w:tblPrEx>
        <w:tc>
          <w:tcPr>
            <w:tcW w:w="9110" w:type="dxa"/>
            <w:gridSpan w:val="3"/>
            <w:shd w:val="clear" w:color="auto" w:fill="auto"/>
          </w:tcPr>
          <w:p w:rsidR="00F25FFD" w:rsidRPr="00EE4E34" w:rsidRDefault="00F25FFD" w:rsidP="000025EA">
            <w:pPr>
              <w:tabs>
                <w:tab w:val="right" w:pos="1080"/>
                <w:tab w:val="left" w:pos="1300"/>
                <w:tab w:val="right" w:leader="dot" w:pos="9245"/>
              </w:tabs>
              <w:spacing w:after="120"/>
              <w:ind w:left="1278"/>
              <w:rPr>
                <w:spacing w:val="60"/>
                <w:sz w:val="17"/>
              </w:rPr>
            </w:pPr>
            <w:r>
              <w:t>Bibliografía</w:t>
            </w:r>
            <w:r>
              <w:rPr>
                <w:spacing w:val="60"/>
                <w:sz w:val="17"/>
              </w:rPr>
              <w:tab/>
            </w:r>
          </w:p>
        </w:tc>
        <w:tc>
          <w:tcPr>
            <w:tcW w:w="792" w:type="dxa"/>
            <w:shd w:val="clear" w:color="auto" w:fill="auto"/>
            <w:vAlign w:val="bottom"/>
          </w:tcPr>
          <w:p w:rsidR="00F25FFD" w:rsidRDefault="00675743" w:rsidP="000025EA">
            <w:pPr>
              <w:spacing w:after="120"/>
              <w:jc w:val="right"/>
            </w:pPr>
            <w:r>
              <w:t>42</w:t>
            </w:r>
          </w:p>
        </w:tc>
      </w:tr>
    </w:tbl>
    <w:p w:rsidR="008B1DF5" w:rsidRPr="00A95D80" w:rsidRDefault="008B1DF5" w:rsidP="00A95D80"/>
    <w:p w:rsidR="00F25FFD" w:rsidRPr="00F25FFD" w:rsidRDefault="00F25FFD" w:rsidP="00FF11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F25FFD">
        <w:t>Prefacio</w:t>
      </w:r>
    </w:p>
    <w:p w:rsidR="00F25FFD" w:rsidRDefault="00F25FFD" w:rsidP="00F25FFD">
      <w:pPr>
        <w:pStyle w:val="SingleTxt"/>
        <w:suppressAutoHyphens/>
        <w:spacing w:after="0" w:line="120" w:lineRule="exact"/>
        <w:rPr>
          <w:sz w:val="10"/>
        </w:rPr>
      </w:pPr>
    </w:p>
    <w:p w:rsidR="00F25FFD" w:rsidRPr="00F25FFD" w:rsidRDefault="00F25FFD" w:rsidP="00F25FFD">
      <w:pPr>
        <w:pStyle w:val="SingleTxt"/>
        <w:suppressAutoHyphens/>
        <w:spacing w:after="0" w:line="120" w:lineRule="exact"/>
        <w:rPr>
          <w:sz w:val="10"/>
        </w:rPr>
      </w:pPr>
    </w:p>
    <w:p w:rsidR="00F25FFD" w:rsidRPr="00F25FFD" w:rsidRDefault="00F25FFD" w:rsidP="00F25FFD">
      <w:pPr>
        <w:pStyle w:val="SingleTxt"/>
        <w:suppressAutoHyphens/>
      </w:pPr>
      <w:r>
        <w:tab/>
      </w:r>
      <w:r w:rsidRPr="00F25FFD">
        <w:t>El artículo 18 de la Convención sobre la eliminación de todas las formas de discriminación contra la mujer (“la Convención”), impone a los Estados partes la obligación de presentar, después de un informe inicial, informes periódicos cada cuatro años o cuando lo solicite el Comité.</w:t>
      </w:r>
    </w:p>
    <w:p w:rsidR="00F25FFD" w:rsidRPr="00F25FFD" w:rsidRDefault="00F25FFD" w:rsidP="00F25FFD">
      <w:pPr>
        <w:pStyle w:val="SingleTxt"/>
        <w:suppressAutoHyphens/>
      </w:pPr>
      <w:r>
        <w:tab/>
      </w:r>
      <w:r w:rsidRPr="00F25FFD">
        <w:t>El Protocolo Facultativo de la Convención autoriza al Comité a recibir y examinar comunicaciones y peticiones de particulares o de grupos de particulares, o formuladas en su nombre, que alegan ser víctimas de violaciones de los derechos protegidos por la Convención de conformidad con las disposiciones de los artículos 1 y 2 de dicho Protocolo.</w:t>
      </w:r>
    </w:p>
    <w:p w:rsidR="00F25FFD" w:rsidRPr="00F25FFD" w:rsidRDefault="00F25FFD" w:rsidP="00F25FFD">
      <w:pPr>
        <w:pStyle w:val="SingleTxt"/>
        <w:suppressAutoHyphens/>
      </w:pPr>
      <w:r>
        <w:tab/>
      </w:r>
      <w:r w:rsidRPr="00F25FFD">
        <w:t>Expresamos nuestro agradecimiento al Ministerio de la familia, de la promoción de la mujer y la protección de las viudas y los huérfanos, por habernos designados para elaborar este trabajo sobre su inquietud y la del Gobierno de nuestro país por alcanzar el desarrollo completo de la mujer gabonesa.</w:t>
      </w:r>
    </w:p>
    <w:p w:rsidR="00F25FFD" w:rsidRPr="00F25FFD" w:rsidRDefault="00F25FFD" w:rsidP="00F25FFD">
      <w:pPr>
        <w:pStyle w:val="SingleTxt"/>
        <w:suppressAutoHyphens/>
      </w:pPr>
      <w:r>
        <w:tab/>
      </w:r>
      <w:r w:rsidRPr="00F25FFD">
        <w:t>Haremos todo lo posible por respetar el artículo 18 en su totalidad, aunque varios parámetros ajenos a nuestra voluntad puedan hacer que este trabajo no sea completo.</w:t>
      </w:r>
    </w:p>
    <w:p w:rsidR="00F25FFD" w:rsidRPr="00F25FFD" w:rsidRDefault="00F25FFD" w:rsidP="00F25FFD">
      <w:pPr>
        <w:pStyle w:val="SingleTxt"/>
        <w:suppressAutoHyphens/>
      </w:pPr>
      <w:r>
        <w:tab/>
      </w:r>
      <w:r w:rsidRPr="00F25FFD">
        <w:t>Expresamos también nuestro profundo reconocimiento a todos los expertos asociados a este trabajo.</w:t>
      </w:r>
    </w:p>
    <w:p w:rsidR="00F25FFD" w:rsidRPr="00F25FFD" w:rsidRDefault="00F25FFD" w:rsidP="00F25FFD">
      <w:pPr>
        <w:pStyle w:val="SingleTxt"/>
        <w:suppressAutoHyphens/>
        <w:spacing w:after="0" w:line="120" w:lineRule="exact"/>
        <w:rPr>
          <w:sz w:val="10"/>
        </w:rPr>
      </w:pPr>
    </w:p>
    <w:p w:rsidR="00A95D80" w:rsidRDefault="00F25FFD" w:rsidP="00F25FFD">
      <w:pPr>
        <w:pStyle w:val="SingleTxt"/>
        <w:suppressAutoHyphens/>
        <w:jc w:val="right"/>
      </w:pPr>
      <w:r>
        <w:t>(</w:t>
      </w:r>
      <w:r>
        <w:rPr>
          <w:i/>
        </w:rPr>
        <w:t>Firmado</w:t>
      </w:r>
      <w:r>
        <w:t xml:space="preserve">) </w:t>
      </w:r>
      <w:r w:rsidRPr="00F25FFD">
        <w:t xml:space="preserve">Honorine Ntsame </w:t>
      </w:r>
      <w:r w:rsidRPr="00F25FFD">
        <w:rPr>
          <w:b/>
          <w:bCs/>
        </w:rPr>
        <w:t>Allogo</w:t>
      </w:r>
      <w:r w:rsidRPr="00F25FFD">
        <w:t xml:space="preserve">, esposa de </w:t>
      </w:r>
      <w:r w:rsidRPr="00F25FFD">
        <w:rPr>
          <w:b/>
          <w:bCs/>
        </w:rPr>
        <w:t>Nzet Biteghe</w:t>
      </w:r>
    </w:p>
    <w:p w:rsidR="00F25FFD" w:rsidRDefault="00F25FFD" w:rsidP="00A95D80">
      <w:pPr>
        <w:pStyle w:val="SingleTxt"/>
        <w:suppressAutoHyphens/>
      </w:pPr>
    </w:p>
    <w:p w:rsidR="00F25FFD" w:rsidRDefault="000025EA" w:rsidP="00FF11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pPr>
      <w:r w:rsidRPr="000025EA">
        <w:t>1.</w:t>
      </w:r>
      <w:r w:rsidRPr="000025EA">
        <w:tab/>
        <w:t>Después del informe inicial del 14 de junio de 1988, seguido de los informes segundo, tercero, cuarto y quinto combinados que fueron examinados por el Comité en sus sesiones 669ª y 670ª, celebradas el 13 de enero de 2005, en Nueva York (CEDAW/C/GAB/CC/2-5), Gabón presenta el sexto informe periódico sobre la aplicación de la Convención sobre la Eliminación de Todas las Formas de Discriminación contra la Mujer. El informe hace hincapié en los siguientes puntos:</w:t>
      </w:r>
    </w:p>
    <w:p w:rsidR="000025EA" w:rsidRPr="000025EA" w:rsidRDefault="00FF11CC" w:rsidP="000025EA">
      <w:pPr>
        <w:pStyle w:val="SingleTxt"/>
        <w:suppressAutoHyphens/>
      </w:pPr>
      <w:r>
        <w:tab/>
        <w:t>i)</w:t>
      </w:r>
      <w:r>
        <w:tab/>
      </w:r>
      <w:r w:rsidR="000025EA" w:rsidRPr="000025EA">
        <w:t>Antecedentes de la situación jurídica y social de la mujer gabonesa antes y después de la ratificación de la Convención;</w:t>
      </w:r>
    </w:p>
    <w:p w:rsidR="000025EA" w:rsidRPr="000025EA" w:rsidRDefault="00FF11CC" w:rsidP="000025EA">
      <w:pPr>
        <w:pStyle w:val="SingleTxt"/>
        <w:suppressAutoHyphens/>
      </w:pPr>
      <w:r>
        <w:tab/>
        <w:t>ii)</w:t>
      </w:r>
      <w:r>
        <w:tab/>
      </w:r>
      <w:r w:rsidR="000025EA" w:rsidRPr="000025EA">
        <w:t>Contexto que ha permitido la ratificación de la Convención;</w:t>
      </w:r>
    </w:p>
    <w:p w:rsidR="000025EA" w:rsidRPr="000025EA" w:rsidRDefault="00FF11CC" w:rsidP="000025EA">
      <w:pPr>
        <w:pStyle w:val="SingleTxt"/>
        <w:suppressAutoHyphens/>
      </w:pPr>
      <w:r>
        <w:tab/>
        <w:t>iii)</w:t>
      </w:r>
      <w:r>
        <w:tab/>
      </w:r>
      <w:r w:rsidR="000025EA" w:rsidRPr="000025EA">
        <w:t>Examen concomitante de la puesta en práctica de la Convención después del primer informe y las preocupaciones, observaciones y recomendaciones del Comité durante el examen de los cinco informes combinados;</w:t>
      </w:r>
    </w:p>
    <w:p w:rsidR="000025EA" w:rsidRPr="000025EA" w:rsidRDefault="00FF11CC" w:rsidP="000025EA">
      <w:pPr>
        <w:pStyle w:val="SingleTxt"/>
        <w:suppressAutoHyphens/>
      </w:pPr>
      <w:r>
        <w:tab/>
        <w:t>iv)</w:t>
      </w:r>
      <w:r>
        <w:tab/>
      </w:r>
      <w:r w:rsidR="000025EA" w:rsidRPr="000025EA">
        <w:t>Obstáculos a la participación plena de la mujer en pie de igualdad con el hombre en la vida política, social, económica y cultural;</w:t>
      </w:r>
    </w:p>
    <w:p w:rsidR="000025EA" w:rsidRPr="000025EA" w:rsidRDefault="00FF11CC" w:rsidP="000025EA">
      <w:pPr>
        <w:pStyle w:val="SingleTxt"/>
        <w:suppressAutoHyphens/>
      </w:pPr>
      <w:r>
        <w:tab/>
        <w:t>v)</w:t>
      </w:r>
      <w:r>
        <w:tab/>
      </w:r>
      <w:r w:rsidR="000025EA" w:rsidRPr="000025EA">
        <w:t>Conclusión.</w:t>
      </w:r>
    </w:p>
    <w:p w:rsidR="007A0F02" w:rsidRPr="007A0F02" w:rsidRDefault="007A0F02" w:rsidP="007A0F02">
      <w:pPr>
        <w:pStyle w:val="SingleTxt"/>
        <w:suppressAutoHyphens/>
        <w:spacing w:after="0" w:line="120" w:lineRule="exact"/>
        <w:rPr>
          <w:sz w:val="10"/>
        </w:rPr>
      </w:pPr>
    </w:p>
    <w:p w:rsidR="007A0F02" w:rsidRPr="007A0F02" w:rsidRDefault="007A0F02" w:rsidP="007A0F02">
      <w:pPr>
        <w:pStyle w:val="SingleTxt"/>
        <w:suppressAutoHyphens/>
        <w:spacing w:after="0" w:line="120" w:lineRule="exact"/>
        <w:rPr>
          <w:sz w:val="10"/>
        </w:rPr>
      </w:pPr>
    </w:p>
    <w:p w:rsidR="000025EA" w:rsidRPr="000025EA" w:rsidRDefault="007A0F02" w:rsidP="00FF11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tab/>
      </w:r>
      <w:r w:rsidR="000025EA" w:rsidRPr="000025EA">
        <w:t>I.</w:t>
      </w:r>
      <w:r>
        <w:tab/>
      </w:r>
      <w:r w:rsidR="000025EA" w:rsidRPr="000025EA">
        <w:t xml:space="preserve">La situación jurídica y social de la mujer gabonesa en la sociedad antes </w:t>
      </w:r>
      <w:r w:rsidR="00FF11CC">
        <w:t>y después de la ratificación de </w:t>
      </w:r>
      <w:r w:rsidR="000025EA" w:rsidRPr="000025EA">
        <w:t>la Convención</w:t>
      </w:r>
    </w:p>
    <w:p w:rsidR="007A0F02" w:rsidRPr="007A0F02" w:rsidRDefault="007A0F02" w:rsidP="007A0F02">
      <w:pPr>
        <w:pStyle w:val="SingleTxt"/>
        <w:suppressAutoHyphens/>
        <w:spacing w:after="0" w:line="120" w:lineRule="exact"/>
        <w:rPr>
          <w:sz w:val="10"/>
        </w:rPr>
      </w:pPr>
    </w:p>
    <w:p w:rsidR="007A0F02" w:rsidRPr="007A0F02" w:rsidRDefault="007A0F02" w:rsidP="007A0F02">
      <w:pPr>
        <w:pStyle w:val="SingleTxt"/>
        <w:suppressAutoHyphens/>
        <w:spacing w:after="0" w:line="120" w:lineRule="exact"/>
        <w:rPr>
          <w:sz w:val="10"/>
        </w:rPr>
      </w:pPr>
    </w:p>
    <w:p w:rsidR="000025EA" w:rsidRPr="000025EA" w:rsidRDefault="007A0F02" w:rsidP="000025EA">
      <w:pPr>
        <w:pStyle w:val="SingleTxt"/>
        <w:suppressAutoHyphens/>
      </w:pPr>
      <w:r>
        <w:t>2.</w:t>
      </w:r>
      <w:r>
        <w:tab/>
      </w:r>
      <w:r w:rsidR="000025EA" w:rsidRPr="000025EA">
        <w:t>La situación jurídica y social de la mujer gabonesa puede evaluarse en tres grandes etapas:</w:t>
      </w:r>
    </w:p>
    <w:p w:rsidR="000025EA" w:rsidRPr="000025EA" w:rsidRDefault="00FF11CC" w:rsidP="00FF11CC">
      <w:pPr>
        <w:pStyle w:val="SingleTxt"/>
        <w:tabs>
          <w:tab w:val="right" w:pos="1685"/>
        </w:tabs>
        <w:suppressAutoHyphens/>
        <w:ind w:left="1742" w:hanging="475"/>
      </w:pPr>
      <w:r>
        <w:tab/>
        <w:t>•</w:t>
      </w:r>
      <w:r>
        <w:tab/>
      </w:r>
      <w:r w:rsidR="000025EA" w:rsidRPr="000025EA">
        <w:t>Antes de la colonización;</w:t>
      </w:r>
    </w:p>
    <w:p w:rsidR="000025EA" w:rsidRPr="000025EA" w:rsidRDefault="00FF11CC" w:rsidP="00FF11CC">
      <w:pPr>
        <w:pStyle w:val="SingleTxt"/>
        <w:tabs>
          <w:tab w:val="right" w:pos="1685"/>
        </w:tabs>
        <w:suppressAutoHyphens/>
        <w:ind w:left="1742" w:hanging="475"/>
      </w:pPr>
      <w:r>
        <w:tab/>
        <w:t>•</w:t>
      </w:r>
      <w:r>
        <w:tab/>
      </w:r>
      <w:r w:rsidR="000025EA" w:rsidRPr="000025EA">
        <w:t>Durante la colonización;</w:t>
      </w:r>
    </w:p>
    <w:p w:rsidR="000025EA" w:rsidRPr="000025EA" w:rsidRDefault="00FF11CC" w:rsidP="00FF11CC">
      <w:pPr>
        <w:pStyle w:val="SingleTxt"/>
        <w:tabs>
          <w:tab w:val="right" w:pos="1685"/>
        </w:tabs>
        <w:suppressAutoHyphens/>
        <w:ind w:left="1742" w:hanging="475"/>
      </w:pPr>
      <w:r>
        <w:tab/>
        <w:t>•</w:t>
      </w:r>
      <w:r>
        <w:tab/>
      </w:r>
      <w:r w:rsidR="000025EA" w:rsidRPr="000025EA">
        <w:t>De la independencia a nuestros días.</w:t>
      </w:r>
    </w:p>
    <w:p w:rsidR="000025EA" w:rsidRPr="000025EA" w:rsidRDefault="007A0F02" w:rsidP="000025EA">
      <w:pPr>
        <w:pStyle w:val="SingleTxt"/>
        <w:suppressAutoHyphens/>
      </w:pPr>
      <w:r>
        <w:t>3.</w:t>
      </w:r>
      <w:r>
        <w:tab/>
      </w:r>
      <w:r w:rsidR="000025EA" w:rsidRPr="000025EA">
        <w:t>Antes de la colonización, su función estaba esencialmente vinculada a lo que la sociedad en la que vivía había decidido unilateralmente en su nombre: esposa, madre, ama de casa, y podía cumplir una función particular a una cierta edad en el consejo de la familia, que la llamaba para que diera consejos en lo relativo a los problemas matrimoniales. Por ejemplo: el matrimonio de las hijas, la preparación para la vida sexual, la vida en el hogar, etc.</w:t>
      </w:r>
    </w:p>
    <w:p w:rsidR="000025EA" w:rsidRPr="000025EA" w:rsidRDefault="000025EA" w:rsidP="000025EA">
      <w:pPr>
        <w:pStyle w:val="SingleTxt"/>
        <w:suppressAutoHyphens/>
      </w:pPr>
      <w:r w:rsidRPr="000025EA">
        <w:t>4</w:t>
      </w:r>
      <w:r w:rsidR="007A0F02">
        <w:t>.</w:t>
      </w:r>
      <w:r w:rsidR="007A0F02">
        <w:tab/>
      </w:r>
      <w:r w:rsidRPr="000025EA">
        <w:t>Durante la colonización, el mundo occidental, especialmente Francia, le asignan un derecho que va a provocar un conflicto de mentalidad, es decir, que la mujer no debe ser considerada como una persona mayor de edad incapaz, sino que debe gozar de sus derechos y adoptar decisiones sobre su propia vida.</w:t>
      </w:r>
    </w:p>
    <w:p w:rsidR="000025EA" w:rsidRPr="000025EA" w:rsidRDefault="007A0F02" w:rsidP="000025EA">
      <w:pPr>
        <w:pStyle w:val="SingleTxt"/>
        <w:suppressAutoHyphens/>
      </w:pPr>
      <w:r>
        <w:t>5.</w:t>
      </w:r>
      <w:r>
        <w:tab/>
      </w:r>
      <w:r w:rsidR="000025EA" w:rsidRPr="000025EA">
        <w:t>De la independencia hasta nuestros días, la toma de conciencia iniciada por el colonizador avanza hasta llegar a un punto en que se habla tanto de la complementariedad entre hombres y mujeres como de la igualdad de derechos entre el hombre y la mujer.</w:t>
      </w:r>
    </w:p>
    <w:p w:rsidR="000025EA" w:rsidRPr="000025EA" w:rsidRDefault="007A0F02" w:rsidP="000025EA">
      <w:pPr>
        <w:pStyle w:val="SingleTxt"/>
        <w:suppressAutoHyphens/>
      </w:pPr>
      <w:r>
        <w:t>6.</w:t>
      </w:r>
      <w:r>
        <w:tab/>
      </w:r>
      <w:r w:rsidR="000025EA" w:rsidRPr="000025EA">
        <w:t>Después de la promulgación de la ley del 31 de mayo de 1963 por la que se suprime la dote, seguida de la supresión de los tribunales de derecho local y la aprobación de la primera parte del código civil en 1972, el despertar de la mujer se produce en silencio, frenado un poco por la parte única que suprime las asociaciones.</w:t>
      </w:r>
    </w:p>
    <w:p w:rsidR="000025EA" w:rsidRPr="000025EA" w:rsidRDefault="007A0F02" w:rsidP="000025EA">
      <w:pPr>
        <w:pStyle w:val="SingleTxt"/>
        <w:suppressAutoHyphens/>
      </w:pPr>
      <w:r>
        <w:t>7.</w:t>
      </w:r>
      <w:r>
        <w:tab/>
      </w:r>
      <w:r w:rsidR="000025EA" w:rsidRPr="000025EA">
        <w:t>En el plano internacional, aumentan las voces que claman por la emancipación y la promoción de la mujer.</w:t>
      </w:r>
    </w:p>
    <w:p w:rsidR="000025EA" w:rsidRPr="000025EA" w:rsidRDefault="000025EA" w:rsidP="000025EA">
      <w:pPr>
        <w:pStyle w:val="SingleTxt"/>
        <w:suppressAutoHyphens/>
      </w:pPr>
      <w:r w:rsidRPr="000025EA">
        <w:t>8.</w:t>
      </w:r>
      <w:r w:rsidR="007A0F02">
        <w:tab/>
      </w:r>
      <w:r w:rsidRPr="000025EA">
        <w:t>En el plano interno, se aprueban las leyes relativas a la escolaridad obligatoria de 0 a 16 años, el consentimiento de la mujer para el matrimonio, la prohibición de casar una hija aun con arreglo al derecho consuetudinario antes de la edad de 15 años.</w:t>
      </w:r>
    </w:p>
    <w:p w:rsidR="007A0F02" w:rsidRPr="007A0F02" w:rsidRDefault="007A0F02" w:rsidP="007A0F02">
      <w:pPr>
        <w:pStyle w:val="SingleTxt"/>
        <w:suppressAutoHyphens/>
        <w:spacing w:after="0" w:line="120" w:lineRule="exact"/>
        <w:rPr>
          <w:sz w:val="10"/>
        </w:rPr>
      </w:pPr>
    </w:p>
    <w:p w:rsidR="007A0F02" w:rsidRPr="007A0F02" w:rsidRDefault="007A0F02" w:rsidP="007A0F02">
      <w:pPr>
        <w:pStyle w:val="SingleTxt"/>
        <w:suppressAutoHyphens/>
        <w:spacing w:after="0" w:line="120" w:lineRule="exact"/>
        <w:rPr>
          <w:sz w:val="10"/>
        </w:rPr>
      </w:pPr>
    </w:p>
    <w:p w:rsidR="000025EA" w:rsidRPr="000025EA" w:rsidRDefault="007A0F02" w:rsidP="007A0F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tab/>
        <w:t>II.</w:t>
      </w:r>
      <w:r>
        <w:tab/>
      </w:r>
      <w:r w:rsidR="000025EA" w:rsidRPr="000025EA">
        <w:t>Antecedentes del contexto que prevalecía en el momento de la ratificación de la Convención</w:t>
      </w:r>
    </w:p>
    <w:p w:rsidR="007A0F02" w:rsidRPr="007A0F02" w:rsidRDefault="007A0F02" w:rsidP="007A0F02">
      <w:pPr>
        <w:pStyle w:val="SingleTxt"/>
        <w:suppressAutoHyphens/>
        <w:spacing w:after="0" w:line="120" w:lineRule="exact"/>
        <w:rPr>
          <w:sz w:val="10"/>
        </w:rPr>
      </w:pPr>
    </w:p>
    <w:p w:rsidR="007A0F02" w:rsidRPr="007A0F02" w:rsidRDefault="007A0F02" w:rsidP="007A0F02">
      <w:pPr>
        <w:pStyle w:val="SingleTxt"/>
        <w:suppressAutoHyphens/>
        <w:spacing w:after="0" w:line="120" w:lineRule="exact"/>
        <w:rPr>
          <w:sz w:val="10"/>
        </w:rPr>
      </w:pPr>
    </w:p>
    <w:p w:rsidR="000025EA" w:rsidRPr="000025EA" w:rsidRDefault="007A0F02" w:rsidP="000025EA">
      <w:pPr>
        <w:pStyle w:val="SingleTxt"/>
        <w:suppressAutoHyphens/>
      </w:pPr>
      <w:r>
        <w:t>9.</w:t>
      </w:r>
      <w:r>
        <w:tab/>
      </w:r>
      <w:r w:rsidR="000025EA" w:rsidRPr="000025EA">
        <w:t>Gabón, país de África central situado en el golfo de Guinea sobre la línea del Ecuador, tiene una superficie de 267.667 km</w:t>
      </w:r>
      <w:r w:rsidR="000025EA" w:rsidRPr="000025EA">
        <w:rPr>
          <w:vertAlign w:val="superscript"/>
        </w:rPr>
        <w:t>2</w:t>
      </w:r>
      <w:r w:rsidR="000025EA" w:rsidRPr="000025EA">
        <w:t>, y limita al norte con el Camerún, al noroeste con Guinea Ecuatorial, al este y al sur con la República del Congo y al oeste con el Océano Atlántico. Su población, en la que predominan las mujeres (más del 51%) es pequeña y no pasa los 1,5 millones de habitantes. A pesar de las diferencias socioculturales planteadas por sus usos y costumbres, reserva un lugar importante a la mujer.</w:t>
      </w:r>
    </w:p>
    <w:p w:rsidR="000025EA" w:rsidRPr="000025EA" w:rsidRDefault="007A0F02" w:rsidP="000025EA">
      <w:pPr>
        <w:pStyle w:val="SingleTxt"/>
        <w:suppressAutoHyphens/>
      </w:pPr>
      <w:r>
        <w:t>10.</w:t>
      </w:r>
      <w:r>
        <w:tab/>
      </w:r>
      <w:r w:rsidR="000025EA" w:rsidRPr="000025EA">
        <w:t>La Convención fue ratificada por Gabón el 21 de enero de 1983. Su influencia se hizo sentir en el plan político por la designación de mujeres en puestos de adopción de decisiones del partido único y por una política de promoción de la mujer promovida por el jefe del Estado.</w:t>
      </w:r>
    </w:p>
    <w:p w:rsidR="000025EA" w:rsidRPr="000025EA" w:rsidRDefault="007A0F02" w:rsidP="000025EA">
      <w:pPr>
        <w:pStyle w:val="SingleTxt"/>
        <w:suppressAutoHyphens/>
      </w:pPr>
      <w:r>
        <w:t>11.</w:t>
      </w:r>
      <w:r>
        <w:tab/>
      </w:r>
      <w:r w:rsidR="000025EA" w:rsidRPr="000025EA">
        <w:t>La Conferencia Nacional de abril de 1990 da lugar al nacimiento de muchas asociaciones femeninas y asociaciones políticas donde se hace resaltar la opinión de las mujeres. La cuestión de la mujer pasa a ser una verdadera preocupación.</w:t>
      </w:r>
    </w:p>
    <w:p w:rsidR="000025EA" w:rsidRPr="000025EA" w:rsidRDefault="007A0F02" w:rsidP="000025EA">
      <w:pPr>
        <w:pStyle w:val="SingleTxt"/>
        <w:suppressAutoHyphens/>
      </w:pPr>
      <w:r>
        <w:t>12.</w:t>
      </w:r>
      <w:r>
        <w:tab/>
      </w:r>
      <w:r w:rsidR="000025EA" w:rsidRPr="000025EA">
        <w:t>El Gobierno y los protagonistas sociales ponen en marcha políticas para reconocer a la mujer su lugar como participante en el desarrollo.</w:t>
      </w:r>
    </w:p>
    <w:p w:rsidR="000025EA" w:rsidRPr="000025EA" w:rsidRDefault="007A0F02" w:rsidP="000025EA">
      <w:pPr>
        <w:pStyle w:val="SingleTxt"/>
        <w:suppressAutoHyphens/>
      </w:pPr>
      <w:r>
        <w:t>13.</w:t>
      </w:r>
      <w:r>
        <w:tab/>
      </w:r>
      <w:r w:rsidR="000025EA" w:rsidRPr="000025EA">
        <w:t>De esta forma, se pueden observar de manera general los avances significativos siguientes:</w:t>
      </w:r>
    </w:p>
    <w:p w:rsidR="007A0F02" w:rsidRPr="007A0F02" w:rsidRDefault="007A0F02" w:rsidP="007A0F02">
      <w:pPr>
        <w:pStyle w:val="SingleTxt"/>
        <w:suppressAutoHyphens/>
        <w:spacing w:after="0" w:line="120" w:lineRule="exact"/>
        <w:rPr>
          <w:sz w:val="10"/>
        </w:rPr>
      </w:pPr>
    </w:p>
    <w:p w:rsidR="000025EA" w:rsidRPr="000025EA" w:rsidRDefault="007A0F02" w:rsidP="007A0F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025EA" w:rsidRPr="000025EA">
        <w:t>En el ámbito jurídico</w:t>
      </w:r>
    </w:p>
    <w:p w:rsidR="007A0F02" w:rsidRPr="007A0F02" w:rsidRDefault="007A0F02" w:rsidP="007A0F02">
      <w:pPr>
        <w:pStyle w:val="SingleTxt"/>
        <w:suppressAutoHyphens/>
        <w:spacing w:after="0" w:line="120" w:lineRule="exact"/>
        <w:rPr>
          <w:sz w:val="10"/>
        </w:rPr>
      </w:pPr>
    </w:p>
    <w:p w:rsidR="000025EA" w:rsidRPr="000025EA" w:rsidRDefault="007A0F02" w:rsidP="000025EA">
      <w:pPr>
        <w:pStyle w:val="SingleTxt"/>
        <w:suppressAutoHyphens/>
      </w:pPr>
      <w:r>
        <w:t>14.</w:t>
      </w:r>
      <w:r>
        <w:tab/>
      </w:r>
      <w:r w:rsidR="000025EA" w:rsidRPr="000025EA">
        <w:t>Tras la revisión constitucional que tuvo lugar después de la Conferencia Nacional de 1990 respecto del párrafo 2 del artículo 2, sobre la igualdad de derechos entre el hombre y la mujer y la modificación sustancial en la ley orgánica del Tribunal Constitucional, que permite a la mujer denunciar la inconstitucionalidad de un texto considerado discriminatorio, se observa la urgencia de revisar dos partes del Código Civil a fin de suprimir los artículos discriminatorios para la mujer. A ese respecto, el Ministerio de la Familia y de la Promoción de la Mujer, con el apoyo del Fondo de Población de las Naciones Unidas ya había preparado un proyecto de revisión de la segunda parte del Código Civil, y se habían celebrado dos talleres de revisión de la primera parte del Código Civil con la colaboración del Parlamento.</w:t>
      </w:r>
    </w:p>
    <w:p w:rsidR="000025EA" w:rsidRPr="000025EA" w:rsidRDefault="007A0F02" w:rsidP="000025EA">
      <w:pPr>
        <w:pStyle w:val="SingleTxt"/>
        <w:suppressAutoHyphens/>
      </w:pPr>
      <w:r>
        <w:t>15.</w:t>
      </w:r>
      <w:r>
        <w:tab/>
      </w:r>
      <w:r w:rsidR="000025EA" w:rsidRPr="000025EA">
        <w:t>Se aprobaron textos relativos a la aplicación de la Ley No. 37/98 de 20 de julio de 1999 relativa al Código de la Nacionalidad gabonesa para poner en práctica efectivamente las nuevas disposiciones que contiene, especialmente en la adquisición recíproca de la nacionalidad gabonesa por efecto del matrimonio y la doble nacionalidad de la mujer gabonesa, que no la pierde por el echo de casarse con un extranjero.</w:t>
      </w:r>
    </w:p>
    <w:p w:rsidR="007A0F02" w:rsidRPr="007A0F02" w:rsidRDefault="007A0F02" w:rsidP="007A0F02">
      <w:pPr>
        <w:pStyle w:val="SingleTxt"/>
        <w:suppressAutoHyphens/>
        <w:spacing w:after="0" w:line="120" w:lineRule="exact"/>
        <w:rPr>
          <w:sz w:val="10"/>
        </w:rPr>
      </w:pPr>
    </w:p>
    <w:p w:rsidR="000025EA" w:rsidRPr="000025EA" w:rsidRDefault="007A0F02" w:rsidP="007A0F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025EA" w:rsidRPr="000025EA">
        <w:t>En el ámbito social</w:t>
      </w:r>
    </w:p>
    <w:p w:rsidR="007A0F02" w:rsidRPr="007A0F02" w:rsidRDefault="007A0F02" w:rsidP="007A0F02">
      <w:pPr>
        <w:pStyle w:val="SingleTxt"/>
        <w:suppressAutoHyphens/>
        <w:spacing w:after="0" w:line="120" w:lineRule="exact"/>
        <w:rPr>
          <w:sz w:val="10"/>
        </w:rPr>
      </w:pPr>
    </w:p>
    <w:p w:rsidR="000025EA" w:rsidRPr="000025EA" w:rsidRDefault="007A0F02" w:rsidP="000025EA">
      <w:pPr>
        <w:pStyle w:val="SingleTxt"/>
        <w:suppressAutoHyphens/>
      </w:pPr>
      <w:r>
        <w:t>16.</w:t>
      </w:r>
      <w:r>
        <w:tab/>
      </w:r>
      <w:r w:rsidR="000025EA" w:rsidRPr="000025EA">
        <w:t>Tras el proceso de institucionalización del enfoque de género, y especialmente el establecimiento de centros de coordinación en los ministerios clave, Gabón aborda la cuestión de la elaboración de la política nacional sobre el género, con el apoyo del PNUD y del UNFPA. Se ocupó también de lo siguiente:</w:t>
      </w:r>
    </w:p>
    <w:p w:rsidR="000025EA" w:rsidRPr="000025EA" w:rsidRDefault="007A0F02" w:rsidP="007A0F02">
      <w:pPr>
        <w:pStyle w:val="SingleTxt"/>
        <w:tabs>
          <w:tab w:val="right" w:pos="1685"/>
        </w:tabs>
        <w:suppressAutoHyphens/>
        <w:ind w:left="1742" w:hanging="475"/>
      </w:pPr>
      <w:r>
        <w:tab/>
        <w:t>•</w:t>
      </w:r>
      <w:r>
        <w:tab/>
      </w:r>
      <w:r w:rsidR="000025EA" w:rsidRPr="000025EA">
        <w:t>La prestación, en las nueve provincias Gabón, de servicios del Ministerio de la Familia y de la Promoción de la Mujer;</w:t>
      </w:r>
    </w:p>
    <w:p w:rsidR="000025EA" w:rsidRPr="000025EA" w:rsidRDefault="007A0F02" w:rsidP="007A0F02">
      <w:pPr>
        <w:pStyle w:val="SingleTxt"/>
        <w:tabs>
          <w:tab w:val="right" w:pos="1685"/>
        </w:tabs>
        <w:suppressAutoHyphens/>
        <w:ind w:left="1742" w:hanging="475"/>
      </w:pPr>
      <w:r>
        <w:tab/>
        <w:t>•</w:t>
      </w:r>
      <w:r>
        <w:tab/>
      </w:r>
      <w:r w:rsidR="000025EA" w:rsidRPr="000025EA">
        <w:t>La creación de guarderías y casas comunitarias;</w:t>
      </w:r>
    </w:p>
    <w:p w:rsidR="000025EA" w:rsidRPr="000025EA" w:rsidRDefault="007A0F02" w:rsidP="007A0F02">
      <w:pPr>
        <w:pStyle w:val="SingleTxt"/>
        <w:tabs>
          <w:tab w:val="right" w:pos="1685"/>
        </w:tabs>
        <w:suppressAutoHyphens/>
        <w:ind w:left="1742" w:hanging="475"/>
      </w:pPr>
      <w:r>
        <w:tab/>
        <w:t>•</w:t>
      </w:r>
      <w:r>
        <w:tab/>
      </w:r>
      <w:r w:rsidR="000025EA" w:rsidRPr="000025EA">
        <w:t>El apoyo al desarrollo del microcrédito en Gabón;</w:t>
      </w:r>
    </w:p>
    <w:p w:rsidR="000025EA" w:rsidRPr="000025EA" w:rsidRDefault="007A0F02" w:rsidP="007A0F02">
      <w:pPr>
        <w:pStyle w:val="SingleTxt"/>
        <w:tabs>
          <w:tab w:val="right" w:pos="1685"/>
        </w:tabs>
        <w:suppressAutoHyphens/>
        <w:ind w:left="1742" w:hanging="475"/>
      </w:pPr>
      <w:r>
        <w:tab/>
        <w:t>•</w:t>
      </w:r>
      <w:r>
        <w:tab/>
      </w:r>
      <w:r w:rsidR="000025EA" w:rsidRPr="000025EA">
        <w:t>El establecimiento de redes de asociaciones y ONG de defensa de los derechos de la mujer y redes de asociaciones relativas a los otros sectores del desarrollo para una mejor coordinación de la acción de las mujeres;</w:t>
      </w:r>
    </w:p>
    <w:p w:rsidR="000025EA" w:rsidRPr="000025EA" w:rsidRDefault="007A0F02" w:rsidP="007A0F02">
      <w:pPr>
        <w:pStyle w:val="SingleTxt"/>
        <w:tabs>
          <w:tab w:val="right" w:pos="1685"/>
        </w:tabs>
        <w:suppressAutoHyphens/>
        <w:ind w:left="1742" w:hanging="475"/>
      </w:pPr>
      <w:r>
        <w:tab/>
        <w:t>•</w:t>
      </w:r>
      <w:r>
        <w:tab/>
      </w:r>
      <w:r w:rsidR="000025EA" w:rsidRPr="000025EA">
        <w:t>El establecimiento, además de la CORFEM (coordinación de las asociaciones y las ONG de mujeres), de otras entidades de coordinación de redes de asociaciones, principalmente el Centro nacional de apoyo a las organizaciones de mujeres de Gabón (CENAF-Gabón) con el apoyo de la Fundación para el refuerzo de las capacidades en África (ACBF) y de entidades de coordinación mixtas, especialmente el PROGREANE (Programa de fortalecimiento de las capacidades de los protagonistas no estatales) con el apoyo de la Unión Europea;</w:t>
      </w:r>
    </w:p>
    <w:p w:rsidR="000025EA" w:rsidRPr="000025EA" w:rsidRDefault="007A0F02" w:rsidP="007A0F02">
      <w:pPr>
        <w:pStyle w:val="SingleTxt"/>
        <w:tabs>
          <w:tab w:val="right" w:pos="1685"/>
        </w:tabs>
        <w:suppressAutoHyphens/>
        <w:ind w:left="1742" w:hanging="475"/>
      </w:pPr>
      <w:r>
        <w:tab/>
        <w:t>•</w:t>
      </w:r>
      <w:r>
        <w:tab/>
      </w:r>
      <w:r w:rsidR="000025EA" w:rsidRPr="000025EA">
        <w:t>La intensificación de la difusión de los derechos de las mujeres a cargo del Observatorio de los Derechos y la Igualdad de la Mujer, especialmente mediante la publicación de folletos, las emisiones de radio y de televisión, las charlas, las mesas redondas, las conferencias y los debates, el apoyo jurídico de todas las mujeres víctimas de violencia matrimonial y de diversos tipos de discriminación, y la difusión de la Convención por las cadenas de radio públicas y religiosas, en los sindicatos y en todas las actividades emprendidas por el Observatorio;</w:t>
      </w:r>
    </w:p>
    <w:p w:rsidR="000025EA" w:rsidRPr="000025EA" w:rsidRDefault="007A0F02" w:rsidP="007A0F02">
      <w:pPr>
        <w:pStyle w:val="SingleTxt"/>
        <w:tabs>
          <w:tab w:val="right" w:pos="1685"/>
        </w:tabs>
        <w:suppressAutoHyphens/>
        <w:ind w:left="1742" w:hanging="475"/>
      </w:pPr>
      <w:r>
        <w:tab/>
        <w:t>•</w:t>
      </w:r>
      <w:r>
        <w:tab/>
      </w:r>
      <w:r w:rsidR="000025EA" w:rsidRPr="000025EA">
        <w:t>Las actividades emprendidas por la ADDFE (Association pour la défense des droi</w:t>
      </w:r>
      <w:r>
        <w:t xml:space="preserve">ts de la femme et de l'enfant) </w:t>
      </w:r>
      <w:r w:rsidR="000025EA" w:rsidRPr="000025EA">
        <w:t>en defensa de la Convención, así como por otras asociaciones como la AGASS (Asociación gabonesa de asistentes sociales) para la promoción económica de las mujeres;</w:t>
      </w:r>
    </w:p>
    <w:p w:rsidR="000025EA" w:rsidRPr="000025EA" w:rsidRDefault="007A0F02" w:rsidP="007A0F02">
      <w:pPr>
        <w:pStyle w:val="SingleTxt"/>
        <w:tabs>
          <w:tab w:val="right" w:pos="1685"/>
        </w:tabs>
        <w:suppressAutoHyphens/>
        <w:ind w:left="1742" w:hanging="475"/>
      </w:pPr>
      <w:r>
        <w:tab/>
        <w:t>•</w:t>
      </w:r>
      <w:r>
        <w:tab/>
      </w:r>
      <w:r w:rsidR="000025EA" w:rsidRPr="000025EA">
        <w:t>El establecimiento, por el Ministerio de Economía y Finanzas con el acuerdo de la Comisión Bancaria de África Central (COBAC), de cuatro instituciones de micro financiación, dos de las cuales están dirigidas por mujeres en forma de asociación para la consecución de la autonomía financiera y económica de las mujeres;</w:t>
      </w:r>
    </w:p>
    <w:p w:rsidR="000025EA" w:rsidRPr="000025EA" w:rsidRDefault="007A0F02" w:rsidP="007A0F02">
      <w:pPr>
        <w:pStyle w:val="SingleTxt"/>
        <w:tabs>
          <w:tab w:val="right" w:pos="1685"/>
        </w:tabs>
        <w:suppressAutoHyphens/>
        <w:ind w:left="1742" w:hanging="475"/>
      </w:pPr>
      <w:r>
        <w:tab/>
        <w:t>•</w:t>
      </w:r>
      <w:r>
        <w:tab/>
      </w:r>
      <w:r w:rsidR="000025EA" w:rsidRPr="000025EA">
        <w:t>La existencia de otras asociaciones operacionales sobre el terreno.</w:t>
      </w:r>
    </w:p>
    <w:p w:rsidR="007A0F02" w:rsidRPr="007A0F02" w:rsidRDefault="007A0F02" w:rsidP="007A0F02">
      <w:pPr>
        <w:pStyle w:val="SingleTxt"/>
        <w:suppressAutoHyphens/>
        <w:spacing w:after="0" w:line="120" w:lineRule="exact"/>
        <w:rPr>
          <w:sz w:val="10"/>
        </w:rPr>
      </w:pPr>
    </w:p>
    <w:p w:rsidR="000025EA" w:rsidRPr="000025EA" w:rsidRDefault="007A0F02" w:rsidP="00FF11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025EA" w:rsidRPr="000025EA">
        <w:t>En el ámbito político</w:t>
      </w:r>
    </w:p>
    <w:p w:rsidR="007A0F02" w:rsidRPr="007A0F02" w:rsidRDefault="007A0F02" w:rsidP="00FF11CC">
      <w:pPr>
        <w:pStyle w:val="SingleTxt"/>
        <w:keepNext/>
        <w:keepLines/>
        <w:suppressAutoHyphens/>
        <w:spacing w:after="0" w:line="120" w:lineRule="exact"/>
        <w:rPr>
          <w:sz w:val="10"/>
        </w:rPr>
      </w:pPr>
    </w:p>
    <w:p w:rsidR="000025EA" w:rsidRPr="000025EA" w:rsidRDefault="007A0F02" w:rsidP="00FF11CC">
      <w:pPr>
        <w:pStyle w:val="SingleTxt"/>
        <w:keepNext/>
        <w:keepLines/>
        <w:suppressAutoHyphens/>
      </w:pPr>
      <w:r>
        <w:t>17.</w:t>
      </w:r>
      <w:r>
        <w:tab/>
      </w:r>
      <w:r w:rsidR="000025EA" w:rsidRPr="000025EA">
        <w:t>Cabe señalar:</w:t>
      </w:r>
    </w:p>
    <w:p w:rsidR="000025EA" w:rsidRPr="000025EA" w:rsidRDefault="007A0F02" w:rsidP="007A0F02">
      <w:pPr>
        <w:pStyle w:val="SingleTxt"/>
        <w:tabs>
          <w:tab w:val="right" w:pos="1685"/>
        </w:tabs>
        <w:suppressAutoHyphens/>
        <w:ind w:left="1742" w:hanging="475"/>
      </w:pPr>
      <w:r>
        <w:tab/>
        <w:t>•</w:t>
      </w:r>
      <w:r>
        <w:tab/>
      </w:r>
      <w:r w:rsidR="000025EA" w:rsidRPr="000025EA">
        <w:t>El fortalecimiento de la democracia, especialmente la ausencia de discriminación entre hombres y mujeres sobre la base de la ley N</w:t>
      </w:r>
      <w:r w:rsidR="000025EA" w:rsidRPr="000025EA">
        <w:rPr>
          <w:vertAlign w:val="superscript"/>
        </w:rPr>
        <w:t>o</w:t>
      </w:r>
      <w:r w:rsidR="000025EA" w:rsidRPr="000025EA">
        <w:t xml:space="preserve"> 24/96 de 6 de enero de 1996 relativa a los partidos políticos;</w:t>
      </w:r>
    </w:p>
    <w:p w:rsidR="000025EA" w:rsidRPr="000025EA" w:rsidRDefault="007A0F02" w:rsidP="007A0F02">
      <w:pPr>
        <w:pStyle w:val="SingleTxt"/>
        <w:tabs>
          <w:tab w:val="right" w:pos="1685"/>
        </w:tabs>
        <w:suppressAutoHyphens/>
        <w:ind w:left="1742" w:hanging="475"/>
      </w:pPr>
      <w:r>
        <w:tab/>
        <w:t>•</w:t>
      </w:r>
      <w:r>
        <w:tab/>
      </w:r>
      <w:r w:rsidR="000025EA" w:rsidRPr="000025EA">
        <w:t>La participación efectiva de las mujeres en el organismo de gestión de las elecciones políticas denominado la Comisión electoral nacional autónoma y permanente (CANAP). En relación con la elección del Presidente de la República en noviembre de 2005, la elección de diputados de diciembre de 2006 y junio de 2007, la elección de consejeros municipales y departamentales en 2007 y 2008 y la elección de senadores del 18 de enero de 2009, numerosas mujeres fueron designadas presidentes de comisiones electorales provinciales, departamentales y comunales (ley N</w:t>
      </w:r>
      <w:r w:rsidR="000025EA" w:rsidRPr="000025EA">
        <w:rPr>
          <w:vertAlign w:val="superscript"/>
        </w:rPr>
        <w:t>o</w:t>
      </w:r>
      <w:r w:rsidR="000025EA" w:rsidRPr="000025EA">
        <w:t xml:space="preserve"> 7/96 del 12 de marzo de 1996, modificada);</w:t>
      </w:r>
    </w:p>
    <w:p w:rsidR="000025EA" w:rsidRPr="000025EA" w:rsidRDefault="007A0F02" w:rsidP="007A0F02">
      <w:pPr>
        <w:pStyle w:val="SingleTxt"/>
        <w:tabs>
          <w:tab w:val="right" w:pos="1685"/>
        </w:tabs>
        <w:suppressAutoHyphens/>
        <w:ind w:left="1742" w:hanging="475"/>
      </w:pPr>
      <w:r>
        <w:tab/>
        <w:t>•</w:t>
      </w:r>
      <w:r>
        <w:tab/>
      </w:r>
      <w:r w:rsidR="000025EA" w:rsidRPr="000025EA">
        <w:t>La designación de mujeres en puestos de adopción de decisiones en los partidos políticos, en las instituciones constitucionales, en el Gobierno y en la administración;</w:t>
      </w:r>
    </w:p>
    <w:p w:rsidR="000025EA" w:rsidRPr="000025EA" w:rsidRDefault="000025EA" w:rsidP="007A0F02">
      <w:pPr>
        <w:pStyle w:val="SingleTxt"/>
        <w:tabs>
          <w:tab w:val="right" w:pos="1685"/>
        </w:tabs>
        <w:suppressAutoHyphens/>
        <w:ind w:left="1742" w:hanging="475"/>
      </w:pPr>
      <w:r>
        <w:tab/>
        <w:t>•</w:t>
      </w:r>
      <w:r>
        <w:tab/>
      </w:r>
      <w:r w:rsidRPr="000025EA">
        <w:t>Las actividades de la asociación de mujeres GERDESS Gabón, que promueve y alienta a las mujeres a interesarse en la política y a presentarse como candidatas en diferentes consultas electorales.</w:t>
      </w: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r>
      <w:r w:rsidRPr="000025EA">
        <w:t>Examen concomitante de la aplicación de la Convención, inquietudes y recomendaciones del Comité</w:t>
      </w: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025EA">
        <w:t>Artículo 1 de la Convención: Definición de la discriminación</w:t>
      </w: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025EA">
        <w:t>Inquietud N</w:t>
      </w:r>
      <w:r w:rsidRPr="000025EA">
        <w:rPr>
          <w:vertAlign w:val="superscript"/>
        </w:rPr>
        <w:t>o</w:t>
      </w:r>
      <w:r w:rsidRPr="000025EA">
        <w:t xml:space="preserve"> 18 y recomendación N</w:t>
      </w:r>
      <w:r w:rsidRPr="000025EA">
        <w:rPr>
          <w:vertAlign w:val="superscript"/>
        </w:rPr>
        <w:t>o</w:t>
      </w:r>
      <w:r w:rsidRPr="000025EA">
        <w:t xml:space="preserve"> 19 del Comité</w:t>
      </w:r>
    </w:p>
    <w:p w:rsidR="000025EA" w:rsidRPr="000025EA" w:rsidRDefault="000025EA" w:rsidP="000025EA">
      <w:pPr>
        <w:pStyle w:val="SingleTxt"/>
        <w:suppressAutoHyphens/>
        <w:spacing w:after="0" w:line="120" w:lineRule="exact"/>
        <w:rPr>
          <w:sz w:val="10"/>
        </w:rPr>
      </w:pPr>
    </w:p>
    <w:p w:rsidR="000025EA" w:rsidRPr="000025EA" w:rsidRDefault="000025EA" w:rsidP="000025EA">
      <w:pPr>
        <w:pStyle w:val="SingleTxt"/>
        <w:suppressAutoHyphens/>
      </w:pPr>
      <w:r>
        <w:t>18.</w:t>
      </w:r>
      <w:r>
        <w:tab/>
      </w:r>
      <w:r w:rsidRPr="000025EA">
        <w:t>La inquietud N</w:t>
      </w:r>
      <w:r w:rsidRPr="000025EA">
        <w:rPr>
          <w:vertAlign w:val="superscript"/>
        </w:rPr>
        <w:t>o</w:t>
      </w:r>
      <w:r w:rsidRPr="000025EA">
        <w:t xml:space="preserve"> 18 del Comité se refiere a la falta de la definición de la discriminación y del principio de igualdad entre hombres y mujeres en la Constitución de la República del Gabón y en todo otro instrumento legislativo, así como la interpretación limitativa que el Gabón ha hecho de la obligación que le impone la Convención de eliminar la discriminación y velar por la estricta aplicación de esos principios.</w:t>
      </w:r>
    </w:p>
    <w:p w:rsidR="000025EA" w:rsidRPr="000025EA" w:rsidRDefault="000025EA" w:rsidP="000025EA">
      <w:pPr>
        <w:pStyle w:val="SingleTxt"/>
        <w:suppressAutoHyphens/>
      </w:pPr>
      <w:r>
        <w:t>19.</w:t>
      </w:r>
      <w:r>
        <w:tab/>
      </w:r>
      <w:r w:rsidRPr="000025EA">
        <w:t>La recomendación N</w:t>
      </w:r>
      <w:r w:rsidRPr="000025EA">
        <w:rPr>
          <w:vertAlign w:val="superscript"/>
        </w:rPr>
        <w:t>o</w:t>
      </w:r>
      <w:r w:rsidRPr="000025EA">
        <w:t xml:space="preserve"> 19 tiene que ver con la introducción en la Constitución y las otras leyes nacionales pertinentes de la definición de la discriminación y del principio de la igualdad entre hombres y mujeres, tal como se desprende de las disposiciones de los artículos 1 y 2 de la Convención.</w:t>
      </w:r>
    </w:p>
    <w:p w:rsidR="000025EA" w:rsidRPr="000025EA" w:rsidRDefault="000025EA" w:rsidP="000025EA">
      <w:pPr>
        <w:pStyle w:val="SingleTxt"/>
        <w:suppressAutoHyphens/>
      </w:pPr>
      <w:r>
        <w:t>20.</w:t>
      </w:r>
      <w:r>
        <w:tab/>
      </w:r>
      <w:r w:rsidRPr="000025EA">
        <w:t>El Comité exhorta a Gabón a que elabore y aplique sin demora una estrategia nacional y un plan de acción integrado para la plena aplicación de todas las disposiciones de la Convención, y a que refuerce, según sea necesario, sus programas de promoción de la mujer mediante la adopción de medidas especiales temporales, de conformidad con las disposiciones del párrafo 1 del artículo 4 de la Convención y la recomendación general No. 25.</w:t>
      </w:r>
    </w:p>
    <w:p w:rsidR="000025EA" w:rsidRPr="000025EA" w:rsidRDefault="000025EA" w:rsidP="000025EA">
      <w:pPr>
        <w:pStyle w:val="SingleTxt"/>
        <w:suppressAutoHyphens/>
        <w:spacing w:after="0" w:line="120" w:lineRule="exact"/>
        <w:rPr>
          <w:sz w:val="10"/>
        </w:rPr>
      </w:pPr>
    </w:p>
    <w:p w:rsidR="000025EA" w:rsidRPr="000025EA" w:rsidRDefault="000025EA" w:rsidP="00FF11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025EA">
        <w:t>Medidas adoptadas</w:t>
      </w:r>
    </w:p>
    <w:p w:rsidR="000025EA" w:rsidRPr="000025EA" w:rsidRDefault="000025EA" w:rsidP="00FF11CC">
      <w:pPr>
        <w:pStyle w:val="SingleTxt"/>
        <w:keepNext/>
        <w:keepLines/>
        <w:suppressAutoHyphens/>
        <w:spacing w:after="0" w:line="120" w:lineRule="exact"/>
        <w:rPr>
          <w:sz w:val="10"/>
        </w:rPr>
      </w:pPr>
    </w:p>
    <w:p w:rsidR="000025EA" w:rsidRDefault="000025EA" w:rsidP="00FF11CC">
      <w:pPr>
        <w:pStyle w:val="SingleTxt"/>
        <w:keepNext/>
        <w:keepLines/>
        <w:suppressAutoHyphens/>
      </w:pPr>
      <w:r w:rsidRPr="000025EA">
        <w:t>21.</w:t>
      </w:r>
      <w:r>
        <w:tab/>
      </w:r>
      <w:r w:rsidRPr="000025EA">
        <w:t>En Gabón, la iniciativa respecto de las leyes corresponde al Gobierno y al Parlamento (artículo 53 de la Constitución).</w:t>
      </w:r>
    </w:p>
    <w:p w:rsidR="002D5A32" w:rsidRPr="002D5A32" w:rsidRDefault="002D5A32" w:rsidP="002D5A32">
      <w:pPr>
        <w:pStyle w:val="SingleTxt"/>
        <w:suppressAutoHyphens/>
      </w:pPr>
      <w:r>
        <w:t>22.</w:t>
      </w:r>
      <w:r>
        <w:tab/>
      </w:r>
      <w:r w:rsidRPr="002D5A32">
        <w:t>En enero de 2005 se presentaron al Comité los informes combinados; luego se resumieron las inquietudes y recomendaciones de este último, pero todavía no se ha hecho efectiva la aplicación de las disposiciones del artículo 1 relativo a la introducción de la definición de discriminación. Esto necesita una revisión de la Constitución mediante una modificación de las disposiciones del párrafo 2 del artículo 2, que dispone que “la República de Gabón asegura la igualdad de todos los ciudadanos ante la ley sin distinción de origen, raza, sexo, opinión o de religión”, ya sea mediante una inclusión en el Código Civil (que es una ley) tomando como base la redacción actual de la Constitució</w:t>
      </w:r>
      <w:r>
        <w:t>n y de la Convención. La frase “</w:t>
      </w:r>
      <w:r w:rsidRPr="002D5A32">
        <w:t>sin distinción de sexo</w:t>
      </w:r>
      <w:r>
        <w:t>”</w:t>
      </w:r>
      <w:r w:rsidRPr="002D5A32">
        <w:t xml:space="preserve"> siempre mantiene su actualidad.</w:t>
      </w:r>
    </w:p>
    <w:p w:rsidR="002D5A32" w:rsidRPr="002D5A32" w:rsidRDefault="002D5A32" w:rsidP="002D5A32">
      <w:pPr>
        <w:pStyle w:val="SingleTxt"/>
        <w:suppressAutoHyphens/>
      </w:pPr>
      <w:r>
        <w:t>23.</w:t>
      </w:r>
      <w:r>
        <w:tab/>
      </w:r>
      <w:r w:rsidRPr="002D5A32">
        <w:t>Entretanto, el 14 de febrero de 2007 y el 11 de noviembre de 2008, la señora Ministro de la Familia y de la Promoción de la Mujer se dirigió al Presidente del Tribunal Constitucional con miras a la inclusión en la constitución del término discriminación, y su definición según figura en la Convención. Como consecuencia de esa petición, el Ministro de la Familia tuvo una audiencia con el Presidente del Tribunal Constitucional en presencia de expertos y del Observatorio de los Derechos y la Igualdad de la Mujer. Las actividades para lograr una armonización en ese sentido son favorables y siguen su curso.</w:t>
      </w:r>
    </w:p>
    <w:p w:rsidR="002D5A32" w:rsidRPr="002D5A32" w:rsidRDefault="002D5A32" w:rsidP="002D5A32">
      <w:pPr>
        <w:pStyle w:val="SingleTxt"/>
        <w:suppressAutoHyphens/>
      </w:pPr>
      <w:r>
        <w:t>24.</w:t>
      </w:r>
      <w:r>
        <w:tab/>
      </w:r>
      <w:r w:rsidRPr="002D5A32">
        <w:t>Cabe señalar también que, en el nuevo Código de Trabajo (ley N</w:t>
      </w:r>
      <w:r w:rsidRPr="002D5A32">
        <w:rPr>
          <w:vertAlign w:val="superscript"/>
        </w:rPr>
        <w:t>o</w:t>
      </w:r>
      <w:r w:rsidRPr="002D5A32">
        <w:t xml:space="preserve"> 3/94 de 21 de noviembre de 1994, modificada por la ley N</w:t>
      </w:r>
      <w:r w:rsidRPr="002D5A32">
        <w:rPr>
          <w:vertAlign w:val="superscript"/>
        </w:rPr>
        <w:t>o</w:t>
      </w:r>
      <w:r w:rsidRPr="002D5A32">
        <w:t xml:space="preserve"> 12/2000 de 12 de octubre de 2000), del artículo 8 dispone que “todos los trabajadores son iguales ante la ley y disfrutan de la misma protección y de las mismas garantías.</w:t>
      </w:r>
      <w:r w:rsidRPr="002D5A32">
        <w:rPr>
          <w:b/>
          <w:bCs/>
        </w:rPr>
        <w:t xml:space="preserve"> Toda discriminación</w:t>
      </w:r>
      <w:r w:rsidRPr="002D5A32">
        <w:t xml:space="preserve"> en materia de empleo y condiciones de trabajo basadas especialmente en la raza, el color, el sexo, la religión, la opinión política, la procedencia nacional o el origen social está prohibida”.</w:t>
      </w:r>
    </w:p>
    <w:p w:rsidR="002D5A32" w:rsidRPr="002D5A32" w:rsidRDefault="002D5A32" w:rsidP="002D5A32">
      <w:pPr>
        <w:pStyle w:val="SingleTxt"/>
        <w:suppressAutoHyphens/>
      </w:pPr>
      <w:r>
        <w:t>25.</w:t>
      </w:r>
      <w:r>
        <w:tab/>
      </w:r>
      <w:r w:rsidRPr="002D5A32">
        <w:t>Por otra parte, en el espíritu de la Convención, el Ministerio de la Familia y de la Promoción de la Mujer, con el apoyo de los asociados para el desarrollo (PNUD y UNFPA) y en colaboración con el Parlamento y las asociaciones y ONG de defensa de los derechos de la mujer, se celebró, en septiembre de 2005, un primer taller sobre la revisión del Código Civil, del Código de la Nacionalidad y de los textos relativos al personal femenino de las fuerzas de defensa y de seguridad. Se examinaron las cuestiones planteadas por el Comité y los informes se transmitieron a los iniciadores de las leyes.</w:t>
      </w:r>
    </w:p>
    <w:p w:rsidR="002D5A32" w:rsidRPr="002D5A32" w:rsidRDefault="002D5A32" w:rsidP="002D5A32">
      <w:pPr>
        <w:pStyle w:val="SingleTxt"/>
        <w:suppressAutoHyphens/>
      </w:pPr>
      <w:r>
        <w:t>26.</w:t>
      </w:r>
      <w:r>
        <w:tab/>
      </w:r>
      <w:r w:rsidRPr="002D5A32">
        <w:t>En octubre de 2006 se organizó un segundo taller sobre la revisión del régimen de pensiones del Estado, del Código Penal y del Código de Trabajo.</w:t>
      </w:r>
    </w:p>
    <w:p w:rsidR="002D5A32" w:rsidRPr="002D5A32" w:rsidRDefault="002D5A32" w:rsidP="002D5A32">
      <w:pPr>
        <w:pStyle w:val="SingleTxt"/>
        <w:suppressAutoHyphens/>
      </w:pPr>
      <w:r w:rsidRPr="002D5A32">
        <w:t>27.</w:t>
      </w:r>
      <w:r>
        <w:tab/>
      </w:r>
      <w:r w:rsidRPr="002D5A32">
        <w:t>Las conclusiones de esos dos talleres se presentaron al Consejo de Ministros.</w:t>
      </w:r>
    </w:p>
    <w:p w:rsidR="002D5A32" w:rsidRPr="002D5A32" w:rsidRDefault="002D5A32" w:rsidP="002D5A32">
      <w:pPr>
        <w:pStyle w:val="SingleTxt"/>
        <w:suppressAutoHyphens/>
      </w:pPr>
      <w:r>
        <w:t>28.</w:t>
      </w:r>
      <w:r>
        <w:tab/>
      </w:r>
      <w:r w:rsidRPr="002D5A32">
        <w:t>El Observatorio y otro experto, miembro del colegio de abogados nacional, prestaron servicios como consultores nacionales para un estudio sobre la segunda parte del Código Civil en enero de 2007. Presentaron propuestas de textos o de supresión, artículo por artículo, de los textos considerados discriminatorios de la parte del Código Civil relativa a las sucesiones. Este trabajo se encuentra en manos del Gobierno, representado por el Ministerio de la Familia, y ha sido objeto de una presentación al público, especialmente a las ONG y las asociaciones de defensa de los derechos de la mujer, así como a los asociados en el desarrollo, durante jornada internacional de lucha contra las violencias ejercidas sobre las mujeres, reunión de noviembre de 2008.</w:t>
      </w:r>
    </w:p>
    <w:p w:rsidR="002D5A32" w:rsidRPr="002D5A32" w:rsidRDefault="002D5A32" w:rsidP="002D5A32">
      <w:pPr>
        <w:pStyle w:val="SingleTxt"/>
        <w:suppressAutoHyphens/>
      </w:pPr>
      <w:r>
        <w:t>29.</w:t>
      </w:r>
      <w:r>
        <w:tab/>
      </w:r>
      <w:r w:rsidRPr="002D5A32">
        <w:t>Gabón inició en julio de 2007, asociado al UNFPA y al PNUD, la elaboración de un documento político nacional sobre el género.</w:t>
      </w:r>
    </w:p>
    <w:p w:rsidR="002D5A32" w:rsidRPr="002D5A32" w:rsidRDefault="002D5A32" w:rsidP="002D5A32">
      <w:pPr>
        <w:pStyle w:val="SingleTxt"/>
        <w:suppressAutoHyphens/>
      </w:pPr>
      <w:r>
        <w:t>30.</w:t>
      </w:r>
      <w:r>
        <w:tab/>
      </w:r>
      <w:r w:rsidRPr="002D5A32">
        <w:t>El 20 y el 21 de mayo de 2008 tuvo lugar en la Asamblea Nacional, bajo los auspicios del Ministerio de la Familia y de la Promoción de la Mujer, un taller sobre el examen del informe preliminar del análisis de las disparidades y desigualdades entre hombres y mujeres en los diferentes sectores, en el que participaron representantes de otros ministerios, de la Presidencia de la República, de las asociaciones y las ONG de defensa de los derechos de la mujer y del niño, con la colaboración de los asociados para el desarrollo.</w:t>
      </w: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32">
        <w:t>Artículo 2 de la Convención: Eliminación de la discriminación</w:t>
      </w: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32">
        <w:t>Inquietud N</w:t>
      </w:r>
      <w:r w:rsidRPr="002D5A32">
        <w:rPr>
          <w:vertAlign w:val="superscript"/>
        </w:rPr>
        <w:t>o</w:t>
      </w:r>
      <w:r w:rsidRPr="002D5A32">
        <w:t xml:space="preserve"> 20 y recomendación N</w:t>
      </w:r>
      <w:r w:rsidRPr="002D5A32">
        <w:rPr>
          <w:vertAlign w:val="superscript"/>
        </w:rPr>
        <w:t>o</w:t>
      </w:r>
      <w:r w:rsidRPr="002D5A32">
        <w:t xml:space="preserve"> 21 del Comité</w:t>
      </w: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SingleTxt"/>
        <w:suppressAutoHyphens/>
      </w:pPr>
      <w:r>
        <w:t>31.</w:t>
      </w:r>
      <w:r>
        <w:tab/>
      </w:r>
      <w:r w:rsidRPr="002D5A32">
        <w:t xml:space="preserve">La inquietud </w:t>
      </w:r>
      <w:r w:rsidRPr="002D5A32">
        <w:rPr>
          <w:bCs/>
        </w:rPr>
        <w:t>N</w:t>
      </w:r>
      <w:r w:rsidRPr="002D5A32">
        <w:rPr>
          <w:bCs/>
          <w:vertAlign w:val="superscript"/>
        </w:rPr>
        <w:t>o</w:t>
      </w:r>
      <w:r w:rsidRPr="002D5A32">
        <w:t xml:space="preserve"> 20 se refiere al acceso de las mujeres a la justicia y a los recursos judiciales en casos de violación de sus derechos que pudieran ser comprometidos por obstáculos económicos y culturales.</w:t>
      </w:r>
    </w:p>
    <w:p w:rsidR="000025EA" w:rsidRDefault="002D5A32" w:rsidP="002D5A32">
      <w:pPr>
        <w:pStyle w:val="SingleTxt"/>
        <w:suppressAutoHyphens/>
      </w:pPr>
      <w:r>
        <w:t>32.</w:t>
      </w:r>
      <w:r>
        <w:tab/>
      </w:r>
      <w:r w:rsidRPr="002D5A32">
        <w:t xml:space="preserve">La recomendación </w:t>
      </w:r>
      <w:r w:rsidRPr="002D5A32">
        <w:rPr>
          <w:bCs/>
        </w:rPr>
        <w:t>N</w:t>
      </w:r>
      <w:r w:rsidRPr="002D5A32">
        <w:rPr>
          <w:bCs/>
          <w:vertAlign w:val="superscript"/>
        </w:rPr>
        <w:t>o</w:t>
      </w:r>
      <w:r w:rsidRPr="002D5A32">
        <w:t xml:space="preserve"> 21 trata de la supresión de los obstáculos que subsisten y de asegurar que las mujeres puedan acceder a recursos que estén a su alcance económico, sean eficaces y rápidos, especialmente mediante campañas de concienciación sobre la disponibilidad de recursos entre la discriminación y el otorgamiento de asistencia judicial. El Comité alienta al Estado de Gabón a verificar la eficacia de esas medidas.</w:t>
      </w:r>
    </w:p>
    <w:p w:rsidR="002D5A32" w:rsidRPr="002D5A32" w:rsidRDefault="002D5A32" w:rsidP="002D5A32">
      <w:pPr>
        <w:pStyle w:val="SingleTxt"/>
        <w:suppressAutoHyphens/>
        <w:spacing w:after="0" w:line="120" w:lineRule="exact"/>
        <w:rPr>
          <w:sz w:val="10"/>
        </w:rPr>
      </w:pPr>
    </w:p>
    <w:p w:rsidR="002D5A32" w:rsidRPr="002D5A32" w:rsidRDefault="002D5A32" w:rsidP="00E55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32">
        <w:t>Medidas adoptadas</w:t>
      </w:r>
    </w:p>
    <w:p w:rsidR="00E55EE2" w:rsidRPr="00E55EE2" w:rsidRDefault="00E55EE2" w:rsidP="00E55EE2">
      <w:pPr>
        <w:pStyle w:val="SingleTxt"/>
        <w:suppressAutoHyphens/>
        <w:spacing w:after="0" w:line="120" w:lineRule="exact"/>
        <w:rPr>
          <w:sz w:val="10"/>
        </w:rPr>
      </w:pPr>
    </w:p>
    <w:p w:rsidR="002D5A32" w:rsidRPr="002D5A32" w:rsidRDefault="00E55EE2" w:rsidP="002D5A32">
      <w:pPr>
        <w:pStyle w:val="SingleTxt"/>
        <w:suppressAutoHyphens/>
      </w:pPr>
      <w:r>
        <w:t>33.</w:t>
      </w:r>
      <w:r>
        <w:tab/>
      </w:r>
      <w:r w:rsidR="002D5A32" w:rsidRPr="002D5A32">
        <w:t>En sus presupuestos anuales de 2005, 2006 y 2007, el Gobierno de Gabón asignó prioridad financiera al poder autoridad judicial, a fin de que se establecieran todas las estructuras, tanto en el plano de los edificios como del acceso de los ciudadanos a una justicia equitativa. Esa decisión ha dado lugar a la construcción de edificios o la rehabilitación de las estructuras existentes, pero sobre todo a medidas que permiten el acceso fácil de todas las personas sin distinción de sexo a una justicia equitativa.</w:t>
      </w:r>
    </w:p>
    <w:p w:rsidR="002D5A32" w:rsidRPr="002D5A32" w:rsidRDefault="00E55EE2" w:rsidP="002D5A32">
      <w:pPr>
        <w:pStyle w:val="SingleTxt"/>
        <w:suppressAutoHyphens/>
      </w:pPr>
      <w:r>
        <w:t>34.</w:t>
      </w:r>
      <w:r>
        <w:tab/>
      </w:r>
      <w:r w:rsidR="002D5A32" w:rsidRPr="002D5A32">
        <w:t>En cuanto a las mujeres que no poseen medios financieros, se ha establecido la Fiscalía de la familia a cargo de magistrados hombres y mujeres, que se hacen cargo de sus expedientes, el fortalecimiento del carácter gratuito de los expedientes de reclamación de alimentos planteados por las mujeres, en un 90% para obligar a los padres a ocuparse de sus hijos en caso de separación o aun cuando los cónyuges viven todavía en la misma casa.</w:t>
      </w:r>
    </w:p>
    <w:p w:rsidR="002D5A32" w:rsidRPr="002D5A32" w:rsidRDefault="00E55EE2" w:rsidP="002D5A32">
      <w:pPr>
        <w:pStyle w:val="SingleTxt"/>
        <w:suppressAutoHyphens/>
      </w:pPr>
      <w:r>
        <w:t>35.</w:t>
      </w:r>
      <w:r>
        <w:tab/>
      </w:r>
      <w:r w:rsidR="002D5A32" w:rsidRPr="002D5A32">
        <w:t>En cuanto las medidas temporales duraderas, se estableció una sinergia para asegurar una protección jurisdiccional de los derechos de la mujer entre la Comisión nacional de la familia y de la promoción de la mujer (Ministerio de la Familia), el Observatorio de los Derechos y la Igualdad de la Mujer, el servicio social del Ministerio de Justicia y la Fiscalía de la familia, a fin de asegurar una protección jurisdiccional de los derechos de la mujer para eliminar los obstáculos económicos y culturales. A tal fin, cuando una mujer es víctima de la violación de sus derechos y desea recurrir a la justicia pero no posee los medios financieros para contratar a un abogado que la defienda, el Observatorio se hace cargo de la denuncia de la mujer de que se trata y los organismos citados más arriba se ponen en contacto con la Fiscalía de la familia para que se protejan los derechos de la mujer y que ésta no tenga que pagar gastos. Es la Fiscalía de la familia la que toma a su cargo el expediente y ordena las investigaciones. El procedimiento continúa hasta la sentencia. Muchos casos, que pueden ser objeto de importantes gastos judiciales, con frecuencia se dirimen en forma amigable por medio de esa sinergia.</w:t>
      </w:r>
    </w:p>
    <w:p w:rsidR="002D5A32" w:rsidRPr="002D5A32" w:rsidRDefault="00E55EE2" w:rsidP="002D5A32">
      <w:pPr>
        <w:pStyle w:val="SingleTxt"/>
        <w:suppressAutoHyphens/>
      </w:pPr>
      <w:r>
        <w:t>36.</w:t>
      </w:r>
      <w:r>
        <w:tab/>
      </w:r>
      <w:r w:rsidR="002D5A32" w:rsidRPr="002D5A32">
        <w:t>En los expedientes penales, el Estado designa de oficio a los abogados defensores de los acusados y toma a su cargo los honorarios de éstos.</w:t>
      </w:r>
    </w:p>
    <w:p w:rsidR="002D5A32" w:rsidRPr="002D5A32" w:rsidRDefault="00E55EE2" w:rsidP="002D5A32">
      <w:pPr>
        <w:pStyle w:val="SingleTxt"/>
        <w:suppressAutoHyphens/>
      </w:pPr>
      <w:r>
        <w:t>37.</w:t>
      </w:r>
      <w:r>
        <w:tab/>
      </w:r>
      <w:r w:rsidR="002D5A32" w:rsidRPr="002D5A32">
        <w:t>En lo que se refiere a los obstáculos culturales, los organismos citados así como las asociaciones y las ONG de defensa de los derechos de la mujer se reúnen con las mujeres víctimas de las divisiones socioculturales a fin de que comprendan que son personas completas y ciudadanas. Esos encuentros producen resultados positivos en los hogares, a nivel educativo y psicológico. El Observatorio, por ejemplo, sostuvo durante 2006 y 2007 a más de 100 familias que tenían dificultades conyugales, invitando a los esposos a entrevistas y a un diálogo franco con sus esposas. De 100 mujeres, 30 se divorciaron y ganaron sus juicios, 35 están separadas de hecho y físicamente y no tienen empleo o ejercen actividades remuneradas, 20 retomaron sus estudios y 15 volvieron a la vida conyugal después de la reconciliación. La clínica jurídica del Observatorio se ocupa de esas mujeres.</w:t>
      </w:r>
    </w:p>
    <w:p w:rsidR="002D5A32" w:rsidRPr="002D5A32" w:rsidRDefault="00E55EE2" w:rsidP="002D5A32">
      <w:pPr>
        <w:pStyle w:val="SingleTxt"/>
        <w:suppressAutoHyphens/>
      </w:pPr>
      <w:r>
        <w:t>38.</w:t>
      </w:r>
      <w:r>
        <w:tab/>
      </w:r>
      <w:r w:rsidR="002D5A32" w:rsidRPr="002D5A32">
        <w:t>Además del trabajo de concienciación que hace la sociedad civil sobre el terreno, se ha establecido un nuevo organismo denominado Centro nacional de apoyo a las organizaciones de mujeres de Gabón (CENAF- Gabón). Ese organismo agrupa a las asociaciones y las ONG de mujeres en redes que refuerzan sus capacidades. Cuenta con el apoyo del Gobierno de Gabón y la Fundación para el fortalecimiento de las capacidades en África (ACBF). Ese organismo, por medio de su Red Democrática-Derecho-Paz (REDDP), ha garantizado, en junio de 2008, la capacitación de auxiliares de abogados de todos los jefes de barrios mujeres con carácter prioritario, pero ha asociado también a hombres para respetar el género. Esa capacitación se basa en los medios de defensa jurídica que las mujeres deben conocer y utilizar cuando son víctimas de cualquier violación de sus derechos. Esos jefes garantizan, a su vez, la concienciación en los barrios colocados bajo su autoridad con ayuda de juristas miembros de esa red. Se han distribuido gratuitamente folletos de difusión de los derechos de la mujer: como presentar una demanda, los componentes de la justicia de Gabón, los diferentes tipos de jurisdicción y su función, etc. El Ministerio de Justicia lanzó medidas de estímulo fiscal relacionadas con el funcionamiento efectivo de la asistencia judicial recíproca, que es el objeto de la ley.</w:t>
      </w:r>
    </w:p>
    <w:p w:rsidR="002D5A32" w:rsidRPr="002D5A32" w:rsidRDefault="00E55EE2" w:rsidP="002D5A32">
      <w:pPr>
        <w:pStyle w:val="SingleTxt"/>
        <w:suppressAutoHyphens/>
      </w:pPr>
      <w:r>
        <w:t>39.</w:t>
      </w:r>
      <w:r>
        <w:tab/>
      </w:r>
      <w:r w:rsidR="002D5A32" w:rsidRPr="002D5A32">
        <w:t>Todos los otros mecanismos descritos en los informes combinados precedentes existen y funcionan.</w:t>
      </w:r>
    </w:p>
    <w:p w:rsidR="00E55EE2" w:rsidRPr="00E55EE2" w:rsidRDefault="00E55EE2" w:rsidP="00E55EE2">
      <w:pPr>
        <w:pStyle w:val="SingleTxt"/>
        <w:suppressAutoHyphens/>
        <w:spacing w:after="0" w:line="120" w:lineRule="exact"/>
        <w:rPr>
          <w:sz w:val="10"/>
        </w:rPr>
      </w:pPr>
    </w:p>
    <w:p w:rsidR="00E55EE2" w:rsidRPr="00E55EE2" w:rsidRDefault="00E55EE2" w:rsidP="00E55EE2">
      <w:pPr>
        <w:pStyle w:val="SingleTxt"/>
        <w:suppressAutoHyphens/>
        <w:spacing w:after="0" w:line="120" w:lineRule="exact"/>
        <w:rPr>
          <w:sz w:val="10"/>
        </w:rPr>
      </w:pPr>
    </w:p>
    <w:p w:rsidR="002D5A32" w:rsidRPr="002D5A32" w:rsidRDefault="00E55EE2" w:rsidP="00E55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54" w:hanging="1267"/>
      </w:pPr>
      <w:r>
        <w:tab/>
      </w:r>
      <w:r>
        <w:tab/>
      </w:r>
      <w:r w:rsidR="002D5A32" w:rsidRPr="002D5A32">
        <w:t>Articulo 3 de la Convención: Pleno desarrollo y adelanto de la mujer</w:t>
      </w:r>
    </w:p>
    <w:p w:rsidR="00E55EE2" w:rsidRPr="00E55EE2" w:rsidRDefault="00E55EE2" w:rsidP="00E55EE2">
      <w:pPr>
        <w:pStyle w:val="SingleTxt"/>
        <w:suppressAutoHyphens/>
        <w:spacing w:after="0" w:line="120" w:lineRule="exact"/>
        <w:rPr>
          <w:sz w:val="10"/>
        </w:rPr>
      </w:pPr>
    </w:p>
    <w:p w:rsidR="00E55EE2" w:rsidRPr="00E55EE2" w:rsidRDefault="00E55EE2" w:rsidP="00E55EE2">
      <w:pPr>
        <w:pStyle w:val="SingleTxt"/>
        <w:suppressAutoHyphens/>
        <w:spacing w:after="0" w:line="120" w:lineRule="exact"/>
        <w:rPr>
          <w:sz w:val="10"/>
        </w:rPr>
      </w:pPr>
    </w:p>
    <w:p w:rsidR="002D5A32" w:rsidRPr="002D5A32" w:rsidRDefault="00E55EE2" w:rsidP="002D5A32">
      <w:pPr>
        <w:pStyle w:val="SingleTxt"/>
        <w:suppressAutoHyphens/>
      </w:pPr>
      <w:r>
        <w:t>40.</w:t>
      </w:r>
      <w:r>
        <w:tab/>
      </w:r>
      <w:r w:rsidR="002D5A32" w:rsidRPr="002D5A32">
        <w:t>Además de la cuestión de la participación de las mujeres en la vida pública y política a la que se hará referencia en el examen del artículo 7 de la Convención, cabe señalar la presencia de mujeres en casi la totalidad de los sectores que hasta el momento estaban reservados a los hombres.</w:t>
      </w:r>
      <w:r w:rsidR="00EF6164">
        <w:t xml:space="preserve"> De esta forma, se encuentra a </w:t>
      </w:r>
      <w:r w:rsidR="002D5A32" w:rsidRPr="002D5A32">
        <w:t>mujeres carpinteros, electricistas, especialistas en heladeras, responsables de estaciones de distribución de combustibles, chóferes de taxis y de ómnibus, pastoras en las iglesias (pese a la oposición firme de los responsables religiosos, las mujeres han creado iglesias con sus diplomas este pastoras) bajo la autoridad de los hombres, empresarios, arquitectos y otros.</w:t>
      </w:r>
    </w:p>
    <w:p w:rsidR="002D5A32" w:rsidRPr="002D5A32" w:rsidRDefault="00E55EE2" w:rsidP="002D5A32">
      <w:pPr>
        <w:pStyle w:val="SingleTxt"/>
        <w:suppressAutoHyphens/>
      </w:pPr>
      <w:r>
        <w:t>41.</w:t>
      </w:r>
      <w:r>
        <w:tab/>
      </w:r>
      <w:r w:rsidR="002D5A32" w:rsidRPr="002D5A32">
        <w:t>En el plano del comercio, se han dedicado al comercio oficial y también al no estructurado. Algunas están a la cabeza de pequeñas y medianas empresas y pequeñas y medianas industrias.</w:t>
      </w:r>
    </w:p>
    <w:p w:rsidR="002D5A32" w:rsidRPr="002D5A32" w:rsidRDefault="00E55EE2" w:rsidP="002D5A32">
      <w:pPr>
        <w:pStyle w:val="SingleTxt"/>
        <w:suppressAutoHyphens/>
      </w:pPr>
      <w:r>
        <w:t>42.</w:t>
      </w:r>
      <w:r>
        <w:tab/>
      </w:r>
      <w:r w:rsidR="002D5A32" w:rsidRPr="002D5A32">
        <w:t>A fin de evitar a los bancos, se agrupan en asociaciones de reunión de fondos y, de conformidad con un calendario prestablecido, se distribuyen esos fondos que les permitan crear estructuras de su elección para asegurar su independencia financiera.</w:t>
      </w:r>
    </w:p>
    <w:p w:rsidR="002D5A32" w:rsidRPr="002D5A32" w:rsidRDefault="00E55EE2" w:rsidP="002D5A32">
      <w:pPr>
        <w:pStyle w:val="SingleTxt"/>
        <w:suppressAutoHyphens/>
      </w:pPr>
      <w:r>
        <w:t>43.</w:t>
      </w:r>
      <w:r>
        <w:tab/>
      </w:r>
      <w:r w:rsidR="002D5A32" w:rsidRPr="002D5A32">
        <w:t>En el plano de la formación, no hay discriminación de acceso basado en el sexo en estas y otras estructuras de capacitación.</w:t>
      </w:r>
    </w:p>
    <w:p w:rsidR="00034C8D" w:rsidRPr="00034C8D" w:rsidRDefault="00034C8D" w:rsidP="00034C8D">
      <w:pPr>
        <w:pStyle w:val="SingleTxt"/>
        <w:suppressAutoHyphens/>
        <w:spacing w:after="0" w:line="120" w:lineRule="exact"/>
        <w:rPr>
          <w:sz w:val="10"/>
        </w:rPr>
      </w:pP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r>
      <w:r>
        <w:tab/>
      </w:r>
      <w:r w:rsidR="002D5A32" w:rsidRPr="002D5A32">
        <w:t>Artículo 4 de la Convención: Medidas especiales encaminadas a lograr más rápidamente la igualdad entre el hombre y la mujer</w:t>
      </w:r>
    </w:p>
    <w:p w:rsidR="00034C8D" w:rsidRPr="00034C8D" w:rsidRDefault="00034C8D" w:rsidP="00034C8D">
      <w:pPr>
        <w:pStyle w:val="SingleTxt"/>
        <w:suppressAutoHyphens/>
        <w:spacing w:after="0" w:line="120" w:lineRule="exact"/>
        <w:rPr>
          <w:sz w:val="10"/>
        </w:rPr>
      </w:pPr>
    </w:p>
    <w:p w:rsidR="00034C8D" w:rsidRPr="00034C8D" w:rsidRDefault="00034C8D" w:rsidP="00034C8D">
      <w:pPr>
        <w:pStyle w:val="SingleTxt"/>
        <w:suppressAutoHyphens/>
        <w:spacing w:after="0" w:line="120" w:lineRule="exact"/>
        <w:rPr>
          <w:sz w:val="10"/>
        </w:rPr>
      </w:pPr>
    </w:p>
    <w:p w:rsidR="002D5A32" w:rsidRPr="002D5A32" w:rsidRDefault="00034C8D" w:rsidP="002D5A32">
      <w:pPr>
        <w:pStyle w:val="SingleTxt"/>
        <w:suppressAutoHyphens/>
      </w:pPr>
      <w:r>
        <w:t>44.</w:t>
      </w:r>
      <w:r>
        <w:tab/>
      </w:r>
      <w:r w:rsidR="002D5A32" w:rsidRPr="002D5A32">
        <w:t>En las fuerzas armadas, ha aumentado el número de mujeres con el grado de general. En la gendarmería y la policía no había mujeres nombradas con ese grado. Esto se ha hecho. El número de mujeres en ese grado ha pasado de dos a cinco (dos mujeres militares retiradas, una de la policía, una de la seguridad penitenciaria, una de la gendarmería nacional).</w:t>
      </w:r>
    </w:p>
    <w:p w:rsidR="002D5A32" w:rsidRPr="002D5A32" w:rsidRDefault="002D5A32" w:rsidP="002D5A32">
      <w:pPr>
        <w:pStyle w:val="SingleTxt"/>
        <w:suppressAutoHyphens/>
      </w:pPr>
      <w:r w:rsidRPr="002D5A32">
        <w:t>45.</w:t>
      </w:r>
      <w:r w:rsidR="00034C8D">
        <w:tab/>
      </w:r>
      <w:r w:rsidRPr="002D5A32">
        <w:t>Continúan las medidas de protección de la maternidad en el Código de Trabajo, el Estatuto de la función pública y el Estatuto General de los funcionarios (prohibición de dejar cesante a una mujer por motivo de su embarazo o del parto, licencia de maternidad obligatoria de 14 semanas con sueldo, horas de lactancia, prohibición de dar a las mujeres trabajos inadaptados a su salud). Todas estas medidas son aplicadas por los empleadores del sector privado y también del sector público.</w:t>
      </w:r>
    </w:p>
    <w:p w:rsidR="002D5A32" w:rsidRPr="002D5A32" w:rsidRDefault="00034C8D" w:rsidP="002D5A32">
      <w:pPr>
        <w:pStyle w:val="SingleTxt"/>
        <w:suppressAutoHyphens/>
      </w:pPr>
      <w:r>
        <w:t>46.</w:t>
      </w:r>
      <w:r>
        <w:tab/>
      </w:r>
      <w:r w:rsidR="002D5A32" w:rsidRPr="002D5A32">
        <w:t>Se ha institucionalizado en el Gran Premio del Presidente de la República para la promoción de las actividades socioeconómicas de las mujeres, así como el otorgamiento de medallas a las madres progenitoras y del corazón.</w:t>
      </w:r>
    </w:p>
    <w:p w:rsidR="00034C8D" w:rsidRPr="00034C8D" w:rsidRDefault="00034C8D" w:rsidP="00034C8D">
      <w:pPr>
        <w:pStyle w:val="SingleTxt"/>
        <w:suppressAutoHyphens/>
        <w:spacing w:after="0" w:line="120" w:lineRule="exact"/>
        <w:rPr>
          <w:sz w:val="10"/>
        </w:rPr>
      </w:pP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5A32" w:rsidRPr="002D5A32">
        <w:t>Artículo 5 de la Convención: Funciones y estereotipos sexuales</w:t>
      </w:r>
    </w:p>
    <w:p w:rsidR="00034C8D" w:rsidRPr="00034C8D" w:rsidRDefault="00034C8D" w:rsidP="00034C8D">
      <w:pPr>
        <w:pStyle w:val="SingleTxt"/>
        <w:suppressAutoHyphens/>
        <w:spacing w:after="0" w:line="120" w:lineRule="exact"/>
        <w:rPr>
          <w:sz w:val="10"/>
        </w:rPr>
      </w:pP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5A32" w:rsidRPr="002D5A32">
        <w:t>Inquietud N</w:t>
      </w:r>
      <w:r w:rsidR="002D5A32" w:rsidRPr="002D5A32">
        <w:rPr>
          <w:vertAlign w:val="superscript"/>
        </w:rPr>
        <w:t>o</w:t>
      </w:r>
      <w:r w:rsidR="002D5A32" w:rsidRPr="002D5A32">
        <w:t xml:space="preserve"> 30 y recomendación N</w:t>
      </w:r>
      <w:r w:rsidR="002D5A32" w:rsidRPr="002D5A32">
        <w:rPr>
          <w:vertAlign w:val="superscript"/>
        </w:rPr>
        <w:t>o</w:t>
      </w:r>
      <w:r w:rsidR="002D5A32" w:rsidRPr="002D5A32">
        <w:t xml:space="preserve"> 31</w:t>
      </w:r>
    </w:p>
    <w:p w:rsidR="00034C8D" w:rsidRPr="00034C8D" w:rsidRDefault="00034C8D" w:rsidP="00034C8D">
      <w:pPr>
        <w:pStyle w:val="SingleTxt"/>
        <w:suppressAutoHyphens/>
        <w:spacing w:after="0" w:line="120" w:lineRule="exact"/>
        <w:rPr>
          <w:sz w:val="10"/>
        </w:rPr>
      </w:pPr>
    </w:p>
    <w:p w:rsidR="002D5A32" w:rsidRPr="002D5A32" w:rsidRDefault="00034C8D" w:rsidP="002D5A32">
      <w:pPr>
        <w:pStyle w:val="SingleTxt"/>
        <w:suppressAutoHyphens/>
      </w:pPr>
      <w:r>
        <w:t>47.</w:t>
      </w:r>
      <w:r>
        <w:tab/>
      </w:r>
      <w:r w:rsidR="002D5A32" w:rsidRPr="002D5A32">
        <w:t xml:space="preserve">La inquietud </w:t>
      </w:r>
      <w:r w:rsidR="002D5A32" w:rsidRPr="002D5A32">
        <w:rPr>
          <w:bCs/>
        </w:rPr>
        <w:t>N</w:t>
      </w:r>
      <w:r w:rsidR="002D5A32" w:rsidRPr="002D5A32">
        <w:rPr>
          <w:bCs/>
          <w:vertAlign w:val="superscript"/>
        </w:rPr>
        <w:t>o</w:t>
      </w:r>
      <w:r w:rsidR="002D5A32" w:rsidRPr="002D5A32">
        <w:t xml:space="preserve"> 30 del Comité se refiere a la prevalencia de las costumbres y las tradiciones perjudiciales sumamente arraigadas: casamiento precoz, casamiento forzado, poligamia, prácticas relativas a la viudez, el levirato y la persistencia de los estereotipos que son discriminatorios respecto de la mujer y que pueden atentar contra sus derechos fundamentales. El Comité recuerda los escasos esfuerzos hechos por Gabón a ese respecto, a fin de combatir directamente esas prácticas y estereotipos a causa de la adhesión general de la población a esas prácticas.</w:t>
      </w:r>
    </w:p>
    <w:p w:rsidR="002D5A32" w:rsidRPr="002D5A32" w:rsidRDefault="00034C8D" w:rsidP="002D5A32">
      <w:pPr>
        <w:pStyle w:val="SingleTxt"/>
        <w:suppressAutoHyphens/>
      </w:pPr>
      <w:r>
        <w:t>48.</w:t>
      </w:r>
      <w:r>
        <w:tab/>
      </w:r>
      <w:r w:rsidR="002D5A32" w:rsidRPr="002D5A32">
        <w:t xml:space="preserve">En la recomendación </w:t>
      </w:r>
      <w:r w:rsidR="002D5A32" w:rsidRPr="002D5A32">
        <w:rPr>
          <w:bCs/>
        </w:rPr>
        <w:t>N</w:t>
      </w:r>
      <w:r w:rsidR="002D5A32" w:rsidRPr="002D5A32">
        <w:rPr>
          <w:bCs/>
          <w:vertAlign w:val="superscript"/>
        </w:rPr>
        <w:t>o</w:t>
      </w:r>
      <w:r w:rsidR="002D5A32" w:rsidRPr="002D5A32">
        <w:t xml:space="preserve"> 31, el Comité exhorta a Gabón tomar sin demoras medidas legislativas para modificar o suprimir esas costumbres y prácticas culturales discriminatorias, ayudar a las mujeres a establecer plenamente sus derechos fundamentales, crear y lanzar campañas de formación y concienciación para facilitar la aceptación del principio de la igualdad entre hombres y mujeres y la puesta en tela de juicio de las actitudes estereotipadas relativas a las funciones de cada uno de ellos, incluir en esas campañas a hombres y mujeres, funcionarios, comunidades y jefes tradicionales, empleadores y la población en general, conectarse con las organizaciones de la sociedad civil, la radio y la televisión, y la prensa escrita para lograr ese objetivo y realizar una revisión de los programas y manuales escolares para apoyar dicha actividad.</w:t>
      </w: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5A32" w:rsidRPr="002D5A32">
        <w:t>Medidas tomadas</w:t>
      </w:r>
    </w:p>
    <w:p w:rsidR="00034C8D" w:rsidRPr="00034C8D" w:rsidRDefault="00034C8D" w:rsidP="00034C8D">
      <w:pPr>
        <w:pStyle w:val="SingleTxt"/>
        <w:suppressAutoHyphens/>
        <w:spacing w:after="0" w:line="120" w:lineRule="exact"/>
        <w:rPr>
          <w:sz w:val="10"/>
        </w:rPr>
      </w:pPr>
    </w:p>
    <w:p w:rsidR="002D5A32" w:rsidRPr="002D5A32" w:rsidRDefault="00034C8D" w:rsidP="002D5A32">
      <w:pPr>
        <w:pStyle w:val="SingleTxt"/>
        <w:suppressAutoHyphens/>
      </w:pPr>
      <w:r>
        <w:t>49.</w:t>
      </w:r>
      <w:r>
        <w:tab/>
      </w:r>
      <w:r w:rsidR="002D5A32" w:rsidRPr="002D5A32">
        <w:t>Pese a la situación híbrida de la legislación de Gabón, que se encuentra entre medio de las convenciones ratificadas, la resistencia de ciertas costumbres con respecto a la ley y la lentitud relativa a los procedimientos de revisión de textos considerados discriminatorios, el trabajo de concienciación de las mujeres se hace realmente sobre el terreno y está a cargo de las asociaciones de defensa de los derechos de la mujer, las asociaciones religiosas y el Ministerio de la Familia y de la Promoción de la Mujer por medio de diversas medidas, entre las que se encuentran:</w:t>
      </w:r>
    </w:p>
    <w:p w:rsidR="002D5A32" w:rsidRPr="002D5A32" w:rsidRDefault="00034C8D" w:rsidP="00034C8D">
      <w:pPr>
        <w:pStyle w:val="SingleTxt"/>
        <w:tabs>
          <w:tab w:val="right" w:pos="1685"/>
        </w:tabs>
        <w:suppressAutoHyphens/>
        <w:ind w:left="1742" w:hanging="475"/>
      </w:pPr>
      <w:r>
        <w:tab/>
        <w:t>•</w:t>
      </w:r>
      <w:r>
        <w:tab/>
      </w:r>
      <w:r w:rsidR="002D5A32" w:rsidRPr="002D5A32">
        <w:t>El establecimiento de centros de coordinación de cuestiones de género en todos los ministerios;</w:t>
      </w:r>
    </w:p>
    <w:p w:rsidR="002D5A32" w:rsidRPr="002D5A32" w:rsidRDefault="00034C8D" w:rsidP="00034C8D">
      <w:pPr>
        <w:pStyle w:val="SingleTxt"/>
        <w:tabs>
          <w:tab w:val="right" w:pos="1685"/>
        </w:tabs>
        <w:suppressAutoHyphens/>
        <w:ind w:left="1742" w:hanging="475"/>
      </w:pPr>
      <w:r>
        <w:tab/>
        <w:t>•</w:t>
      </w:r>
      <w:r>
        <w:tab/>
      </w:r>
      <w:r w:rsidR="002D5A32" w:rsidRPr="002D5A32">
        <w:t>Los seminarios de concienciación en los locales de la Asamblea Nacional y en otros lugares, como las iglesias, las comunidades, los jefes de barrios, sobre las cuestiones del casamiento y de los derechos fundamentales;</w:t>
      </w:r>
    </w:p>
    <w:p w:rsidR="002D5A32" w:rsidRPr="002D5A32" w:rsidRDefault="00034C8D" w:rsidP="00034C8D">
      <w:pPr>
        <w:pStyle w:val="SingleTxt"/>
        <w:tabs>
          <w:tab w:val="right" w:pos="1685"/>
        </w:tabs>
        <w:suppressAutoHyphens/>
        <w:ind w:left="1742" w:hanging="475"/>
      </w:pPr>
      <w:r>
        <w:tab/>
        <w:t>•</w:t>
      </w:r>
      <w:r>
        <w:tab/>
      </w:r>
      <w:r w:rsidR="002D5A32" w:rsidRPr="002D5A32">
        <w:t>La puesta en práctica en cada provincia de servicios del Ministerio de la Familia donde uno de sus objetivos sea facilitar la aceptación del principio de la igualdad entre hombres y mujeres por medio de funcionarios designados a tal efecto y el apoyo de las asociaciones de provinc</w:t>
      </w:r>
      <w:r>
        <w:t>ia organizadas en ese marco que;</w:t>
      </w:r>
    </w:p>
    <w:p w:rsidR="002D5A32" w:rsidRPr="002D5A32" w:rsidRDefault="00034C8D" w:rsidP="00034C8D">
      <w:pPr>
        <w:pStyle w:val="SingleTxt"/>
        <w:tabs>
          <w:tab w:val="right" w:pos="1685"/>
        </w:tabs>
        <w:suppressAutoHyphens/>
        <w:ind w:left="1742" w:hanging="475"/>
      </w:pPr>
      <w:r>
        <w:tab/>
        <w:t>•</w:t>
      </w:r>
      <w:r>
        <w:tab/>
      </w:r>
      <w:r w:rsidR="002D5A32" w:rsidRPr="002D5A32">
        <w:t>Las medidas tomadas por la asociación viudas y huérfanos, la asociación de mujeres musulmanas para combatir los estereotipos y la idea de la inferioridad de la mujer;</w:t>
      </w:r>
    </w:p>
    <w:p w:rsidR="002D5A32" w:rsidRPr="002D5A32" w:rsidRDefault="00034C8D" w:rsidP="00034C8D">
      <w:pPr>
        <w:pStyle w:val="SingleTxt"/>
        <w:tabs>
          <w:tab w:val="right" w:pos="1685"/>
        </w:tabs>
        <w:suppressAutoHyphens/>
        <w:ind w:left="1742" w:hanging="475"/>
      </w:pPr>
      <w:r>
        <w:tab/>
        <w:t>•</w:t>
      </w:r>
      <w:r>
        <w:tab/>
      </w:r>
      <w:r w:rsidR="002D5A32" w:rsidRPr="002D5A32">
        <w:t>Reacción de las propias mujeres, mediante la remisión a los tribunales de los casos de violaciones de sus derechos</w:t>
      </w:r>
      <w:r>
        <w:t>;</w:t>
      </w:r>
    </w:p>
    <w:p w:rsidR="002D5A32" w:rsidRPr="002D5A32" w:rsidRDefault="00034C8D" w:rsidP="00034C8D">
      <w:pPr>
        <w:pStyle w:val="SingleTxt"/>
        <w:tabs>
          <w:tab w:val="right" w:pos="1685"/>
        </w:tabs>
        <w:suppressAutoHyphens/>
        <w:ind w:left="1742" w:hanging="475"/>
      </w:pPr>
      <w:r>
        <w:tab/>
        <w:t>•</w:t>
      </w:r>
      <w:r>
        <w:tab/>
      </w:r>
      <w:r w:rsidR="002D5A32" w:rsidRPr="002D5A32">
        <w:t>La represión del casamiento precoz y del casamiento sin el consentimiento de la hija de menos de 15 años, con una pena de prisión de uno a cinco años (art. 264 del Código Penal). Esas penas aumentan a diez años de prisión si se ha intentado consumar o se ha consumado el acto sexual con la joven y a reclusión penal perpetua si los actos sexuales han provocado la muerte de la niña;</w:t>
      </w:r>
    </w:p>
    <w:p w:rsidR="002D5A32" w:rsidRPr="002D5A32" w:rsidRDefault="00034C8D" w:rsidP="00034C8D">
      <w:pPr>
        <w:pStyle w:val="SingleTxt"/>
        <w:tabs>
          <w:tab w:val="right" w:pos="1685"/>
        </w:tabs>
        <w:suppressAutoHyphens/>
        <w:ind w:left="1742" w:hanging="475"/>
      </w:pPr>
      <w:r>
        <w:tab/>
        <w:t>•</w:t>
      </w:r>
      <w:r>
        <w:tab/>
      </w:r>
      <w:r w:rsidR="002D5A32" w:rsidRPr="002D5A32">
        <w:t>La supresión en los nuevos manuales escolares de los estereotipos que destacan la división por sexo en el trabajo.</w:t>
      </w: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tab/>
      </w:r>
      <w:r>
        <w:tab/>
      </w:r>
      <w:r w:rsidR="002D5A32" w:rsidRPr="002D5A32">
        <w:t>Artículo 6 de la Convención: Represión de la prostitución y de todas las formas de trata de mujeres</w:t>
      </w:r>
    </w:p>
    <w:p w:rsidR="00034C8D" w:rsidRPr="00034C8D" w:rsidRDefault="00034C8D" w:rsidP="00034C8D">
      <w:pPr>
        <w:pStyle w:val="SingleTxt"/>
        <w:suppressAutoHyphens/>
        <w:spacing w:after="0" w:line="120" w:lineRule="exact"/>
        <w:rPr>
          <w:sz w:val="10"/>
        </w:rPr>
      </w:pPr>
    </w:p>
    <w:p w:rsidR="00034C8D" w:rsidRPr="00034C8D" w:rsidRDefault="00034C8D" w:rsidP="00034C8D">
      <w:pPr>
        <w:pStyle w:val="SingleTxt"/>
        <w:suppressAutoHyphens/>
        <w:spacing w:after="0" w:line="120" w:lineRule="exact"/>
        <w:rPr>
          <w:sz w:val="10"/>
        </w:rPr>
      </w:pPr>
    </w:p>
    <w:p w:rsidR="002D5A32" w:rsidRPr="002D5A32" w:rsidRDefault="00034C8D" w:rsidP="00034C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5A32" w:rsidRPr="002D5A32">
        <w:t>Inquietudes N</w:t>
      </w:r>
      <w:r w:rsidR="002D5A32" w:rsidRPr="002D5A32">
        <w:rPr>
          <w:vertAlign w:val="superscript"/>
        </w:rPr>
        <w:t>o</w:t>
      </w:r>
      <w:r w:rsidR="002D5A32" w:rsidRPr="002D5A32">
        <w:t xml:space="preserve"> 24, 25 y 28, y recomendaciones N</w:t>
      </w:r>
      <w:r w:rsidR="002D5A32" w:rsidRPr="002D5A32">
        <w:rPr>
          <w:vertAlign w:val="superscript"/>
        </w:rPr>
        <w:t>o</w:t>
      </w:r>
      <w:r w:rsidR="002D5A32" w:rsidRPr="002D5A32">
        <w:t xml:space="preserve"> 26, 27 y 29</w:t>
      </w:r>
    </w:p>
    <w:p w:rsidR="00034C8D" w:rsidRPr="00034C8D" w:rsidRDefault="00034C8D" w:rsidP="00034C8D">
      <w:pPr>
        <w:pStyle w:val="SingleTxt"/>
        <w:suppressAutoHyphens/>
        <w:spacing w:after="0" w:line="120" w:lineRule="exact"/>
        <w:rPr>
          <w:sz w:val="10"/>
        </w:rPr>
      </w:pPr>
    </w:p>
    <w:p w:rsidR="002D5A32" w:rsidRPr="002D5A32" w:rsidRDefault="00034C8D" w:rsidP="002D5A32">
      <w:pPr>
        <w:pStyle w:val="SingleTxt"/>
        <w:suppressAutoHyphens/>
      </w:pPr>
      <w:r>
        <w:t>50.</w:t>
      </w:r>
      <w:r>
        <w:tab/>
      </w:r>
      <w:r w:rsidR="002D5A32" w:rsidRPr="002D5A32">
        <w:t>Las inquietudes N</w:t>
      </w:r>
      <w:r w:rsidR="002D5A32" w:rsidRPr="002D5A32">
        <w:rPr>
          <w:vertAlign w:val="superscript"/>
        </w:rPr>
        <w:t>o</w:t>
      </w:r>
      <w:r w:rsidR="002D5A32" w:rsidRPr="002D5A32">
        <w:t xml:space="preserve"> 24, 25 y 28 tratan de la falta de una legislación específica sobre la violencia cometida contra mujeres a fin de eliminarlas, especialmente en la familia. El Comité deplora la insuficiencia de las estadísticas relativas a la situación de las mujeres en todas las cuestiones abarcadas por la Convención, por ejemplo, los detalles de los efectos de las medidas adoptadas y los resultados obtenidos. Por otra parte, el Comité deplora que, aunque se han tomado medidas contra la trata de niños, no se hayan tomado medidas contra la trata de mujeres.</w:t>
      </w:r>
    </w:p>
    <w:p w:rsidR="002D5A32" w:rsidRPr="002D5A32" w:rsidRDefault="00034C8D" w:rsidP="002D5A32">
      <w:pPr>
        <w:pStyle w:val="SingleTxt"/>
        <w:suppressAutoHyphens/>
      </w:pPr>
      <w:r>
        <w:t>51.</w:t>
      </w:r>
      <w:r>
        <w:tab/>
      </w:r>
      <w:r w:rsidR="002D5A32" w:rsidRPr="002D5A32">
        <w:t>El Comité recomienda:</w:t>
      </w:r>
    </w:p>
    <w:p w:rsidR="002D5A32" w:rsidRPr="002D5A32" w:rsidRDefault="00034C8D" w:rsidP="00034C8D">
      <w:pPr>
        <w:pStyle w:val="SingleTxt"/>
        <w:tabs>
          <w:tab w:val="right" w:pos="1685"/>
        </w:tabs>
        <w:suppressAutoHyphens/>
        <w:ind w:left="1742" w:hanging="475"/>
      </w:pPr>
      <w:r>
        <w:tab/>
        <w:t>•</w:t>
      </w:r>
      <w:r>
        <w:tab/>
      </w:r>
      <w:r w:rsidR="002D5A32" w:rsidRPr="002D5A32">
        <w:t>El establecimiento de un sistema completo de reunión de datos;</w:t>
      </w:r>
    </w:p>
    <w:p w:rsidR="002D5A32" w:rsidRPr="002D5A32" w:rsidRDefault="00034C8D" w:rsidP="00034C8D">
      <w:pPr>
        <w:pStyle w:val="SingleTxt"/>
        <w:tabs>
          <w:tab w:val="right" w:pos="1685"/>
        </w:tabs>
        <w:suppressAutoHyphens/>
        <w:ind w:left="1742" w:hanging="475"/>
      </w:pPr>
      <w:r>
        <w:tab/>
        <w:t>•</w:t>
      </w:r>
      <w:r>
        <w:tab/>
      </w:r>
      <w:r w:rsidR="002D5A32" w:rsidRPr="002D5A32">
        <w:t>La definición de indicadores medibles para evaluar la evolución de la situación de las mujeres y los progresos logrados en el plano de la igualdad d</w:t>
      </w:r>
      <w:r>
        <w:t>e hecho entre hombres y mujeres;</w:t>
      </w:r>
    </w:p>
    <w:p w:rsidR="002D5A32" w:rsidRPr="002D5A32" w:rsidRDefault="00034C8D" w:rsidP="00034C8D">
      <w:pPr>
        <w:pStyle w:val="SingleTxt"/>
        <w:tabs>
          <w:tab w:val="right" w:pos="1685"/>
        </w:tabs>
        <w:suppressAutoHyphens/>
        <w:ind w:left="1742" w:hanging="475"/>
      </w:pPr>
      <w:r>
        <w:tab/>
        <w:t>•</w:t>
      </w:r>
      <w:r>
        <w:tab/>
      </w:r>
      <w:r w:rsidR="002D5A32" w:rsidRPr="002D5A32">
        <w:t>La inclusión en el informe de datos estadísticos y de un estudio de esos datos, desglosados por sexo y por zona urbana o rural, e indicando los efectos de las medidas adoptadas y los resultados obtenidos;</w:t>
      </w:r>
    </w:p>
    <w:p w:rsidR="002D5A32" w:rsidRPr="002D5A32" w:rsidRDefault="00034C8D" w:rsidP="00034C8D">
      <w:pPr>
        <w:pStyle w:val="SingleTxt"/>
        <w:tabs>
          <w:tab w:val="right" w:pos="1685"/>
        </w:tabs>
        <w:suppressAutoHyphens/>
        <w:ind w:left="1742" w:hanging="475"/>
      </w:pPr>
      <w:r>
        <w:tab/>
        <w:t>•</w:t>
      </w:r>
      <w:r>
        <w:tab/>
      </w:r>
      <w:r w:rsidR="002D5A32" w:rsidRPr="002D5A32">
        <w:t>La adopción, con carácter prioritario, de todas las medidas para combatir la violencia contra las mujeres y las niñas;</w:t>
      </w:r>
    </w:p>
    <w:p w:rsidR="002D5A32" w:rsidRPr="002D5A32" w:rsidRDefault="00034C8D" w:rsidP="00034C8D">
      <w:pPr>
        <w:pStyle w:val="SingleTxt"/>
        <w:tabs>
          <w:tab w:val="right" w:pos="1685"/>
        </w:tabs>
        <w:suppressAutoHyphens/>
        <w:ind w:left="1742" w:hanging="475"/>
      </w:pPr>
      <w:r>
        <w:tab/>
        <w:t>•</w:t>
      </w:r>
      <w:r>
        <w:tab/>
      </w:r>
      <w:r w:rsidR="002D5A32" w:rsidRPr="002D5A32">
        <w:t>El reconocimiento de la violencia como una violación de los derechos fundamentales reconocidos a las mujeres en la Convención;</w:t>
      </w:r>
    </w:p>
    <w:p w:rsidR="002D5A32" w:rsidRPr="002D5A32" w:rsidRDefault="00034C8D" w:rsidP="00034C8D">
      <w:pPr>
        <w:pStyle w:val="SingleTxt"/>
        <w:tabs>
          <w:tab w:val="right" w:pos="1685"/>
        </w:tabs>
        <w:suppressAutoHyphens/>
        <w:ind w:left="1742" w:hanging="475"/>
      </w:pPr>
      <w:r>
        <w:tab/>
        <w:t>•</w:t>
      </w:r>
      <w:r>
        <w:tab/>
      </w:r>
      <w:r w:rsidR="002D5A32" w:rsidRPr="002D5A32">
        <w:t>La promulgación de leyes penales sobre la violencia cometida contra la mujer (incluida la que se produce en la familia) y el acceso inmediato a una protección de las víctimas, y el enjuiciamiento y la sanción de los autores de esa violencia;</w:t>
      </w:r>
    </w:p>
    <w:p w:rsidR="002D5A32" w:rsidRPr="002D5A32" w:rsidRDefault="00034C8D" w:rsidP="00034C8D">
      <w:pPr>
        <w:pStyle w:val="SingleTxt"/>
        <w:tabs>
          <w:tab w:val="right" w:pos="1685"/>
        </w:tabs>
        <w:suppressAutoHyphens/>
        <w:ind w:left="1742" w:hanging="475"/>
      </w:pPr>
      <w:r>
        <w:tab/>
        <w:t>•</w:t>
      </w:r>
      <w:r>
        <w:tab/>
      </w:r>
      <w:r w:rsidR="002D5A32" w:rsidRPr="002D5A32">
        <w:t>La concienciación de los funcionarios encargados de aplicar las leyes, los proveedores de servicios de salud, los trabajadores sociales, los responsables de las comunidades y la población en general acerca del carácter inaceptable de la violencia;</w:t>
      </w:r>
    </w:p>
    <w:p w:rsidR="002D5A32" w:rsidRPr="002D5A32" w:rsidRDefault="00034C8D" w:rsidP="00034C8D">
      <w:pPr>
        <w:pStyle w:val="SingleTxt"/>
        <w:tabs>
          <w:tab w:val="right" w:pos="1685"/>
        </w:tabs>
        <w:suppressAutoHyphens/>
        <w:ind w:left="1742" w:hanging="475"/>
      </w:pPr>
      <w:r>
        <w:tab/>
        <w:t>•</w:t>
      </w:r>
      <w:r>
        <w:tab/>
      </w:r>
      <w:r w:rsidR="002D5A32" w:rsidRPr="002D5A32">
        <w:t>El otorgamiento de asistencia médica, psicológica y jurídica.</w:t>
      </w:r>
    </w:p>
    <w:p w:rsidR="002D5A32" w:rsidRPr="002D5A32" w:rsidRDefault="002D5A32" w:rsidP="002D5A32">
      <w:pPr>
        <w:pStyle w:val="SingleTxt"/>
        <w:suppressAutoHyphens/>
      </w:pPr>
      <w:r>
        <w:t>52.</w:t>
      </w:r>
      <w:r>
        <w:tab/>
      </w:r>
      <w:r w:rsidRPr="002D5A32">
        <w:t>El Comité propone además al Estado, que solicite asistencia internacional para la</w:t>
      </w:r>
      <w:r>
        <w:t xml:space="preserve"> reunión de datos y su análisis.</w:t>
      </w:r>
    </w:p>
    <w:p w:rsidR="002D5A32" w:rsidRPr="002D5A32" w:rsidRDefault="002D5A32" w:rsidP="002D5A32">
      <w:pPr>
        <w:pStyle w:val="SingleTxt"/>
        <w:suppressAutoHyphens/>
        <w:spacing w:after="0" w:line="120" w:lineRule="exact"/>
        <w:rPr>
          <w:sz w:val="10"/>
        </w:rPr>
      </w:pPr>
    </w:p>
    <w:p w:rsidR="002D5A32" w:rsidRPr="002D5A32" w:rsidRDefault="002D5A32" w:rsidP="002D5A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D5A32">
        <w:t>Medidas adoptadas</w:t>
      </w:r>
    </w:p>
    <w:p w:rsidR="002D5A32" w:rsidRPr="002D5A32" w:rsidRDefault="002D5A32" w:rsidP="002D5A32">
      <w:pPr>
        <w:pStyle w:val="SingleTxt"/>
        <w:suppressAutoHyphens/>
        <w:spacing w:after="0" w:line="120" w:lineRule="exact"/>
        <w:rPr>
          <w:sz w:val="10"/>
        </w:rPr>
      </w:pPr>
    </w:p>
    <w:p w:rsidR="000025EA" w:rsidRDefault="002D5A32" w:rsidP="002D5A32">
      <w:pPr>
        <w:pStyle w:val="SingleTxt"/>
        <w:suppressAutoHyphens/>
      </w:pPr>
      <w:r>
        <w:t>53.</w:t>
      </w:r>
      <w:r>
        <w:tab/>
      </w:r>
      <w:r w:rsidRPr="002D5A32">
        <w:t>Respecto de la legislación en materia de violencia contra la mujer. Si bien todavía no se ha promulgado ninguna legislación específica en materia de violencia contra la mujer, en cuanto el Código Penal no distingue de manera general la violencia utilizando el término “quienquiera”, se observan no obstante algunos detalles que agravan las penas cuando la violencia se ejerce contra niñas y cuando las cometen, en el seno de la familia, los ascendientes un otras personas que tienen autoridad sobre los niños. Se trata del artículo 235 del Código Penal, que aplica una pena de prisión de uno a cinco años y de una multa de 24.000 a 240.000 francos a los autores de violencia contra los niños de menos de 15 años; y si ha habido premeditación o celada, la pena será de 3 a 10 años.</w:t>
      </w:r>
    </w:p>
    <w:p w:rsidR="00E55EE2" w:rsidRPr="00E55EE2" w:rsidRDefault="00E55EE2" w:rsidP="00E55EE2">
      <w:pPr>
        <w:pStyle w:val="SingleTxt"/>
      </w:pPr>
      <w:r>
        <w:t>54.</w:t>
      </w:r>
      <w:r>
        <w:tab/>
      </w:r>
      <w:r w:rsidRPr="00E55EE2">
        <w:t>Si esa violencia entraña una discapacidad permanente o la muerte sin intención de causarla, el culpable es castigado con una pena de prisión. Si los culpables son el padre o la madre legítimos, adoptivos o naturales o cualquier otro ascendiente legítimo, o toda otra persona que tenga autoridad sobre el niño o que tenga su guarda, las penas se aumentarán según los casos:</w:t>
      </w:r>
    </w:p>
    <w:p w:rsidR="00E55EE2" w:rsidRPr="00E55EE2" w:rsidRDefault="00E55EE2" w:rsidP="00E55EE2">
      <w:pPr>
        <w:pStyle w:val="SingleTxt"/>
        <w:tabs>
          <w:tab w:val="right" w:pos="1685"/>
        </w:tabs>
        <w:suppressAutoHyphens/>
        <w:ind w:left="1742" w:hanging="475"/>
      </w:pPr>
      <w:r>
        <w:tab/>
        <w:t>•</w:t>
      </w:r>
      <w:r>
        <w:tab/>
      </w:r>
      <w:r w:rsidRPr="00E55EE2">
        <w:t>Dos a 10 años de encarcelación, prisión, prisión perpetua o la pena de muerte si la violencia se ejerce contra un menor de 10 años, si ha habido premeditación o celada, si la violencia ha sido seguida de mutilación, amputación o privación de un miembro, de ceguera u otra discapacidad permanente, o si ha producido la muerte sin intención, o si se ha determinado que era la práctica habitual aún sin intención de provocar la muerte;</w:t>
      </w:r>
    </w:p>
    <w:p w:rsidR="00E55EE2" w:rsidRPr="00E55EE2" w:rsidRDefault="00E55EE2" w:rsidP="00E55EE2">
      <w:pPr>
        <w:pStyle w:val="SingleTxt"/>
        <w:tabs>
          <w:tab w:val="right" w:pos="1685"/>
        </w:tabs>
        <w:suppressAutoHyphens/>
        <w:ind w:left="1742" w:hanging="475"/>
      </w:pPr>
      <w:r>
        <w:tab/>
        <w:t>•</w:t>
      </w:r>
      <w:r>
        <w:tab/>
      </w:r>
      <w:r w:rsidRPr="00E55EE2">
        <w:t>Esas agravaciones persisten en los artículos 236 y 239 y van acompañadas de penas complementarias de prohibición del ejercicio de los derechos cívicos;</w:t>
      </w:r>
    </w:p>
    <w:p w:rsidR="00E55EE2" w:rsidRPr="00E55EE2" w:rsidRDefault="00E55EE2" w:rsidP="00E55EE2">
      <w:pPr>
        <w:pStyle w:val="SingleTxt"/>
        <w:tabs>
          <w:tab w:val="right" w:pos="1685"/>
        </w:tabs>
        <w:suppressAutoHyphens/>
        <w:ind w:left="1742" w:hanging="475"/>
      </w:pPr>
      <w:r>
        <w:tab/>
        <w:t>•</w:t>
      </w:r>
      <w:r>
        <w:tab/>
      </w:r>
      <w:r w:rsidRPr="00E55EE2">
        <w:t>Hay también un capítulo sobre las amenazas, el aborto, los arrestos y los secuestros arbitrarios que producen violencia.</w:t>
      </w:r>
    </w:p>
    <w:p w:rsidR="00E55EE2" w:rsidRPr="00E55EE2" w:rsidRDefault="00E55EE2" w:rsidP="00E55EE2">
      <w:pPr>
        <w:pStyle w:val="SingleTxt"/>
        <w:suppressAutoHyphens/>
      </w:pPr>
      <w:r>
        <w:t>55.</w:t>
      </w:r>
      <w:r>
        <w:tab/>
      </w:r>
      <w:r w:rsidRPr="00E55EE2">
        <w:t>Cuando se trata específicamente del aborto provocado, la protección de la mujer embarazada determina una pena de prisión de uno a cinco años y de una multa de 24.000 a 500.000 francos CFA, si se obliga a la mujer a realizarlo, con o sin su consentimiento.</w:t>
      </w:r>
    </w:p>
    <w:p w:rsidR="00E55EE2" w:rsidRPr="00E55EE2" w:rsidRDefault="00E55EE2" w:rsidP="00E55EE2">
      <w:pPr>
        <w:pStyle w:val="SingleTxt"/>
        <w:suppressAutoHyphens/>
      </w:pPr>
      <w:r>
        <w:t>56.</w:t>
      </w:r>
      <w:r>
        <w:tab/>
      </w:r>
      <w:r w:rsidRPr="00E55EE2">
        <w:t>Cabe señalar que el abandono voluntario de una mujer embarazada por su esposo sin motivo grave es punible con una pena de prisión de un mes a dos años y una multa de 24.000 a 500.000 francos o alguna de esas dos sanciones.</w:t>
      </w:r>
    </w:p>
    <w:p w:rsidR="00E55EE2" w:rsidRPr="00E55EE2" w:rsidRDefault="00E55EE2" w:rsidP="00E55EE2">
      <w:pPr>
        <w:pStyle w:val="SingleTxt"/>
        <w:suppressAutoHyphens/>
      </w:pPr>
      <w:r>
        <w:t>57.</w:t>
      </w:r>
      <w:r>
        <w:tab/>
      </w:r>
      <w:r w:rsidRPr="00E55EE2">
        <w:t>En lo que se refiere a los atentados contra las costumbres que implican violencia, la violación está castigada y constituye un delito punible con pena de prisión si se comete contra una niña menor de 15 años o contra una mujer embarazada que tenga una deficiencia mental.</w:t>
      </w:r>
    </w:p>
    <w:p w:rsidR="00E55EE2" w:rsidRPr="00E55EE2" w:rsidRDefault="00E55EE2" w:rsidP="00E55EE2">
      <w:pPr>
        <w:pStyle w:val="SingleTxt"/>
        <w:suppressAutoHyphens/>
      </w:pPr>
      <w:r>
        <w:t>58.</w:t>
      </w:r>
      <w:r>
        <w:tab/>
      </w:r>
      <w:r w:rsidRPr="00E55EE2">
        <w:t>Hay también atentados al pudor con o sin violencia que se ven agravados si se realizan contra menores o cuando los culpables son los ascendientes de la persona sobre la que se comete el atentado, o si tienen autoridad sobre ellas.</w:t>
      </w:r>
    </w:p>
    <w:p w:rsidR="00E55EE2" w:rsidRPr="00E55EE2" w:rsidRDefault="00E55EE2" w:rsidP="00E55EE2">
      <w:pPr>
        <w:pStyle w:val="SingleTxt"/>
        <w:suppressAutoHyphens/>
      </w:pPr>
      <w:r>
        <w:t>59.</w:t>
      </w:r>
      <w:r>
        <w:tab/>
      </w:r>
      <w:r w:rsidRPr="00E55EE2">
        <w:t>En las propuestas de revisión de ciertos artículos del Código Penal, se ha propuesto que la violencia contra la mujer sea objeto de una legislación especial.</w:t>
      </w:r>
    </w:p>
    <w:p w:rsidR="00E55EE2" w:rsidRPr="00E55EE2" w:rsidRDefault="00E55EE2" w:rsidP="00E55EE2">
      <w:pPr>
        <w:pStyle w:val="SingleTxt"/>
        <w:suppressAutoHyphens/>
      </w:pPr>
      <w:r>
        <w:t>60.</w:t>
      </w:r>
      <w:r>
        <w:tab/>
      </w:r>
      <w:r w:rsidRPr="00E55EE2">
        <w:t>El proyecto de ley relativo a la prevención y la lucha contra las mutilaciones sexuales ha sido remitido por el Gobierno al Consejo de Estado, que lo ha examinado. Fue considerado en la Asamblea Nacional y en el Senado antes de ser aprobado por las dos cámaras en última lectura.</w:t>
      </w:r>
    </w:p>
    <w:p w:rsidR="00E55EE2" w:rsidRPr="00E55EE2" w:rsidRDefault="00E55EE2" w:rsidP="00E55EE2">
      <w:pPr>
        <w:pStyle w:val="SingleTxt"/>
        <w:suppressAutoHyphens/>
      </w:pPr>
      <w:r>
        <w:t>61.</w:t>
      </w:r>
      <w:r>
        <w:tab/>
      </w:r>
      <w:r w:rsidRPr="00E55EE2">
        <w:t>Los indicadores relativos a la cuestión de la violencia contra las mujeres se establecieron por primera vez de manera concertada y estuvieron a cargo de un Comité interministerial con ocasión de la conmemoración de la Jornada internacional de lucha contra la violencia contra la mujer (reunión de 2004).</w:t>
      </w:r>
    </w:p>
    <w:p w:rsidR="00E55EE2" w:rsidRPr="00E55EE2" w:rsidRDefault="00E55EE2" w:rsidP="00E55EE2">
      <w:pPr>
        <w:pStyle w:val="SingleTxt"/>
        <w:suppressAutoHyphens/>
      </w:pPr>
      <w:r>
        <w:t>62.</w:t>
      </w:r>
      <w:r>
        <w:tab/>
      </w:r>
      <w:r w:rsidRPr="00E55EE2">
        <w:t>El cuadro que sigue a continuación es confirmatorio a este respecto, aunque se refiere sólo a Libreville, capital de Gabón.</w:t>
      </w:r>
    </w:p>
    <w:p w:rsidR="00E55EE2" w:rsidRPr="00E55EE2" w:rsidRDefault="00E55EE2" w:rsidP="00E55EE2">
      <w:pPr>
        <w:pStyle w:val="SingleTxt"/>
        <w:suppressAutoHyphens/>
      </w:pPr>
      <w:r>
        <w:t>63.</w:t>
      </w:r>
      <w:r>
        <w:tab/>
      </w:r>
      <w:r w:rsidRPr="00E55EE2">
        <w:t>En cuanto al otorgamiento de asistencia médica, psicológica y jurídica, las víctimas de violencia quedan a cargo de las estructuras de salud pública y el acceso a la justicia a través de la Fiscalía de la República es gratuito. La asistencia psicológica está a cargo de asociaciones que combaten la violencia contra la mujer.</w:t>
      </w:r>
    </w:p>
    <w:p w:rsidR="00E55EE2" w:rsidRPr="00E55EE2" w:rsidRDefault="00E55EE2" w:rsidP="00E55EE2">
      <w:pPr>
        <w:pStyle w:val="SingleTxt"/>
        <w:suppressAutoHyphens/>
      </w:pPr>
      <w:r>
        <w:t>64.</w:t>
      </w:r>
      <w:r>
        <w:tab/>
      </w:r>
      <w:r w:rsidRPr="00E55EE2">
        <w:t>Si se trata de tráfico de niños y mujeres, el decreto N</w:t>
      </w:r>
      <w:r w:rsidR="00380A11">
        <w:t>°</w:t>
      </w:r>
      <w:r w:rsidRPr="00E55EE2">
        <w:t xml:space="preserve"> 04/2001 del 14 de agosto de 2001 fue rechazado por el parlamento, pero fue remplazado por la ley N</w:t>
      </w:r>
      <w:r w:rsidR="00380A11">
        <w:t>°</w:t>
      </w:r>
      <w:r w:rsidRPr="00E55EE2">
        <w:t xml:space="preserve"> 09/2004 de 21 de septiembre de 2004 que reprime la trata de menores. Los artículos 20 y siguientes de dicha ley disponen que “quienquiera que haya organizado o facilitado la trata de niños o que haya participado, especialmente mediante transporte, introducción en el territorio nacional, acogida, albergue, venta, empleo ilícito o que haya obtenido una ventaja de cualquier tipo será punible con pena de prisión y una multa de 10 a 20 millones de francos. Los cómplices y los instigadores recibirán las mismas penas”.</w:t>
      </w:r>
    </w:p>
    <w:p w:rsidR="00E55EE2" w:rsidRPr="00E55EE2" w:rsidRDefault="00E55EE2" w:rsidP="00E55EE2">
      <w:pPr>
        <w:pStyle w:val="SingleTxt"/>
        <w:suppressAutoHyphens/>
        <w:spacing w:after="0" w:line="120" w:lineRule="exact"/>
        <w:rPr>
          <w:sz w:val="10"/>
        </w:rPr>
      </w:pPr>
    </w:p>
    <w:p w:rsidR="000025EA" w:rsidRPr="00B950AE" w:rsidRDefault="00E55EE2" w:rsidP="00E55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B950AE">
        <w:rPr>
          <w:b w:val="0"/>
        </w:rPr>
        <w:t>Cuadro 1</w:t>
      </w:r>
    </w:p>
    <w:p w:rsidR="00405E57" w:rsidRPr="00405E57" w:rsidRDefault="00405E57" w:rsidP="00405E57">
      <w:pPr>
        <w:pStyle w:val="SingleTxt"/>
        <w:suppressAutoHyphens/>
        <w:spacing w:after="0" w:line="120" w:lineRule="exact"/>
        <w:rPr>
          <w:sz w:val="10"/>
        </w:rPr>
      </w:pPr>
    </w:p>
    <w:p w:rsidR="00405E57" w:rsidRPr="00405E57" w:rsidRDefault="00405E57" w:rsidP="00405E5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3578"/>
        <w:gridCol w:w="1302"/>
        <w:gridCol w:w="2440"/>
      </w:tblGrid>
      <w:tr w:rsidR="00B950AE" w:rsidRPr="00E8605E" w:rsidTr="00E8605E">
        <w:tblPrEx>
          <w:tblCellMar>
            <w:top w:w="0" w:type="dxa"/>
            <w:bottom w:w="0" w:type="dxa"/>
          </w:tblCellMar>
        </w:tblPrEx>
        <w:trPr>
          <w:tblHeader/>
        </w:trPr>
        <w:tc>
          <w:tcPr>
            <w:tcW w:w="3578" w:type="dxa"/>
            <w:tcBorders>
              <w:top w:val="single" w:sz="4" w:space="0" w:color="auto"/>
              <w:bottom w:val="single" w:sz="12" w:space="0" w:color="auto"/>
            </w:tcBorders>
            <w:shd w:val="clear" w:color="auto" w:fill="auto"/>
            <w:vAlign w:val="bottom"/>
          </w:tcPr>
          <w:p w:rsidR="00B950AE" w:rsidRPr="00E8605E" w:rsidRDefault="00B950AE" w:rsidP="00E8605E">
            <w:pPr>
              <w:tabs>
                <w:tab w:val="left" w:pos="288"/>
                <w:tab w:val="left" w:pos="576"/>
                <w:tab w:val="left" w:pos="864"/>
                <w:tab w:val="left" w:pos="1152"/>
              </w:tabs>
              <w:spacing w:before="80" w:after="80" w:line="160" w:lineRule="exact"/>
              <w:ind w:right="40"/>
              <w:rPr>
                <w:i/>
                <w:kern w:val="0"/>
                <w:sz w:val="14"/>
              </w:rPr>
            </w:pPr>
            <w:r w:rsidRPr="00E8605E">
              <w:rPr>
                <w:i/>
                <w:kern w:val="0"/>
                <w:sz w:val="14"/>
              </w:rPr>
              <w:t>Tipos de violencia</w:t>
            </w:r>
          </w:p>
        </w:tc>
        <w:tc>
          <w:tcPr>
            <w:tcW w:w="1302" w:type="dxa"/>
            <w:tcBorders>
              <w:top w:val="single" w:sz="4" w:space="0" w:color="auto"/>
              <w:bottom w:val="single" w:sz="12" w:space="0" w:color="auto"/>
            </w:tcBorders>
            <w:shd w:val="clear" w:color="auto" w:fill="auto"/>
            <w:vAlign w:val="bottom"/>
          </w:tcPr>
          <w:p w:rsidR="00B950AE" w:rsidRPr="00E8605E" w:rsidRDefault="00B950AE" w:rsidP="00E8605E">
            <w:pPr>
              <w:tabs>
                <w:tab w:val="left" w:pos="288"/>
                <w:tab w:val="left" w:pos="576"/>
                <w:tab w:val="left" w:pos="864"/>
                <w:tab w:val="left" w:pos="1152"/>
              </w:tabs>
              <w:spacing w:before="80" w:after="80" w:line="160" w:lineRule="exact"/>
              <w:ind w:right="40"/>
              <w:jc w:val="right"/>
              <w:rPr>
                <w:i/>
                <w:kern w:val="0"/>
                <w:sz w:val="14"/>
              </w:rPr>
            </w:pPr>
            <w:r w:rsidRPr="00E8605E">
              <w:rPr>
                <w:i/>
                <w:kern w:val="0"/>
                <w:sz w:val="14"/>
              </w:rPr>
              <w:t>Casos registrados</w:t>
            </w:r>
          </w:p>
        </w:tc>
        <w:tc>
          <w:tcPr>
            <w:tcW w:w="2440" w:type="dxa"/>
            <w:tcBorders>
              <w:top w:val="single" w:sz="4" w:space="0" w:color="auto"/>
              <w:bottom w:val="single" w:sz="12" w:space="0" w:color="auto"/>
            </w:tcBorders>
            <w:shd w:val="clear" w:color="auto" w:fill="auto"/>
            <w:vAlign w:val="bottom"/>
          </w:tcPr>
          <w:p w:rsidR="00B950AE" w:rsidRPr="00E8605E" w:rsidRDefault="00B950AE" w:rsidP="00E8605E">
            <w:pPr>
              <w:tabs>
                <w:tab w:val="left" w:pos="288"/>
                <w:tab w:val="left" w:pos="576"/>
                <w:tab w:val="left" w:pos="864"/>
                <w:tab w:val="left" w:pos="1152"/>
              </w:tabs>
              <w:spacing w:before="80" w:after="80" w:line="160" w:lineRule="exact"/>
              <w:ind w:right="40"/>
              <w:jc w:val="right"/>
              <w:rPr>
                <w:i/>
                <w:kern w:val="0"/>
                <w:sz w:val="14"/>
              </w:rPr>
            </w:pPr>
            <w:r w:rsidRPr="00E8605E">
              <w:rPr>
                <w:i/>
                <w:kern w:val="0"/>
                <w:sz w:val="14"/>
              </w:rPr>
              <w:t>Porcentaje</w:t>
            </w:r>
          </w:p>
        </w:tc>
      </w:tr>
      <w:tr w:rsidR="00E8605E" w:rsidRPr="00E8605E" w:rsidTr="00E8605E">
        <w:tblPrEx>
          <w:tblCellMar>
            <w:top w:w="0" w:type="dxa"/>
            <w:bottom w:w="0" w:type="dxa"/>
          </w:tblCellMar>
        </w:tblPrEx>
        <w:trPr>
          <w:trHeight w:hRule="exact" w:val="115"/>
          <w:tblHeader/>
        </w:trPr>
        <w:tc>
          <w:tcPr>
            <w:tcW w:w="3578" w:type="dxa"/>
            <w:tcBorders>
              <w:top w:val="single" w:sz="12"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p>
        </w:tc>
        <w:tc>
          <w:tcPr>
            <w:tcW w:w="1302" w:type="dxa"/>
            <w:tcBorders>
              <w:top w:val="single" w:sz="12"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jc w:val="right"/>
              <w:rPr>
                <w:kern w:val="0"/>
                <w:sz w:val="17"/>
              </w:rPr>
            </w:pPr>
          </w:p>
        </w:tc>
      </w:tr>
      <w:tr w:rsidR="00B950AE" w:rsidRPr="00E8605E" w:rsidTr="00E8605E">
        <w:tblPrEx>
          <w:tblCellMar>
            <w:top w:w="0" w:type="dxa"/>
            <w:bottom w:w="0" w:type="dxa"/>
          </w:tblCellMar>
        </w:tblPrEx>
        <w:tc>
          <w:tcPr>
            <w:tcW w:w="3578" w:type="dxa"/>
            <w:shd w:val="clear" w:color="auto" w:fill="auto"/>
            <w:vAlign w:val="bottom"/>
          </w:tcPr>
          <w:p w:rsidR="00B950AE" w:rsidRPr="00E8605E" w:rsidRDefault="00B950A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Psicológica</w:t>
            </w:r>
          </w:p>
        </w:tc>
        <w:tc>
          <w:tcPr>
            <w:tcW w:w="1302" w:type="dxa"/>
            <w:shd w:val="clear" w:color="auto" w:fill="auto"/>
            <w:vAlign w:val="bottom"/>
          </w:tcPr>
          <w:p w:rsidR="00B950AE" w:rsidRPr="00E8605E" w:rsidRDefault="00B950AE" w:rsidP="00E8605E">
            <w:pPr>
              <w:tabs>
                <w:tab w:val="left" w:pos="288"/>
                <w:tab w:val="left" w:pos="576"/>
                <w:tab w:val="left" w:pos="864"/>
                <w:tab w:val="left" w:pos="1152"/>
              </w:tabs>
              <w:spacing w:before="40" w:after="40" w:line="210" w:lineRule="exact"/>
              <w:ind w:right="40"/>
              <w:jc w:val="right"/>
              <w:rPr>
                <w:kern w:val="0"/>
                <w:sz w:val="17"/>
              </w:rPr>
            </w:pPr>
          </w:p>
        </w:tc>
        <w:tc>
          <w:tcPr>
            <w:tcW w:w="2440" w:type="dxa"/>
            <w:shd w:val="clear" w:color="auto" w:fill="auto"/>
            <w:vAlign w:val="bottom"/>
          </w:tcPr>
          <w:p w:rsidR="00B950AE" w:rsidRPr="00E8605E" w:rsidRDefault="00B950AE" w:rsidP="00E8605E">
            <w:pPr>
              <w:tabs>
                <w:tab w:val="left" w:pos="288"/>
                <w:tab w:val="left" w:pos="576"/>
                <w:tab w:val="left" w:pos="864"/>
                <w:tab w:val="left" w:pos="1152"/>
              </w:tabs>
              <w:spacing w:before="40" w:after="40" w:line="210" w:lineRule="exact"/>
              <w:ind w:right="40"/>
              <w:jc w:val="right"/>
              <w:rPr>
                <w:kern w:val="0"/>
                <w:sz w:val="17"/>
              </w:rPr>
            </w:pP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Amenazas verbales</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640</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35,75</w:t>
            </w: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Insultos</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320</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17,88</w:t>
            </w: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Humillación/delación, falsas acusaciones</w:t>
            </w:r>
          </w:p>
        </w:tc>
        <w:tc>
          <w:tcPr>
            <w:tcW w:w="1302" w:type="dxa"/>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40" w:line="210" w:lineRule="exact"/>
              <w:ind w:left="113" w:right="40"/>
              <w:jc w:val="right"/>
              <w:rPr>
                <w:kern w:val="0"/>
                <w:sz w:val="17"/>
                <w:szCs w:val="24"/>
                <w:lang w:val="fr-FR"/>
              </w:rPr>
            </w:pPr>
            <w:r w:rsidRPr="00E8605E">
              <w:rPr>
                <w:kern w:val="0"/>
                <w:sz w:val="17"/>
                <w:szCs w:val="24"/>
                <w:lang w:val="fr-FR"/>
              </w:rPr>
              <w:t>250</w:t>
            </w:r>
          </w:p>
        </w:tc>
        <w:tc>
          <w:tcPr>
            <w:tcW w:w="2440" w:type="dxa"/>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40" w:line="210" w:lineRule="exact"/>
              <w:ind w:left="113" w:right="40"/>
              <w:jc w:val="right"/>
              <w:rPr>
                <w:kern w:val="0"/>
                <w:sz w:val="17"/>
                <w:szCs w:val="24"/>
                <w:lang w:val="fr-FR"/>
              </w:rPr>
            </w:pPr>
            <w:r w:rsidRPr="00E8605E">
              <w:rPr>
                <w:kern w:val="0"/>
                <w:sz w:val="17"/>
                <w:szCs w:val="24"/>
                <w:lang w:val="fr-FR"/>
              </w:rPr>
              <w:t>13,97</w:t>
            </w: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Repudio</w:t>
            </w:r>
          </w:p>
        </w:tc>
        <w:tc>
          <w:tcPr>
            <w:tcW w:w="1302" w:type="dxa"/>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40" w:line="210" w:lineRule="exact"/>
              <w:ind w:left="113" w:right="40"/>
              <w:jc w:val="right"/>
              <w:rPr>
                <w:kern w:val="0"/>
                <w:sz w:val="17"/>
                <w:szCs w:val="24"/>
                <w:lang w:val="fr-FR"/>
              </w:rPr>
            </w:pPr>
            <w:r w:rsidRPr="00E8605E">
              <w:rPr>
                <w:kern w:val="0"/>
                <w:sz w:val="17"/>
                <w:szCs w:val="24"/>
                <w:lang w:val="fr-FR"/>
              </w:rPr>
              <w:t>270</w:t>
            </w:r>
          </w:p>
        </w:tc>
        <w:tc>
          <w:tcPr>
            <w:tcW w:w="2440" w:type="dxa"/>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40" w:line="210" w:lineRule="exact"/>
              <w:ind w:left="113" w:right="40"/>
              <w:jc w:val="right"/>
              <w:rPr>
                <w:kern w:val="0"/>
                <w:sz w:val="17"/>
                <w:szCs w:val="24"/>
                <w:lang w:val="fr-FR"/>
              </w:rPr>
            </w:pPr>
            <w:r w:rsidRPr="00E8605E">
              <w:rPr>
                <w:kern w:val="0"/>
                <w:sz w:val="17"/>
                <w:szCs w:val="24"/>
                <w:lang w:val="fr-FR"/>
              </w:rPr>
              <w:t>15,08</w:t>
            </w:r>
          </w:p>
        </w:tc>
      </w:tr>
      <w:tr w:rsidR="00E8605E" w:rsidRPr="00E8605E" w:rsidTr="00E8605E">
        <w:tblPrEx>
          <w:tblCellMar>
            <w:top w:w="0" w:type="dxa"/>
            <w:bottom w:w="0" w:type="dxa"/>
          </w:tblCellMar>
        </w:tblPrEx>
        <w:tc>
          <w:tcPr>
            <w:tcW w:w="3578" w:type="dxa"/>
            <w:tcBorders>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81" w:line="210" w:lineRule="exact"/>
              <w:ind w:right="40"/>
              <w:rPr>
                <w:kern w:val="0"/>
                <w:sz w:val="17"/>
              </w:rPr>
            </w:pPr>
            <w:r w:rsidRPr="00E8605E">
              <w:rPr>
                <w:kern w:val="0"/>
                <w:sz w:val="17"/>
              </w:rPr>
              <w:tab/>
              <w:t>Saqueo</w:t>
            </w:r>
          </w:p>
        </w:tc>
        <w:tc>
          <w:tcPr>
            <w:tcW w:w="1302"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310</w:t>
            </w:r>
          </w:p>
        </w:tc>
        <w:tc>
          <w:tcPr>
            <w:tcW w:w="2440"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17,32</w:t>
            </w:r>
          </w:p>
        </w:tc>
      </w:tr>
      <w:tr w:rsidR="00E8605E" w:rsidRPr="00E8605E" w:rsidTr="00E8605E">
        <w:tblPrEx>
          <w:tblCellMar>
            <w:top w:w="0" w:type="dxa"/>
            <w:bottom w:w="0" w:type="dxa"/>
          </w:tblCellMar>
        </w:tblPrEx>
        <w:tc>
          <w:tcPr>
            <w:tcW w:w="3578" w:type="dxa"/>
            <w:tcBorders>
              <w:top w:val="single" w:sz="4" w:space="0" w:color="auto"/>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81" w:line="210" w:lineRule="exact"/>
              <w:ind w:right="40"/>
              <w:rPr>
                <w:b/>
                <w:kern w:val="0"/>
                <w:sz w:val="17"/>
              </w:rPr>
            </w:pPr>
            <w:r w:rsidRPr="00E8605E">
              <w:rPr>
                <w:b/>
                <w:kern w:val="0"/>
                <w:sz w:val="17"/>
              </w:rPr>
              <w:tab/>
              <w:t>Total</w:t>
            </w:r>
          </w:p>
        </w:tc>
        <w:tc>
          <w:tcPr>
            <w:tcW w:w="1302" w:type="dxa"/>
            <w:tcBorders>
              <w:top w:val="single" w:sz="4" w:space="0" w:color="auto"/>
              <w:bottom w:val="single" w:sz="4" w:space="0" w:color="auto"/>
            </w:tcBorders>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E8605E">
              <w:rPr>
                <w:b/>
                <w:spacing w:val="4"/>
                <w:w w:val="103"/>
                <w:sz w:val="17"/>
                <w:szCs w:val="24"/>
                <w:lang w:val="fr-FR"/>
              </w:rPr>
              <w:t>1 790</w:t>
            </w:r>
          </w:p>
        </w:tc>
        <w:tc>
          <w:tcPr>
            <w:tcW w:w="2440" w:type="dxa"/>
            <w:tcBorders>
              <w:top w:val="single" w:sz="4" w:space="0" w:color="auto"/>
              <w:bottom w:val="single" w:sz="4" w:space="0" w:color="auto"/>
            </w:tcBorders>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E8605E">
              <w:rPr>
                <w:b/>
                <w:spacing w:val="4"/>
                <w:w w:val="103"/>
                <w:sz w:val="17"/>
                <w:szCs w:val="24"/>
                <w:lang w:val="fr-FR"/>
              </w:rPr>
              <w:t>100</w:t>
            </w:r>
          </w:p>
        </w:tc>
      </w:tr>
      <w:tr w:rsidR="00E8605E" w:rsidRPr="00E8605E" w:rsidTr="00E8605E">
        <w:tblPrEx>
          <w:tblCellMar>
            <w:top w:w="0" w:type="dxa"/>
            <w:bottom w:w="0" w:type="dxa"/>
          </w:tblCellMar>
        </w:tblPrEx>
        <w:tc>
          <w:tcPr>
            <w:tcW w:w="3578"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rPr>
                <w:kern w:val="0"/>
                <w:sz w:val="17"/>
              </w:rPr>
            </w:pPr>
            <w:r w:rsidRPr="00E8605E">
              <w:rPr>
                <w:kern w:val="0"/>
                <w:sz w:val="17"/>
              </w:rPr>
              <w:t>Física</w:t>
            </w:r>
          </w:p>
        </w:tc>
        <w:tc>
          <w:tcPr>
            <w:tcW w:w="1302"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jc w:val="right"/>
              <w:rPr>
                <w:kern w:val="0"/>
                <w:sz w:val="17"/>
              </w:rPr>
            </w:pPr>
          </w:p>
        </w:tc>
        <w:tc>
          <w:tcPr>
            <w:tcW w:w="2440"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jc w:val="right"/>
              <w:rPr>
                <w:kern w:val="0"/>
                <w:sz w:val="17"/>
              </w:rPr>
            </w:pP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Golpes</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400</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49,38</w:t>
            </w: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Heridas</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320</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39,51</w:t>
            </w:r>
          </w:p>
        </w:tc>
      </w:tr>
      <w:tr w:rsidR="00E8605E" w:rsidRPr="00E8605E" w:rsidTr="00E8605E">
        <w:tblPrEx>
          <w:tblCellMar>
            <w:top w:w="0" w:type="dxa"/>
            <w:bottom w:w="0" w:type="dxa"/>
          </w:tblCellMar>
        </w:tblPrEx>
        <w:tc>
          <w:tcPr>
            <w:tcW w:w="3578" w:type="dxa"/>
            <w:tcBorders>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81" w:line="210" w:lineRule="exact"/>
              <w:ind w:right="40"/>
              <w:rPr>
                <w:kern w:val="0"/>
                <w:sz w:val="17"/>
              </w:rPr>
            </w:pPr>
            <w:r w:rsidRPr="00E8605E">
              <w:rPr>
                <w:kern w:val="0"/>
                <w:sz w:val="17"/>
              </w:rPr>
              <w:tab/>
              <w:t>Heridas que hayan provocado la muerte</w:t>
            </w:r>
          </w:p>
        </w:tc>
        <w:tc>
          <w:tcPr>
            <w:tcW w:w="1302"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90</w:t>
            </w:r>
          </w:p>
        </w:tc>
        <w:tc>
          <w:tcPr>
            <w:tcW w:w="2440"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11,11</w:t>
            </w:r>
          </w:p>
        </w:tc>
      </w:tr>
      <w:tr w:rsidR="00E8605E" w:rsidRPr="00E8605E" w:rsidTr="00E8605E">
        <w:tblPrEx>
          <w:tblCellMar>
            <w:top w:w="0" w:type="dxa"/>
            <w:bottom w:w="0" w:type="dxa"/>
          </w:tblCellMar>
        </w:tblPrEx>
        <w:tc>
          <w:tcPr>
            <w:tcW w:w="3578" w:type="dxa"/>
            <w:tcBorders>
              <w:top w:val="single" w:sz="4" w:space="0" w:color="auto"/>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81" w:line="210" w:lineRule="exact"/>
              <w:ind w:right="40"/>
              <w:rPr>
                <w:b/>
                <w:kern w:val="0"/>
                <w:sz w:val="17"/>
              </w:rPr>
            </w:pPr>
            <w:r w:rsidRPr="00E8605E">
              <w:rPr>
                <w:b/>
                <w:kern w:val="0"/>
                <w:sz w:val="17"/>
              </w:rPr>
              <w:tab/>
              <w:t>Total</w:t>
            </w:r>
          </w:p>
        </w:tc>
        <w:tc>
          <w:tcPr>
            <w:tcW w:w="1302" w:type="dxa"/>
            <w:tcBorders>
              <w:top w:val="single" w:sz="4" w:space="0" w:color="auto"/>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810</w:t>
            </w:r>
          </w:p>
        </w:tc>
        <w:tc>
          <w:tcPr>
            <w:tcW w:w="2440" w:type="dxa"/>
            <w:tcBorders>
              <w:top w:val="single" w:sz="4" w:space="0" w:color="auto"/>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100</w:t>
            </w:r>
          </w:p>
        </w:tc>
      </w:tr>
      <w:tr w:rsidR="00E8605E" w:rsidRPr="00E8605E" w:rsidTr="00E8605E">
        <w:tblPrEx>
          <w:tblCellMar>
            <w:top w:w="0" w:type="dxa"/>
            <w:bottom w:w="0" w:type="dxa"/>
          </w:tblCellMar>
        </w:tblPrEx>
        <w:tc>
          <w:tcPr>
            <w:tcW w:w="3578"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rPr>
                <w:kern w:val="0"/>
                <w:sz w:val="17"/>
              </w:rPr>
            </w:pPr>
            <w:r w:rsidRPr="00E8605E">
              <w:rPr>
                <w:kern w:val="0"/>
                <w:sz w:val="17"/>
              </w:rPr>
              <w:t>Sexuales</w:t>
            </w:r>
          </w:p>
        </w:tc>
        <w:tc>
          <w:tcPr>
            <w:tcW w:w="1302"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jc w:val="right"/>
              <w:rPr>
                <w:kern w:val="0"/>
                <w:sz w:val="17"/>
              </w:rPr>
            </w:pPr>
          </w:p>
        </w:tc>
        <w:tc>
          <w:tcPr>
            <w:tcW w:w="2440" w:type="dxa"/>
            <w:tcBorders>
              <w:top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40" w:line="210" w:lineRule="exact"/>
              <w:ind w:right="40"/>
              <w:jc w:val="right"/>
              <w:rPr>
                <w:kern w:val="0"/>
                <w:sz w:val="17"/>
              </w:rPr>
            </w:pP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Relación forzada</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62</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19,75</w:t>
            </w:r>
          </w:p>
        </w:tc>
      </w:tr>
      <w:tr w:rsidR="00E8605E" w:rsidRPr="00E8605E" w:rsidTr="00E8605E">
        <w:tblPrEx>
          <w:tblCellMar>
            <w:top w:w="0" w:type="dxa"/>
            <w:bottom w:w="0" w:type="dxa"/>
          </w:tblCellMar>
        </w:tblPrEx>
        <w:tc>
          <w:tcPr>
            <w:tcW w:w="3578" w:type="dxa"/>
            <w:shd w:val="clear" w:color="auto" w:fill="auto"/>
            <w:vAlign w:val="bottom"/>
          </w:tcPr>
          <w:p w:rsidR="00E8605E" w:rsidRPr="00E8605E" w:rsidRDefault="00E8605E" w:rsidP="00E8605E">
            <w:pPr>
              <w:tabs>
                <w:tab w:val="left" w:pos="288"/>
                <w:tab w:val="left" w:pos="576"/>
                <w:tab w:val="left" w:pos="864"/>
                <w:tab w:val="left" w:pos="1152"/>
              </w:tabs>
              <w:spacing w:before="40" w:after="40" w:line="210" w:lineRule="exact"/>
              <w:ind w:right="40"/>
              <w:rPr>
                <w:kern w:val="0"/>
                <w:sz w:val="17"/>
              </w:rPr>
            </w:pPr>
            <w:r w:rsidRPr="00E8605E">
              <w:rPr>
                <w:kern w:val="0"/>
                <w:sz w:val="17"/>
              </w:rPr>
              <w:tab/>
              <w:t>Violación (incesto)</w:t>
            </w:r>
          </w:p>
        </w:tc>
        <w:tc>
          <w:tcPr>
            <w:tcW w:w="1302"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190</w:t>
            </w:r>
          </w:p>
        </w:tc>
        <w:tc>
          <w:tcPr>
            <w:tcW w:w="2440" w:type="dxa"/>
            <w:shd w:val="clear" w:color="auto" w:fill="auto"/>
            <w:vAlign w:val="bottom"/>
          </w:tcPr>
          <w:p w:rsidR="00E8605E" w:rsidRPr="00E8605E" w:rsidRDefault="00E8605E" w:rsidP="00E8605E">
            <w:pPr>
              <w:pStyle w:val="DTpara"/>
              <w:keepNext/>
              <w:keepLines/>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E8605E">
              <w:rPr>
                <w:spacing w:val="4"/>
                <w:w w:val="103"/>
                <w:sz w:val="17"/>
                <w:szCs w:val="24"/>
                <w:lang w:val="fr-FR"/>
              </w:rPr>
              <w:t>60,5</w:t>
            </w:r>
          </w:p>
        </w:tc>
      </w:tr>
      <w:tr w:rsidR="00E8605E" w:rsidRPr="00E8605E" w:rsidTr="00E8605E">
        <w:tblPrEx>
          <w:tblCellMar>
            <w:top w:w="0" w:type="dxa"/>
            <w:bottom w:w="0" w:type="dxa"/>
          </w:tblCellMar>
        </w:tblPrEx>
        <w:tc>
          <w:tcPr>
            <w:tcW w:w="3578" w:type="dxa"/>
            <w:tcBorders>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40" w:after="81" w:line="210" w:lineRule="exact"/>
              <w:ind w:right="40"/>
              <w:rPr>
                <w:kern w:val="0"/>
                <w:sz w:val="17"/>
              </w:rPr>
            </w:pPr>
            <w:r w:rsidRPr="00E8605E">
              <w:rPr>
                <w:kern w:val="0"/>
                <w:sz w:val="17"/>
              </w:rPr>
              <w:tab/>
              <w:t>Sadismo</w:t>
            </w:r>
          </w:p>
        </w:tc>
        <w:tc>
          <w:tcPr>
            <w:tcW w:w="1302"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62</w:t>
            </w:r>
          </w:p>
        </w:tc>
        <w:tc>
          <w:tcPr>
            <w:tcW w:w="2440" w:type="dxa"/>
            <w:tcBorders>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40" w:after="81" w:line="210" w:lineRule="exact"/>
              <w:ind w:left="113" w:right="40"/>
              <w:jc w:val="right"/>
              <w:rPr>
                <w:kern w:val="0"/>
                <w:sz w:val="17"/>
                <w:szCs w:val="24"/>
                <w:lang w:val="fr-FR"/>
              </w:rPr>
            </w:pPr>
            <w:r w:rsidRPr="00E8605E">
              <w:rPr>
                <w:kern w:val="0"/>
                <w:sz w:val="17"/>
                <w:szCs w:val="24"/>
                <w:lang w:val="fr-FR"/>
              </w:rPr>
              <w:t>19,75</w:t>
            </w:r>
          </w:p>
        </w:tc>
      </w:tr>
      <w:tr w:rsidR="00E8605E" w:rsidRPr="00E8605E" w:rsidTr="00E8605E">
        <w:tblPrEx>
          <w:tblCellMar>
            <w:top w:w="0" w:type="dxa"/>
            <w:bottom w:w="0" w:type="dxa"/>
          </w:tblCellMar>
        </w:tblPrEx>
        <w:tc>
          <w:tcPr>
            <w:tcW w:w="3578" w:type="dxa"/>
            <w:tcBorders>
              <w:top w:val="single" w:sz="4" w:space="0" w:color="auto"/>
              <w:bottom w:val="single" w:sz="4"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81" w:line="210" w:lineRule="exact"/>
              <w:ind w:right="40"/>
              <w:rPr>
                <w:b/>
                <w:kern w:val="0"/>
                <w:sz w:val="17"/>
              </w:rPr>
            </w:pPr>
            <w:r w:rsidRPr="00E8605E">
              <w:rPr>
                <w:b/>
                <w:kern w:val="0"/>
                <w:sz w:val="17"/>
              </w:rPr>
              <w:tab/>
              <w:t>Total</w:t>
            </w:r>
          </w:p>
        </w:tc>
        <w:tc>
          <w:tcPr>
            <w:tcW w:w="1302" w:type="dxa"/>
            <w:tcBorders>
              <w:top w:val="single" w:sz="4" w:space="0" w:color="auto"/>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314</w:t>
            </w:r>
          </w:p>
        </w:tc>
        <w:tc>
          <w:tcPr>
            <w:tcW w:w="2440" w:type="dxa"/>
            <w:tcBorders>
              <w:top w:val="single" w:sz="4" w:space="0" w:color="auto"/>
              <w:bottom w:val="single" w:sz="4"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100</w:t>
            </w:r>
          </w:p>
        </w:tc>
      </w:tr>
      <w:tr w:rsidR="00E8605E" w:rsidRPr="00E8605E" w:rsidTr="00E8605E">
        <w:tblPrEx>
          <w:tblCellMar>
            <w:top w:w="0" w:type="dxa"/>
            <w:bottom w:w="0" w:type="dxa"/>
          </w:tblCellMar>
        </w:tblPrEx>
        <w:tc>
          <w:tcPr>
            <w:tcW w:w="3578" w:type="dxa"/>
            <w:tcBorders>
              <w:top w:val="single" w:sz="4" w:space="0" w:color="auto"/>
              <w:bottom w:val="single" w:sz="12" w:space="0" w:color="auto"/>
            </w:tcBorders>
            <w:shd w:val="clear" w:color="auto" w:fill="auto"/>
            <w:vAlign w:val="bottom"/>
          </w:tcPr>
          <w:p w:rsidR="00E8605E" w:rsidRPr="00E8605E" w:rsidRDefault="00E8605E" w:rsidP="00E8605E">
            <w:pPr>
              <w:tabs>
                <w:tab w:val="left" w:pos="288"/>
                <w:tab w:val="left" w:pos="576"/>
                <w:tab w:val="left" w:pos="864"/>
                <w:tab w:val="left" w:pos="1152"/>
              </w:tabs>
              <w:spacing w:before="81" w:after="81" w:line="210" w:lineRule="exact"/>
              <w:ind w:right="40"/>
              <w:rPr>
                <w:b/>
                <w:kern w:val="0"/>
                <w:sz w:val="17"/>
              </w:rPr>
            </w:pPr>
            <w:r w:rsidRPr="00E8605E">
              <w:rPr>
                <w:b/>
                <w:kern w:val="0"/>
                <w:sz w:val="17"/>
              </w:rPr>
              <w:tab/>
            </w:r>
            <w:r w:rsidR="00824603">
              <w:rPr>
                <w:b/>
                <w:kern w:val="0"/>
                <w:sz w:val="17"/>
              </w:rPr>
              <w:tab/>
            </w:r>
            <w:r w:rsidRPr="00E8605E">
              <w:rPr>
                <w:b/>
                <w:kern w:val="0"/>
                <w:sz w:val="17"/>
              </w:rPr>
              <w:t>Total general</w:t>
            </w:r>
          </w:p>
        </w:tc>
        <w:tc>
          <w:tcPr>
            <w:tcW w:w="1302" w:type="dxa"/>
            <w:tcBorders>
              <w:top w:val="single" w:sz="4" w:space="0" w:color="auto"/>
              <w:bottom w:val="single" w:sz="12"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2 914</w:t>
            </w:r>
          </w:p>
        </w:tc>
        <w:tc>
          <w:tcPr>
            <w:tcW w:w="2440" w:type="dxa"/>
            <w:tcBorders>
              <w:top w:val="single" w:sz="4" w:space="0" w:color="auto"/>
              <w:bottom w:val="single" w:sz="12" w:space="0" w:color="auto"/>
            </w:tcBorders>
            <w:shd w:val="clear" w:color="auto" w:fill="auto"/>
            <w:vAlign w:val="bottom"/>
          </w:tcPr>
          <w:p w:rsidR="00E8605E" w:rsidRPr="00E8605E" w:rsidRDefault="00E8605E" w:rsidP="00E8605E">
            <w:pPr>
              <w:pStyle w:val="NormalSchedule"/>
              <w:keepNext/>
              <w:keepLines/>
              <w:tabs>
                <w:tab w:val="left" w:pos="288"/>
                <w:tab w:val="left" w:pos="576"/>
                <w:tab w:val="left" w:pos="864"/>
                <w:tab w:val="left" w:pos="1152"/>
              </w:tabs>
              <w:spacing w:before="81" w:after="81" w:line="210" w:lineRule="exact"/>
              <w:ind w:left="113" w:right="40"/>
              <w:jc w:val="right"/>
              <w:rPr>
                <w:b/>
                <w:kern w:val="0"/>
                <w:sz w:val="17"/>
                <w:szCs w:val="24"/>
                <w:lang w:val="fr-FR"/>
              </w:rPr>
            </w:pPr>
            <w:r w:rsidRPr="00E8605E">
              <w:rPr>
                <w:b/>
                <w:kern w:val="0"/>
                <w:sz w:val="17"/>
                <w:szCs w:val="24"/>
                <w:lang w:val="fr-FR"/>
              </w:rPr>
              <w:t>100</w:t>
            </w:r>
          </w:p>
        </w:tc>
      </w:tr>
    </w:tbl>
    <w:p w:rsidR="00B950AE" w:rsidRPr="00B950AE" w:rsidRDefault="00B950AE" w:rsidP="00B950AE">
      <w:pPr>
        <w:pStyle w:val="SingleTxt"/>
        <w:suppressAutoHyphens/>
        <w:spacing w:after="0" w:line="120" w:lineRule="exact"/>
        <w:rPr>
          <w:sz w:val="10"/>
        </w:rPr>
      </w:pPr>
    </w:p>
    <w:p w:rsidR="00B950AE" w:rsidRPr="00E8605E" w:rsidRDefault="00B950AE" w:rsidP="00E860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uppressAutoHyphens/>
        <w:spacing w:after="0" w:line="210" w:lineRule="exact"/>
        <w:ind w:left="1548" w:hanging="288"/>
        <w:rPr>
          <w:sz w:val="17"/>
          <w:szCs w:val="17"/>
        </w:rPr>
      </w:pPr>
      <w:r w:rsidRPr="00E8605E">
        <w:rPr>
          <w:i/>
          <w:iCs/>
          <w:sz w:val="17"/>
          <w:szCs w:val="17"/>
        </w:rPr>
        <w:t>Fuente</w:t>
      </w:r>
      <w:r w:rsidRPr="00E8605E">
        <w:rPr>
          <w:sz w:val="17"/>
          <w:szCs w:val="17"/>
        </w:rPr>
        <w:t>: Ministerios de la Familia, del Interior y de Justicia (2000-2004).</w:t>
      </w:r>
    </w:p>
    <w:p w:rsidR="00B950AE" w:rsidRPr="00B950AE" w:rsidRDefault="00B950AE" w:rsidP="00B950AE">
      <w:pPr>
        <w:pStyle w:val="SingleTxt"/>
        <w:suppressAutoHyphens/>
        <w:spacing w:after="0" w:line="120" w:lineRule="exact"/>
        <w:rPr>
          <w:sz w:val="10"/>
        </w:rPr>
      </w:pPr>
    </w:p>
    <w:p w:rsidR="00B950AE" w:rsidRPr="00B950AE" w:rsidRDefault="00B950AE" w:rsidP="00B950AE">
      <w:pPr>
        <w:pStyle w:val="SingleTxt"/>
        <w:suppressAutoHyphens/>
        <w:spacing w:after="0" w:line="120" w:lineRule="exact"/>
        <w:rPr>
          <w:sz w:val="10"/>
        </w:rPr>
      </w:pPr>
    </w:p>
    <w:p w:rsidR="00B950AE" w:rsidRPr="00B950AE" w:rsidRDefault="00B950AE" w:rsidP="00B950AE">
      <w:pPr>
        <w:pStyle w:val="SingleTxt"/>
        <w:suppressAutoHyphens/>
        <w:spacing w:after="0" w:line="120" w:lineRule="exact"/>
        <w:rPr>
          <w:sz w:val="10"/>
        </w:rPr>
      </w:pPr>
    </w:p>
    <w:p w:rsidR="002D5A32" w:rsidRDefault="00B950AE" w:rsidP="00B950AE">
      <w:pPr>
        <w:pStyle w:val="SingleTxt"/>
        <w:suppressAutoHyphens/>
      </w:pPr>
      <w:r>
        <w:t>65.</w:t>
      </w:r>
      <w:r>
        <w:tab/>
      </w:r>
      <w:r w:rsidRPr="00B950AE">
        <w:t>En el informe anterior se señaló que la trata de mujeres era una práctica todavía vigente en Gabón. Pero en el espíritu de la Convención, se celebró en Libreville (Gabón) del 9 al 11 de mayo de 2006, una reunión subregional de expertos sobre el tema “Luchemos contra la trata de personas, en particular las mujeres y los niños”, seguida de la reunión en Torino (Italia). Esas reuniones concluyeron con un acuerdo multilateral de cooperación regional para combatir la trata de personas, en particular de mujeres y niños en África occidental y central, entre la Comunidad Económica de los Estados de África Occidental y la Comunidad Económica de los Estados de África Central concertado en Abuja (Nigeria), el 5 de julio de 2006. Ese acuerdo fue firmado por Gabón, representado en esa ocasión por el Ministro de Relaciones Exteriores y por expertos en defensa de los derechos de la persona. Se hizo hincapié en la trata de mujeres.</w:t>
      </w:r>
    </w:p>
    <w:p w:rsidR="006844F8" w:rsidRPr="006844F8" w:rsidRDefault="006844F8" w:rsidP="006844F8">
      <w:pPr>
        <w:pStyle w:val="SingleTxt"/>
        <w:suppressAutoHyphens/>
      </w:pPr>
      <w:r>
        <w:t>66.</w:t>
      </w:r>
      <w:r>
        <w:tab/>
      </w:r>
      <w:r w:rsidRPr="006844F8">
        <w:t>Dado que el acuerdo de cooperación está firmado entre Estados, en principio debería promulgarse legislación sobre la trata de mujeres.</w:t>
      </w:r>
    </w:p>
    <w:p w:rsidR="006844F8" w:rsidRPr="006844F8" w:rsidRDefault="006844F8" w:rsidP="006844F8">
      <w:pPr>
        <w:pStyle w:val="SingleTxt"/>
        <w:suppressAutoHyphens/>
      </w:pPr>
      <w:r>
        <w:t>67.</w:t>
      </w:r>
      <w:r>
        <w:tab/>
      </w:r>
      <w:r w:rsidRPr="006844F8">
        <w:t>En cuanto a la estrategia mundial de lucha contra la trata, funciona el Comité de seguimiento, que fue establecido por el Gobierno bajo los auspicios del Ministerio de Trabajo con sus oficinas provinciales y los centros de acogida de niños en Libreville y Port Gentil; cuenta también con la colaboración de las embajadas de los países de origen de esos niños. Los que utilizaron esos niños, no solamente fueron objeto de enjuiciamientos judiciales, sino que debieron indemnizarlos antes de su repatriación y su inserción en el país de origen.</w:t>
      </w:r>
    </w:p>
    <w:p w:rsidR="006844F8" w:rsidRPr="006844F8" w:rsidRDefault="006844F8" w:rsidP="006844F8">
      <w:pPr>
        <w:pStyle w:val="SingleTxt"/>
        <w:suppressAutoHyphens/>
      </w:pPr>
      <w:r>
        <w:t>68.</w:t>
      </w:r>
      <w:r>
        <w:tab/>
      </w:r>
      <w:r w:rsidRPr="006844F8">
        <w:t>Por otra parte, a partir de noviembre de 2004 y después de la promulgación de la ley sobre la trata de niños, el Gobierno, con el apoyo del proyecto subregional de Lucha contra la trata de niños en el África occidental y central (LUTRENA), las asociaciones del Observatorio de los Derechos y la Igualdad de la Mujer y la Association pour la défense des droits de la femme et de l'enfant (ADDFE), en colaboración con psicólogos y medios de difusión, realizó tareas de concienciación en las provincias afectadas por la trata de niños (Estuaire, Ogooué Marítimo, Haut-Ogooué y Woleu Ntem) para hacer conocer los peligros de ese fenómeno sobre la vida de los niños y la represión establecida por el Estado de Gabón. A esas actividades de concienciación siguió una película realizada por el Observatorio y la ADDFE sobre ese tema con el objeto de desalentar a los autores de esa trata y difundir los medios de defensa frente a ese fenómeno.</w:t>
      </w:r>
    </w:p>
    <w:p w:rsidR="006844F8" w:rsidRPr="006844F8" w:rsidRDefault="006844F8" w:rsidP="006844F8">
      <w:pPr>
        <w:pStyle w:val="SingleTxt"/>
        <w:suppressAutoHyphens/>
      </w:pPr>
      <w:r>
        <w:t>69.</w:t>
      </w:r>
      <w:r>
        <w:tab/>
      </w:r>
      <w:r w:rsidRPr="006844F8">
        <w:t>El 16 de marzo de 2005, el Observatorio presentó un alegato a la Asamblea General relativo a la insuficiencia y la armonización del texto de represión de la trata de niños.</w:t>
      </w:r>
    </w:p>
    <w:p w:rsidR="006844F8" w:rsidRPr="006844F8" w:rsidRDefault="006844F8" w:rsidP="006844F8">
      <w:pPr>
        <w:pStyle w:val="SingleTxt"/>
        <w:suppressAutoHyphens/>
      </w:pPr>
      <w:r>
        <w:t>70.</w:t>
      </w:r>
      <w:r>
        <w:tab/>
      </w:r>
      <w:r w:rsidRPr="006844F8">
        <w:t>La representación de la Organización Internacional del Trabajo (OIT), junto con el Observatorio, la ADDFE y el Comité de seguimiento de la trata de niños, con el apoyo financiero de LUTRENA, organizó en Libreville dos seminarios dirigidos a las fuerzas de seguridad y a las comunidades que experimentan ese fenómeno. La ley sobre la trata de niños se distribuyó a todas las fuerzas de seguridad y fue objeto de una gran difusión a través de los medios de información.</w:t>
      </w:r>
    </w:p>
    <w:p w:rsidR="006844F8" w:rsidRPr="006844F8" w:rsidRDefault="006844F8" w:rsidP="006844F8">
      <w:pPr>
        <w:pStyle w:val="SingleTxt"/>
        <w:suppressAutoHyphens/>
      </w:pPr>
      <w:r w:rsidRPr="006844F8">
        <w:t>71.</w:t>
      </w:r>
      <w:r>
        <w:tab/>
      </w:r>
      <w:r w:rsidRPr="006844F8">
        <w:t>Esas medidas lograron reducir la frecuencia del fenómeno. La investigación organizada a tal efecto no pudo realizarse y el texto sobre la represión de la trata de niños fue objeto de un bloqueo de la información de las comunidades interesadas.</w:t>
      </w:r>
    </w:p>
    <w:p w:rsidR="006844F8" w:rsidRPr="006844F8" w:rsidRDefault="006844F8" w:rsidP="006844F8">
      <w:pPr>
        <w:pStyle w:val="SingleTxt"/>
        <w:suppressAutoHyphens/>
        <w:spacing w:after="0" w:line="120" w:lineRule="exact"/>
        <w:rPr>
          <w:sz w:val="10"/>
        </w:rPr>
      </w:pPr>
    </w:p>
    <w:p w:rsidR="006844F8" w:rsidRPr="006844F8" w:rsidRDefault="006844F8" w:rsidP="006844F8">
      <w:pPr>
        <w:pStyle w:val="SingleTxt"/>
        <w:suppressAutoHyphens/>
        <w:spacing w:after="0" w:line="120" w:lineRule="exact"/>
        <w:rPr>
          <w:sz w:val="10"/>
        </w:rPr>
      </w:pPr>
    </w:p>
    <w:p w:rsidR="006844F8" w:rsidRPr="006844F8" w:rsidRDefault="006844F8" w:rsidP="006844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r>
      <w:r w:rsidRPr="006844F8">
        <w:t>Artículo 7 de la Convención: Participación en la vida política y pública</w:t>
      </w:r>
    </w:p>
    <w:p w:rsidR="006844F8" w:rsidRPr="006844F8" w:rsidRDefault="006844F8" w:rsidP="006844F8">
      <w:pPr>
        <w:pStyle w:val="SingleTxt"/>
        <w:keepNext/>
        <w:keepLines/>
        <w:suppressAutoHyphens/>
        <w:spacing w:after="0" w:line="120" w:lineRule="exact"/>
        <w:rPr>
          <w:sz w:val="10"/>
        </w:rPr>
      </w:pPr>
    </w:p>
    <w:p w:rsidR="006844F8" w:rsidRPr="006844F8" w:rsidRDefault="006844F8" w:rsidP="006844F8">
      <w:pPr>
        <w:pStyle w:val="SingleTxt"/>
        <w:keepNext/>
        <w:keepLines/>
        <w:suppressAutoHyphens/>
        <w:spacing w:after="0" w:line="120" w:lineRule="exact"/>
        <w:rPr>
          <w:sz w:val="10"/>
        </w:rPr>
      </w:pPr>
    </w:p>
    <w:p w:rsidR="006844F8" w:rsidRPr="006844F8" w:rsidRDefault="006844F8" w:rsidP="006844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44F8">
        <w:t>Inquietud N</w:t>
      </w:r>
      <w:r w:rsidRPr="006844F8">
        <w:rPr>
          <w:vertAlign w:val="superscript"/>
        </w:rPr>
        <w:t>o</w:t>
      </w:r>
      <w:r w:rsidRPr="006844F8">
        <w:t xml:space="preserve"> 34 y recomendación N</w:t>
      </w:r>
      <w:r w:rsidRPr="006844F8">
        <w:rPr>
          <w:vertAlign w:val="superscript"/>
        </w:rPr>
        <w:t>o</w:t>
      </w:r>
      <w:r w:rsidRPr="006844F8">
        <w:t xml:space="preserve"> 35 del Comité</w:t>
      </w:r>
    </w:p>
    <w:p w:rsidR="006844F8" w:rsidRPr="006844F8" w:rsidRDefault="006844F8" w:rsidP="006844F8">
      <w:pPr>
        <w:pStyle w:val="SingleTxt"/>
        <w:keepNext/>
        <w:keepLines/>
        <w:suppressAutoHyphens/>
        <w:spacing w:after="0" w:line="120" w:lineRule="exact"/>
        <w:rPr>
          <w:sz w:val="10"/>
        </w:rPr>
      </w:pPr>
    </w:p>
    <w:p w:rsidR="006844F8" w:rsidRPr="006844F8" w:rsidRDefault="006844F8" w:rsidP="006844F8">
      <w:pPr>
        <w:pStyle w:val="SingleTxt"/>
        <w:keepNext/>
        <w:keepLines/>
        <w:suppressAutoHyphens/>
      </w:pPr>
      <w:r>
        <w:t>72.</w:t>
      </w:r>
      <w:r>
        <w:tab/>
      </w:r>
      <w:r w:rsidRPr="006844F8">
        <w:t>La inquietud N</w:t>
      </w:r>
      <w:r w:rsidR="00380A11">
        <w:t>°</w:t>
      </w:r>
      <w:r w:rsidRPr="006844F8">
        <w:t xml:space="preserve"> 34 trata del escaso nivel de participación de las mujeres en la vida política y pública, en particular en el Senado, la Asamblea Nacional, en el plano internacional y la poca aplicación de los artículos 7 y 8 de la Convención y de la recomendación general N</w:t>
      </w:r>
      <w:r w:rsidR="00380A11">
        <w:t>°</w:t>
      </w:r>
      <w:r w:rsidRPr="006844F8">
        <w:t xml:space="preserve"> 2 relativa al lugar de la mujer en la vida pública y política.</w:t>
      </w:r>
    </w:p>
    <w:p w:rsidR="006844F8" w:rsidRPr="006844F8" w:rsidRDefault="006844F8" w:rsidP="006844F8">
      <w:pPr>
        <w:pStyle w:val="SingleTxt"/>
        <w:suppressAutoHyphens/>
      </w:pPr>
      <w:r>
        <w:t>73.</w:t>
      </w:r>
      <w:r>
        <w:tab/>
      </w:r>
      <w:r w:rsidRPr="006844F8">
        <w:t>El Comité recomienda el aumento del número de mujeres en puestos de adopción de decisiones, el fortalecimiento de los programas de formación y de información existentes y la creación de un entorno favorable a su participación.</w:t>
      </w:r>
    </w:p>
    <w:p w:rsidR="006844F8" w:rsidRPr="006844F8" w:rsidRDefault="006844F8" w:rsidP="006844F8">
      <w:pPr>
        <w:pStyle w:val="SingleTxt"/>
        <w:suppressAutoHyphens/>
        <w:spacing w:after="0" w:line="120" w:lineRule="exact"/>
        <w:rPr>
          <w:sz w:val="10"/>
        </w:rPr>
      </w:pPr>
    </w:p>
    <w:p w:rsidR="006844F8" w:rsidRPr="006844F8" w:rsidRDefault="006844F8" w:rsidP="006844F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44F8">
        <w:t>Medidas adoptadas</w:t>
      </w:r>
    </w:p>
    <w:p w:rsidR="006844F8" w:rsidRPr="006844F8" w:rsidRDefault="006844F8" w:rsidP="006844F8">
      <w:pPr>
        <w:pStyle w:val="SingleTxt"/>
        <w:suppressAutoHyphens/>
        <w:spacing w:after="0" w:line="120" w:lineRule="exact"/>
        <w:rPr>
          <w:sz w:val="10"/>
        </w:rPr>
      </w:pPr>
    </w:p>
    <w:p w:rsidR="006844F8" w:rsidRPr="006844F8" w:rsidRDefault="006844F8" w:rsidP="006844F8">
      <w:pPr>
        <w:pStyle w:val="SingleTxt"/>
        <w:suppressAutoHyphens/>
      </w:pPr>
      <w:r>
        <w:t>74.</w:t>
      </w:r>
      <w:r>
        <w:tab/>
      </w:r>
      <w:r w:rsidRPr="006844F8">
        <w:t>La Constitución, la ley N</w:t>
      </w:r>
      <w:r w:rsidR="00380A11">
        <w:t>°</w:t>
      </w:r>
      <w:r w:rsidRPr="006844F8">
        <w:t xml:space="preserve"> 24/96 de 6 de junio de 1996 relativa a los partidos políticos y la ley N</w:t>
      </w:r>
      <w:r w:rsidR="00380A11">
        <w:t>°</w:t>
      </w:r>
      <w:r w:rsidRPr="006844F8">
        <w:t xml:space="preserve"> 7/96 de 12 de marzo de 1996 modificada, relativa a las elecciones políticas, garantizan a los ciudadanos de los dos géneros el ejercicio de derechos políticos en condiciones de igualdad y acceso igual a todos las instituciones y los organismos públicos.</w:t>
      </w:r>
    </w:p>
    <w:p w:rsidR="006844F8" w:rsidRPr="006844F8" w:rsidRDefault="006844F8" w:rsidP="006844F8">
      <w:pPr>
        <w:pStyle w:val="SingleTxt"/>
        <w:suppressAutoHyphens/>
      </w:pPr>
      <w:r>
        <w:t>75.</w:t>
      </w:r>
      <w:r>
        <w:tab/>
      </w:r>
      <w:r w:rsidRPr="006844F8">
        <w:t>Ahora bien, cabe señalar que el acceso a las cámaras del Parlamento está subordinada a la elección de candidatos en sufragio universal directo e indirecto con un mandato de cinco años para los diputados y seis años para los senadores. En ese nivel, además de una voluntad manifiesta del Presidente de la República de exhortar a los líderes de los partidos políticos a que presenten candidatas a dichas elecciones y la exigencia de una cuota para las elecciones locales, la ley sobre los partidos políticos han instituido candidaturas independientes (eso significa que todas las personas mayores de edad que cumplan las condiciones legales y disfruten de sus derechos civiles y políticos pueden presentarse a todo tipo de elecciones políticas) que permiten también a las mujeres que no son miembros de los partidos políticos presentarse a cualquier tipo de elección política. Hay también una demanda de las propias mujeres de cubrir puestos de decisión dentro de los partidos políticos y de estos últimos les den cargos de responsabilidad en las elecciones políticas.</w:t>
      </w:r>
    </w:p>
    <w:p w:rsidR="006844F8" w:rsidRPr="006844F8" w:rsidRDefault="006844F8" w:rsidP="006844F8">
      <w:pPr>
        <w:pStyle w:val="SingleTxt"/>
        <w:suppressAutoHyphens/>
      </w:pPr>
      <w:r w:rsidRPr="006844F8">
        <w:t>7</w:t>
      </w:r>
      <w:r>
        <w:t>6</w:t>
      </w:r>
      <w:r w:rsidRPr="006844F8">
        <w:t>.</w:t>
      </w:r>
      <w:r>
        <w:tab/>
      </w:r>
      <w:r w:rsidRPr="006844F8">
        <w:t>Esa voluntad se manifiesta también en las diferentes campañas de concienciación que realizan los partidos políticos en todas las provincias durante las campañas electorales, las conferencias y los debates, y en las charlas donde se pide a los electores que voten por las mujeres que sean candidatas.</w:t>
      </w:r>
    </w:p>
    <w:p w:rsidR="006844F8" w:rsidRPr="006844F8" w:rsidRDefault="006844F8" w:rsidP="006844F8">
      <w:pPr>
        <w:pStyle w:val="SingleTxt"/>
        <w:suppressAutoHyphens/>
      </w:pPr>
      <w:r>
        <w:t>77.</w:t>
      </w:r>
      <w:r>
        <w:tab/>
      </w:r>
      <w:r w:rsidRPr="006844F8">
        <w:t>Pero esa voluntad está influenciada por los resultados de las urnas, donde se nota que ciertos electores no votan jamás por mujeres aun cuando tengan estatura y competencia, incluido el electorado femenino. Hay siempre un problema de mentalidad y de educación básica en que se sigue creyendo que las mujeres no tienen aptitudes para ocupar ciertas funciones. A pesar de esto, continúa la concienciación en ese sentido.</w:t>
      </w:r>
    </w:p>
    <w:p w:rsidR="006844F8" w:rsidRPr="006844F8" w:rsidRDefault="006844F8" w:rsidP="006844F8">
      <w:pPr>
        <w:pStyle w:val="SingleTxt"/>
        <w:suppressAutoHyphens/>
      </w:pPr>
      <w:r>
        <w:t>78.</w:t>
      </w:r>
      <w:r>
        <w:tab/>
      </w:r>
      <w:r w:rsidRPr="006844F8">
        <w:t>En cuanto al acceso de las mujeres a los puestos de adopción de decisiones, las cifras son las siguientes:</w:t>
      </w:r>
    </w:p>
    <w:p w:rsidR="006844F8" w:rsidRPr="006844F8" w:rsidRDefault="006844F8" w:rsidP="006844F8">
      <w:pPr>
        <w:pStyle w:val="SingleTxt"/>
        <w:suppressAutoHyphens/>
        <w:spacing w:after="0" w:line="120" w:lineRule="exact"/>
        <w:rPr>
          <w:sz w:val="10"/>
        </w:rPr>
      </w:pPr>
    </w:p>
    <w:p w:rsidR="00405E57" w:rsidRPr="00D32402" w:rsidRDefault="006844F8" w:rsidP="000679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D32402">
        <w:rPr>
          <w:b w:val="0"/>
        </w:rPr>
        <w:t>Cuadro 2</w:t>
      </w:r>
    </w:p>
    <w:p w:rsidR="006844F8" w:rsidRPr="006844F8" w:rsidRDefault="006844F8" w:rsidP="00067931">
      <w:pPr>
        <w:pStyle w:val="SingleTxt"/>
        <w:keepNext/>
        <w:keepLines/>
        <w:suppressAutoHyphens/>
        <w:spacing w:after="0" w:line="120" w:lineRule="exact"/>
        <w:rPr>
          <w:sz w:val="10"/>
        </w:rPr>
      </w:pPr>
    </w:p>
    <w:p w:rsidR="006844F8" w:rsidRPr="006844F8" w:rsidRDefault="006844F8" w:rsidP="00067931">
      <w:pPr>
        <w:pStyle w:val="SingleTxt"/>
        <w:keepNext/>
        <w:keepLines/>
        <w:suppressAutoHyphens/>
        <w:spacing w:after="0" w:line="120" w:lineRule="exact"/>
        <w:rPr>
          <w:sz w:val="10"/>
        </w:rPr>
      </w:pPr>
    </w:p>
    <w:tbl>
      <w:tblPr>
        <w:tblW w:w="0" w:type="auto"/>
        <w:tblInd w:w="1260" w:type="dxa"/>
        <w:tblLayout w:type="fixed"/>
        <w:tblCellMar>
          <w:left w:w="0" w:type="dxa"/>
          <w:right w:w="0" w:type="dxa"/>
        </w:tblCellMar>
        <w:tblLook w:val="0000"/>
      </w:tblPr>
      <w:tblGrid>
        <w:gridCol w:w="1856"/>
        <w:gridCol w:w="1072"/>
        <w:gridCol w:w="1464"/>
        <w:gridCol w:w="1464"/>
        <w:gridCol w:w="1464"/>
      </w:tblGrid>
      <w:tr w:rsidR="00F85F65" w:rsidRPr="00067931" w:rsidTr="00067931">
        <w:tblPrEx>
          <w:tblCellMar>
            <w:top w:w="0" w:type="dxa"/>
            <w:bottom w:w="0" w:type="dxa"/>
          </w:tblCellMar>
        </w:tblPrEx>
        <w:trPr>
          <w:tblHeader/>
        </w:trPr>
        <w:tc>
          <w:tcPr>
            <w:tcW w:w="1856" w:type="dxa"/>
            <w:tcBorders>
              <w:top w:val="single" w:sz="4" w:space="0" w:color="auto"/>
              <w:bottom w:val="single" w:sz="12" w:space="0" w:color="auto"/>
            </w:tcBorders>
            <w:shd w:val="clear" w:color="auto" w:fill="auto"/>
            <w:vAlign w:val="bottom"/>
          </w:tcPr>
          <w:p w:rsidR="00F85F65" w:rsidRPr="00067931" w:rsidRDefault="00F85F65" w:rsidP="00067931">
            <w:pPr>
              <w:tabs>
                <w:tab w:val="left" w:pos="288"/>
                <w:tab w:val="left" w:pos="576"/>
                <w:tab w:val="left" w:pos="864"/>
                <w:tab w:val="left" w:pos="1152"/>
              </w:tabs>
              <w:spacing w:before="80" w:after="80" w:line="160" w:lineRule="exact"/>
              <w:ind w:right="40"/>
              <w:rPr>
                <w:i/>
                <w:kern w:val="0"/>
                <w:sz w:val="14"/>
              </w:rPr>
            </w:pPr>
            <w:r w:rsidRPr="00067931">
              <w:rPr>
                <w:i/>
                <w:kern w:val="0"/>
                <w:sz w:val="14"/>
              </w:rPr>
              <w:t>Funciones</w:t>
            </w:r>
          </w:p>
        </w:tc>
        <w:tc>
          <w:tcPr>
            <w:tcW w:w="1072" w:type="dxa"/>
            <w:tcBorders>
              <w:top w:val="single" w:sz="4" w:space="0" w:color="auto"/>
              <w:bottom w:val="single" w:sz="12" w:space="0" w:color="auto"/>
            </w:tcBorders>
            <w:shd w:val="clear" w:color="auto" w:fill="auto"/>
            <w:vAlign w:val="bottom"/>
          </w:tcPr>
          <w:p w:rsidR="00F85F65" w:rsidRPr="00067931" w:rsidRDefault="00F85F65" w:rsidP="00067931">
            <w:pPr>
              <w:tabs>
                <w:tab w:val="left" w:pos="288"/>
                <w:tab w:val="left" w:pos="576"/>
                <w:tab w:val="left" w:pos="864"/>
                <w:tab w:val="left" w:pos="1152"/>
              </w:tabs>
              <w:spacing w:before="80" w:after="80" w:line="160" w:lineRule="exact"/>
              <w:ind w:right="40"/>
              <w:jc w:val="right"/>
              <w:rPr>
                <w:i/>
                <w:kern w:val="0"/>
                <w:sz w:val="14"/>
              </w:rPr>
            </w:pPr>
            <w:r w:rsidRPr="00067931">
              <w:rPr>
                <w:i/>
                <w:kern w:val="0"/>
                <w:sz w:val="14"/>
              </w:rPr>
              <w:t>Hombres</w:t>
            </w:r>
          </w:p>
        </w:tc>
        <w:tc>
          <w:tcPr>
            <w:tcW w:w="1464" w:type="dxa"/>
            <w:tcBorders>
              <w:top w:val="single" w:sz="4" w:space="0" w:color="auto"/>
              <w:bottom w:val="single" w:sz="12" w:space="0" w:color="auto"/>
            </w:tcBorders>
            <w:shd w:val="clear" w:color="auto" w:fill="auto"/>
            <w:vAlign w:val="bottom"/>
          </w:tcPr>
          <w:p w:rsidR="00F85F65" w:rsidRPr="00067931" w:rsidRDefault="00F85F65" w:rsidP="00067931">
            <w:pPr>
              <w:tabs>
                <w:tab w:val="left" w:pos="288"/>
                <w:tab w:val="left" w:pos="576"/>
                <w:tab w:val="left" w:pos="864"/>
                <w:tab w:val="left" w:pos="1152"/>
              </w:tabs>
              <w:spacing w:before="80" w:after="80" w:line="160" w:lineRule="exact"/>
              <w:ind w:right="40"/>
              <w:jc w:val="right"/>
              <w:rPr>
                <w:i/>
                <w:kern w:val="0"/>
                <w:sz w:val="14"/>
              </w:rPr>
            </w:pPr>
            <w:r w:rsidRPr="00067931">
              <w:rPr>
                <w:i/>
                <w:kern w:val="0"/>
                <w:sz w:val="14"/>
              </w:rPr>
              <w:t>Mujeres</w:t>
            </w:r>
          </w:p>
        </w:tc>
        <w:tc>
          <w:tcPr>
            <w:tcW w:w="1464" w:type="dxa"/>
            <w:tcBorders>
              <w:top w:val="single" w:sz="4" w:space="0" w:color="auto"/>
              <w:bottom w:val="single" w:sz="12" w:space="0" w:color="auto"/>
            </w:tcBorders>
            <w:shd w:val="clear" w:color="auto" w:fill="auto"/>
            <w:vAlign w:val="bottom"/>
          </w:tcPr>
          <w:p w:rsidR="00F85F65" w:rsidRPr="00067931" w:rsidRDefault="00F85F65" w:rsidP="00067931">
            <w:pPr>
              <w:tabs>
                <w:tab w:val="left" w:pos="288"/>
                <w:tab w:val="left" w:pos="576"/>
                <w:tab w:val="left" w:pos="864"/>
                <w:tab w:val="left" w:pos="1152"/>
              </w:tabs>
              <w:spacing w:before="80" w:after="80" w:line="160" w:lineRule="exact"/>
              <w:ind w:right="40"/>
              <w:jc w:val="right"/>
              <w:rPr>
                <w:i/>
                <w:kern w:val="0"/>
                <w:sz w:val="14"/>
              </w:rPr>
            </w:pPr>
            <w:r w:rsidRPr="00067931">
              <w:rPr>
                <w:i/>
                <w:kern w:val="0"/>
                <w:sz w:val="14"/>
              </w:rPr>
              <w:t>Total</w:t>
            </w:r>
          </w:p>
        </w:tc>
        <w:tc>
          <w:tcPr>
            <w:tcW w:w="1464" w:type="dxa"/>
            <w:tcBorders>
              <w:top w:val="single" w:sz="4" w:space="0" w:color="auto"/>
              <w:bottom w:val="single" w:sz="12" w:space="0" w:color="auto"/>
            </w:tcBorders>
            <w:shd w:val="clear" w:color="auto" w:fill="auto"/>
            <w:vAlign w:val="bottom"/>
          </w:tcPr>
          <w:p w:rsidR="00F85F65" w:rsidRPr="00067931" w:rsidRDefault="00F85F65" w:rsidP="00067931">
            <w:pPr>
              <w:tabs>
                <w:tab w:val="left" w:pos="288"/>
                <w:tab w:val="left" w:pos="576"/>
                <w:tab w:val="left" w:pos="864"/>
                <w:tab w:val="left" w:pos="1152"/>
              </w:tabs>
              <w:spacing w:before="80" w:after="80" w:line="160" w:lineRule="exact"/>
              <w:ind w:right="40"/>
              <w:jc w:val="right"/>
              <w:rPr>
                <w:i/>
                <w:kern w:val="0"/>
                <w:sz w:val="14"/>
              </w:rPr>
            </w:pPr>
            <w:r w:rsidRPr="00067931">
              <w:rPr>
                <w:i/>
                <w:kern w:val="0"/>
                <w:sz w:val="14"/>
              </w:rPr>
              <w:t xml:space="preserve">Relación % </w:t>
            </w:r>
            <w:r w:rsidR="00067931">
              <w:rPr>
                <w:i/>
                <w:kern w:val="0"/>
                <w:sz w:val="14"/>
              </w:rPr>
              <w:br/>
            </w:r>
            <w:r w:rsidRPr="00067931">
              <w:rPr>
                <w:i/>
                <w:kern w:val="0"/>
                <w:sz w:val="14"/>
              </w:rPr>
              <w:t>entre géneros</w:t>
            </w:r>
          </w:p>
        </w:tc>
      </w:tr>
      <w:tr w:rsidR="00067931" w:rsidRPr="00067931" w:rsidTr="00067931">
        <w:tblPrEx>
          <w:tblCellMar>
            <w:top w:w="0" w:type="dxa"/>
            <w:bottom w:w="0" w:type="dxa"/>
          </w:tblCellMar>
        </w:tblPrEx>
        <w:trPr>
          <w:trHeight w:hRule="exact" w:val="115"/>
          <w:tblHeader/>
        </w:trPr>
        <w:tc>
          <w:tcPr>
            <w:tcW w:w="1856" w:type="dxa"/>
            <w:tcBorders>
              <w:top w:val="single" w:sz="12" w:space="0" w:color="auto"/>
            </w:tcBorders>
            <w:shd w:val="clear" w:color="auto" w:fill="auto"/>
            <w:vAlign w:val="bottom"/>
          </w:tcPr>
          <w:p w:rsidR="00067931" w:rsidRPr="00067931" w:rsidRDefault="00067931" w:rsidP="00067931">
            <w:pPr>
              <w:tabs>
                <w:tab w:val="left" w:pos="288"/>
                <w:tab w:val="left" w:pos="576"/>
                <w:tab w:val="left" w:pos="864"/>
                <w:tab w:val="left" w:pos="1152"/>
              </w:tabs>
              <w:spacing w:before="40" w:after="40" w:line="210" w:lineRule="exact"/>
              <w:ind w:right="40"/>
              <w:rPr>
                <w:kern w:val="0"/>
                <w:sz w:val="17"/>
              </w:rPr>
            </w:pPr>
          </w:p>
        </w:tc>
        <w:tc>
          <w:tcPr>
            <w:tcW w:w="1072" w:type="dxa"/>
            <w:tcBorders>
              <w:top w:val="single" w:sz="12" w:space="0" w:color="auto"/>
            </w:tcBorders>
            <w:shd w:val="clear" w:color="auto" w:fill="auto"/>
            <w:vAlign w:val="bottom"/>
          </w:tcPr>
          <w:p w:rsidR="00067931" w:rsidRPr="00067931" w:rsidRDefault="00067931" w:rsidP="00067931">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067931" w:rsidRPr="00067931" w:rsidRDefault="00067931" w:rsidP="00067931">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067931" w:rsidRPr="00067931" w:rsidRDefault="00067931" w:rsidP="00067931">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067931" w:rsidRPr="00067931" w:rsidRDefault="00067931" w:rsidP="00067931">
            <w:pPr>
              <w:pStyle w:val="DTpara"/>
              <w:numPr>
                <w:ilvl w:val="0"/>
                <w:numId w:val="0"/>
              </w:numPr>
              <w:spacing w:before="40" w:after="40" w:line="210" w:lineRule="exact"/>
              <w:ind w:left="113" w:right="40"/>
              <w:jc w:val="right"/>
              <w:rPr>
                <w:spacing w:val="4"/>
                <w:w w:val="103"/>
                <w:sz w:val="17"/>
                <w:szCs w:val="24"/>
                <w:lang w:val="fr-FR"/>
              </w:rPr>
            </w:pPr>
          </w:p>
        </w:tc>
      </w:tr>
      <w:tr w:rsidR="00067931" w:rsidRPr="00067931" w:rsidTr="00067931">
        <w:tblPrEx>
          <w:tblCellMar>
            <w:top w:w="0" w:type="dxa"/>
            <w:bottom w:w="0" w:type="dxa"/>
          </w:tblCellMar>
        </w:tblPrEx>
        <w:tc>
          <w:tcPr>
            <w:tcW w:w="1856" w:type="dxa"/>
            <w:shd w:val="clear" w:color="auto" w:fill="auto"/>
            <w:vAlign w:val="bottom"/>
          </w:tcPr>
          <w:p w:rsidR="00067931" w:rsidRPr="00067931" w:rsidRDefault="00067931" w:rsidP="00067931">
            <w:pPr>
              <w:tabs>
                <w:tab w:val="left" w:pos="288"/>
                <w:tab w:val="left" w:pos="576"/>
                <w:tab w:val="left" w:pos="864"/>
                <w:tab w:val="left" w:pos="1152"/>
              </w:tabs>
              <w:spacing w:before="40" w:after="40" w:line="210" w:lineRule="exact"/>
              <w:ind w:right="40"/>
              <w:rPr>
                <w:kern w:val="0"/>
                <w:sz w:val="17"/>
              </w:rPr>
            </w:pPr>
            <w:r w:rsidRPr="00067931">
              <w:rPr>
                <w:kern w:val="0"/>
                <w:sz w:val="17"/>
              </w:rPr>
              <w:t>Primer Ministro</w:t>
            </w:r>
          </w:p>
        </w:tc>
        <w:tc>
          <w:tcPr>
            <w:tcW w:w="1072"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1</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0</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1</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0</w:t>
            </w:r>
          </w:p>
        </w:tc>
      </w:tr>
      <w:tr w:rsidR="00067931" w:rsidRPr="00067931" w:rsidTr="00067931">
        <w:tblPrEx>
          <w:tblCellMar>
            <w:top w:w="0" w:type="dxa"/>
            <w:bottom w:w="0" w:type="dxa"/>
          </w:tblCellMar>
        </w:tblPrEx>
        <w:tc>
          <w:tcPr>
            <w:tcW w:w="1856" w:type="dxa"/>
            <w:shd w:val="clear" w:color="auto" w:fill="auto"/>
            <w:vAlign w:val="bottom"/>
          </w:tcPr>
          <w:p w:rsidR="00067931" w:rsidRPr="00067931" w:rsidRDefault="00067931" w:rsidP="00067931">
            <w:pPr>
              <w:tabs>
                <w:tab w:val="left" w:pos="288"/>
                <w:tab w:val="left" w:pos="576"/>
                <w:tab w:val="left" w:pos="864"/>
                <w:tab w:val="left" w:pos="1152"/>
              </w:tabs>
              <w:spacing w:before="40" w:after="40" w:line="210" w:lineRule="exact"/>
              <w:ind w:right="40"/>
              <w:rPr>
                <w:kern w:val="0"/>
                <w:sz w:val="17"/>
              </w:rPr>
            </w:pPr>
            <w:r w:rsidRPr="00067931">
              <w:rPr>
                <w:kern w:val="0"/>
                <w:sz w:val="17"/>
              </w:rPr>
              <w:t>Viceprimer Ministro</w:t>
            </w:r>
          </w:p>
        </w:tc>
        <w:tc>
          <w:tcPr>
            <w:tcW w:w="1072"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1</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2</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3</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66,67</w:t>
            </w:r>
          </w:p>
        </w:tc>
      </w:tr>
      <w:tr w:rsidR="00067931" w:rsidRPr="00067931" w:rsidTr="00067931">
        <w:tblPrEx>
          <w:tblCellMar>
            <w:top w:w="0" w:type="dxa"/>
            <w:bottom w:w="0" w:type="dxa"/>
          </w:tblCellMar>
        </w:tblPrEx>
        <w:tc>
          <w:tcPr>
            <w:tcW w:w="1856" w:type="dxa"/>
            <w:shd w:val="clear" w:color="auto" w:fill="auto"/>
            <w:vAlign w:val="bottom"/>
          </w:tcPr>
          <w:p w:rsidR="00067931" w:rsidRPr="00067931" w:rsidRDefault="00067931" w:rsidP="00067931">
            <w:pPr>
              <w:tabs>
                <w:tab w:val="left" w:pos="288"/>
                <w:tab w:val="left" w:pos="576"/>
                <w:tab w:val="left" w:pos="864"/>
                <w:tab w:val="left" w:pos="1152"/>
              </w:tabs>
              <w:spacing w:before="40" w:after="40" w:line="210" w:lineRule="exact"/>
              <w:ind w:right="40"/>
              <w:rPr>
                <w:kern w:val="0"/>
                <w:sz w:val="17"/>
              </w:rPr>
            </w:pPr>
            <w:r w:rsidRPr="00067931">
              <w:rPr>
                <w:kern w:val="0"/>
                <w:sz w:val="17"/>
              </w:rPr>
              <w:t>Ministro de Estado</w:t>
            </w:r>
          </w:p>
        </w:tc>
        <w:tc>
          <w:tcPr>
            <w:tcW w:w="1072"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3</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0</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3</w:t>
            </w:r>
          </w:p>
        </w:tc>
        <w:tc>
          <w:tcPr>
            <w:tcW w:w="1464" w:type="dxa"/>
            <w:shd w:val="clear" w:color="auto" w:fill="auto"/>
            <w:vAlign w:val="bottom"/>
          </w:tcPr>
          <w:p w:rsidR="00067931" w:rsidRPr="00067931" w:rsidRDefault="00067931" w:rsidP="00067931">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067931">
              <w:rPr>
                <w:spacing w:val="4"/>
                <w:w w:val="103"/>
                <w:sz w:val="17"/>
                <w:szCs w:val="24"/>
                <w:lang w:val="fr-FR"/>
              </w:rPr>
              <w:t>0</w:t>
            </w:r>
          </w:p>
        </w:tc>
      </w:tr>
      <w:tr w:rsidR="00067931" w:rsidRPr="00067931" w:rsidTr="00067931">
        <w:tblPrEx>
          <w:tblCellMar>
            <w:top w:w="0" w:type="dxa"/>
            <w:bottom w:w="0" w:type="dxa"/>
          </w:tblCellMar>
        </w:tblPrEx>
        <w:tc>
          <w:tcPr>
            <w:tcW w:w="1856" w:type="dxa"/>
            <w:shd w:val="clear" w:color="auto" w:fill="auto"/>
            <w:vAlign w:val="bottom"/>
          </w:tcPr>
          <w:p w:rsidR="00067931" w:rsidRPr="00067931" w:rsidRDefault="00067931" w:rsidP="00067931">
            <w:pPr>
              <w:tabs>
                <w:tab w:val="left" w:pos="288"/>
                <w:tab w:val="left" w:pos="576"/>
                <w:tab w:val="left" w:pos="864"/>
                <w:tab w:val="left" w:pos="1152"/>
              </w:tabs>
              <w:spacing w:before="40" w:after="40" w:line="210" w:lineRule="exact"/>
              <w:ind w:right="40"/>
              <w:rPr>
                <w:kern w:val="0"/>
                <w:sz w:val="17"/>
              </w:rPr>
            </w:pPr>
            <w:r w:rsidRPr="00067931">
              <w:rPr>
                <w:kern w:val="0"/>
                <w:sz w:val="17"/>
              </w:rPr>
              <w:t>Ministro</w:t>
            </w:r>
          </w:p>
        </w:tc>
        <w:tc>
          <w:tcPr>
            <w:tcW w:w="1072" w:type="dxa"/>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067931">
              <w:rPr>
                <w:kern w:val="0"/>
                <w:sz w:val="17"/>
                <w:szCs w:val="24"/>
                <w:lang w:val="fr-FR"/>
              </w:rPr>
              <w:t>23</w:t>
            </w:r>
          </w:p>
        </w:tc>
        <w:tc>
          <w:tcPr>
            <w:tcW w:w="1464" w:type="dxa"/>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067931">
              <w:rPr>
                <w:kern w:val="0"/>
                <w:sz w:val="17"/>
                <w:szCs w:val="24"/>
                <w:lang w:val="fr-FR"/>
              </w:rPr>
              <w:t>5</w:t>
            </w:r>
          </w:p>
        </w:tc>
        <w:tc>
          <w:tcPr>
            <w:tcW w:w="1464" w:type="dxa"/>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067931">
              <w:rPr>
                <w:kern w:val="0"/>
                <w:sz w:val="17"/>
                <w:szCs w:val="24"/>
                <w:lang w:val="fr-FR"/>
              </w:rPr>
              <w:t>28</w:t>
            </w:r>
          </w:p>
        </w:tc>
        <w:tc>
          <w:tcPr>
            <w:tcW w:w="1464" w:type="dxa"/>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067931">
              <w:rPr>
                <w:kern w:val="0"/>
                <w:sz w:val="17"/>
                <w:szCs w:val="24"/>
                <w:lang w:val="fr-FR"/>
              </w:rPr>
              <w:t>21,74</w:t>
            </w:r>
          </w:p>
        </w:tc>
      </w:tr>
      <w:tr w:rsidR="00067931" w:rsidRPr="00067931" w:rsidTr="00067931">
        <w:tblPrEx>
          <w:tblCellMar>
            <w:top w:w="0" w:type="dxa"/>
            <w:bottom w:w="0" w:type="dxa"/>
          </w:tblCellMar>
        </w:tblPrEx>
        <w:tc>
          <w:tcPr>
            <w:tcW w:w="1856" w:type="dxa"/>
            <w:tcBorders>
              <w:bottom w:val="single" w:sz="4" w:space="0" w:color="auto"/>
            </w:tcBorders>
            <w:shd w:val="clear" w:color="auto" w:fill="auto"/>
            <w:vAlign w:val="bottom"/>
          </w:tcPr>
          <w:p w:rsidR="00067931" w:rsidRPr="00067931" w:rsidRDefault="00067931" w:rsidP="00067931">
            <w:pPr>
              <w:tabs>
                <w:tab w:val="left" w:pos="288"/>
                <w:tab w:val="left" w:pos="576"/>
                <w:tab w:val="left" w:pos="864"/>
                <w:tab w:val="left" w:pos="1152"/>
              </w:tabs>
              <w:spacing w:before="40" w:after="81" w:line="210" w:lineRule="exact"/>
              <w:ind w:right="40"/>
              <w:rPr>
                <w:kern w:val="0"/>
                <w:sz w:val="17"/>
              </w:rPr>
            </w:pPr>
            <w:r w:rsidRPr="00067931">
              <w:rPr>
                <w:kern w:val="0"/>
                <w:sz w:val="17"/>
              </w:rPr>
              <w:t>Ministro delegado</w:t>
            </w:r>
          </w:p>
        </w:tc>
        <w:tc>
          <w:tcPr>
            <w:tcW w:w="1072" w:type="dxa"/>
            <w:tcBorders>
              <w:bottom w:val="single" w:sz="4"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067931">
              <w:rPr>
                <w:kern w:val="0"/>
                <w:sz w:val="17"/>
                <w:szCs w:val="24"/>
                <w:lang w:val="fr-FR"/>
              </w:rPr>
              <w:t>13</w:t>
            </w:r>
          </w:p>
        </w:tc>
        <w:tc>
          <w:tcPr>
            <w:tcW w:w="1464" w:type="dxa"/>
            <w:tcBorders>
              <w:bottom w:val="single" w:sz="4"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067931">
              <w:rPr>
                <w:kern w:val="0"/>
                <w:sz w:val="17"/>
                <w:szCs w:val="24"/>
                <w:lang w:val="fr-FR"/>
              </w:rPr>
              <w:t>1</w:t>
            </w:r>
          </w:p>
        </w:tc>
        <w:tc>
          <w:tcPr>
            <w:tcW w:w="1464" w:type="dxa"/>
            <w:tcBorders>
              <w:bottom w:val="single" w:sz="4"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067931">
              <w:rPr>
                <w:kern w:val="0"/>
                <w:sz w:val="17"/>
                <w:szCs w:val="24"/>
                <w:lang w:val="fr-FR"/>
              </w:rPr>
              <w:t>14</w:t>
            </w:r>
          </w:p>
        </w:tc>
        <w:tc>
          <w:tcPr>
            <w:tcW w:w="1464" w:type="dxa"/>
            <w:tcBorders>
              <w:bottom w:val="single" w:sz="4"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067931">
              <w:rPr>
                <w:kern w:val="0"/>
                <w:sz w:val="17"/>
                <w:szCs w:val="24"/>
                <w:lang w:val="fr-FR"/>
              </w:rPr>
              <w:t>7,69</w:t>
            </w:r>
          </w:p>
        </w:tc>
      </w:tr>
      <w:tr w:rsidR="00067931" w:rsidRPr="00067931" w:rsidTr="00067931">
        <w:tblPrEx>
          <w:tblCellMar>
            <w:top w:w="0" w:type="dxa"/>
            <w:bottom w:w="0" w:type="dxa"/>
          </w:tblCellMar>
        </w:tblPrEx>
        <w:tc>
          <w:tcPr>
            <w:tcW w:w="1856" w:type="dxa"/>
            <w:tcBorders>
              <w:top w:val="single" w:sz="4" w:space="0" w:color="auto"/>
              <w:bottom w:val="single" w:sz="12" w:space="0" w:color="auto"/>
            </w:tcBorders>
            <w:shd w:val="clear" w:color="auto" w:fill="auto"/>
            <w:vAlign w:val="bottom"/>
          </w:tcPr>
          <w:p w:rsidR="00067931" w:rsidRPr="00067931" w:rsidRDefault="00067931" w:rsidP="00067931">
            <w:pPr>
              <w:tabs>
                <w:tab w:val="left" w:pos="288"/>
                <w:tab w:val="left" w:pos="576"/>
                <w:tab w:val="left" w:pos="864"/>
                <w:tab w:val="left" w:pos="1152"/>
              </w:tabs>
              <w:spacing w:before="81" w:after="81" w:line="210" w:lineRule="exact"/>
              <w:ind w:right="40"/>
              <w:rPr>
                <w:b/>
                <w:kern w:val="0"/>
                <w:sz w:val="17"/>
              </w:rPr>
            </w:pPr>
            <w:r w:rsidRPr="00067931">
              <w:rPr>
                <w:b/>
                <w:kern w:val="0"/>
                <w:sz w:val="17"/>
              </w:rPr>
              <w:tab/>
              <w:t>Total general</w:t>
            </w:r>
          </w:p>
        </w:tc>
        <w:tc>
          <w:tcPr>
            <w:tcW w:w="1072" w:type="dxa"/>
            <w:tcBorders>
              <w:top w:val="single" w:sz="4" w:space="0" w:color="auto"/>
              <w:bottom w:val="single" w:sz="12"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067931">
              <w:rPr>
                <w:b/>
                <w:kern w:val="0"/>
                <w:sz w:val="17"/>
                <w:szCs w:val="24"/>
                <w:lang w:val="fr-FR"/>
              </w:rPr>
              <w:t>41</w:t>
            </w:r>
          </w:p>
        </w:tc>
        <w:tc>
          <w:tcPr>
            <w:tcW w:w="1464" w:type="dxa"/>
            <w:tcBorders>
              <w:top w:val="single" w:sz="4" w:space="0" w:color="auto"/>
              <w:bottom w:val="single" w:sz="12"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067931">
              <w:rPr>
                <w:b/>
                <w:kern w:val="0"/>
                <w:sz w:val="17"/>
                <w:szCs w:val="24"/>
                <w:lang w:val="fr-FR"/>
              </w:rPr>
              <w:t>8</w:t>
            </w:r>
          </w:p>
        </w:tc>
        <w:tc>
          <w:tcPr>
            <w:tcW w:w="1464" w:type="dxa"/>
            <w:tcBorders>
              <w:top w:val="single" w:sz="4" w:space="0" w:color="auto"/>
              <w:bottom w:val="single" w:sz="12"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067931">
              <w:rPr>
                <w:b/>
                <w:kern w:val="0"/>
                <w:sz w:val="17"/>
                <w:szCs w:val="24"/>
                <w:lang w:val="fr-FR"/>
              </w:rPr>
              <w:t>49</w:t>
            </w:r>
          </w:p>
        </w:tc>
        <w:tc>
          <w:tcPr>
            <w:tcW w:w="1464" w:type="dxa"/>
            <w:tcBorders>
              <w:top w:val="single" w:sz="4" w:space="0" w:color="auto"/>
              <w:bottom w:val="single" w:sz="12" w:space="0" w:color="auto"/>
            </w:tcBorders>
            <w:shd w:val="clear" w:color="auto" w:fill="auto"/>
            <w:vAlign w:val="bottom"/>
          </w:tcPr>
          <w:p w:rsidR="00067931" w:rsidRPr="00067931" w:rsidRDefault="00067931" w:rsidP="0006793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067931">
              <w:rPr>
                <w:b/>
                <w:kern w:val="0"/>
                <w:sz w:val="17"/>
                <w:szCs w:val="24"/>
                <w:lang w:val="fr-FR"/>
              </w:rPr>
              <w:t>100</w:t>
            </w:r>
          </w:p>
        </w:tc>
      </w:tr>
    </w:tbl>
    <w:p w:rsidR="00F85F65" w:rsidRPr="00F85F65" w:rsidRDefault="00F85F65" w:rsidP="00F85F65">
      <w:pPr>
        <w:pStyle w:val="SingleTxt"/>
        <w:spacing w:after="0" w:line="120" w:lineRule="exact"/>
        <w:rPr>
          <w:sz w:val="10"/>
        </w:rPr>
      </w:pPr>
    </w:p>
    <w:p w:rsidR="00405E57" w:rsidRPr="00067931" w:rsidRDefault="00F85F65" w:rsidP="000679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067931">
        <w:rPr>
          <w:i/>
          <w:sz w:val="17"/>
          <w:szCs w:val="17"/>
        </w:rPr>
        <w:t>Fuente</w:t>
      </w:r>
      <w:r w:rsidRPr="00067931">
        <w:rPr>
          <w:sz w:val="17"/>
          <w:szCs w:val="17"/>
        </w:rPr>
        <w:t>: Secretaría General de Gobierno (2009).</w:t>
      </w:r>
    </w:p>
    <w:p w:rsidR="00F85F65" w:rsidRPr="00F85F65" w:rsidRDefault="00F85F65" w:rsidP="00F85F65">
      <w:pPr>
        <w:pStyle w:val="SingleTxt"/>
        <w:suppressAutoHyphens/>
        <w:spacing w:after="0" w:line="120" w:lineRule="exact"/>
        <w:rPr>
          <w:sz w:val="10"/>
        </w:rPr>
      </w:pPr>
    </w:p>
    <w:p w:rsidR="00F85F65" w:rsidRPr="00F85F65" w:rsidRDefault="00F85F65" w:rsidP="00F85F65">
      <w:pPr>
        <w:pStyle w:val="SingleTxt"/>
        <w:suppressAutoHyphens/>
        <w:spacing w:after="0" w:line="120" w:lineRule="exact"/>
        <w:rPr>
          <w:sz w:val="10"/>
        </w:rPr>
      </w:pPr>
    </w:p>
    <w:p w:rsidR="00F85F65" w:rsidRPr="00F85F65" w:rsidRDefault="00F85F65" w:rsidP="00F85F65">
      <w:pPr>
        <w:pStyle w:val="SingleTxt"/>
        <w:suppressAutoHyphens/>
        <w:spacing w:after="0" w:line="120" w:lineRule="exact"/>
        <w:rPr>
          <w:sz w:val="10"/>
        </w:rPr>
      </w:pPr>
    </w:p>
    <w:p w:rsidR="00F85F65" w:rsidRDefault="00067931" w:rsidP="00F85F65">
      <w:pPr>
        <w:pStyle w:val="SingleTxt"/>
      </w:pPr>
      <w:r>
        <w:t>79.</w:t>
      </w:r>
      <w:r>
        <w:tab/>
      </w:r>
      <w:r w:rsidR="00F85F65">
        <w:t>En el parlamento, el plantel de diputados y senadores es el siguiente:</w:t>
      </w:r>
    </w:p>
    <w:p w:rsidR="00F85F65" w:rsidRDefault="00067931" w:rsidP="00067931">
      <w:pPr>
        <w:pStyle w:val="SingleTxt"/>
        <w:tabs>
          <w:tab w:val="right" w:pos="1685"/>
        </w:tabs>
        <w:ind w:left="1742" w:hanging="475"/>
      </w:pPr>
      <w:r>
        <w:tab/>
        <w:t>•</w:t>
      </w:r>
      <w:r>
        <w:tab/>
      </w:r>
      <w:r w:rsidR="00F85F65">
        <w:t>Elección de diputados de diciembre de 2006 y junio de 2007 (parcial): de un total de 120 diputados, la decimoprimera legislatura tiene 20 mujeres (13 mujeres titulares y 7 mujeres suplentes). Cuatro mujeres ocupan puestos de responsabilidad en la mesa de la Asamblea Nacional: sexto Vicepresidente de la mesa, primer Secretario de la mesa, primer Relator de la Comisión de asuntos sociales, asuntos culturales y comunicaciones, primer Relator de la Comisión de planificación y gestión y de medio ambiente. Cabe señalar que una gabonesa es Vicepresidente de las mujeres parlamentarias.</w:t>
      </w:r>
    </w:p>
    <w:p w:rsidR="00F85F65" w:rsidRDefault="00F85F65" w:rsidP="00F85F65">
      <w:pPr>
        <w:pStyle w:val="SingleTxt"/>
      </w:pPr>
      <w:r>
        <w:t>80.</w:t>
      </w:r>
      <w:r w:rsidR="00067931">
        <w:tab/>
      </w:r>
      <w:r>
        <w:t>En el Senado, el resultado de la elección de 2002 es el siguiente:</w:t>
      </w:r>
    </w:p>
    <w:p w:rsidR="00F85F65" w:rsidRDefault="00F85F65" w:rsidP="00067931">
      <w:pPr>
        <w:pStyle w:val="SingleTxt"/>
        <w:tabs>
          <w:tab w:val="right" w:pos="1685"/>
        </w:tabs>
        <w:ind w:left="1742" w:hanging="475"/>
      </w:pPr>
      <w:r>
        <w:tab/>
        <w:t>•</w:t>
      </w:r>
      <w:r>
        <w:tab/>
        <w:t>De 91 miembros, hay 14 mujeres senadoras. Dos mujeres ocupan puestos de responsabilidad en la mesa del Senado: segundo Cuestor y quinto Secretario.</w:t>
      </w:r>
    </w:p>
    <w:p w:rsidR="00F85F65" w:rsidRDefault="00F85F65" w:rsidP="00F85F65">
      <w:pPr>
        <w:pStyle w:val="SingleTxt"/>
      </w:pPr>
      <w:r>
        <w:t>81.</w:t>
      </w:r>
      <w:r>
        <w:tab/>
        <w:t>Queda entendido que esas cifras pueden modificarse durante la elección de senadores de enero de 2009.</w:t>
      </w:r>
    </w:p>
    <w:p w:rsidR="00F85F65" w:rsidRDefault="00F85F65" w:rsidP="00F85F65">
      <w:pPr>
        <w:pStyle w:val="SingleTxt"/>
      </w:pPr>
      <w:r>
        <w:t>82.</w:t>
      </w:r>
      <w:r>
        <w:tab/>
        <w:t>En el plano administrativo, se observa que de 203 funcionarios del Senado hay:</w:t>
      </w:r>
    </w:p>
    <w:p w:rsidR="00F85F65" w:rsidRDefault="00F85F65" w:rsidP="00067931">
      <w:pPr>
        <w:pStyle w:val="SingleTxt"/>
        <w:tabs>
          <w:tab w:val="right" w:pos="1685"/>
        </w:tabs>
        <w:ind w:left="1742" w:hanging="475"/>
      </w:pPr>
      <w:r>
        <w:tab/>
        <w:t>•</w:t>
      </w:r>
      <w:r>
        <w:tab/>
        <w:t>Una mujer Jefe de Gabinete del Presidente;</w:t>
      </w:r>
    </w:p>
    <w:p w:rsidR="00F85F65" w:rsidRDefault="00F85F65" w:rsidP="00067931">
      <w:pPr>
        <w:pStyle w:val="SingleTxt"/>
        <w:tabs>
          <w:tab w:val="right" w:pos="1685"/>
        </w:tabs>
        <w:ind w:left="1742" w:hanging="475"/>
      </w:pPr>
      <w:r>
        <w:tab/>
        <w:t>•</w:t>
      </w:r>
      <w:r>
        <w:tab/>
        <w:t>Siete mujeres consejeras;</w:t>
      </w:r>
    </w:p>
    <w:p w:rsidR="00F85F65" w:rsidRDefault="00F85F65" w:rsidP="00067931">
      <w:pPr>
        <w:pStyle w:val="SingleTxt"/>
        <w:tabs>
          <w:tab w:val="right" w:pos="1685"/>
        </w:tabs>
        <w:ind w:left="1742" w:hanging="475"/>
      </w:pPr>
      <w:r>
        <w:tab/>
        <w:t>•</w:t>
      </w:r>
      <w:r>
        <w:tab/>
        <w:t>Cuatro mujeres que ocupan puestos de director;</w:t>
      </w:r>
    </w:p>
    <w:p w:rsidR="00F85F65" w:rsidRDefault="00F85F65" w:rsidP="00067931">
      <w:pPr>
        <w:pStyle w:val="SingleTxt"/>
        <w:tabs>
          <w:tab w:val="right" w:pos="1685"/>
        </w:tabs>
        <w:ind w:left="1742" w:hanging="475"/>
      </w:pPr>
      <w:r>
        <w:tab/>
        <w:t>•</w:t>
      </w:r>
      <w:r>
        <w:tab/>
        <w:t>Tres mujeres jefes de servicio.</w:t>
      </w:r>
    </w:p>
    <w:p w:rsidR="00F85F65" w:rsidRDefault="00F85F65" w:rsidP="00F85F65">
      <w:pPr>
        <w:pStyle w:val="SingleTxt"/>
      </w:pPr>
      <w:r>
        <w:t>83.</w:t>
      </w:r>
      <w:r>
        <w:tab/>
        <w:t>A nivel local, se observa una presencia femenina, aunque bastante escasa.</w:t>
      </w:r>
    </w:p>
    <w:p w:rsidR="00F85F65" w:rsidRDefault="00F85F65" w:rsidP="00F85F65">
      <w:pPr>
        <w:pStyle w:val="SingleTxt"/>
      </w:pPr>
      <w:r>
        <w:t>84.</w:t>
      </w:r>
      <w:r>
        <w:tab/>
        <w:t>Los datos sobre la elección de consejeros departamentales y comunales de los escrutinios del 27 de abril y del 23 de noviembre de 2008 no están completos en razón de se repitieron en ciertas localidades. Su representación figura en el cuadro que sigue a continuación.</w:t>
      </w:r>
    </w:p>
    <w:p w:rsidR="00F85F65" w:rsidRPr="00F85F65" w:rsidRDefault="00F85F65" w:rsidP="00F85F65">
      <w:pPr>
        <w:pStyle w:val="SingleTxt"/>
        <w:spacing w:after="0" w:line="120" w:lineRule="exact"/>
        <w:rPr>
          <w:sz w:val="10"/>
        </w:rPr>
      </w:pPr>
    </w:p>
    <w:p w:rsidR="00405E57" w:rsidRPr="00F85F65" w:rsidRDefault="00F85F65" w:rsidP="001E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85F65">
        <w:rPr>
          <w:b w:val="0"/>
        </w:rPr>
        <w:t>Cuadro 3</w:t>
      </w:r>
      <w:r>
        <w:br/>
        <w:t>Representación de las mujeres en el plano local según el sexo y la región</w:t>
      </w:r>
    </w:p>
    <w:p w:rsidR="00F85F65" w:rsidRPr="00F85F65" w:rsidRDefault="00F85F65" w:rsidP="001E7DD2">
      <w:pPr>
        <w:pStyle w:val="SingleTxt"/>
        <w:keepNext/>
        <w:keepLines/>
        <w:suppressAutoHyphens/>
        <w:spacing w:after="0" w:line="120" w:lineRule="exact"/>
        <w:rPr>
          <w:sz w:val="10"/>
        </w:rPr>
      </w:pPr>
    </w:p>
    <w:p w:rsidR="00F85F65" w:rsidRPr="00F85F65" w:rsidRDefault="00F85F65" w:rsidP="001E7DD2">
      <w:pPr>
        <w:pStyle w:val="SingleTxt"/>
        <w:keepNext/>
        <w:keepLines/>
        <w:suppressAutoHyphens/>
        <w:spacing w:after="0" w:line="120" w:lineRule="exact"/>
        <w:rPr>
          <w:sz w:val="10"/>
        </w:rPr>
      </w:pPr>
    </w:p>
    <w:tbl>
      <w:tblPr>
        <w:tblW w:w="9854" w:type="dxa"/>
        <w:tblLayout w:type="fixed"/>
        <w:tblCellMar>
          <w:left w:w="0" w:type="dxa"/>
          <w:right w:w="0" w:type="dxa"/>
        </w:tblCellMar>
        <w:tblLook w:val="0000"/>
      </w:tblPr>
      <w:tblGrid>
        <w:gridCol w:w="1467"/>
        <w:gridCol w:w="698"/>
        <w:gridCol w:w="699"/>
        <w:gridCol w:w="699"/>
        <w:gridCol w:w="55"/>
        <w:gridCol w:w="644"/>
        <w:gridCol w:w="699"/>
        <w:gridCol w:w="699"/>
        <w:gridCol w:w="64"/>
        <w:gridCol w:w="635"/>
        <w:gridCol w:w="699"/>
        <w:gridCol w:w="699"/>
        <w:gridCol w:w="55"/>
        <w:gridCol w:w="644"/>
        <w:gridCol w:w="699"/>
        <w:gridCol w:w="699"/>
      </w:tblGrid>
      <w:tr w:rsidR="00F11F67" w:rsidRPr="0092335B" w:rsidTr="0038441F">
        <w:tblPrEx>
          <w:tblCellMar>
            <w:top w:w="0" w:type="dxa"/>
            <w:bottom w:w="0" w:type="dxa"/>
          </w:tblCellMar>
        </w:tblPrEx>
        <w:trPr>
          <w:tblHeader/>
        </w:trPr>
        <w:tc>
          <w:tcPr>
            <w:tcW w:w="1467" w:type="dxa"/>
            <w:vMerge w:val="restart"/>
            <w:tcBorders>
              <w:top w:val="single" w:sz="4" w:space="0" w:color="auto"/>
            </w:tcBorders>
            <w:shd w:val="clear" w:color="auto" w:fill="auto"/>
            <w:vAlign w:val="bottom"/>
          </w:tcPr>
          <w:p w:rsidR="00F11F67" w:rsidRPr="0092335B" w:rsidRDefault="00F11F67" w:rsidP="001E7DD2">
            <w:pPr>
              <w:keepNext/>
              <w:keepLines/>
              <w:spacing w:after="80" w:line="160" w:lineRule="exact"/>
              <w:ind w:right="40"/>
              <w:rPr>
                <w:i/>
                <w:kern w:val="0"/>
                <w:sz w:val="14"/>
              </w:rPr>
            </w:pPr>
            <w:r w:rsidRPr="0092335B">
              <w:rPr>
                <w:i/>
                <w:kern w:val="0"/>
                <w:sz w:val="14"/>
              </w:rPr>
              <w:t>Provincia</w:t>
            </w:r>
          </w:p>
        </w:tc>
        <w:tc>
          <w:tcPr>
            <w:tcW w:w="2096" w:type="dxa"/>
            <w:gridSpan w:val="3"/>
            <w:tcBorders>
              <w:top w:val="single" w:sz="4" w:space="0" w:color="auto"/>
              <w:bottom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r w:rsidRPr="0092335B">
              <w:rPr>
                <w:i/>
                <w:kern w:val="0"/>
                <w:sz w:val="14"/>
              </w:rPr>
              <w:t>Consejero comunal</w:t>
            </w:r>
          </w:p>
        </w:tc>
        <w:tc>
          <w:tcPr>
            <w:tcW w:w="55" w:type="dxa"/>
            <w:tcBorders>
              <w:top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p>
        </w:tc>
        <w:tc>
          <w:tcPr>
            <w:tcW w:w="2042" w:type="dxa"/>
            <w:gridSpan w:val="3"/>
            <w:tcBorders>
              <w:top w:val="single" w:sz="4" w:space="0" w:color="auto"/>
              <w:bottom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r w:rsidRPr="0092335B">
              <w:rPr>
                <w:i/>
                <w:kern w:val="0"/>
                <w:sz w:val="14"/>
              </w:rPr>
              <w:t>Alcaldes</w:t>
            </w:r>
          </w:p>
        </w:tc>
        <w:tc>
          <w:tcPr>
            <w:tcW w:w="64" w:type="dxa"/>
            <w:tcBorders>
              <w:top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p>
        </w:tc>
        <w:tc>
          <w:tcPr>
            <w:tcW w:w="2033" w:type="dxa"/>
            <w:gridSpan w:val="3"/>
            <w:tcBorders>
              <w:top w:val="single" w:sz="4" w:space="0" w:color="auto"/>
              <w:bottom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r w:rsidRPr="0092335B">
              <w:rPr>
                <w:i/>
                <w:kern w:val="0"/>
                <w:sz w:val="14"/>
              </w:rPr>
              <w:t>Consejeros departamentales</w:t>
            </w:r>
          </w:p>
        </w:tc>
        <w:tc>
          <w:tcPr>
            <w:tcW w:w="55" w:type="dxa"/>
            <w:tcBorders>
              <w:top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p>
        </w:tc>
        <w:tc>
          <w:tcPr>
            <w:tcW w:w="2042" w:type="dxa"/>
            <w:gridSpan w:val="3"/>
            <w:tcBorders>
              <w:top w:val="single" w:sz="4" w:space="0" w:color="auto"/>
              <w:bottom w:val="single" w:sz="4" w:space="0" w:color="auto"/>
            </w:tcBorders>
            <w:shd w:val="clear" w:color="auto" w:fill="auto"/>
            <w:vAlign w:val="bottom"/>
          </w:tcPr>
          <w:p w:rsidR="00F11F67" w:rsidRPr="0092335B" w:rsidRDefault="00F11F67" w:rsidP="001E7DD2">
            <w:pPr>
              <w:keepNext/>
              <w:keepLines/>
              <w:spacing w:before="80" w:after="80" w:line="160" w:lineRule="exact"/>
              <w:ind w:right="40"/>
              <w:jc w:val="center"/>
              <w:rPr>
                <w:i/>
                <w:kern w:val="0"/>
                <w:sz w:val="14"/>
              </w:rPr>
            </w:pPr>
            <w:r w:rsidRPr="0092335B">
              <w:rPr>
                <w:i/>
                <w:kern w:val="0"/>
                <w:sz w:val="14"/>
              </w:rPr>
              <w:t>Presidente del Consejo</w:t>
            </w:r>
          </w:p>
        </w:tc>
      </w:tr>
      <w:tr w:rsidR="00F11F67" w:rsidRPr="0092335B" w:rsidTr="0092335B">
        <w:tblPrEx>
          <w:tblCellMar>
            <w:top w:w="0" w:type="dxa"/>
            <w:bottom w:w="0" w:type="dxa"/>
          </w:tblCellMar>
        </w:tblPrEx>
        <w:trPr>
          <w:tblHeader/>
        </w:trPr>
        <w:tc>
          <w:tcPr>
            <w:tcW w:w="1467" w:type="dxa"/>
            <w:vMerge/>
            <w:tcBorders>
              <w:bottom w:val="single" w:sz="12" w:space="0" w:color="auto"/>
            </w:tcBorders>
            <w:shd w:val="clear" w:color="auto" w:fill="auto"/>
            <w:vAlign w:val="bottom"/>
          </w:tcPr>
          <w:p w:rsidR="00F11F67" w:rsidRPr="0092335B" w:rsidRDefault="00F11F67" w:rsidP="0092335B">
            <w:pPr>
              <w:spacing w:after="80" w:line="160" w:lineRule="exact"/>
              <w:ind w:right="40"/>
              <w:rPr>
                <w:i/>
                <w:kern w:val="0"/>
                <w:sz w:val="14"/>
              </w:rPr>
            </w:pPr>
          </w:p>
        </w:tc>
        <w:tc>
          <w:tcPr>
            <w:tcW w:w="698"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Hombres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Mujeres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Relación % entre géneros</w:t>
            </w:r>
          </w:p>
        </w:tc>
        <w:tc>
          <w:tcPr>
            <w:tcW w:w="699" w:type="dxa"/>
            <w:gridSpan w:val="2"/>
            <w:tcBorders>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Hombres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Mujeres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Relación % entre géneros</w:t>
            </w:r>
          </w:p>
        </w:tc>
        <w:tc>
          <w:tcPr>
            <w:tcW w:w="699" w:type="dxa"/>
            <w:gridSpan w:val="2"/>
            <w:tcBorders>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Hombres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Mujeres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Relación % entre géneros</w:t>
            </w:r>
          </w:p>
        </w:tc>
        <w:tc>
          <w:tcPr>
            <w:tcW w:w="699" w:type="dxa"/>
            <w:gridSpan w:val="2"/>
            <w:tcBorders>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Hombres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Mujeres</w:t>
            </w:r>
          </w:p>
        </w:tc>
        <w:tc>
          <w:tcPr>
            <w:tcW w:w="699" w:type="dxa"/>
            <w:tcBorders>
              <w:top w:val="single" w:sz="4" w:space="0" w:color="auto"/>
              <w:bottom w:val="single" w:sz="12" w:space="0" w:color="auto"/>
            </w:tcBorders>
            <w:shd w:val="clear" w:color="auto" w:fill="auto"/>
            <w:vAlign w:val="bottom"/>
          </w:tcPr>
          <w:p w:rsidR="00F11F67" w:rsidRPr="0092335B" w:rsidRDefault="00F11F67" w:rsidP="001E7DD2">
            <w:pPr>
              <w:spacing w:before="40" w:after="80" w:line="160" w:lineRule="exact"/>
              <w:ind w:right="43"/>
              <w:jc w:val="right"/>
              <w:rPr>
                <w:i/>
                <w:kern w:val="0"/>
                <w:sz w:val="14"/>
              </w:rPr>
            </w:pPr>
            <w:r w:rsidRPr="0092335B">
              <w:rPr>
                <w:i/>
                <w:kern w:val="0"/>
                <w:sz w:val="14"/>
              </w:rPr>
              <w:t>Relación % entre géneros</w:t>
            </w:r>
          </w:p>
        </w:tc>
      </w:tr>
      <w:tr w:rsidR="0092335B" w:rsidRPr="0092335B" w:rsidTr="0092335B">
        <w:tblPrEx>
          <w:tblCellMar>
            <w:top w:w="0" w:type="dxa"/>
            <w:bottom w:w="0" w:type="dxa"/>
          </w:tblCellMar>
        </w:tblPrEx>
        <w:trPr>
          <w:trHeight w:hRule="exact" w:val="115"/>
          <w:tblHeader/>
        </w:trPr>
        <w:tc>
          <w:tcPr>
            <w:tcW w:w="1467"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right="40"/>
              <w:jc w:val="left"/>
              <w:rPr>
                <w:spacing w:val="4"/>
                <w:w w:val="103"/>
                <w:sz w:val="17"/>
                <w:szCs w:val="17"/>
                <w:lang w:val="fr-FR"/>
              </w:rPr>
            </w:pPr>
          </w:p>
        </w:tc>
        <w:tc>
          <w:tcPr>
            <w:tcW w:w="698"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gridSpan w:val="2"/>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gridSpan w:val="2"/>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gridSpan w:val="2"/>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c>
          <w:tcPr>
            <w:tcW w:w="699" w:type="dxa"/>
            <w:tcBorders>
              <w:top w:val="single" w:sz="12" w:space="0" w:color="auto"/>
            </w:tcBorders>
            <w:shd w:val="clear" w:color="auto" w:fill="auto"/>
            <w:vAlign w:val="bottom"/>
          </w:tcPr>
          <w:p w:rsidR="0092335B" w:rsidRPr="0092335B" w:rsidRDefault="0092335B" w:rsidP="0092335B">
            <w:pPr>
              <w:pStyle w:val="DTpara"/>
              <w:numPr>
                <w:ilvl w:val="0"/>
                <w:numId w:val="0"/>
              </w:numPr>
              <w:spacing w:before="40" w:after="40" w:line="210" w:lineRule="exact"/>
              <w:ind w:left="113" w:right="40"/>
              <w:jc w:val="right"/>
              <w:rPr>
                <w:spacing w:val="4"/>
                <w:w w:val="103"/>
                <w:sz w:val="17"/>
                <w:szCs w:val="17"/>
                <w:lang w:val="fr-FR"/>
              </w:rPr>
            </w:pP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Estuaire</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9</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21,43</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Haut-Ogooué</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200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46</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23</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160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13,13</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Moyen-Ogooué</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34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32,35</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27</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7</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25,93</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Ngounié</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115</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30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26,09</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12,5</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123</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9</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7,32</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12,5</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Nyanga</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24,4</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6</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77</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10,39</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6</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Ogooué Ivindo</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61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9</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14,75</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54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14,81</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Ogooué Lolo</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67</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31,34</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54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6</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11,11</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r>
      <w:tr w:rsidR="0092335B" w:rsidRPr="0092335B" w:rsidTr="0092335B">
        <w:tblPrEx>
          <w:tblCellMar>
            <w:top w:w="0" w:type="dxa"/>
            <w:bottom w:w="0" w:type="dxa"/>
          </w:tblCellMar>
        </w:tblPrEx>
        <w:tc>
          <w:tcPr>
            <w:tcW w:w="1467"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right="40"/>
              <w:jc w:val="left"/>
              <w:rPr>
                <w:spacing w:val="4"/>
                <w:w w:val="103"/>
                <w:sz w:val="17"/>
                <w:szCs w:val="17"/>
                <w:lang w:val="fr-FR"/>
              </w:rPr>
            </w:pPr>
            <w:r w:rsidRPr="0092335B">
              <w:rPr>
                <w:spacing w:val="4"/>
                <w:w w:val="103"/>
                <w:sz w:val="17"/>
                <w:szCs w:val="17"/>
                <w:lang w:val="fr-FR"/>
              </w:rPr>
              <w:t>Ogooué maritime</w:t>
            </w:r>
          </w:p>
        </w:tc>
        <w:tc>
          <w:tcPr>
            <w:tcW w:w="698"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80</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23</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28,75</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2</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50</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49</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5</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10,2</w:t>
            </w:r>
          </w:p>
        </w:tc>
        <w:tc>
          <w:tcPr>
            <w:tcW w:w="699" w:type="dxa"/>
            <w:gridSpan w:val="2"/>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3</w:t>
            </w: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p>
        </w:tc>
        <w:tc>
          <w:tcPr>
            <w:tcW w:w="699" w:type="dxa"/>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17"/>
                <w:lang w:val="fr-FR"/>
              </w:rPr>
            </w:pPr>
            <w:r w:rsidRPr="0092335B">
              <w:rPr>
                <w:spacing w:val="4"/>
                <w:w w:val="103"/>
                <w:sz w:val="17"/>
                <w:szCs w:val="17"/>
                <w:lang w:val="fr-FR"/>
              </w:rPr>
              <w:t>0</w:t>
            </w:r>
          </w:p>
        </w:tc>
      </w:tr>
      <w:tr w:rsidR="0092335B" w:rsidRPr="0092335B" w:rsidTr="0092335B">
        <w:tblPrEx>
          <w:tblCellMar>
            <w:top w:w="0" w:type="dxa"/>
            <w:bottom w:w="0" w:type="dxa"/>
          </w:tblCellMar>
        </w:tblPrEx>
        <w:tc>
          <w:tcPr>
            <w:tcW w:w="1467"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right="40"/>
              <w:jc w:val="left"/>
              <w:rPr>
                <w:spacing w:val="4"/>
                <w:w w:val="103"/>
                <w:sz w:val="17"/>
                <w:szCs w:val="17"/>
                <w:lang w:val="fr-FR"/>
              </w:rPr>
            </w:pPr>
            <w:r w:rsidRPr="0092335B">
              <w:rPr>
                <w:spacing w:val="4"/>
                <w:w w:val="103"/>
                <w:sz w:val="17"/>
                <w:szCs w:val="17"/>
                <w:lang w:val="fr-FR"/>
              </w:rPr>
              <w:t>Wolen Ntem</w:t>
            </w:r>
          </w:p>
        </w:tc>
        <w:tc>
          <w:tcPr>
            <w:tcW w:w="698"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99</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11</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11,11</w:t>
            </w:r>
          </w:p>
        </w:tc>
        <w:tc>
          <w:tcPr>
            <w:tcW w:w="699" w:type="dxa"/>
            <w:gridSpan w:val="2"/>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4</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1</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25</w:t>
            </w:r>
          </w:p>
        </w:tc>
        <w:tc>
          <w:tcPr>
            <w:tcW w:w="699" w:type="dxa"/>
            <w:gridSpan w:val="2"/>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79</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7</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8,9</w:t>
            </w:r>
          </w:p>
        </w:tc>
        <w:tc>
          <w:tcPr>
            <w:tcW w:w="699" w:type="dxa"/>
            <w:gridSpan w:val="2"/>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5</w:t>
            </w: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p>
        </w:tc>
        <w:tc>
          <w:tcPr>
            <w:tcW w:w="699" w:type="dxa"/>
            <w:tcBorders>
              <w:bottom w:val="single" w:sz="4"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17"/>
                <w:lang w:val="fr-FR"/>
              </w:rPr>
            </w:pPr>
            <w:r w:rsidRPr="0092335B">
              <w:rPr>
                <w:spacing w:val="4"/>
                <w:w w:val="103"/>
                <w:sz w:val="17"/>
                <w:szCs w:val="17"/>
                <w:lang w:val="fr-FR"/>
              </w:rPr>
              <w:t>0</w:t>
            </w:r>
          </w:p>
        </w:tc>
      </w:tr>
      <w:tr w:rsidR="0092335B" w:rsidRPr="0092335B" w:rsidTr="0092335B">
        <w:tblPrEx>
          <w:tblCellMar>
            <w:top w:w="0" w:type="dxa"/>
            <w:bottom w:w="0" w:type="dxa"/>
          </w:tblCellMar>
        </w:tblPrEx>
        <w:tc>
          <w:tcPr>
            <w:tcW w:w="1467"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right="40"/>
              <w:jc w:val="left"/>
              <w:rPr>
                <w:b/>
                <w:spacing w:val="4"/>
                <w:w w:val="103"/>
                <w:sz w:val="17"/>
                <w:szCs w:val="17"/>
                <w:lang w:val="fr-FR"/>
              </w:rPr>
            </w:pPr>
            <w:r w:rsidRPr="0092335B">
              <w:rPr>
                <w:b/>
                <w:spacing w:val="4"/>
                <w:w w:val="103"/>
                <w:sz w:val="17"/>
                <w:szCs w:val="17"/>
                <w:lang w:val="fr-FR"/>
              </w:rPr>
              <w:tab/>
              <w:t>Total</w:t>
            </w:r>
          </w:p>
        </w:tc>
        <w:tc>
          <w:tcPr>
            <w:tcW w:w="698"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738</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171</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23,17</w:t>
            </w:r>
          </w:p>
        </w:tc>
        <w:tc>
          <w:tcPr>
            <w:tcW w:w="699" w:type="dxa"/>
            <w:gridSpan w:val="2"/>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42</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3</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7,14</w:t>
            </w:r>
          </w:p>
        </w:tc>
        <w:tc>
          <w:tcPr>
            <w:tcW w:w="699" w:type="dxa"/>
            <w:gridSpan w:val="2"/>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665</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80</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12</w:t>
            </w:r>
          </w:p>
        </w:tc>
        <w:tc>
          <w:tcPr>
            <w:tcW w:w="699" w:type="dxa"/>
            <w:gridSpan w:val="2"/>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46</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6</w:t>
            </w:r>
          </w:p>
        </w:tc>
        <w:tc>
          <w:tcPr>
            <w:tcW w:w="699" w:type="dxa"/>
            <w:tcBorders>
              <w:top w:val="single" w:sz="4" w:space="0" w:color="auto"/>
              <w:bottom w:val="single" w:sz="12" w:space="0" w:color="auto"/>
            </w:tcBorders>
            <w:shd w:val="clear" w:color="auto" w:fill="auto"/>
            <w:vAlign w:val="bottom"/>
          </w:tcPr>
          <w:p w:rsidR="0092335B" w:rsidRPr="0092335B" w:rsidRDefault="0092335B" w:rsidP="0092335B">
            <w:pPr>
              <w:pStyle w:val="DTpara"/>
              <w:numPr>
                <w:ilvl w:val="0"/>
                <w:numId w:val="0"/>
              </w:numPr>
              <w:tabs>
                <w:tab w:val="left" w:pos="288"/>
                <w:tab w:val="left" w:pos="576"/>
                <w:tab w:val="left" w:pos="864"/>
                <w:tab w:val="left" w:pos="1152"/>
              </w:tabs>
              <w:spacing w:before="81" w:after="81" w:line="210" w:lineRule="exact"/>
              <w:ind w:left="113" w:right="40"/>
              <w:jc w:val="right"/>
              <w:rPr>
                <w:b/>
                <w:spacing w:val="4"/>
                <w:w w:val="103"/>
                <w:sz w:val="17"/>
                <w:szCs w:val="17"/>
                <w:lang w:val="fr-FR"/>
              </w:rPr>
            </w:pPr>
            <w:r w:rsidRPr="0092335B">
              <w:rPr>
                <w:b/>
                <w:spacing w:val="4"/>
                <w:w w:val="103"/>
                <w:sz w:val="17"/>
                <w:szCs w:val="17"/>
                <w:lang w:val="fr-FR"/>
              </w:rPr>
              <w:t>0,13</w:t>
            </w:r>
          </w:p>
        </w:tc>
      </w:tr>
    </w:tbl>
    <w:p w:rsidR="001E7DD2" w:rsidRPr="001E7DD2" w:rsidRDefault="001E7DD2" w:rsidP="001E7DD2">
      <w:pPr>
        <w:pStyle w:val="SingleTxt"/>
        <w:suppressAutoHyphens/>
        <w:spacing w:after="0" w:line="120" w:lineRule="exact"/>
        <w:rPr>
          <w:sz w:val="10"/>
        </w:rPr>
      </w:pPr>
    </w:p>
    <w:p w:rsidR="001E7DD2" w:rsidRPr="001E7DD2" w:rsidRDefault="001E7DD2" w:rsidP="001E7DD2">
      <w:pPr>
        <w:pStyle w:val="SingleTxt"/>
        <w:suppressAutoHyphens/>
        <w:spacing w:after="0" w:line="120" w:lineRule="exact"/>
        <w:rPr>
          <w:sz w:val="10"/>
        </w:rPr>
      </w:pPr>
    </w:p>
    <w:p w:rsidR="001E7DD2" w:rsidRPr="001E7DD2" w:rsidRDefault="001E7DD2" w:rsidP="001E7DD2">
      <w:pPr>
        <w:pStyle w:val="SingleTxt"/>
        <w:suppressAutoHyphens/>
        <w:spacing w:after="0" w:line="120" w:lineRule="exact"/>
        <w:rPr>
          <w:sz w:val="10"/>
        </w:rPr>
      </w:pPr>
    </w:p>
    <w:p w:rsidR="002D5A32" w:rsidRDefault="001E7DD2" w:rsidP="001E7DD2">
      <w:pPr>
        <w:pStyle w:val="SingleTxt"/>
        <w:suppressAutoHyphens/>
        <w:spacing w:line="240" w:lineRule="auto"/>
      </w:pPr>
      <w:r w:rsidRPr="006160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16.75pt">
            <v:imagedata r:id="rId14" o:title=""/>
          </v:shape>
        </w:pict>
      </w:r>
    </w:p>
    <w:p w:rsidR="001E7DD2" w:rsidRPr="001E7DD2" w:rsidRDefault="001E7DD2" w:rsidP="001E7DD2">
      <w:pPr>
        <w:pStyle w:val="SingleTxt"/>
        <w:suppressAutoHyphens/>
        <w:spacing w:after="0" w:line="120" w:lineRule="exact"/>
        <w:rPr>
          <w:sz w:val="10"/>
        </w:rPr>
      </w:pPr>
    </w:p>
    <w:p w:rsidR="001E7DD2" w:rsidRPr="001E7DD2" w:rsidRDefault="001E7DD2" w:rsidP="001E7DD2">
      <w:pPr>
        <w:pStyle w:val="SingleTxt"/>
        <w:suppressAutoHyphens/>
        <w:spacing w:after="0" w:line="120" w:lineRule="exact"/>
        <w:rPr>
          <w:sz w:val="10"/>
        </w:rPr>
      </w:pPr>
    </w:p>
    <w:p w:rsidR="001E7DD2" w:rsidRPr="001E7DD2" w:rsidRDefault="001E7DD2" w:rsidP="001E7DD2">
      <w:pPr>
        <w:pStyle w:val="SingleTxt"/>
        <w:suppressAutoHyphens/>
        <w:spacing w:after="0" w:line="120" w:lineRule="exact"/>
        <w:rPr>
          <w:sz w:val="10"/>
        </w:rPr>
      </w:pPr>
    </w:p>
    <w:p w:rsidR="001E7DD2" w:rsidRDefault="001E7DD2" w:rsidP="001E7DD2">
      <w:pPr>
        <w:pStyle w:val="SingleTxt"/>
      </w:pPr>
      <w:r>
        <w:t>85.</w:t>
      </w:r>
      <w:r>
        <w:tab/>
        <w:t>En la justicia, un sector de gobernanza sumamente estratégico, hay mujeres en los diferentes cuerpos como magistradas, secretarias, abogadas, ujieres, etc. En ese sector, las mujeres tienen una representación significativa con casi el 40%. Su presencia es más marcada puestos de secretarias.</w:t>
      </w:r>
    </w:p>
    <w:p w:rsidR="00F66041" w:rsidRPr="00F66041" w:rsidRDefault="00F66041" w:rsidP="00F66041">
      <w:pPr>
        <w:pStyle w:val="SingleTxt"/>
        <w:spacing w:after="0" w:line="120" w:lineRule="exact"/>
        <w:rPr>
          <w:sz w:val="10"/>
        </w:rPr>
      </w:pPr>
    </w:p>
    <w:p w:rsidR="001E7DD2" w:rsidRDefault="00F66041" w:rsidP="0082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E7DD2" w:rsidRPr="00F66041">
        <w:rPr>
          <w:b w:val="0"/>
        </w:rPr>
        <w:t>Cuadro 4</w:t>
      </w:r>
      <w:r>
        <w:br/>
      </w:r>
      <w:r w:rsidR="001E7DD2">
        <w:t>Número de mujeres en relación con los hombres en las instituciones judiciales</w:t>
      </w:r>
      <w:r>
        <w:br/>
      </w:r>
      <w:r w:rsidRPr="00F66041">
        <w:t>(2007)</w:t>
      </w:r>
    </w:p>
    <w:p w:rsidR="00F66041" w:rsidRPr="00F66041" w:rsidRDefault="00F66041" w:rsidP="00824603">
      <w:pPr>
        <w:pStyle w:val="SingleTxt"/>
        <w:keepNext/>
        <w:keepLines/>
        <w:spacing w:after="0" w:line="120" w:lineRule="exact"/>
        <w:rPr>
          <w:sz w:val="10"/>
        </w:rPr>
      </w:pPr>
    </w:p>
    <w:p w:rsidR="00F66041" w:rsidRPr="00F66041" w:rsidRDefault="00F66041" w:rsidP="00824603">
      <w:pPr>
        <w:pStyle w:val="SingleTxt"/>
        <w:keepNext/>
        <w:keepLines/>
        <w:spacing w:after="0" w:line="120" w:lineRule="exact"/>
        <w:rPr>
          <w:sz w:val="10"/>
        </w:rPr>
      </w:pPr>
    </w:p>
    <w:tbl>
      <w:tblPr>
        <w:tblW w:w="0" w:type="auto"/>
        <w:tblInd w:w="1260" w:type="dxa"/>
        <w:tblLayout w:type="fixed"/>
        <w:tblCellMar>
          <w:left w:w="0" w:type="dxa"/>
          <w:right w:w="0" w:type="dxa"/>
        </w:tblCellMar>
        <w:tblLook w:val="0000"/>
      </w:tblPr>
      <w:tblGrid>
        <w:gridCol w:w="2097"/>
        <w:gridCol w:w="1153"/>
        <w:gridCol w:w="1148"/>
        <w:gridCol w:w="1230"/>
        <w:gridCol w:w="1692"/>
      </w:tblGrid>
      <w:tr w:rsidR="00824603" w:rsidRPr="00824603" w:rsidTr="00824603">
        <w:tblPrEx>
          <w:tblCellMar>
            <w:top w:w="0" w:type="dxa"/>
            <w:bottom w:w="0" w:type="dxa"/>
          </w:tblCellMar>
        </w:tblPrEx>
        <w:trPr>
          <w:tblHeader/>
        </w:trPr>
        <w:tc>
          <w:tcPr>
            <w:tcW w:w="2097" w:type="dxa"/>
            <w:tcBorders>
              <w:top w:val="single" w:sz="4" w:space="0" w:color="auto"/>
              <w:bottom w:val="single" w:sz="12" w:space="0" w:color="auto"/>
            </w:tcBorders>
            <w:shd w:val="clear" w:color="auto" w:fill="auto"/>
            <w:vAlign w:val="bottom"/>
          </w:tcPr>
          <w:p w:rsidR="00F66041" w:rsidRPr="00824603" w:rsidRDefault="00F66041" w:rsidP="00824603">
            <w:pPr>
              <w:keepNext/>
              <w:keepLines/>
              <w:tabs>
                <w:tab w:val="left" w:pos="288"/>
                <w:tab w:val="left" w:pos="576"/>
                <w:tab w:val="left" w:pos="864"/>
                <w:tab w:val="left" w:pos="1152"/>
              </w:tabs>
              <w:spacing w:before="80" w:after="80" w:line="160" w:lineRule="exact"/>
              <w:ind w:right="40"/>
              <w:rPr>
                <w:i/>
                <w:kern w:val="0"/>
                <w:sz w:val="14"/>
              </w:rPr>
            </w:pPr>
            <w:r w:rsidRPr="00824603">
              <w:rPr>
                <w:i/>
                <w:kern w:val="0"/>
                <w:sz w:val="14"/>
              </w:rPr>
              <w:t>Funciones</w:t>
            </w:r>
          </w:p>
        </w:tc>
        <w:tc>
          <w:tcPr>
            <w:tcW w:w="1153" w:type="dxa"/>
            <w:tcBorders>
              <w:top w:val="single" w:sz="4" w:space="0" w:color="auto"/>
              <w:bottom w:val="single" w:sz="12" w:space="0" w:color="auto"/>
            </w:tcBorders>
            <w:shd w:val="clear" w:color="auto" w:fill="auto"/>
            <w:vAlign w:val="bottom"/>
          </w:tcPr>
          <w:p w:rsidR="00F66041" w:rsidRPr="00824603" w:rsidRDefault="00F66041" w:rsidP="00824603">
            <w:pPr>
              <w:keepNext/>
              <w:keepLines/>
              <w:tabs>
                <w:tab w:val="left" w:pos="288"/>
                <w:tab w:val="left" w:pos="576"/>
                <w:tab w:val="left" w:pos="864"/>
                <w:tab w:val="left" w:pos="1152"/>
              </w:tabs>
              <w:spacing w:before="80" w:after="80" w:line="160" w:lineRule="exact"/>
              <w:ind w:right="40"/>
              <w:jc w:val="right"/>
              <w:rPr>
                <w:i/>
                <w:kern w:val="0"/>
                <w:sz w:val="14"/>
              </w:rPr>
            </w:pPr>
            <w:r w:rsidRPr="00824603">
              <w:rPr>
                <w:i/>
                <w:kern w:val="0"/>
                <w:sz w:val="14"/>
              </w:rPr>
              <w:t>Hombres</w:t>
            </w:r>
          </w:p>
        </w:tc>
        <w:tc>
          <w:tcPr>
            <w:tcW w:w="1148" w:type="dxa"/>
            <w:tcBorders>
              <w:top w:val="single" w:sz="4" w:space="0" w:color="auto"/>
              <w:bottom w:val="single" w:sz="12" w:space="0" w:color="auto"/>
            </w:tcBorders>
            <w:shd w:val="clear" w:color="auto" w:fill="auto"/>
            <w:vAlign w:val="bottom"/>
          </w:tcPr>
          <w:p w:rsidR="00F66041" w:rsidRPr="00824603" w:rsidRDefault="00F66041" w:rsidP="00824603">
            <w:pPr>
              <w:keepNext/>
              <w:keepLines/>
              <w:tabs>
                <w:tab w:val="left" w:pos="288"/>
                <w:tab w:val="left" w:pos="576"/>
                <w:tab w:val="left" w:pos="864"/>
                <w:tab w:val="left" w:pos="1152"/>
              </w:tabs>
              <w:spacing w:before="80" w:after="80" w:line="160" w:lineRule="exact"/>
              <w:ind w:right="40"/>
              <w:jc w:val="right"/>
              <w:rPr>
                <w:i/>
                <w:kern w:val="0"/>
                <w:sz w:val="14"/>
              </w:rPr>
            </w:pPr>
            <w:r w:rsidRPr="00824603">
              <w:rPr>
                <w:i/>
                <w:kern w:val="0"/>
                <w:sz w:val="14"/>
              </w:rPr>
              <w:t>Mujeres</w:t>
            </w:r>
          </w:p>
        </w:tc>
        <w:tc>
          <w:tcPr>
            <w:tcW w:w="1230" w:type="dxa"/>
            <w:tcBorders>
              <w:top w:val="single" w:sz="4" w:space="0" w:color="auto"/>
              <w:bottom w:val="single" w:sz="12" w:space="0" w:color="auto"/>
            </w:tcBorders>
            <w:shd w:val="clear" w:color="auto" w:fill="auto"/>
            <w:vAlign w:val="bottom"/>
          </w:tcPr>
          <w:p w:rsidR="00F66041" w:rsidRPr="00824603" w:rsidRDefault="00F66041" w:rsidP="00824603">
            <w:pPr>
              <w:keepNext/>
              <w:keepLines/>
              <w:tabs>
                <w:tab w:val="left" w:pos="288"/>
                <w:tab w:val="left" w:pos="576"/>
                <w:tab w:val="left" w:pos="864"/>
                <w:tab w:val="left" w:pos="1152"/>
              </w:tabs>
              <w:spacing w:before="80" w:after="80" w:line="160" w:lineRule="exact"/>
              <w:ind w:right="40"/>
              <w:jc w:val="right"/>
              <w:rPr>
                <w:i/>
                <w:kern w:val="0"/>
                <w:sz w:val="14"/>
              </w:rPr>
            </w:pPr>
            <w:r w:rsidRPr="00824603">
              <w:rPr>
                <w:i/>
                <w:kern w:val="0"/>
                <w:sz w:val="14"/>
              </w:rPr>
              <w:t>Total</w:t>
            </w:r>
          </w:p>
        </w:tc>
        <w:tc>
          <w:tcPr>
            <w:tcW w:w="1692" w:type="dxa"/>
            <w:tcBorders>
              <w:top w:val="single" w:sz="4" w:space="0" w:color="auto"/>
              <w:bottom w:val="single" w:sz="12" w:space="0" w:color="auto"/>
            </w:tcBorders>
            <w:shd w:val="clear" w:color="auto" w:fill="auto"/>
            <w:vAlign w:val="bottom"/>
          </w:tcPr>
          <w:p w:rsidR="00F66041" w:rsidRPr="00824603" w:rsidRDefault="00F66041" w:rsidP="00824603">
            <w:pPr>
              <w:keepNext/>
              <w:keepLines/>
              <w:tabs>
                <w:tab w:val="left" w:pos="288"/>
                <w:tab w:val="left" w:pos="576"/>
                <w:tab w:val="left" w:pos="864"/>
                <w:tab w:val="left" w:pos="1152"/>
              </w:tabs>
              <w:spacing w:before="80" w:after="80" w:line="160" w:lineRule="exact"/>
              <w:ind w:right="40"/>
              <w:jc w:val="right"/>
              <w:rPr>
                <w:i/>
                <w:kern w:val="0"/>
                <w:sz w:val="14"/>
              </w:rPr>
            </w:pPr>
            <w:r w:rsidRPr="00824603">
              <w:rPr>
                <w:i/>
                <w:kern w:val="0"/>
                <w:sz w:val="14"/>
              </w:rPr>
              <w:t>Porcentaje de mujeres</w:t>
            </w:r>
          </w:p>
        </w:tc>
      </w:tr>
      <w:tr w:rsidR="00824603" w:rsidRPr="00824603" w:rsidTr="00824603">
        <w:tblPrEx>
          <w:tblCellMar>
            <w:top w:w="0" w:type="dxa"/>
            <w:bottom w:w="0" w:type="dxa"/>
          </w:tblCellMar>
        </w:tblPrEx>
        <w:trPr>
          <w:trHeight w:hRule="exact" w:val="115"/>
          <w:tblHeader/>
        </w:trPr>
        <w:tc>
          <w:tcPr>
            <w:tcW w:w="2097" w:type="dxa"/>
            <w:tcBorders>
              <w:top w:val="single" w:sz="12" w:space="0" w:color="auto"/>
            </w:tcBorders>
            <w:shd w:val="clear" w:color="auto" w:fill="auto"/>
            <w:vAlign w:val="bottom"/>
          </w:tcPr>
          <w:p w:rsidR="00824603" w:rsidRPr="00824603" w:rsidRDefault="00824603" w:rsidP="00824603">
            <w:pPr>
              <w:tabs>
                <w:tab w:val="left" w:pos="288"/>
                <w:tab w:val="left" w:pos="576"/>
                <w:tab w:val="left" w:pos="864"/>
                <w:tab w:val="left" w:pos="1152"/>
              </w:tabs>
              <w:spacing w:before="40" w:after="40" w:line="210" w:lineRule="exact"/>
              <w:ind w:right="40"/>
              <w:rPr>
                <w:kern w:val="0"/>
                <w:sz w:val="17"/>
              </w:rPr>
            </w:pPr>
          </w:p>
        </w:tc>
        <w:tc>
          <w:tcPr>
            <w:tcW w:w="1153" w:type="dxa"/>
            <w:tcBorders>
              <w:top w:val="single" w:sz="12" w:space="0" w:color="auto"/>
            </w:tcBorders>
            <w:shd w:val="clear" w:color="auto" w:fill="auto"/>
            <w:vAlign w:val="bottom"/>
          </w:tcPr>
          <w:p w:rsidR="00824603" w:rsidRPr="00824603" w:rsidRDefault="00824603" w:rsidP="00824603">
            <w:pPr>
              <w:pStyle w:val="DTpara"/>
              <w:numPr>
                <w:ilvl w:val="0"/>
                <w:numId w:val="0"/>
              </w:numPr>
              <w:spacing w:before="40" w:after="40" w:line="210" w:lineRule="exact"/>
              <w:ind w:left="-247" w:right="40"/>
              <w:jc w:val="right"/>
              <w:rPr>
                <w:spacing w:val="4"/>
                <w:w w:val="103"/>
                <w:sz w:val="17"/>
                <w:szCs w:val="24"/>
                <w:lang w:val="fr-FR"/>
              </w:rPr>
            </w:pPr>
          </w:p>
        </w:tc>
        <w:tc>
          <w:tcPr>
            <w:tcW w:w="1148" w:type="dxa"/>
            <w:tcBorders>
              <w:top w:val="single" w:sz="12" w:space="0" w:color="auto"/>
            </w:tcBorders>
            <w:shd w:val="clear" w:color="auto" w:fill="auto"/>
            <w:vAlign w:val="bottom"/>
          </w:tcPr>
          <w:p w:rsidR="00824603" w:rsidRPr="00824603" w:rsidRDefault="00824603" w:rsidP="00824603">
            <w:pPr>
              <w:pStyle w:val="DTpara"/>
              <w:numPr>
                <w:ilvl w:val="0"/>
                <w:numId w:val="0"/>
              </w:numPr>
              <w:spacing w:before="40" w:after="40" w:line="210" w:lineRule="exact"/>
              <w:ind w:left="-247" w:right="40"/>
              <w:jc w:val="right"/>
              <w:rPr>
                <w:spacing w:val="4"/>
                <w:w w:val="103"/>
                <w:sz w:val="17"/>
                <w:szCs w:val="24"/>
                <w:lang w:val="fr-FR"/>
              </w:rPr>
            </w:pPr>
          </w:p>
        </w:tc>
        <w:tc>
          <w:tcPr>
            <w:tcW w:w="1230" w:type="dxa"/>
            <w:tcBorders>
              <w:top w:val="single" w:sz="12" w:space="0" w:color="auto"/>
            </w:tcBorders>
            <w:shd w:val="clear" w:color="auto" w:fill="auto"/>
            <w:vAlign w:val="bottom"/>
          </w:tcPr>
          <w:p w:rsidR="00824603" w:rsidRPr="00824603" w:rsidRDefault="00824603" w:rsidP="00824603">
            <w:pPr>
              <w:pStyle w:val="DTpara"/>
              <w:numPr>
                <w:ilvl w:val="0"/>
                <w:numId w:val="0"/>
              </w:numPr>
              <w:spacing w:before="40" w:after="40" w:line="210" w:lineRule="exact"/>
              <w:ind w:left="-247" w:right="40"/>
              <w:jc w:val="right"/>
              <w:rPr>
                <w:spacing w:val="4"/>
                <w:w w:val="103"/>
                <w:sz w:val="17"/>
                <w:szCs w:val="24"/>
                <w:lang w:val="fr-FR"/>
              </w:rPr>
            </w:pPr>
          </w:p>
        </w:tc>
        <w:tc>
          <w:tcPr>
            <w:tcW w:w="1692" w:type="dxa"/>
            <w:tcBorders>
              <w:top w:val="single" w:sz="12" w:space="0" w:color="auto"/>
            </w:tcBorders>
            <w:shd w:val="clear" w:color="auto" w:fill="auto"/>
            <w:vAlign w:val="bottom"/>
          </w:tcPr>
          <w:p w:rsidR="00824603" w:rsidRPr="00824603" w:rsidRDefault="00824603" w:rsidP="00824603">
            <w:pPr>
              <w:pStyle w:val="DTpara"/>
              <w:numPr>
                <w:ilvl w:val="0"/>
                <w:numId w:val="0"/>
              </w:numPr>
              <w:spacing w:before="40" w:after="40" w:line="210" w:lineRule="exact"/>
              <w:ind w:left="-247" w:right="40"/>
              <w:jc w:val="right"/>
              <w:rPr>
                <w:spacing w:val="4"/>
                <w:w w:val="103"/>
                <w:sz w:val="17"/>
                <w:szCs w:val="24"/>
                <w:lang w:val="fr-FR"/>
              </w:rPr>
            </w:pP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Procurador, Procurador adjunto y suplente</w:t>
            </w:r>
          </w:p>
        </w:tc>
        <w:tc>
          <w:tcPr>
            <w:tcW w:w="1153"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25</w:t>
            </w:r>
          </w:p>
        </w:tc>
        <w:tc>
          <w:tcPr>
            <w:tcW w:w="1148"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9</w:t>
            </w:r>
          </w:p>
        </w:tc>
        <w:tc>
          <w:tcPr>
            <w:tcW w:w="1230"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34</w:t>
            </w:r>
          </w:p>
        </w:tc>
        <w:tc>
          <w:tcPr>
            <w:tcW w:w="1692"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26,47</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Presidente del Tribunal</w:t>
            </w:r>
          </w:p>
        </w:tc>
        <w:tc>
          <w:tcPr>
            <w:tcW w:w="1153"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15</w:t>
            </w:r>
          </w:p>
        </w:tc>
        <w:tc>
          <w:tcPr>
            <w:tcW w:w="1148"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7</w:t>
            </w:r>
          </w:p>
        </w:tc>
        <w:tc>
          <w:tcPr>
            <w:tcW w:w="1230"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22</w:t>
            </w:r>
          </w:p>
        </w:tc>
        <w:tc>
          <w:tcPr>
            <w:tcW w:w="1692"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31,82</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Secretario General</w:t>
            </w:r>
          </w:p>
        </w:tc>
        <w:tc>
          <w:tcPr>
            <w:tcW w:w="1153"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1</w:t>
            </w:r>
          </w:p>
        </w:tc>
        <w:tc>
          <w:tcPr>
            <w:tcW w:w="1148"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w:t>
            </w:r>
          </w:p>
        </w:tc>
        <w:tc>
          <w:tcPr>
            <w:tcW w:w="1230"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3</w:t>
            </w:r>
          </w:p>
        </w:tc>
        <w:tc>
          <w:tcPr>
            <w:tcW w:w="1692"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66,67</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Tribunal Constitucional</w:t>
            </w:r>
          </w:p>
        </w:tc>
        <w:tc>
          <w:tcPr>
            <w:tcW w:w="1153"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7</w:t>
            </w:r>
          </w:p>
        </w:tc>
        <w:tc>
          <w:tcPr>
            <w:tcW w:w="1148"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w:t>
            </w:r>
          </w:p>
        </w:tc>
        <w:tc>
          <w:tcPr>
            <w:tcW w:w="1230"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9</w:t>
            </w:r>
          </w:p>
        </w:tc>
        <w:tc>
          <w:tcPr>
            <w:tcW w:w="1692"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22,22</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Tribunal Supremo</w:t>
            </w:r>
          </w:p>
        </w:tc>
        <w:tc>
          <w:tcPr>
            <w:tcW w:w="1153"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w:t>
            </w:r>
          </w:p>
        </w:tc>
        <w:tc>
          <w:tcPr>
            <w:tcW w:w="1148"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w:t>
            </w:r>
          </w:p>
        </w:tc>
        <w:tc>
          <w:tcPr>
            <w:tcW w:w="1230"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w:t>
            </w:r>
          </w:p>
        </w:tc>
        <w:tc>
          <w:tcPr>
            <w:tcW w:w="1692" w:type="dxa"/>
            <w:shd w:val="clear" w:color="auto" w:fill="auto"/>
            <w:vAlign w:val="bottom"/>
          </w:tcPr>
          <w:p w:rsidR="00F66041" w:rsidRPr="00824603" w:rsidRDefault="00F66041" w:rsidP="00824603">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824603">
              <w:rPr>
                <w:spacing w:val="4"/>
                <w:w w:val="103"/>
                <w:sz w:val="17"/>
                <w:szCs w:val="24"/>
                <w:lang w:val="fr-FR"/>
              </w:rPr>
              <w:t>-</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Consejo Superior de la Magistratura</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Consejo de Estado</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12</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4</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16</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25</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Mediador</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0</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100</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Tribunal de cuentas</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9</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4</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13</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30,77</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Tribunal de casación</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18</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4</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22</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18,18</w:t>
            </w:r>
          </w:p>
        </w:tc>
      </w:tr>
      <w:tr w:rsidR="00824603" w:rsidRPr="00824603" w:rsidTr="00824603">
        <w:tblPrEx>
          <w:tblCellMar>
            <w:top w:w="0" w:type="dxa"/>
            <w:bottom w:w="0" w:type="dxa"/>
          </w:tblCellMar>
        </w:tblPrEx>
        <w:tc>
          <w:tcPr>
            <w:tcW w:w="2097" w:type="dxa"/>
            <w:shd w:val="clear" w:color="auto" w:fill="auto"/>
            <w:vAlign w:val="bottom"/>
          </w:tcPr>
          <w:p w:rsidR="00F66041" w:rsidRPr="00824603" w:rsidRDefault="00F66041" w:rsidP="00824603">
            <w:pPr>
              <w:tabs>
                <w:tab w:val="left" w:pos="288"/>
                <w:tab w:val="left" w:pos="576"/>
                <w:tab w:val="left" w:pos="864"/>
                <w:tab w:val="left" w:pos="1152"/>
              </w:tabs>
              <w:spacing w:before="40" w:after="40" w:line="210" w:lineRule="exact"/>
              <w:ind w:right="40"/>
              <w:rPr>
                <w:kern w:val="0"/>
                <w:sz w:val="17"/>
              </w:rPr>
            </w:pPr>
            <w:r w:rsidRPr="00824603">
              <w:rPr>
                <w:kern w:val="0"/>
                <w:sz w:val="17"/>
              </w:rPr>
              <w:t>Comisión de lucha contra el enriquecimiento ilícito</w:t>
            </w:r>
          </w:p>
        </w:tc>
        <w:tc>
          <w:tcPr>
            <w:tcW w:w="1153"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148"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230"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c>
          <w:tcPr>
            <w:tcW w:w="1692" w:type="dxa"/>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824603">
              <w:rPr>
                <w:kern w:val="0"/>
                <w:sz w:val="17"/>
                <w:szCs w:val="24"/>
                <w:lang w:val="fr-FR"/>
              </w:rPr>
              <w:t>-</w:t>
            </w:r>
          </w:p>
        </w:tc>
      </w:tr>
      <w:tr w:rsidR="00824603" w:rsidRPr="00824603" w:rsidTr="00824603">
        <w:tblPrEx>
          <w:tblCellMar>
            <w:top w:w="0" w:type="dxa"/>
            <w:bottom w:w="0" w:type="dxa"/>
          </w:tblCellMar>
        </w:tblPrEx>
        <w:tc>
          <w:tcPr>
            <w:tcW w:w="2097" w:type="dxa"/>
            <w:tcBorders>
              <w:bottom w:val="single" w:sz="4" w:space="0" w:color="auto"/>
            </w:tcBorders>
            <w:shd w:val="clear" w:color="auto" w:fill="auto"/>
            <w:vAlign w:val="bottom"/>
          </w:tcPr>
          <w:p w:rsidR="00F66041" w:rsidRPr="00824603" w:rsidRDefault="00F66041" w:rsidP="00824603">
            <w:pPr>
              <w:tabs>
                <w:tab w:val="left" w:pos="288"/>
                <w:tab w:val="left" w:pos="576"/>
                <w:tab w:val="left" w:pos="864"/>
                <w:tab w:val="left" w:pos="1152"/>
              </w:tabs>
              <w:spacing w:before="40" w:after="81" w:line="210" w:lineRule="exact"/>
              <w:ind w:right="40"/>
              <w:rPr>
                <w:kern w:val="0"/>
                <w:sz w:val="17"/>
              </w:rPr>
            </w:pPr>
            <w:r w:rsidRPr="00824603">
              <w:rPr>
                <w:kern w:val="0"/>
                <w:sz w:val="17"/>
              </w:rPr>
              <w:t>Mesa</w:t>
            </w:r>
          </w:p>
        </w:tc>
        <w:tc>
          <w:tcPr>
            <w:tcW w:w="1153" w:type="dxa"/>
            <w:tcBorders>
              <w:bottom w:val="single" w:sz="4"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824603">
              <w:rPr>
                <w:kern w:val="0"/>
                <w:sz w:val="17"/>
                <w:szCs w:val="24"/>
                <w:lang w:val="fr-FR"/>
              </w:rPr>
              <w:t>47</w:t>
            </w:r>
          </w:p>
        </w:tc>
        <w:tc>
          <w:tcPr>
            <w:tcW w:w="1148" w:type="dxa"/>
            <w:tcBorders>
              <w:bottom w:val="single" w:sz="4"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824603">
              <w:rPr>
                <w:kern w:val="0"/>
                <w:sz w:val="17"/>
                <w:szCs w:val="24"/>
                <w:lang w:val="fr-FR"/>
              </w:rPr>
              <w:t>18</w:t>
            </w:r>
          </w:p>
        </w:tc>
        <w:tc>
          <w:tcPr>
            <w:tcW w:w="1230" w:type="dxa"/>
            <w:tcBorders>
              <w:bottom w:val="single" w:sz="4"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824603">
              <w:rPr>
                <w:kern w:val="0"/>
                <w:sz w:val="17"/>
                <w:szCs w:val="24"/>
                <w:lang w:val="fr-FR"/>
              </w:rPr>
              <w:t>65</w:t>
            </w:r>
          </w:p>
        </w:tc>
        <w:tc>
          <w:tcPr>
            <w:tcW w:w="1692" w:type="dxa"/>
            <w:tcBorders>
              <w:bottom w:val="single" w:sz="4"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824603">
              <w:rPr>
                <w:kern w:val="0"/>
                <w:sz w:val="17"/>
                <w:szCs w:val="24"/>
                <w:lang w:val="fr-FR"/>
              </w:rPr>
              <w:t>27,69</w:t>
            </w:r>
          </w:p>
        </w:tc>
      </w:tr>
      <w:tr w:rsidR="00824603" w:rsidRPr="00824603" w:rsidTr="00824603">
        <w:tblPrEx>
          <w:tblCellMar>
            <w:top w:w="0" w:type="dxa"/>
            <w:bottom w:w="0" w:type="dxa"/>
          </w:tblCellMar>
        </w:tblPrEx>
        <w:tc>
          <w:tcPr>
            <w:tcW w:w="2097" w:type="dxa"/>
            <w:tcBorders>
              <w:top w:val="single" w:sz="4" w:space="0" w:color="auto"/>
              <w:bottom w:val="single" w:sz="12" w:space="0" w:color="auto"/>
            </w:tcBorders>
            <w:shd w:val="clear" w:color="auto" w:fill="auto"/>
            <w:vAlign w:val="bottom"/>
          </w:tcPr>
          <w:p w:rsidR="00F66041" w:rsidRPr="00824603" w:rsidRDefault="00F66041" w:rsidP="00824603">
            <w:pPr>
              <w:tabs>
                <w:tab w:val="left" w:pos="288"/>
                <w:tab w:val="left" w:pos="576"/>
                <w:tab w:val="left" w:pos="864"/>
                <w:tab w:val="left" w:pos="1152"/>
              </w:tabs>
              <w:spacing w:before="81" w:after="81" w:line="210" w:lineRule="exact"/>
              <w:ind w:right="40"/>
              <w:rPr>
                <w:b/>
                <w:kern w:val="0"/>
                <w:sz w:val="17"/>
              </w:rPr>
            </w:pPr>
            <w:r w:rsidRPr="00824603">
              <w:rPr>
                <w:b/>
                <w:kern w:val="0"/>
                <w:sz w:val="17"/>
              </w:rPr>
              <w:tab/>
              <w:t>Total</w:t>
            </w:r>
          </w:p>
        </w:tc>
        <w:tc>
          <w:tcPr>
            <w:tcW w:w="1153" w:type="dxa"/>
            <w:tcBorders>
              <w:top w:val="single" w:sz="4" w:space="0" w:color="auto"/>
              <w:bottom w:val="single" w:sz="12"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824603">
              <w:rPr>
                <w:b/>
                <w:kern w:val="0"/>
                <w:sz w:val="17"/>
                <w:szCs w:val="24"/>
                <w:lang w:val="fr-FR"/>
              </w:rPr>
              <w:t>93</w:t>
            </w:r>
          </w:p>
        </w:tc>
        <w:tc>
          <w:tcPr>
            <w:tcW w:w="1148" w:type="dxa"/>
            <w:tcBorders>
              <w:top w:val="single" w:sz="4" w:space="0" w:color="auto"/>
              <w:bottom w:val="single" w:sz="12"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824603">
              <w:rPr>
                <w:b/>
                <w:kern w:val="0"/>
                <w:sz w:val="17"/>
                <w:szCs w:val="24"/>
                <w:lang w:val="fr-FR"/>
              </w:rPr>
              <w:t>33</w:t>
            </w:r>
          </w:p>
        </w:tc>
        <w:tc>
          <w:tcPr>
            <w:tcW w:w="1230" w:type="dxa"/>
            <w:tcBorders>
              <w:top w:val="single" w:sz="4" w:space="0" w:color="auto"/>
              <w:bottom w:val="single" w:sz="12"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824603">
              <w:rPr>
                <w:b/>
                <w:kern w:val="0"/>
                <w:sz w:val="17"/>
                <w:szCs w:val="24"/>
                <w:lang w:val="fr-FR"/>
              </w:rPr>
              <w:t>126</w:t>
            </w:r>
          </w:p>
        </w:tc>
        <w:tc>
          <w:tcPr>
            <w:tcW w:w="1692" w:type="dxa"/>
            <w:tcBorders>
              <w:top w:val="single" w:sz="4" w:space="0" w:color="auto"/>
              <w:bottom w:val="single" w:sz="12" w:space="0" w:color="auto"/>
            </w:tcBorders>
            <w:shd w:val="clear" w:color="auto" w:fill="auto"/>
            <w:vAlign w:val="bottom"/>
          </w:tcPr>
          <w:p w:rsidR="00F66041" w:rsidRPr="00824603" w:rsidRDefault="00F66041" w:rsidP="0082460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824603">
              <w:rPr>
                <w:b/>
                <w:kern w:val="0"/>
                <w:sz w:val="17"/>
                <w:szCs w:val="24"/>
                <w:lang w:val="fr-FR"/>
              </w:rPr>
              <w:t>26,19</w:t>
            </w:r>
          </w:p>
        </w:tc>
      </w:tr>
    </w:tbl>
    <w:p w:rsidR="00F66041" w:rsidRPr="00F66041" w:rsidRDefault="00F66041" w:rsidP="00F66041">
      <w:pPr>
        <w:pStyle w:val="SingleTxt"/>
        <w:spacing w:after="0" w:line="120" w:lineRule="exact"/>
        <w:rPr>
          <w:sz w:val="10"/>
        </w:rPr>
      </w:pPr>
    </w:p>
    <w:p w:rsidR="00F66041" w:rsidRPr="00F66041" w:rsidRDefault="00F66041" w:rsidP="00F660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F66041">
        <w:rPr>
          <w:i/>
          <w:sz w:val="17"/>
          <w:szCs w:val="17"/>
        </w:rPr>
        <w:t>Fuente</w:t>
      </w:r>
      <w:r w:rsidRPr="00F66041">
        <w:rPr>
          <w:sz w:val="17"/>
          <w:szCs w:val="17"/>
        </w:rPr>
        <w:t>: Ministerio de Justicia, 2007.</w:t>
      </w:r>
    </w:p>
    <w:p w:rsidR="00F66041" w:rsidRPr="00F66041" w:rsidRDefault="00F66041" w:rsidP="00F66041">
      <w:pPr>
        <w:pStyle w:val="SingleTxt"/>
        <w:spacing w:after="0" w:line="120" w:lineRule="exact"/>
        <w:rPr>
          <w:sz w:val="10"/>
        </w:rPr>
      </w:pPr>
    </w:p>
    <w:p w:rsidR="00F66041" w:rsidRPr="00F66041" w:rsidRDefault="00F66041" w:rsidP="00F66041">
      <w:pPr>
        <w:pStyle w:val="SingleTxt"/>
        <w:spacing w:after="0" w:line="120" w:lineRule="exact"/>
        <w:rPr>
          <w:sz w:val="10"/>
        </w:rPr>
      </w:pPr>
    </w:p>
    <w:p w:rsidR="00F66041" w:rsidRPr="00F66041" w:rsidRDefault="00F66041" w:rsidP="00F66041">
      <w:pPr>
        <w:pStyle w:val="SingleTxt"/>
        <w:spacing w:after="0" w:line="120" w:lineRule="exact"/>
        <w:rPr>
          <w:sz w:val="10"/>
        </w:rPr>
      </w:pPr>
    </w:p>
    <w:p w:rsidR="00F66041" w:rsidRDefault="00F66041" w:rsidP="00F66041">
      <w:pPr>
        <w:pStyle w:val="SingleTxt"/>
      </w:pPr>
      <w:r>
        <w:t>86.</w:t>
      </w:r>
      <w:r>
        <w:tab/>
        <w:t>En lo que se refiere a las medidas especiales, pueden ser tomadas solamente por la entidad con poder de decisión. Se realizan tareas de concienciación, pero es necesario que luego se adopten decisiones concretas.</w:t>
      </w:r>
    </w:p>
    <w:p w:rsidR="00F66041" w:rsidRPr="00F66041" w:rsidRDefault="00F66041" w:rsidP="00F66041">
      <w:pPr>
        <w:pStyle w:val="SingleTxt"/>
        <w:spacing w:after="0" w:line="120" w:lineRule="exact"/>
        <w:rPr>
          <w:sz w:val="10"/>
        </w:rPr>
      </w:pPr>
    </w:p>
    <w:p w:rsidR="00F66041" w:rsidRPr="00F66041" w:rsidRDefault="00F66041" w:rsidP="00F66041">
      <w:pPr>
        <w:pStyle w:val="SingleTxt"/>
        <w:spacing w:after="0" w:line="120" w:lineRule="exact"/>
        <w:rPr>
          <w:sz w:val="10"/>
        </w:rPr>
      </w:pPr>
    </w:p>
    <w:p w:rsidR="001E7DD2" w:rsidRDefault="00F66041" w:rsidP="00F660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tab/>
      </w:r>
      <w:r>
        <w:tab/>
        <w:t>Artículo 8 de la Convención: Representación de las mujeres en el ámbito internacional</w:t>
      </w:r>
    </w:p>
    <w:p w:rsidR="00F66041" w:rsidRPr="00F66041" w:rsidRDefault="00F66041" w:rsidP="00F66041">
      <w:pPr>
        <w:pStyle w:val="SingleTxt"/>
        <w:spacing w:after="0" w:line="120" w:lineRule="exact"/>
        <w:rPr>
          <w:sz w:val="10"/>
        </w:rPr>
      </w:pPr>
    </w:p>
    <w:p w:rsidR="00F66041" w:rsidRPr="00F66041" w:rsidRDefault="00F66041" w:rsidP="00F66041">
      <w:pPr>
        <w:pStyle w:val="SingleTxt"/>
        <w:spacing w:after="0" w:line="120" w:lineRule="exact"/>
        <w:rPr>
          <w:sz w:val="10"/>
        </w:rPr>
      </w:pPr>
    </w:p>
    <w:p w:rsidR="00380A11" w:rsidRDefault="00380A11" w:rsidP="00380A11">
      <w:pPr>
        <w:pStyle w:val="SingleTxt"/>
      </w:pPr>
      <w:r>
        <w:t>87.</w:t>
      </w:r>
      <w:r>
        <w:tab/>
        <w:t>Las mujeres ayudan en las conferencias internacionales, pero su representación en puestos de las instituciones internacionales es muy escasa. Uno de los problemas que ya se señaló en los otros informes es la falta de acercamiento del cónyuge en ambos sentidos. Si un hombre obtiene un puesto en el plano internacional, su esposa le sigue automáticamente y si es funcionaria, se obtiene un puesto en el lugar de destino o de designación de su esposo. En cambio, la situación inversa todavía no es posible. Si la mujer ocupa su puesto, o bien se traslada sola en virtud de un arreglo en el hogar (el marido acepta), o bien se ve obligada a divorciarse si el marido no acepta. A este respecto, se han presentado diversas peticiones a la Asamblea Nacional con el apoyo del FNUAP, pero la cuestión está estancada. La propuesta de enmendar el texto sobre el consentimiento del esposo forma parte de los textos presentados por el Ministerio de la Familia y de la Promoción de la Mujer al Gobierno.</w:t>
      </w:r>
    </w:p>
    <w:p w:rsidR="00380A11" w:rsidRDefault="00380A11" w:rsidP="00380A11">
      <w:pPr>
        <w:pStyle w:val="SingleTxt"/>
      </w:pPr>
      <w:r>
        <w:t>88.</w:t>
      </w:r>
      <w:r>
        <w:tab/>
        <w:t>En el plano internacional, de 35 embajadores, 33 son hombres y 2 son mujeres.</w:t>
      </w:r>
    </w:p>
    <w:p w:rsidR="00380A11" w:rsidRDefault="00380A11" w:rsidP="00380A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 de la Convención: La nacionalidad</w:t>
      </w:r>
    </w:p>
    <w:p w:rsidR="00380A11" w:rsidRPr="00380A11" w:rsidRDefault="00380A11" w:rsidP="00380A11">
      <w:pPr>
        <w:pStyle w:val="SingleTxt"/>
        <w:spacing w:after="0" w:line="120" w:lineRule="exact"/>
        <w:rPr>
          <w:sz w:val="10"/>
        </w:rPr>
      </w:pPr>
    </w:p>
    <w:p w:rsidR="00380A11" w:rsidRPr="00380A11" w:rsidRDefault="00380A11" w:rsidP="00380A11">
      <w:pPr>
        <w:pStyle w:val="SingleTxt"/>
        <w:spacing w:after="0" w:line="120" w:lineRule="exact"/>
        <w:rPr>
          <w:sz w:val="10"/>
        </w:rPr>
      </w:pPr>
    </w:p>
    <w:p w:rsidR="00380A11" w:rsidRDefault="00380A11" w:rsidP="00380A11">
      <w:pPr>
        <w:pStyle w:val="SingleTxt"/>
      </w:pPr>
      <w:r>
        <w:t>89.</w:t>
      </w:r>
      <w:r>
        <w:tab/>
        <w:t>Las innovadoras disposiciones de la ley N° 37/98 de 20 de julio de 1998 relativa al Código de la Nacionalidad y especialmente sus artículos 20 a 24, que disponen la igualdad de derechos para el hombre y la mujer casados con personas de otras nacionalidades, se señalaron en el informe precedente y no han cambiado. El artículo 34 de la misma ley dispone que toda persona que haya adquirido la nacionalidad gabonesa pueda renunciar a ella en las condiciones y la forma previstas por la legislación. Esa renuncia se constata por decreto. Actualmente, estas son las disposiciones reglamentarias que permiten utilizar mejor y aplicar el Código de la Nacionalidad, cuando surge la necesidad.</w:t>
      </w:r>
    </w:p>
    <w:p w:rsidR="00380A11" w:rsidRPr="00380A11" w:rsidRDefault="00380A11" w:rsidP="00380A11">
      <w:pPr>
        <w:pStyle w:val="SingleTxt"/>
        <w:spacing w:after="0" w:line="120" w:lineRule="exact"/>
        <w:rPr>
          <w:sz w:val="10"/>
        </w:rPr>
      </w:pPr>
    </w:p>
    <w:p w:rsidR="00380A11" w:rsidRPr="00380A11" w:rsidRDefault="00380A11" w:rsidP="00380A11">
      <w:pPr>
        <w:pStyle w:val="SingleTxt"/>
        <w:spacing w:after="0" w:line="120" w:lineRule="exact"/>
        <w:rPr>
          <w:sz w:val="10"/>
        </w:rPr>
      </w:pPr>
    </w:p>
    <w:p w:rsidR="00380A11" w:rsidRDefault="00380A11" w:rsidP="00380A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tab/>
      </w:r>
      <w:r>
        <w:tab/>
        <w:t>Artículo 10 de la Convención: Promoción de la educación de la mujer</w:t>
      </w:r>
    </w:p>
    <w:p w:rsidR="00380A11" w:rsidRPr="00380A11" w:rsidRDefault="00380A11" w:rsidP="00380A11">
      <w:pPr>
        <w:pStyle w:val="SingleTxt"/>
        <w:suppressAutoHyphens/>
        <w:spacing w:after="0" w:line="120" w:lineRule="exact"/>
        <w:rPr>
          <w:sz w:val="10"/>
        </w:rPr>
      </w:pPr>
    </w:p>
    <w:p w:rsidR="00380A11" w:rsidRPr="00380A11" w:rsidRDefault="00380A11" w:rsidP="00380A11">
      <w:pPr>
        <w:pStyle w:val="SingleTxt"/>
        <w:suppressAutoHyphens/>
        <w:spacing w:after="0" w:line="120" w:lineRule="exact"/>
        <w:rPr>
          <w:sz w:val="10"/>
        </w:rPr>
      </w:pPr>
    </w:p>
    <w:p w:rsidR="00380A11" w:rsidRDefault="00380A11" w:rsidP="00380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Inquietud No 32 y recomendación No 33 del Comité</w:t>
      </w:r>
    </w:p>
    <w:p w:rsidR="00380A11" w:rsidRPr="00380A11" w:rsidRDefault="00380A11" w:rsidP="00380A11">
      <w:pPr>
        <w:pStyle w:val="SingleTxt"/>
        <w:spacing w:after="0" w:line="120" w:lineRule="exact"/>
        <w:rPr>
          <w:sz w:val="10"/>
        </w:rPr>
      </w:pPr>
    </w:p>
    <w:p w:rsidR="00380A11" w:rsidRDefault="00380A11" w:rsidP="00380A11">
      <w:pPr>
        <w:pStyle w:val="SingleTxt"/>
      </w:pPr>
      <w:r>
        <w:t>90.</w:t>
      </w:r>
      <w:r>
        <w:tab/>
        <w:t>El Comité está preocupado por el contraste entre la obligación de asistir a la escuela hasta los 16 años y las tasas de escolaridad de las niñas, que varía del 39% en el primer ciclo al 7,20% en el segundo ciclo y que se reduce bruscamente al 2,63% en la enseñanza superior. A nivel primario, las estadísticas en materia de cobertura de la escolarización, es decir, el índice entre las niñas y los niños de ese nivel es prácticamente igual a la unidad. Eso significa que Gabón ha logrado el objetivo 5 relativo a la escuela para todo lo que tiene que ver con la igualdad, y al mismo tiempo, una parte del Objetivo de Desarrollo del Milenio 3 relativo a la igualdad entre los géneros, en lo que se refiere a la escuela primaria.</w:t>
      </w:r>
    </w:p>
    <w:p w:rsidR="00380A11" w:rsidRPr="00380A11" w:rsidRDefault="00380A11" w:rsidP="00380A11">
      <w:pPr>
        <w:pStyle w:val="SingleTxt"/>
        <w:spacing w:after="0" w:line="120" w:lineRule="exact"/>
        <w:rPr>
          <w:sz w:val="10"/>
        </w:rPr>
      </w:pPr>
    </w:p>
    <w:p w:rsidR="00380A11" w:rsidRDefault="00380A11" w:rsidP="00384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8441F">
        <w:rPr>
          <w:b w:val="0"/>
        </w:rPr>
        <w:t>Cuadro 5</w:t>
      </w:r>
      <w:r w:rsidR="0038441F">
        <w:br/>
      </w:r>
      <w:r>
        <w:t>Tasas netas y brutas de escolarización</w:t>
      </w:r>
    </w:p>
    <w:p w:rsidR="0038441F" w:rsidRPr="0038441F" w:rsidRDefault="0038441F" w:rsidP="0038441F">
      <w:pPr>
        <w:pStyle w:val="SingleTxt"/>
        <w:spacing w:after="0" w:line="120" w:lineRule="exact"/>
        <w:rPr>
          <w:sz w:val="10"/>
        </w:rPr>
      </w:pPr>
    </w:p>
    <w:p w:rsidR="0038441F" w:rsidRPr="0038441F" w:rsidRDefault="0038441F" w:rsidP="0038441F">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2440"/>
        <w:gridCol w:w="2440"/>
      </w:tblGrid>
      <w:tr w:rsidR="0038441F" w:rsidRPr="0038441F" w:rsidTr="0038441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rPr>
                <w:i/>
                <w:kern w:val="0"/>
                <w:sz w:val="14"/>
              </w:rPr>
            </w:pPr>
            <w:r w:rsidRPr="0038441F">
              <w:rPr>
                <w:i/>
                <w:kern w:val="0"/>
                <w:sz w:val="14"/>
              </w:rPr>
              <w:t>Tasa neta de escolarización</w:t>
            </w:r>
          </w:p>
        </w:tc>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jc w:val="right"/>
              <w:rPr>
                <w:i/>
                <w:kern w:val="0"/>
                <w:sz w:val="14"/>
              </w:rPr>
            </w:pPr>
            <w:r w:rsidRPr="0038441F">
              <w:rPr>
                <w:i/>
                <w:kern w:val="0"/>
                <w:sz w:val="14"/>
              </w:rPr>
              <w:t>Varones</w:t>
            </w:r>
          </w:p>
        </w:tc>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jc w:val="right"/>
              <w:rPr>
                <w:i/>
                <w:kern w:val="0"/>
                <w:sz w:val="14"/>
              </w:rPr>
            </w:pPr>
            <w:r w:rsidRPr="0038441F">
              <w:rPr>
                <w:i/>
                <w:kern w:val="0"/>
                <w:sz w:val="14"/>
              </w:rPr>
              <w:t>Mujeres</w:t>
            </w:r>
          </w:p>
        </w:tc>
      </w:tr>
      <w:tr w:rsidR="0038441F" w:rsidRPr="0038441F" w:rsidTr="0038441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38441F" w:rsidRPr="0038441F" w:rsidRDefault="0038441F" w:rsidP="0038441F">
            <w:pPr>
              <w:pStyle w:val="DTpara"/>
              <w:keepNext/>
              <w:keepLines/>
              <w:numPr>
                <w:ilvl w:val="0"/>
                <w:numId w:val="0"/>
              </w:numPr>
              <w:spacing w:before="40" w:after="40" w:line="210" w:lineRule="exact"/>
              <w:ind w:left="113" w:right="40"/>
              <w:jc w:val="right"/>
              <w:rPr>
                <w:spacing w:val="4"/>
                <w:w w:val="103"/>
                <w:sz w:val="17"/>
                <w:szCs w:val="24"/>
                <w:lang w:val="fr-FR"/>
              </w:rPr>
            </w:pPr>
          </w:p>
        </w:tc>
        <w:tc>
          <w:tcPr>
            <w:tcW w:w="2440" w:type="dxa"/>
            <w:tcBorders>
              <w:top w:val="single" w:sz="12" w:space="0" w:color="auto"/>
            </w:tcBorders>
            <w:shd w:val="clear" w:color="auto" w:fill="auto"/>
            <w:vAlign w:val="bottom"/>
          </w:tcPr>
          <w:p w:rsidR="0038441F" w:rsidRPr="0038441F" w:rsidRDefault="0038441F" w:rsidP="0038441F">
            <w:pPr>
              <w:pStyle w:val="DTpara"/>
              <w:keepNext/>
              <w:keepLines/>
              <w:numPr>
                <w:ilvl w:val="0"/>
                <w:numId w:val="0"/>
              </w:numPr>
              <w:spacing w:before="40" w:after="40" w:line="210" w:lineRule="exact"/>
              <w:ind w:left="113" w:right="40"/>
              <w:jc w:val="right"/>
              <w:rPr>
                <w:spacing w:val="4"/>
                <w:w w:val="103"/>
                <w:sz w:val="17"/>
                <w:szCs w:val="24"/>
                <w:lang w:val="fr-FR"/>
              </w:rPr>
            </w:pPr>
          </w:p>
        </w:tc>
      </w:tr>
      <w:tr w:rsidR="0038441F" w:rsidRPr="0038441F" w:rsidTr="0038441F">
        <w:tblPrEx>
          <w:tblCellMar>
            <w:top w:w="0" w:type="dxa"/>
            <w:bottom w:w="0" w:type="dxa"/>
          </w:tblCellMar>
        </w:tblPrEx>
        <w:tc>
          <w:tcPr>
            <w:tcW w:w="2440" w:type="dxa"/>
            <w:tcBorders>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40" w:after="120" w:line="210" w:lineRule="exact"/>
              <w:ind w:right="43"/>
              <w:rPr>
                <w:kern w:val="0"/>
                <w:sz w:val="17"/>
              </w:rPr>
            </w:pPr>
            <w:r w:rsidRPr="0038441F">
              <w:rPr>
                <w:kern w:val="0"/>
                <w:sz w:val="17"/>
              </w:rPr>
              <w:t>En conjunto</w:t>
            </w:r>
          </w:p>
        </w:tc>
        <w:tc>
          <w:tcPr>
            <w:tcW w:w="2440" w:type="dxa"/>
            <w:tcBorders>
              <w:bottom w:val="single" w:sz="12" w:space="0" w:color="auto"/>
            </w:tcBorders>
            <w:shd w:val="clear" w:color="auto" w:fill="auto"/>
            <w:vAlign w:val="bottom"/>
          </w:tcPr>
          <w:p w:rsidR="0038441F" w:rsidRPr="0038441F" w:rsidRDefault="0038441F" w:rsidP="0038441F">
            <w:pPr>
              <w:pStyle w:val="DTpara"/>
              <w:keepNext/>
              <w:keepLines/>
              <w:numPr>
                <w:ilvl w:val="0"/>
                <w:numId w:val="0"/>
              </w:numPr>
              <w:tabs>
                <w:tab w:val="left" w:pos="288"/>
                <w:tab w:val="left" w:pos="576"/>
                <w:tab w:val="left" w:pos="864"/>
                <w:tab w:val="left" w:pos="1152"/>
              </w:tabs>
              <w:spacing w:before="40" w:line="210" w:lineRule="exact"/>
              <w:ind w:left="113" w:right="43"/>
              <w:jc w:val="right"/>
              <w:rPr>
                <w:spacing w:val="4"/>
                <w:w w:val="103"/>
                <w:sz w:val="17"/>
                <w:szCs w:val="24"/>
                <w:lang w:val="fr-FR"/>
              </w:rPr>
            </w:pPr>
            <w:r w:rsidRPr="0038441F">
              <w:rPr>
                <w:spacing w:val="4"/>
                <w:w w:val="103"/>
                <w:sz w:val="17"/>
                <w:szCs w:val="24"/>
                <w:lang w:val="fr-FR"/>
              </w:rPr>
              <w:t>96,2</w:t>
            </w:r>
          </w:p>
        </w:tc>
        <w:tc>
          <w:tcPr>
            <w:tcW w:w="2440" w:type="dxa"/>
            <w:tcBorders>
              <w:bottom w:val="single" w:sz="12" w:space="0" w:color="auto"/>
            </w:tcBorders>
            <w:shd w:val="clear" w:color="auto" w:fill="auto"/>
            <w:vAlign w:val="bottom"/>
          </w:tcPr>
          <w:p w:rsidR="0038441F" w:rsidRPr="0038441F" w:rsidRDefault="0038441F" w:rsidP="0038441F">
            <w:pPr>
              <w:pStyle w:val="DTpara"/>
              <w:keepNext/>
              <w:keepLines/>
              <w:numPr>
                <w:ilvl w:val="0"/>
                <w:numId w:val="0"/>
              </w:numPr>
              <w:tabs>
                <w:tab w:val="left" w:pos="288"/>
                <w:tab w:val="left" w:pos="576"/>
                <w:tab w:val="left" w:pos="864"/>
                <w:tab w:val="left" w:pos="1152"/>
              </w:tabs>
              <w:spacing w:before="40" w:line="210" w:lineRule="exact"/>
              <w:ind w:left="113" w:right="43"/>
              <w:jc w:val="right"/>
              <w:rPr>
                <w:spacing w:val="4"/>
                <w:w w:val="103"/>
                <w:sz w:val="17"/>
                <w:szCs w:val="24"/>
                <w:lang w:val="fr-FR"/>
              </w:rPr>
            </w:pPr>
            <w:r w:rsidRPr="0038441F">
              <w:rPr>
                <w:spacing w:val="4"/>
                <w:w w:val="103"/>
                <w:sz w:val="17"/>
                <w:szCs w:val="24"/>
                <w:lang w:val="fr-FR"/>
              </w:rPr>
              <w:t>95,7</w:t>
            </w:r>
          </w:p>
        </w:tc>
      </w:tr>
    </w:tbl>
    <w:p w:rsidR="00380A11" w:rsidRDefault="00380A11" w:rsidP="00380A11">
      <w:pPr>
        <w:pStyle w:val="SingleTxt"/>
        <w:spacing w:after="0" w:line="120" w:lineRule="exact"/>
        <w:rPr>
          <w:sz w:val="10"/>
        </w:rPr>
      </w:pPr>
    </w:p>
    <w:p w:rsidR="00C928D8" w:rsidRDefault="00C928D8" w:rsidP="00380A11">
      <w:pPr>
        <w:pStyle w:val="SingleTxt"/>
        <w:spacing w:after="0" w:line="120" w:lineRule="exact"/>
        <w:rPr>
          <w:sz w:val="10"/>
        </w:rPr>
      </w:pPr>
    </w:p>
    <w:p w:rsidR="0038441F" w:rsidRDefault="0038441F" w:rsidP="00380A11">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2440"/>
        <w:gridCol w:w="2440"/>
      </w:tblGrid>
      <w:tr w:rsidR="0038441F" w:rsidRPr="0038441F" w:rsidTr="0038441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rPr>
                <w:i/>
                <w:kern w:val="0"/>
                <w:sz w:val="14"/>
              </w:rPr>
            </w:pPr>
            <w:r w:rsidRPr="0038441F">
              <w:rPr>
                <w:i/>
                <w:kern w:val="0"/>
                <w:sz w:val="14"/>
              </w:rPr>
              <w:t>Tasa bruta de escolarización</w:t>
            </w:r>
          </w:p>
        </w:tc>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jc w:val="right"/>
              <w:rPr>
                <w:i/>
                <w:kern w:val="0"/>
                <w:sz w:val="14"/>
              </w:rPr>
            </w:pPr>
            <w:r w:rsidRPr="0038441F">
              <w:rPr>
                <w:i/>
                <w:kern w:val="0"/>
                <w:sz w:val="14"/>
              </w:rPr>
              <w:t>Varones</w:t>
            </w:r>
          </w:p>
        </w:tc>
        <w:tc>
          <w:tcPr>
            <w:tcW w:w="2440" w:type="dxa"/>
            <w:tcBorders>
              <w:top w:val="single" w:sz="4" w:space="0" w:color="auto"/>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80" w:after="80" w:line="160" w:lineRule="exact"/>
              <w:ind w:right="40"/>
              <w:jc w:val="right"/>
              <w:rPr>
                <w:i/>
                <w:kern w:val="0"/>
                <w:sz w:val="14"/>
              </w:rPr>
            </w:pPr>
            <w:r w:rsidRPr="0038441F">
              <w:rPr>
                <w:i/>
                <w:kern w:val="0"/>
                <w:sz w:val="14"/>
              </w:rPr>
              <w:t>Mujeres</w:t>
            </w:r>
          </w:p>
        </w:tc>
      </w:tr>
      <w:tr w:rsidR="0038441F" w:rsidRPr="0038441F" w:rsidTr="0038441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38441F" w:rsidRPr="0038441F" w:rsidRDefault="0038441F" w:rsidP="0038441F">
            <w:pPr>
              <w:pStyle w:val="DTpara"/>
              <w:keepNext/>
              <w:keepLines/>
              <w:numPr>
                <w:ilvl w:val="0"/>
                <w:numId w:val="0"/>
              </w:numPr>
              <w:spacing w:before="40" w:after="40" w:line="210" w:lineRule="exact"/>
              <w:ind w:left="113" w:right="40"/>
              <w:jc w:val="right"/>
              <w:rPr>
                <w:spacing w:val="4"/>
                <w:w w:val="103"/>
                <w:sz w:val="17"/>
                <w:szCs w:val="24"/>
                <w:lang w:val="fr-FR"/>
              </w:rPr>
            </w:pPr>
          </w:p>
        </w:tc>
        <w:tc>
          <w:tcPr>
            <w:tcW w:w="2440" w:type="dxa"/>
            <w:tcBorders>
              <w:top w:val="single" w:sz="12" w:space="0" w:color="auto"/>
            </w:tcBorders>
            <w:shd w:val="clear" w:color="auto" w:fill="auto"/>
            <w:vAlign w:val="bottom"/>
          </w:tcPr>
          <w:p w:rsidR="0038441F" w:rsidRPr="0038441F" w:rsidRDefault="0038441F" w:rsidP="0038441F">
            <w:pPr>
              <w:pStyle w:val="DTpara"/>
              <w:keepNext/>
              <w:keepLines/>
              <w:numPr>
                <w:ilvl w:val="0"/>
                <w:numId w:val="0"/>
              </w:numPr>
              <w:spacing w:before="40" w:after="40" w:line="210" w:lineRule="exact"/>
              <w:ind w:left="113" w:right="40"/>
              <w:jc w:val="right"/>
              <w:rPr>
                <w:spacing w:val="4"/>
                <w:w w:val="103"/>
                <w:sz w:val="17"/>
                <w:szCs w:val="24"/>
                <w:lang w:val="fr-FR"/>
              </w:rPr>
            </w:pPr>
          </w:p>
        </w:tc>
      </w:tr>
      <w:tr w:rsidR="0038441F" w:rsidRPr="0038441F" w:rsidTr="0038441F">
        <w:tblPrEx>
          <w:tblCellMar>
            <w:top w:w="0" w:type="dxa"/>
            <w:bottom w:w="0" w:type="dxa"/>
          </w:tblCellMar>
        </w:tblPrEx>
        <w:tc>
          <w:tcPr>
            <w:tcW w:w="2440" w:type="dxa"/>
            <w:tcBorders>
              <w:bottom w:val="single" w:sz="12" w:space="0" w:color="auto"/>
            </w:tcBorders>
            <w:shd w:val="clear" w:color="auto" w:fill="auto"/>
            <w:vAlign w:val="bottom"/>
          </w:tcPr>
          <w:p w:rsidR="0038441F" w:rsidRPr="0038441F" w:rsidRDefault="0038441F" w:rsidP="0038441F">
            <w:pPr>
              <w:tabs>
                <w:tab w:val="left" w:pos="288"/>
                <w:tab w:val="left" w:pos="576"/>
                <w:tab w:val="left" w:pos="864"/>
                <w:tab w:val="left" w:pos="1152"/>
              </w:tabs>
              <w:spacing w:before="40" w:after="120" w:line="210" w:lineRule="exact"/>
              <w:ind w:right="43"/>
              <w:rPr>
                <w:kern w:val="0"/>
                <w:sz w:val="17"/>
              </w:rPr>
            </w:pPr>
            <w:r w:rsidRPr="0038441F">
              <w:rPr>
                <w:kern w:val="0"/>
                <w:sz w:val="17"/>
              </w:rPr>
              <w:t>En conjunto</w:t>
            </w:r>
          </w:p>
        </w:tc>
        <w:tc>
          <w:tcPr>
            <w:tcW w:w="2440" w:type="dxa"/>
            <w:tcBorders>
              <w:bottom w:val="single" w:sz="12" w:space="0" w:color="auto"/>
            </w:tcBorders>
            <w:shd w:val="clear" w:color="auto" w:fill="auto"/>
            <w:vAlign w:val="bottom"/>
          </w:tcPr>
          <w:p w:rsidR="0038441F" w:rsidRPr="0038441F" w:rsidRDefault="0038441F" w:rsidP="0038441F">
            <w:pPr>
              <w:pStyle w:val="DTpara"/>
              <w:keepNext/>
              <w:keepLines/>
              <w:numPr>
                <w:ilvl w:val="0"/>
                <w:numId w:val="0"/>
              </w:numPr>
              <w:tabs>
                <w:tab w:val="left" w:pos="288"/>
                <w:tab w:val="left" w:pos="576"/>
                <w:tab w:val="left" w:pos="864"/>
                <w:tab w:val="left" w:pos="1152"/>
              </w:tabs>
              <w:spacing w:before="40" w:line="210" w:lineRule="exact"/>
              <w:ind w:left="113" w:right="43"/>
              <w:jc w:val="right"/>
              <w:rPr>
                <w:spacing w:val="4"/>
                <w:w w:val="103"/>
                <w:sz w:val="17"/>
                <w:szCs w:val="24"/>
                <w:lang w:val="fr-FR"/>
              </w:rPr>
            </w:pPr>
            <w:r w:rsidRPr="0038441F">
              <w:rPr>
                <w:spacing w:val="4"/>
                <w:w w:val="103"/>
                <w:sz w:val="17"/>
                <w:szCs w:val="24"/>
                <w:lang w:val="fr-FR"/>
              </w:rPr>
              <w:t>132,9</w:t>
            </w:r>
          </w:p>
        </w:tc>
        <w:tc>
          <w:tcPr>
            <w:tcW w:w="2440" w:type="dxa"/>
            <w:tcBorders>
              <w:bottom w:val="single" w:sz="12" w:space="0" w:color="auto"/>
            </w:tcBorders>
            <w:shd w:val="clear" w:color="auto" w:fill="auto"/>
            <w:vAlign w:val="bottom"/>
          </w:tcPr>
          <w:p w:rsidR="0038441F" w:rsidRPr="0038441F" w:rsidRDefault="0038441F" w:rsidP="0038441F">
            <w:pPr>
              <w:pStyle w:val="DTpara"/>
              <w:keepNext/>
              <w:keepLines/>
              <w:numPr>
                <w:ilvl w:val="0"/>
                <w:numId w:val="0"/>
              </w:numPr>
              <w:tabs>
                <w:tab w:val="left" w:pos="288"/>
                <w:tab w:val="left" w:pos="576"/>
                <w:tab w:val="left" w:pos="864"/>
                <w:tab w:val="left" w:pos="1152"/>
              </w:tabs>
              <w:spacing w:before="40" w:line="210" w:lineRule="exact"/>
              <w:ind w:left="113" w:right="43"/>
              <w:jc w:val="right"/>
              <w:rPr>
                <w:spacing w:val="4"/>
                <w:w w:val="103"/>
                <w:sz w:val="17"/>
                <w:szCs w:val="24"/>
                <w:lang w:val="fr-FR"/>
              </w:rPr>
            </w:pPr>
            <w:r w:rsidRPr="0038441F">
              <w:rPr>
                <w:spacing w:val="4"/>
                <w:w w:val="103"/>
                <w:sz w:val="17"/>
                <w:szCs w:val="24"/>
                <w:lang w:val="fr-FR"/>
              </w:rPr>
              <w:t>128,2</w:t>
            </w:r>
          </w:p>
        </w:tc>
      </w:tr>
    </w:tbl>
    <w:p w:rsidR="0038441F" w:rsidRPr="00380A11" w:rsidRDefault="0038441F" w:rsidP="00380A11">
      <w:pPr>
        <w:pStyle w:val="SingleTxt"/>
        <w:spacing w:after="0" w:line="120" w:lineRule="exact"/>
        <w:rPr>
          <w:sz w:val="10"/>
        </w:rPr>
      </w:pPr>
    </w:p>
    <w:p w:rsidR="00F66041" w:rsidRPr="00380A11" w:rsidRDefault="00380A11" w:rsidP="00380A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380A11">
        <w:rPr>
          <w:i/>
          <w:sz w:val="17"/>
          <w:szCs w:val="17"/>
        </w:rPr>
        <w:t>Fuente</w:t>
      </w:r>
      <w:r w:rsidRPr="00380A11">
        <w:rPr>
          <w:sz w:val="17"/>
          <w:szCs w:val="17"/>
        </w:rPr>
        <w:t>: Boletín de análisis estadístico N</w:t>
      </w:r>
      <w:r>
        <w:rPr>
          <w:sz w:val="17"/>
          <w:szCs w:val="17"/>
        </w:rPr>
        <w:t>°</w:t>
      </w:r>
      <w:r w:rsidRPr="00380A11">
        <w:rPr>
          <w:sz w:val="17"/>
          <w:szCs w:val="17"/>
        </w:rPr>
        <w:t xml:space="preserve"> 1 - Enseñanza primaria en el Gabón, 2008.</w:t>
      </w:r>
    </w:p>
    <w:p w:rsidR="00380A11" w:rsidRPr="00380A11" w:rsidRDefault="00380A11" w:rsidP="00380A11">
      <w:pPr>
        <w:pStyle w:val="SingleTxt"/>
        <w:spacing w:after="0" w:line="120" w:lineRule="exact"/>
        <w:rPr>
          <w:sz w:val="10"/>
        </w:rPr>
      </w:pPr>
    </w:p>
    <w:p w:rsidR="00380A11" w:rsidRPr="00380A11" w:rsidRDefault="00380A11" w:rsidP="00380A11">
      <w:pPr>
        <w:pStyle w:val="SingleTxt"/>
        <w:spacing w:after="0" w:line="120" w:lineRule="exact"/>
        <w:rPr>
          <w:sz w:val="10"/>
        </w:rPr>
      </w:pPr>
    </w:p>
    <w:p w:rsidR="00380A11" w:rsidRPr="00380A11" w:rsidRDefault="00380A11" w:rsidP="00380A11">
      <w:pPr>
        <w:pStyle w:val="SingleTxt"/>
        <w:spacing w:after="0" w:line="120" w:lineRule="exact"/>
        <w:rPr>
          <w:sz w:val="10"/>
        </w:rPr>
      </w:pPr>
    </w:p>
    <w:p w:rsidR="00C928D8" w:rsidRDefault="00C928D8" w:rsidP="00C928D8">
      <w:pPr>
        <w:pStyle w:val="SingleTxt"/>
      </w:pPr>
      <w:r>
        <w:t>91.</w:t>
      </w:r>
      <w:r>
        <w:tab/>
        <w:t>La desigualdad entre las mujeres y los hombres que enseñan en el nivel primario nacional se mide por el porcentaje de maestras. Ese indicador es importante para apreciar la feminización del cuerpo de maestros y para evaluar las necesidades de formación según el género.</w:t>
      </w:r>
    </w:p>
    <w:p w:rsidR="00C928D8" w:rsidRPr="00C928D8" w:rsidRDefault="00C928D8" w:rsidP="00C928D8">
      <w:pPr>
        <w:pStyle w:val="SingleTxt"/>
        <w:spacing w:after="0" w:line="120" w:lineRule="exact"/>
        <w:rPr>
          <w:sz w:val="10"/>
        </w:rPr>
      </w:pPr>
    </w:p>
    <w:p w:rsidR="00616030" w:rsidRDefault="00C928D8" w:rsidP="00166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928D8">
        <w:rPr>
          <w:b w:val="0"/>
        </w:rPr>
        <w:t>Cuadro 6</w:t>
      </w:r>
      <w:r>
        <w:br/>
        <w:t>Distribución de maestros por provincia y por sexo</w:t>
      </w:r>
    </w:p>
    <w:p w:rsidR="00C928D8" w:rsidRPr="00C928D8" w:rsidRDefault="00C928D8" w:rsidP="00166BC3">
      <w:pPr>
        <w:pStyle w:val="SingleTxt"/>
        <w:keepNext/>
        <w:keepLines/>
        <w:suppressAutoHyphens/>
        <w:spacing w:after="0" w:line="120" w:lineRule="exact"/>
        <w:rPr>
          <w:sz w:val="10"/>
        </w:rPr>
      </w:pPr>
    </w:p>
    <w:p w:rsidR="00C928D8" w:rsidRPr="00C928D8" w:rsidRDefault="00C928D8" w:rsidP="00166BC3">
      <w:pPr>
        <w:pStyle w:val="SingleTxt"/>
        <w:keepNext/>
        <w:keepLines/>
        <w:suppressAutoHyphens/>
        <w:spacing w:after="0" w:line="120" w:lineRule="exact"/>
        <w:rPr>
          <w:sz w:val="10"/>
        </w:rPr>
      </w:pPr>
    </w:p>
    <w:tbl>
      <w:tblPr>
        <w:tblW w:w="0" w:type="auto"/>
        <w:tblInd w:w="1260" w:type="dxa"/>
        <w:tblLayout w:type="fixed"/>
        <w:tblCellMar>
          <w:left w:w="0" w:type="dxa"/>
          <w:right w:w="0" w:type="dxa"/>
        </w:tblCellMar>
        <w:tblLook w:val="0000"/>
      </w:tblPr>
      <w:tblGrid>
        <w:gridCol w:w="1830"/>
        <w:gridCol w:w="1830"/>
        <w:gridCol w:w="1830"/>
        <w:gridCol w:w="1830"/>
      </w:tblGrid>
      <w:tr w:rsidR="00635FAE" w:rsidRPr="00166BC3" w:rsidTr="00635FAE">
        <w:tblPrEx>
          <w:tblCellMar>
            <w:top w:w="0" w:type="dxa"/>
            <w:bottom w:w="0" w:type="dxa"/>
          </w:tblCellMar>
        </w:tblPrEx>
        <w:trPr>
          <w:tblHeader/>
        </w:trPr>
        <w:tc>
          <w:tcPr>
            <w:tcW w:w="1830" w:type="dxa"/>
            <w:vMerge w:val="restart"/>
            <w:tcBorders>
              <w:top w:val="single" w:sz="4" w:space="0" w:color="auto"/>
            </w:tcBorders>
            <w:shd w:val="clear" w:color="auto" w:fill="auto"/>
            <w:vAlign w:val="bottom"/>
          </w:tcPr>
          <w:p w:rsidR="00635FAE" w:rsidRPr="00166BC3" w:rsidRDefault="00635FAE" w:rsidP="00166BC3">
            <w:pPr>
              <w:widowControl w:val="0"/>
              <w:autoSpaceDE w:val="0"/>
              <w:autoSpaceDN w:val="0"/>
              <w:adjustRightInd w:val="0"/>
              <w:spacing w:after="80" w:line="160" w:lineRule="exact"/>
              <w:ind w:right="40"/>
              <w:rPr>
                <w:i/>
                <w:kern w:val="0"/>
                <w:sz w:val="14"/>
              </w:rPr>
            </w:pPr>
            <w:r w:rsidRPr="00166BC3">
              <w:rPr>
                <w:i/>
                <w:iCs/>
                <w:kern w:val="0"/>
                <w:sz w:val="14"/>
                <w:szCs w:val="24"/>
              </w:rPr>
              <w:t>Provincia</w:t>
            </w:r>
          </w:p>
        </w:tc>
        <w:tc>
          <w:tcPr>
            <w:tcW w:w="5490" w:type="dxa"/>
            <w:gridSpan w:val="3"/>
            <w:tcBorders>
              <w:top w:val="single" w:sz="4" w:space="0" w:color="auto"/>
              <w:bottom w:val="single" w:sz="4" w:space="0" w:color="auto"/>
            </w:tcBorders>
            <w:shd w:val="clear" w:color="auto" w:fill="auto"/>
            <w:vAlign w:val="bottom"/>
          </w:tcPr>
          <w:p w:rsidR="00635FAE" w:rsidRPr="00166BC3" w:rsidRDefault="00635FAE" w:rsidP="00635FAE">
            <w:pPr>
              <w:tabs>
                <w:tab w:val="left" w:pos="288"/>
                <w:tab w:val="left" w:pos="576"/>
                <w:tab w:val="left" w:pos="864"/>
                <w:tab w:val="left" w:pos="1152"/>
              </w:tabs>
              <w:spacing w:before="80" w:after="80" w:line="160" w:lineRule="exact"/>
              <w:ind w:right="40"/>
              <w:jc w:val="center"/>
              <w:rPr>
                <w:i/>
                <w:kern w:val="0"/>
                <w:sz w:val="14"/>
              </w:rPr>
            </w:pPr>
            <w:r w:rsidRPr="00166BC3">
              <w:rPr>
                <w:i/>
                <w:kern w:val="0"/>
                <w:sz w:val="14"/>
                <w:szCs w:val="24"/>
              </w:rPr>
              <w:t>Docentes</w:t>
            </w:r>
          </w:p>
        </w:tc>
      </w:tr>
      <w:tr w:rsidR="00635FAE" w:rsidRPr="00166BC3" w:rsidTr="00635FAE">
        <w:tblPrEx>
          <w:tblCellMar>
            <w:top w:w="0" w:type="dxa"/>
            <w:bottom w:w="0" w:type="dxa"/>
          </w:tblCellMar>
        </w:tblPrEx>
        <w:trPr>
          <w:tblHeader/>
        </w:trPr>
        <w:tc>
          <w:tcPr>
            <w:tcW w:w="1830" w:type="dxa"/>
            <w:vMerge/>
            <w:tcBorders>
              <w:bottom w:val="single" w:sz="12" w:space="0" w:color="auto"/>
            </w:tcBorders>
            <w:shd w:val="clear" w:color="auto" w:fill="auto"/>
            <w:vAlign w:val="bottom"/>
          </w:tcPr>
          <w:p w:rsidR="00635FAE" w:rsidRPr="00166BC3" w:rsidRDefault="00635FAE" w:rsidP="00166BC3">
            <w:pPr>
              <w:widowControl w:val="0"/>
              <w:autoSpaceDE w:val="0"/>
              <w:autoSpaceDN w:val="0"/>
              <w:adjustRightInd w:val="0"/>
              <w:spacing w:after="80" w:line="160" w:lineRule="exact"/>
              <w:ind w:right="40"/>
              <w:rPr>
                <w:i/>
                <w:iCs/>
                <w:kern w:val="0"/>
                <w:sz w:val="14"/>
                <w:szCs w:val="24"/>
              </w:rPr>
            </w:pPr>
          </w:p>
        </w:tc>
        <w:tc>
          <w:tcPr>
            <w:tcW w:w="1830" w:type="dxa"/>
            <w:tcBorders>
              <w:top w:val="single" w:sz="4" w:space="0" w:color="auto"/>
              <w:bottom w:val="single" w:sz="12" w:space="0" w:color="auto"/>
            </w:tcBorders>
            <w:shd w:val="clear" w:color="auto" w:fill="auto"/>
            <w:vAlign w:val="bottom"/>
          </w:tcPr>
          <w:p w:rsidR="00635FAE" w:rsidRPr="00166BC3" w:rsidRDefault="00635FAE" w:rsidP="00635FAE">
            <w:pPr>
              <w:widowControl w:val="0"/>
              <w:autoSpaceDE w:val="0"/>
              <w:autoSpaceDN w:val="0"/>
              <w:adjustRightInd w:val="0"/>
              <w:spacing w:before="80" w:after="80" w:line="160" w:lineRule="exact"/>
              <w:ind w:right="43"/>
              <w:jc w:val="right"/>
              <w:rPr>
                <w:b/>
                <w:i/>
                <w:kern w:val="0"/>
                <w:sz w:val="14"/>
                <w:szCs w:val="24"/>
              </w:rPr>
            </w:pPr>
            <w:r w:rsidRPr="00166BC3">
              <w:rPr>
                <w:i/>
                <w:iCs/>
                <w:kern w:val="0"/>
                <w:sz w:val="14"/>
                <w:szCs w:val="24"/>
              </w:rPr>
              <w:t>Varones</w:t>
            </w:r>
          </w:p>
        </w:tc>
        <w:tc>
          <w:tcPr>
            <w:tcW w:w="1830" w:type="dxa"/>
            <w:tcBorders>
              <w:top w:val="single" w:sz="4" w:space="0" w:color="auto"/>
              <w:bottom w:val="single" w:sz="12" w:space="0" w:color="auto"/>
            </w:tcBorders>
            <w:shd w:val="clear" w:color="auto" w:fill="auto"/>
            <w:vAlign w:val="bottom"/>
          </w:tcPr>
          <w:p w:rsidR="00635FAE" w:rsidRPr="00166BC3" w:rsidRDefault="00635FAE" w:rsidP="00635FAE">
            <w:pPr>
              <w:widowControl w:val="0"/>
              <w:autoSpaceDE w:val="0"/>
              <w:autoSpaceDN w:val="0"/>
              <w:adjustRightInd w:val="0"/>
              <w:spacing w:before="80" w:after="80" w:line="160" w:lineRule="exact"/>
              <w:ind w:right="43"/>
              <w:jc w:val="right"/>
              <w:rPr>
                <w:b/>
                <w:i/>
                <w:kern w:val="0"/>
                <w:sz w:val="14"/>
                <w:szCs w:val="24"/>
              </w:rPr>
            </w:pPr>
            <w:r w:rsidRPr="00166BC3">
              <w:rPr>
                <w:i/>
                <w:iCs/>
                <w:kern w:val="0"/>
                <w:sz w:val="14"/>
                <w:szCs w:val="24"/>
              </w:rPr>
              <w:t>Mujeres</w:t>
            </w:r>
          </w:p>
        </w:tc>
        <w:tc>
          <w:tcPr>
            <w:tcW w:w="1830" w:type="dxa"/>
            <w:tcBorders>
              <w:top w:val="single" w:sz="4" w:space="0" w:color="auto"/>
              <w:bottom w:val="single" w:sz="12" w:space="0" w:color="auto"/>
            </w:tcBorders>
            <w:shd w:val="clear" w:color="auto" w:fill="auto"/>
            <w:vAlign w:val="bottom"/>
          </w:tcPr>
          <w:p w:rsidR="00635FAE" w:rsidRPr="00166BC3" w:rsidRDefault="00635FAE" w:rsidP="00635FAE">
            <w:pPr>
              <w:widowControl w:val="0"/>
              <w:autoSpaceDE w:val="0"/>
              <w:autoSpaceDN w:val="0"/>
              <w:adjustRightInd w:val="0"/>
              <w:spacing w:before="80" w:after="80" w:line="160" w:lineRule="exact"/>
              <w:ind w:right="43"/>
              <w:jc w:val="right"/>
              <w:rPr>
                <w:b/>
                <w:i/>
                <w:kern w:val="0"/>
                <w:sz w:val="14"/>
                <w:szCs w:val="24"/>
              </w:rPr>
            </w:pPr>
            <w:r w:rsidRPr="00166BC3">
              <w:rPr>
                <w:i/>
                <w:iCs/>
                <w:kern w:val="0"/>
                <w:sz w:val="14"/>
                <w:szCs w:val="24"/>
              </w:rPr>
              <w:t>Total</w:t>
            </w:r>
          </w:p>
        </w:tc>
      </w:tr>
      <w:tr w:rsidR="00166BC3" w:rsidRPr="00166BC3" w:rsidTr="00166BC3">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166BC3" w:rsidRPr="00166BC3" w:rsidRDefault="00166BC3" w:rsidP="00166BC3">
            <w:pPr>
              <w:widowControl w:val="0"/>
              <w:autoSpaceDE w:val="0"/>
              <w:autoSpaceDN w:val="0"/>
              <w:adjustRightInd w:val="0"/>
              <w:spacing w:before="40" w:after="40" w:line="210" w:lineRule="exact"/>
              <w:ind w:right="40"/>
              <w:rPr>
                <w:kern w:val="0"/>
                <w:sz w:val="17"/>
                <w:szCs w:val="24"/>
              </w:rPr>
            </w:pPr>
          </w:p>
        </w:tc>
        <w:tc>
          <w:tcPr>
            <w:tcW w:w="1830" w:type="dxa"/>
            <w:tcBorders>
              <w:top w:val="single" w:sz="12" w:space="0" w:color="auto"/>
            </w:tcBorders>
            <w:shd w:val="clear" w:color="auto" w:fill="auto"/>
            <w:vAlign w:val="bottom"/>
          </w:tcPr>
          <w:p w:rsidR="00166BC3" w:rsidRPr="00166BC3" w:rsidRDefault="00166BC3" w:rsidP="00166BC3">
            <w:pPr>
              <w:pStyle w:val="DTpara"/>
              <w:numPr>
                <w:ilvl w:val="0"/>
                <w:numId w:val="0"/>
              </w:numPr>
              <w:spacing w:before="40" w:after="40" w:line="210" w:lineRule="exact"/>
              <w:ind w:left="113" w:right="40"/>
              <w:jc w:val="right"/>
              <w:rPr>
                <w:spacing w:val="4"/>
                <w:w w:val="103"/>
                <w:sz w:val="17"/>
                <w:szCs w:val="24"/>
                <w:lang w:val="fr-FR"/>
              </w:rPr>
            </w:pPr>
          </w:p>
        </w:tc>
        <w:tc>
          <w:tcPr>
            <w:tcW w:w="1830" w:type="dxa"/>
            <w:tcBorders>
              <w:top w:val="single" w:sz="12" w:space="0" w:color="auto"/>
            </w:tcBorders>
            <w:shd w:val="clear" w:color="auto" w:fill="auto"/>
            <w:vAlign w:val="bottom"/>
          </w:tcPr>
          <w:p w:rsidR="00166BC3" w:rsidRPr="00166BC3" w:rsidRDefault="00166BC3" w:rsidP="00166BC3">
            <w:pPr>
              <w:pStyle w:val="DTpara"/>
              <w:numPr>
                <w:ilvl w:val="0"/>
                <w:numId w:val="0"/>
              </w:numPr>
              <w:spacing w:before="40" w:after="40" w:line="210" w:lineRule="exact"/>
              <w:ind w:left="113" w:right="40"/>
              <w:jc w:val="right"/>
              <w:rPr>
                <w:spacing w:val="4"/>
                <w:w w:val="103"/>
                <w:sz w:val="17"/>
                <w:szCs w:val="24"/>
                <w:lang w:val="fr-FR"/>
              </w:rPr>
            </w:pPr>
          </w:p>
        </w:tc>
        <w:tc>
          <w:tcPr>
            <w:tcW w:w="1830" w:type="dxa"/>
            <w:tcBorders>
              <w:top w:val="single" w:sz="12" w:space="0" w:color="auto"/>
            </w:tcBorders>
            <w:shd w:val="clear" w:color="auto" w:fill="auto"/>
            <w:vAlign w:val="bottom"/>
          </w:tcPr>
          <w:p w:rsidR="00166BC3" w:rsidRPr="00166BC3" w:rsidRDefault="00166BC3" w:rsidP="00166BC3">
            <w:pPr>
              <w:pStyle w:val="DTpara"/>
              <w:numPr>
                <w:ilvl w:val="0"/>
                <w:numId w:val="0"/>
              </w:numPr>
              <w:spacing w:before="40" w:after="40" w:line="210" w:lineRule="exact"/>
              <w:ind w:left="113" w:right="40"/>
              <w:jc w:val="right"/>
              <w:rPr>
                <w:spacing w:val="4"/>
                <w:w w:val="103"/>
                <w:sz w:val="17"/>
                <w:szCs w:val="24"/>
                <w:lang w:val="fr-FR"/>
              </w:rPr>
            </w:pP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Estuaire</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1 132</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2 280</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3 412</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Haut-Ogooué</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357</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357</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714</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Moyen-Ogooué</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140</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170</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310</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Ngounié</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284</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185</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469</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Nyanga</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159</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74</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233</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Ogooué Ivindo</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193</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96</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289</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Ogooué Lolo</w:t>
            </w:r>
          </w:p>
        </w:tc>
        <w:tc>
          <w:tcPr>
            <w:tcW w:w="1830" w:type="dxa"/>
            <w:shd w:val="clear" w:color="auto" w:fill="auto"/>
            <w:vAlign w:val="bottom"/>
          </w:tcPr>
          <w:p w:rsidR="00166BC3" w:rsidRPr="00166BC3" w:rsidRDefault="00166BC3" w:rsidP="00166BC3">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166BC3">
              <w:rPr>
                <w:spacing w:val="4"/>
                <w:w w:val="103"/>
                <w:sz w:val="17"/>
                <w:szCs w:val="24"/>
                <w:lang w:val="fr-FR"/>
              </w:rPr>
              <w:t>157</w:t>
            </w:r>
          </w:p>
        </w:tc>
        <w:tc>
          <w:tcPr>
            <w:tcW w:w="1830" w:type="dxa"/>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66BC3">
              <w:rPr>
                <w:kern w:val="0"/>
                <w:sz w:val="17"/>
                <w:szCs w:val="24"/>
                <w:lang w:val="fr-FR"/>
              </w:rPr>
              <w:t>99</w:t>
            </w:r>
          </w:p>
        </w:tc>
        <w:tc>
          <w:tcPr>
            <w:tcW w:w="1830" w:type="dxa"/>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66BC3">
              <w:rPr>
                <w:kern w:val="0"/>
                <w:sz w:val="17"/>
                <w:szCs w:val="24"/>
                <w:lang w:val="fr-FR"/>
              </w:rPr>
              <w:t>256</w:t>
            </w:r>
          </w:p>
        </w:tc>
      </w:tr>
      <w:tr w:rsidR="00166BC3" w:rsidRPr="00166BC3" w:rsidTr="00166BC3">
        <w:tblPrEx>
          <w:tblCellMar>
            <w:top w:w="0" w:type="dxa"/>
            <w:bottom w:w="0" w:type="dxa"/>
          </w:tblCellMar>
        </w:tblPrEx>
        <w:tc>
          <w:tcPr>
            <w:tcW w:w="1830" w:type="dxa"/>
            <w:shd w:val="clear" w:color="auto" w:fill="auto"/>
            <w:vAlign w:val="bottom"/>
          </w:tcPr>
          <w:p w:rsidR="00166BC3" w:rsidRPr="00166BC3" w:rsidRDefault="00166BC3" w:rsidP="00166BC3">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66BC3">
              <w:rPr>
                <w:kern w:val="0"/>
                <w:sz w:val="17"/>
                <w:szCs w:val="24"/>
              </w:rPr>
              <w:t>Ogooué maritime</w:t>
            </w:r>
          </w:p>
        </w:tc>
        <w:tc>
          <w:tcPr>
            <w:tcW w:w="1830" w:type="dxa"/>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66BC3">
              <w:rPr>
                <w:kern w:val="0"/>
                <w:sz w:val="17"/>
                <w:szCs w:val="24"/>
                <w:lang w:val="fr-FR"/>
              </w:rPr>
              <w:t>262</w:t>
            </w:r>
          </w:p>
        </w:tc>
        <w:tc>
          <w:tcPr>
            <w:tcW w:w="1830" w:type="dxa"/>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66BC3">
              <w:rPr>
                <w:kern w:val="0"/>
                <w:sz w:val="17"/>
                <w:szCs w:val="24"/>
                <w:lang w:val="fr-FR"/>
              </w:rPr>
              <w:t>489</w:t>
            </w:r>
          </w:p>
        </w:tc>
        <w:tc>
          <w:tcPr>
            <w:tcW w:w="1830" w:type="dxa"/>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66BC3">
              <w:rPr>
                <w:kern w:val="0"/>
                <w:sz w:val="17"/>
                <w:szCs w:val="24"/>
                <w:lang w:val="fr-FR"/>
              </w:rPr>
              <w:t>751</w:t>
            </w:r>
          </w:p>
        </w:tc>
      </w:tr>
      <w:tr w:rsidR="00166BC3" w:rsidRPr="00166BC3" w:rsidTr="00166BC3">
        <w:tblPrEx>
          <w:tblCellMar>
            <w:top w:w="0" w:type="dxa"/>
            <w:bottom w:w="0" w:type="dxa"/>
          </w:tblCellMar>
        </w:tblPrEx>
        <w:tc>
          <w:tcPr>
            <w:tcW w:w="1830" w:type="dxa"/>
            <w:tcBorders>
              <w:bottom w:val="single" w:sz="4" w:space="0" w:color="auto"/>
            </w:tcBorders>
            <w:shd w:val="clear" w:color="auto" w:fill="auto"/>
            <w:vAlign w:val="bottom"/>
          </w:tcPr>
          <w:p w:rsidR="00166BC3" w:rsidRPr="00166BC3" w:rsidRDefault="00166BC3" w:rsidP="00166BC3">
            <w:pPr>
              <w:tabs>
                <w:tab w:val="left" w:pos="288"/>
                <w:tab w:val="left" w:pos="576"/>
                <w:tab w:val="left" w:pos="864"/>
                <w:tab w:val="left" w:pos="1152"/>
              </w:tabs>
              <w:spacing w:before="40" w:after="81" w:line="210" w:lineRule="exact"/>
              <w:ind w:right="40"/>
              <w:rPr>
                <w:kern w:val="0"/>
                <w:sz w:val="17"/>
              </w:rPr>
            </w:pPr>
            <w:r w:rsidRPr="00166BC3">
              <w:rPr>
                <w:kern w:val="0"/>
                <w:sz w:val="17"/>
                <w:szCs w:val="24"/>
              </w:rPr>
              <w:t>Woleu Ntem</w:t>
            </w:r>
          </w:p>
        </w:tc>
        <w:tc>
          <w:tcPr>
            <w:tcW w:w="1830" w:type="dxa"/>
            <w:tcBorders>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166BC3">
              <w:rPr>
                <w:kern w:val="0"/>
                <w:sz w:val="17"/>
                <w:szCs w:val="24"/>
                <w:lang w:val="fr-FR"/>
              </w:rPr>
              <w:t>410</w:t>
            </w:r>
          </w:p>
        </w:tc>
        <w:tc>
          <w:tcPr>
            <w:tcW w:w="1830" w:type="dxa"/>
            <w:tcBorders>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166BC3">
              <w:rPr>
                <w:kern w:val="0"/>
                <w:sz w:val="17"/>
                <w:szCs w:val="24"/>
                <w:lang w:val="fr-FR"/>
              </w:rPr>
              <w:t>385</w:t>
            </w:r>
          </w:p>
        </w:tc>
        <w:tc>
          <w:tcPr>
            <w:tcW w:w="1830" w:type="dxa"/>
            <w:tcBorders>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166BC3">
              <w:rPr>
                <w:kern w:val="0"/>
                <w:sz w:val="17"/>
                <w:szCs w:val="24"/>
                <w:lang w:val="fr-FR"/>
              </w:rPr>
              <w:t>795</w:t>
            </w:r>
          </w:p>
        </w:tc>
      </w:tr>
      <w:tr w:rsidR="00166BC3" w:rsidRPr="00166BC3" w:rsidTr="00166BC3">
        <w:tblPrEx>
          <w:tblCellMar>
            <w:top w:w="0" w:type="dxa"/>
            <w:bottom w:w="0" w:type="dxa"/>
          </w:tblCellMar>
        </w:tblPrEx>
        <w:tc>
          <w:tcPr>
            <w:tcW w:w="1830" w:type="dxa"/>
            <w:tcBorders>
              <w:top w:val="single" w:sz="4" w:space="0" w:color="auto"/>
              <w:bottom w:val="single" w:sz="4" w:space="0" w:color="auto"/>
            </w:tcBorders>
            <w:shd w:val="clear" w:color="auto" w:fill="auto"/>
            <w:vAlign w:val="bottom"/>
          </w:tcPr>
          <w:p w:rsidR="00166BC3" w:rsidRPr="00166BC3" w:rsidRDefault="00166BC3" w:rsidP="00166BC3">
            <w:pPr>
              <w:tabs>
                <w:tab w:val="left" w:pos="288"/>
                <w:tab w:val="left" w:pos="576"/>
                <w:tab w:val="left" w:pos="864"/>
                <w:tab w:val="left" w:pos="1152"/>
              </w:tabs>
              <w:spacing w:before="81" w:after="81" w:line="210" w:lineRule="exact"/>
              <w:ind w:right="40"/>
              <w:rPr>
                <w:b/>
                <w:kern w:val="0"/>
                <w:sz w:val="17"/>
              </w:rPr>
            </w:pPr>
            <w:r w:rsidRPr="00166BC3">
              <w:rPr>
                <w:b/>
                <w:kern w:val="0"/>
                <w:sz w:val="17"/>
              </w:rPr>
              <w:t>En conjunto</w:t>
            </w:r>
          </w:p>
        </w:tc>
        <w:tc>
          <w:tcPr>
            <w:tcW w:w="1830" w:type="dxa"/>
            <w:tcBorders>
              <w:top w:val="single" w:sz="4" w:space="0" w:color="auto"/>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66BC3">
              <w:rPr>
                <w:b/>
                <w:kern w:val="0"/>
                <w:sz w:val="17"/>
                <w:szCs w:val="24"/>
                <w:lang w:val="fr-FR"/>
              </w:rPr>
              <w:t>3 094</w:t>
            </w:r>
          </w:p>
        </w:tc>
        <w:tc>
          <w:tcPr>
            <w:tcW w:w="1830" w:type="dxa"/>
            <w:tcBorders>
              <w:top w:val="single" w:sz="4" w:space="0" w:color="auto"/>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66BC3">
              <w:rPr>
                <w:b/>
                <w:kern w:val="0"/>
                <w:sz w:val="17"/>
                <w:szCs w:val="24"/>
                <w:lang w:val="fr-FR"/>
              </w:rPr>
              <w:t>4 135</w:t>
            </w:r>
          </w:p>
        </w:tc>
        <w:tc>
          <w:tcPr>
            <w:tcW w:w="1830" w:type="dxa"/>
            <w:tcBorders>
              <w:top w:val="single" w:sz="4" w:space="0" w:color="auto"/>
              <w:bottom w:val="single" w:sz="4"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66BC3">
              <w:rPr>
                <w:b/>
                <w:kern w:val="0"/>
                <w:sz w:val="17"/>
                <w:szCs w:val="24"/>
                <w:lang w:val="fr-FR"/>
              </w:rPr>
              <w:t>7 229</w:t>
            </w:r>
          </w:p>
        </w:tc>
      </w:tr>
      <w:tr w:rsidR="00166BC3" w:rsidRPr="00166BC3" w:rsidTr="00166BC3">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166BC3" w:rsidRPr="00166BC3" w:rsidRDefault="00166BC3" w:rsidP="00166BC3">
            <w:pPr>
              <w:tabs>
                <w:tab w:val="left" w:pos="288"/>
                <w:tab w:val="left" w:pos="576"/>
                <w:tab w:val="left" w:pos="864"/>
                <w:tab w:val="left" w:pos="1152"/>
              </w:tabs>
              <w:spacing w:before="81" w:after="80" w:line="210" w:lineRule="exact"/>
              <w:ind w:right="43"/>
              <w:rPr>
                <w:kern w:val="0"/>
                <w:sz w:val="17"/>
              </w:rPr>
            </w:pPr>
            <w:r w:rsidRPr="00166BC3">
              <w:rPr>
                <w:kern w:val="0"/>
                <w:sz w:val="17"/>
              </w:rPr>
              <w:t>Porcentaje</w:t>
            </w:r>
          </w:p>
        </w:tc>
        <w:tc>
          <w:tcPr>
            <w:tcW w:w="1830" w:type="dxa"/>
            <w:tcBorders>
              <w:top w:val="single" w:sz="4" w:space="0" w:color="auto"/>
              <w:bottom w:val="single" w:sz="12"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0" w:line="210" w:lineRule="exact"/>
              <w:ind w:left="113" w:right="43"/>
              <w:jc w:val="right"/>
              <w:rPr>
                <w:kern w:val="0"/>
                <w:sz w:val="17"/>
                <w:szCs w:val="24"/>
                <w:lang w:val="fr-FR"/>
              </w:rPr>
            </w:pPr>
            <w:r w:rsidRPr="00166BC3">
              <w:rPr>
                <w:kern w:val="0"/>
                <w:sz w:val="17"/>
                <w:szCs w:val="24"/>
                <w:lang w:val="fr-FR"/>
              </w:rPr>
              <w:t>42,8</w:t>
            </w:r>
          </w:p>
        </w:tc>
        <w:tc>
          <w:tcPr>
            <w:tcW w:w="1830" w:type="dxa"/>
            <w:tcBorders>
              <w:top w:val="single" w:sz="4" w:space="0" w:color="auto"/>
              <w:bottom w:val="single" w:sz="12"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0" w:line="210" w:lineRule="exact"/>
              <w:ind w:left="113" w:right="43"/>
              <w:jc w:val="right"/>
              <w:rPr>
                <w:kern w:val="0"/>
                <w:sz w:val="17"/>
                <w:szCs w:val="24"/>
                <w:lang w:val="fr-FR"/>
              </w:rPr>
            </w:pPr>
            <w:r w:rsidRPr="00166BC3">
              <w:rPr>
                <w:kern w:val="0"/>
                <w:sz w:val="17"/>
                <w:szCs w:val="24"/>
                <w:lang w:val="fr-FR"/>
              </w:rPr>
              <w:t>57,2</w:t>
            </w:r>
          </w:p>
        </w:tc>
        <w:tc>
          <w:tcPr>
            <w:tcW w:w="1830" w:type="dxa"/>
            <w:tcBorders>
              <w:top w:val="single" w:sz="4" w:space="0" w:color="auto"/>
              <w:bottom w:val="single" w:sz="12" w:space="0" w:color="auto"/>
            </w:tcBorders>
            <w:shd w:val="clear" w:color="auto" w:fill="auto"/>
            <w:vAlign w:val="bottom"/>
          </w:tcPr>
          <w:p w:rsidR="00166BC3" w:rsidRPr="00166BC3" w:rsidRDefault="00166BC3" w:rsidP="00166BC3">
            <w:pPr>
              <w:pStyle w:val="NormalSchedule"/>
              <w:tabs>
                <w:tab w:val="left" w:pos="288"/>
                <w:tab w:val="left" w:pos="576"/>
                <w:tab w:val="left" w:pos="864"/>
                <w:tab w:val="left" w:pos="1152"/>
              </w:tabs>
              <w:spacing w:before="81" w:after="80" w:line="210" w:lineRule="exact"/>
              <w:ind w:left="113" w:right="43"/>
              <w:jc w:val="right"/>
              <w:rPr>
                <w:kern w:val="0"/>
                <w:sz w:val="17"/>
                <w:szCs w:val="24"/>
                <w:lang w:val="fr-FR"/>
              </w:rPr>
            </w:pPr>
            <w:r w:rsidRPr="00166BC3">
              <w:rPr>
                <w:kern w:val="0"/>
                <w:sz w:val="17"/>
                <w:szCs w:val="24"/>
                <w:lang w:val="fr-FR"/>
              </w:rPr>
              <w:t>100</w:t>
            </w:r>
          </w:p>
        </w:tc>
      </w:tr>
    </w:tbl>
    <w:p w:rsidR="00166BC3" w:rsidRPr="00166BC3" w:rsidRDefault="00166BC3" w:rsidP="00166BC3">
      <w:pPr>
        <w:pStyle w:val="SingleTxt"/>
        <w:spacing w:after="0" w:line="120" w:lineRule="exact"/>
        <w:rPr>
          <w:sz w:val="10"/>
        </w:rPr>
      </w:pPr>
    </w:p>
    <w:p w:rsidR="00166BC3" w:rsidRPr="00166BC3" w:rsidRDefault="00166BC3" w:rsidP="00166B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166BC3">
        <w:rPr>
          <w:i/>
          <w:sz w:val="17"/>
          <w:szCs w:val="17"/>
        </w:rPr>
        <w:t>Fuente</w:t>
      </w:r>
      <w:r w:rsidRPr="00166BC3">
        <w:rPr>
          <w:sz w:val="17"/>
          <w:szCs w:val="17"/>
        </w:rPr>
        <w:t>: Boletín de análisis estadístico No 1 - Enseñanza primaria en el Gabón, 2008</w:t>
      </w:r>
      <w:r w:rsidR="00635FAE">
        <w:rPr>
          <w:sz w:val="17"/>
          <w:szCs w:val="17"/>
        </w:rPr>
        <w:t>.</w:t>
      </w:r>
    </w:p>
    <w:p w:rsidR="00166BC3" w:rsidRPr="00166BC3" w:rsidRDefault="00166BC3" w:rsidP="00166BC3">
      <w:pPr>
        <w:pStyle w:val="SingleTxt"/>
        <w:spacing w:after="0" w:line="120" w:lineRule="exact"/>
        <w:rPr>
          <w:sz w:val="10"/>
        </w:rPr>
      </w:pPr>
    </w:p>
    <w:p w:rsidR="00166BC3" w:rsidRPr="00166BC3" w:rsidRDefault="00166BC3" w:rsidP="00166BC3">
      <w:pPr>
        <w:pStyle w:val="SingleTxt"/>
        <w:spacing w:after="0" w:line="120" w:lineRule="exact"/>
        <w:rPr>
          <w:sz w:val="10"/>
        </w:rPr>
      </w:pPr>
    </w:p>
    <w:p w:rsidR="00166BC3" w:rsidRPr="00166BC3" w:rsidRDefault="00166BC3" w:rsidP="00166BC3">
      <w:pPr>
        <w:pStyle w:val="SingleTxt"/>
        <w:spacing w:after="0" w:line="120" w:lineRule="exact"/>
        <w:rPr>
          <w:sz w:val="10"/>
        </w:rPr>
      </w:pPr>
    </w:p>
    <w:p w:rsidR="00616030" w:rsidRDefault="00166BC3" w:rsidP="00166BC3">
      <w:pPr>
        <w:pStyle w:val="SingleTxt"/>
      </w:pPr>
      <w:r>
        <w:t>92.</w:t>
      </w:r>
      <w:r>
        <w:tab/>
        <w:t>El examen de la situación en los sectores de la enseñanza secundaria muestra que muy pocas mujeres jóvenes se orientan hacia las carreras científicas y tecnológicas después del tercer año. En las escuelas públicas representan apenas el 8,76% en segundo C; al terminar, tienen una presencia marginal. En las escuelas privadas, la asistencia es un poco más elevada.</w:t>
      </w:r>
    </w:p>
    <w:p w:rsidR="00166BC3" w:rsidRPr="00166BC3" w:rsidRDefault="00166BC3" w:rsidP="00166BC3">
      <w:pPr>
        <w:pStyle w:val="SingleTxt"/>
        <w:suppressAutoHyphens/>
        <w:spacing w:after="0" w:line="120" w:lineRule="exact"/>
        <w:rPr>
          <w:sz w:val="10"/>
        </w:rPr>
      </w:pPr>
    </w:p>
    <w:p w:rsidR="00616030" w:rsidRDefault="00166BC3" w:rsidP="00166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66BC3">
        <w:rPr>
          <w:b w:val="0"/>
        </w:rPr>
        <w:t>Cuadro 7</w:t>
      </w:r>
      <w:r>
        <w:br/>
        <w:t>Situación de las mujeres en las carreras científicas y tecnológicas</w:t>
      </w:r>
    </w:p>
    <w:p w:rsidR="00166BC3" w:rsidRPr="00166BC3" w:rsidRDefault="00166BC3" w:rsidP="00166BC3">
      <w:pPr>
        <w:pStyle w:val="SingleTxt"/>
        <w:suppressAutoHyphens/>
        <w:spacing w:after="0" w:line="120" w:lineRule="exact"/>
        <w:rPr>
          <w:sz w:val="10"/>
        </w:rPr>
      </w:pPr>
    </w:p>
    <w:p w:rsidR="00166BC3" w:rsidRPr="00166BC3" w:rsidRDefault="00166BC3" w:rsidP="00166BC3">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5546B9" w:rsidRPr="005546B9" w:rsidTr="005546B9">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0" w:after="80" w:line="160" w:lineRule="exact"/>
              <w:ind w:right="40"/>
              <w:rPr>
                <w:i/>
                <w:kern w:val="0"/>
                <w:sz w:val="14"/>
              </w:rPr>
            </w:pPr>
            <w:r w:rsidRPr="005546B9">
              <w:rPr>
                <w:i/>
                <w:iCs/>
                <w:kern w:val="0"/>
                <w:sz w:val="14"/>
                <w:szCs w:val="24"/>
              </w:rPr>
              <w:t>Nivel</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0" w:after="80" w:line="160" w:lineRule="exact"/>
              <w:ind w:right="40"/>
              <w:jc w:val="right"/>
              <w:rPr>
                <w:i/>
                <w:kern w:val="0"/>
                <w:sz w:val="14"/>
              </w:rPr>
            </w:pPr>
            <w:r w:rsidRPr="005546B9">
              <w:rPr>
                <w:i/>
                <w:iCs/>
                <w:kern w:val="0"/>
                <w:sz w:val="14"/>
                <w:szCs w:val="24"/>
              </w:rPr>
              <w:t>Públicas</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0" w:after="80" w:line="160" w:lineRule="exact"/>
              <w:ind w:right="40"/>
              <w:jc w:val="right"/>
              <w:rPr>
                <w:i/>
                <w:kern w:val="0"/>
                <w:sz w:val="14"/>
              </w:rPr>
            </w:pPr>
            <w:r w:rsidRPr="005546B9">
              <w:rPr>
                <w:i/>
                <w:iCs/>
                <w:kern w:val="0"/>
                <w:sz w:val="14"/>
                <w:szCs w:val="24"/>
              </w:rPr>
              <w:t>Porcentaje</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0" w:after="80" w:line="160" w:lineRule="exact"/>
              <w:ind w:right="40"/>
              <w:jc w:val="right"/>
              <w:rPr>
                <w:i/>
                <w:kern w:val="0"/>
                <w:sz w:val="14"/>
              </w:rPr>
            </w:pPr>
            <w:r w:rsidRPr="005546B9">
              <w:rPr>
                <w:i/>
                <w:iCs/>
                <w:kern w:val="0"/>
                <w:sz w:val="14"/>
                <w:szCs w:val="24"/>
              </w:rPr>
              <w:t>Privadas</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0" w:after="80" w:line="160" w:lineRule="exact"/>
              <w:ind w:right="40"/>
              <w:jc w:val="right"/>
              <w:rPr>
                <w:i/>
                <w:kern w:val="0"/>
                <w:sz w:val="14"/>
              </w:rPr>
            </w:pPr>
            <w:r w:rsidRPr="005546B9">
              <w:rPr>
                <w:i/>
                <w:iCs/>
                <w:kern w:val="0"/>
                <w:sz w:val="14"/>
                <w:szCs w:val="24"/>
              </w:rPr>
              <w:t>Porcentaje</w:t>
            </w:r>
          </w:p>
        </w:tc>
      </w:tr>
      <w:tr w:rsidR="005546B9" w:rsidRPr="005546B9" w:rsidTr="005546B9">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5546B9" w:rsidRPr="005546B9" w:rsidRDefault="005546B9" w:rsidP="005546B9">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5546B9" w:rsidRPr="005546B9" w:rsidRDefault="005546B9" w:rsidP="005546B9">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5546B9" w:rsidRPr="005546B9" w:rsidRDefault="005546B9" w:rsidP="005546B9">
            <w:pPr>
              <w:pStyle w:val="DTpara"/>
              <w:numPr>
                <w:ilvl w:val="0"/>
                <w:numId w:val="0"/>
              </w:numPr>
              <w:spacing w:before="40" w:after="40" w:line="210" w:lineRule="exact"/>
              <w:ind w:left="113" w:right="40"/>
              <w:jc w:val="right"/>
              <w:rPr>
                <w:spacing w:val="4"/>
                <w:w w:val="103"/>
                <w:sz w:val="17"/>
                <w:szCs w:val="24"/>
                <w:lang w:val="fr-FR"/>
              </w:rPr>
            </w:pPr>
          </w:p>
        </w:tc>
        <w:tc>
          <w:tcPr>
            <w:tcW w:w="1464" w:type="dxa"/>
            <w:tcBorders>
              <w:top w:val="single" w:sz="12" w:space="0" w:color="auto"/>
            </w:tcBorders>
            <w:shd w:val="clear" w:color="auto" w:fill="auto"/>
            <w:vAlign w:val="bottom"/>
          </w:tcPr>
          <w:p w:rsidR="005546B9" w:rsidRPr="005546B9" w:rsidRDefault="005546B9" w:rsidP="005546B9">
            <w:pPr>
              <w:pStyle w:val="DTpara"/>
              <w:numPr>
                <w:ilvl w:val="0"/>
                <w:numId w:val="0"/>
              </w:numPr>
              <w:spacing w:before="40" w:after="40" w:line="210" w:lineRule="exact"/>
              <w:ind w:left="113" w:right="40"/>
              <w:jc w:val="right"/>
              <w:rPr>
                <w:spacing w:val="4"/>
                <w:w w:val="103"/>
                <w:sz w:val="17"/>
                <w:szCs w:val="24"/>
                <w:lang w:val="fr-FR"/>
              </w:rPr>
            </w:pPr>
          </w:p>
        </w:tc>
      </w:tr>
      <w:tr w:rsidR="005546B9" w:rsidRPr="005546B9" w:rsidTr="005546B9">
        <w:tblPrEx>
          <w:tblCellMar>
            <w:top w:w="0" w:type="dxa"/>
            <w:bottom w:w="0" w:type="dxa"/>
          </w:tblCellMar>
        </w:tblPrEx>
        <w:tc>
          <w:tcPr>
            <w:tcW w:w="1464" w:type="dxa"/>
            <w:shd w:val="clear" w:color="auto" w:fill="auto"/>
            <w:vAlign w:val="bottom"/>
          </w:tcPr>
          <w:p w:rsidR="005546B9" w:rsidRPr="005546B9" w:rsidRDefault="005546B9" w:rsidP="005546B9">
            <w:pPr>
              <w:tabs>
                <w:tab w:val="left" w:pos="288"/>
                <w:tab w:val="left" w:pos="576"/>
                <w:tab w:val="left" w:pos="864"/>
                <w:tab w:val="left" w:pos="1152"/>
              </w:tabs>
              <w:spacing w:before="40" w:after="40" w:line="210" w:lineRule="exact"/>
              <w:ind w:right="40"/>
              <w:rPr>
                <w:kern w:val="0"/>
                <w:sz w:val="17"/>
              </w:rPr>
            </w:pPr>
            <w:r w:rsidRPr="005546B9">
              <w:rPr>
                <w:kern w:val="0"/>
                <w:sz w:val="17"/>
              </w:rPr>
              <w:t>Tercero</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4 244</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82,57</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1 519</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78,21</w:t>
            </w:r>
          </w:p>
        </w:tc>
      </w:tr>
      <w:tr w:rsidR="005546B9" w:rsidRPr="005546B9" w:rsidTr="005546B9">
        <w:tblPrEx>
          <w:tblCellMar>
            <w:top w:w="0" w:type="dxa"/>
            <w:bottom w:w="0" w:type="dxa"/>
          </w:tblCellMar>
        </w:tblPrEx>
        <w:tc>
          <w:tcPr>
            <w:tcW w:w="1464" w:type="dxa"/>
            <w:shd w:val="clear" w:color="auto" w:fill="auto"/>
            <w:vAlign w:val="bottom"/>
          </w:tcPr>
          <w:p w:rsidR="005546B9" w:rsidRPr="005546B9" w:rsidRDefault="005546B9" w:rsidP="005546B9">
            <w:pPr>
              <w:tabs>
                <w:tab w:val="left" w:pos="288"/>
                <w:tab w:val="left" w:pos="576"/>
                <w:tab w:val="left" w:pos="864"/>
                <w:tab w:val="left" w:pos="1152"/>
              </w:tabs>
              <w:spacing w:before="40" w:after="40" w:line="210" w:lineRule="exact"/>
              <w:ind w:right="40"/>
              <w:rPr>
                <w:kern w:val="0"/>
                <w:sz w:val="17"/>
              </w:rPr>
            </w:pPr>
            <w:r w:rsidRPr="005546B9">
              <w:rPr>
                <w:kern w:val="0"/>
                <w:sz w:val="17"/>
              </w:rPr>
              <w:t>Segundo S</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450</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8,76</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181</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9,32</w:t>
            </w:r>
          </w:p>
        </w:tc>
      </w:tr>
      <w:tr w:rsidR="005546B9" w:rsidRPr="005546B9" w:rsidTr="005546B9">
        <w:tblPrEx>
          <w:tblCellMar>
            <w:top w:w="0" w:type="dxa"/>
            <w:bottom w:w="0" w:type="dxa"/>
          </w:tblCellMar>
        </w:tblPrEx>
        <w:tc>
          <w:tcPr>
            <w:tcW w:w="1464" w:type="dxa"/>
            <w:shd w:val="clear" w:color="auto" w:fill="auto"/>
            <w:vAlign w:val="bottom"/>
          </w:tcPr>
          <w:p w:rsidR="005546B9" w:rsidRPr="005546B9" w:rsidRDefault="005546B9" w:rsidP="005546B9">
            <w:pPr>
              <w:tabs>
                <w:tab w:val="left" w:pos="288"/>
                <w:tab w:val="left" w:pos="576"/>
                <w:tab w:val="left" w:pos="864"/>
                <w:tab w:val="left" w:pos="1152"/>
              </w:tabs>
              <w:spacing w:before="40" w:after="40" w:line="210" w:lineRule="exact"/>
              <w:ind w:right="40"/>
              <w:rPr>
                <w:kern w:val="0"/>
                <w:sz w:val="17"/>
              </w:rPr>
            </w:pPr>
            <w:r w:rsidRPr="005546B9">
              <w:rPr>
                <w:kern w:val="0"/>
                <w:sz w:val="17"/>
              </w:rPr>
              <w:t>Primero S</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236</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4,59</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119</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8,13</w:t>
            </w:r>
          </w:p>
        </w:tc>
      </w:tr>
      <w:tr w:rsidR="005546B9" w:rsidRPr="005546B9" w:rsidTr="005546B9">
        <w:tblPrEx>
          <w:tblCellMar>
            <w:top w:w="0" w:type="dxa"/>
            <w:bottom w:w="0" w:type="dxa"/>
          </w:tblCellMar>
        </w:tblPrEx>
        <w:tc>
          <w:tcPr>
            <w:tcW w:w="1464" w:type="dxa"/>
            <w:shd w:val="clear" w:color="auto" w:fill="auto"/>
            <w:vAlign w:val="bottom"/>
          </w:tcPr>
          <w:p w:rsidR="005546B9" w:rsidRPr="005546B9" w:rsidRDefault="005546B9" w:rsidP="005546B9">
            <w:pPr>
              <w:tabs>
                <w:tab w:val="left" w:pos="288"/>
                <w:tab w:val="left" w:pos="576"/>
                <w:tab w:val="left" w:pos="864"/>
                <w:tab w:val="left" w:pos="1152"/>
              </w:tabs>
              <w:spacing w:before="40" w:after="40" w:line="210" w:lineRule="exact"/>
              <w:ind w:right="40"/>
              <w:rPr>
                <w:kern w:val="0"/>
                <w:sz w:val="17"/>
              </w:rPr>
            </w:pPr>
            <w:r w:rsidRPr="005546B9">
              <w:rPr>
                <w:kern w:val="0"/>
                <w:sz w:val="17"/>
              </w:rPr>
              <w:t>Final C</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16</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0,31</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9</w:t>
            </w:r>
          </w:p>
        </w:tc>
        <w:tc>
          <w:tcPr>
            <w:tcW w:w="1464" w:type="dxa"/>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5546B9">
              <w:rPr>
                <w:spacing w:val="4"/>
                <w:w w:val="103"/>
                <w:sz w:val="17"/>
                <w:szCs w:val="24"/>
                <w:lang w:val="fr-FR"/>
              </w:rPr>
              <w:t>0,46</w:t>
            </w:r>
          </w:p>
        </w:tc>
      </w:tr>
      <w:tr w:rsidR="005546B9" w:rsidRPr="005546B9" w:rsidTr="005546B9">
        <w:tblPrEx>
          <w:tblCellMar>
            <w:top w:w="0" w:type="dxa"/>
            <w:bottom w:w="0" w:type="dxa"/>
          </w:tblCellMar>
        </w:tblPrEx>
        <w:tc>
          <w:tcPr>
            <w:tcW w:w="1464" w:type="dxa"/>
            <w:tcBorders>
              <w:bottom w:val="single" w:sz="4"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40" w:after="81" w:line="210" w:lineRule="exact"/>
              <w:ind w:right="40"/>
              <w:rPr>
                <w:kern w:val="0"/>
                <w:sz w:val="17"/>
              </w:rPr>
            </w:pPr>
            <w:r w:rsidRPr="005546B9">
              <w:rPr>
                <w:kern w:val="0"/>
                <w:sz w:val="17"/>
              </w:rPr>
              <w:t>Final D</w:t>
            </w:r>
          </w:p>
        </w:tc>
        <w:tc>
          <w:tcPr>
            <w:tcW w:w="1464" w:type="dxa"/>
            <w:tcBorders>
              <w:bottom w:val="single" w:sz="4" w:space="0" w:color="auto"/>
            </w:tcBorders>
            <w:shd w:val="clear" w:color="auto" w:fill="auto"/>
            <w:vAlign w:val="bottom"/>
          </w:tcPr>
          <w:p w:rsidR="005546B9" w:rsidRPr="005546B9" w:rsidRDefault="005546B9" w:rsidP="005546B9">
            <w:pPr>
              <w:pStyle w:val="DTpara"/>
              <w:numPr>
                <w:ilvl w:val="0"/>
                <w:numId w:val="0"/>
              </w:numPr>
              <w:tabs>
                <w:tab w:val="left" w:pos="288"/>
                <w:tab w:val="left" w:pos="576"/>
                <w:tab w:val="left" w:pos="864"/>
                <w:tab w:val="left" w:pos="1152"/>
              </w:tabs>
              <w:spacing w:before="40" w:after="81" w:line="210" w:lineRule="exact"/>
              <w:ind w:left="113" w:right="40"/>
              <w:jc w:val="right"/>
              <w:rPr>
                <w:spacing w:val="4"/>
                <w:w w:val="103"/>
                <w:sz w:val="17"/>
                <w:szCs w:val="24"/>
                <w:lang w:val="fr-FR"/>
              </w:rPr>
            </w:pPr>
            <w:r w:rsidRPr="005546B9">
              <w:rPr>
                <w:spacing w:val="4"/>
                <w:w w:val="103"/>
                <w:sz w:val="17"/>
                <w:szCs w:val="24"/>
                <w:lang w:val="fr-FR"/>
              </w:rPr>
              <w:t>194</w:t>
            </w:r>
          </w:p>
        </w:tc>
        <w:tc>
          <w:tcPr>
            <w:tcW w:w="1464" w:type="dxa"/>
            <w:tcBorders>
              <w:bottom w:val="single" w:sz="4"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5546B9">
              <w:rPr>
                <w:kern w:val="0"/>
                <w:sz w:val="17"/>
                <w:szCs w:val="24"/>
                <w:lang w:val="fr-FR"/>
              </w:rPr>
              <w:t>3,77</w:t>
            </w:r>
          </w:p>
        </w:tc>
        <w:tc>
          <w:tcPr>
            <w:tcW w:w="1464" w:type="dxa"/>
            <w:tcBorders>
              <w:bottom w:val="single" w:sz="4"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5546B9">
              <w:rPr>
                <w:kern w:val="0"/>
                <w:sz w:val="17"/>
                <w:szCs w:val="24"/>
                <w:lang w:val="fr-FR"/>
              </w:rPr>
              <w:t>114</w:t>
            </w:r>
          </w:p>
        </w:tc>
        <w:tc>
          <w:tcPr>
            <w:tcW w:w="1464" w:type="dxa"/>
            <w:tcBorders>
              <w:bottom w:val="single" w:sz="4"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5546B9">
              <w:rPr>
                <w:kern w:val="0"/>
                <w:sz w:val="17"/>
                <w:szCs w:val="24"/>
                <w:lang w:val="fr-FR"/>
              </w:rPr>
              <w:t>5,87</w:t>
            </w:r>
          </w:p>
        </w:tc>
      </w:tr>
      <w:tr w:rsidR="005546B9" w:rsidRPr="005546B9" w:rsidTr="005546B9">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5546B9" w:rsidRPr="005546B9" w:rsidRDefault="005546B9" w:rsidP="005546B9">
            <w:pPr>
              <w:tabs>
                <w:tab w:val="left" w:pos="288"/>
                <w:tab w:val="left" w:pos="576"/>
                <w:tab w:val="left" w:pos="864"/>
                <w:tab w:val="left" w:pos="1152"/>
              </w:tabs>
              <w:spacing w:before="81" w:after="81" w:line="210" w:lineRule="exact"/>
              <w:ind w:right="40"/>
              <w:rPr>
                <w:b/>
                <w:kern w:val="0"/>
                <w:sz w:val="17"/>
              </w:rPr>
            </w:pPr>
            <w:r w:rsidRPr="005546B9">
              <w:rPr>
                <w:b/>
                <w:kern w:val="0"/>
                <w:sz w:val="17"/>
              </w:rPr>
              <w:tab/>
              <w:t>Total</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5546B9">
              <w:rPr>
                <w:b/>
                <w:kern w:val="0"/>
                <w:sz w:val="17"/>
                <w:szCs w:val="24"/>
                <w:lang w:val="fr-FR"/>
              </w:rPr>
              <w:t>5 140</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5546B9">
              <w:rPr>
                <w:b/>
                <w:kern w:val="0"/>
                <w:sz w:val="17"/>
                <w:szCs w:val="24"/>
                <w:lang w:val="fr-FR"/>
              </w:rPr>
              <w:t>100</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5546B9">
              <w:rPr>
                <w:b/>
                <w:kern w:val="0"/>
                <w:sz w:val="17"/>
                <w:szCs w:val="24"/>
                <w:lang w:val="fr-FR"/>
              </w:rPr>
              <w:t>1 942</w:t>
            </w:r>
          </w:p>
        </w:tc>
        <w:tc>
          <w:tcPr>
            <w:tcW w:w="1464" w:type="dxa"/>
            <w:tcBorders>
              <w:top w:val="single" w:sz="4" w:space="0" w:color="auto"/>
              <w:bottom w:val="single" w:sz="12" w:space="0" w:color="auto"/>
            </w:tcBorders>
            <w:shd w:val="clear" w:color="auto" w:fill="auto"/>
            <w:vAlign w:val="bottom"/>
          </w:tcPr>
          <w:p w:rsidR="005546B9" w:rsidRPr="005546B9" w:rsidRDefault="005546B9" w:rsidP="005546B9">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5546B9">
              <w:rPr>
                <w:b/>
                <w:kern w:val="0"/>
                <w:sz w:val="17"/>
                <w:szCs w:val="24"/>
                <w:lang w:val="fr-FR"/>
              </w:rPr>
              <w:t>100</w:t>
            </w:r>
          </w:p>
        </w:tc>
      </w:tr>
    </w:tbl>
    <w:p w:rsidR="005546B9" w:rsidRPr="005546B9" w:rsidRDefault="005546B9" w:rsidP="005546B9">
      <w:pPr>
        <w:pStyle w:val="SingleTxt"/>
        <w:spacing w:after="0" w:line="120" w:lineRule="exact"/>
        <w:rPr>
          <w:sz w:val="10"/>
        </w:rPr>
      </w:pPr>
    </w:p>
    <w:p w:rsidR="005546B9" w:rsidRPr="00240C60" w:rsidRDefault="005546B9" w:rsidP="00240C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jc w:val="left"/>
        <w:rPr>
          <w:sz w:val="17"/>
          <w:szCs w:val="17"/>
        </w:rPr>
      </w:pPr>
      <w:r w:rsidRPr="00240C60">
        <w:rPr>
          <w:i/>
          <w:sz w:val="17"/>
          <w:szCs w:val="17"/>
        </w:rPr>
        <w:t>Fuente</w:t>
      </w:r>
      <w:r w:rsidRPr="00240C60">
        <w:rPr>
          <w:sz w:val="17"/>
          <w:szCs w:val="17"/>
        </w:rPr>
        <w:t>: Documento de promoción de las jóvenes en las especialidades científicas y tecnológicas en Gabón, 2001.</w:t>
      </w:r>
    </w:p>
    <w:p w:rsidR="005546B9" w:rsidRPr="005546B9" w:rsidRDefault="005546B9" w:rsidP="005546B9">
      <w:pPr>
        <w:pStyle w:val="SingleTxt"/>
        <w:suppressAutoHyphens/>
        <w:spacing w:after="0" w:line="120" w:lineRule="exact"/>
        <w:rPr>
          <w:sz w:val="10"/>
        </w:rPr>
      </w:pPr>
    </w:p>
    <w:p w:rsidR="005546B9" w:rsidRPr="005546B9" w:rsidRDefault="005546B9" w:rsidP="005546B9">
      <w:pPr>
        <w:pStyle w:val="SingleTxt"/>
        <w:suppressAutoHyphens/>
        <w:spacing w:after="0" w:line="120" w:lineRule="exact"/>
        <w:rPr>
          <w:sz w:val="10"/>
        </w:rPr>
      </w:pPr>
    </w:p>
    <w:p w:rsidR="005546B9" w:rsidRPr="005546B9" w:rsidRDefault="005546B9" w:rsidP="005546B9">
      <w:pPr>
        <w:pStyle w:val="SingleTxt"/>
        <w:suppressAutoHyphens/>
        <w:spacing w:after="0" w:line="120" w:lineRule="exact"/>
        <w:rPr>
          <w:sz w:val="10"/>
        </w:rPr>
      </w:pPr>
    </w:p>
    <w:p w:rsidR="005546B9" w:rsidRDefault="00240C60" w:rsidP="00240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46B9">
        <w:t>Enseñanza técnica</w:t>
      </w:r>
    </w:p>
    <w:p w:rsidR="00240C60" w:rsidRPr="00240C60" w:rsidRDefault="00240C60" w:rsidP="00240C60">
      <w:pPr>
        <w:pStyle w:val="SingleTxt"/>
        <w:spacing w:after="0" w:line="120" w:lineRule="exact"/>
        <w:rPr>
          <w:sz w:val="10"/>
        </w:rPr>
      </w:pPr>
    </w:p>
    <w:p w:rsidR="005546B9" w:rsidRDefault="00240C60" w:rsidP="005546B9">
      <w:pPr>
        <w:pStyle w:val="SingleTxt"/>
      </w:pPr>
      <w:r>
        <w:t>93.</w:t>
      </w:r>
      <w:r>
        <w:tab/>
      </w:r>
      <w:r w:rsidR="005546B9">
        <w:t>A nivel de la enseñanza técnica, los varones son más que las mujeres en las especialidades femeninas (como la contabilidad); con excepción de Libreville, no se inscriben en las profesiones de estenografía y dactilografía, lo que se traduce en una evolución de la mentalidad en la zona urbana. Las mujeres, que han evolucionado en las especialidades tradicionalmente femeninas, tienen una presencia significativa en las especialidades reservadas a los hombres.</w:t>
      </w:r>
    </w:p>
    <w:p w:rsidR="00240C60" w:rsidRPr="00240C60" w:rsidRDefault="00240C60" w:rsidP="00240C60">
      <w:pPr>
        <w:pStyle w:val="SingleTxt"/>
        <w:spacing w:after="0" w:line="120" w:lineRule="exact"/>
        <w:rPr>
          <w:sz w:val="10"/>
        </w:rPr>
      </w:pPr>
    </w:p>
    <w:p w:rsidR="005546B9" w:rsidRDefault="00240C60" w:rsidP="00240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46B9" w:rsidRPr="00240C60">
        <w:rPr>
          <w:b w:val="0"/>
        </w:rPr>
        <w:t>Cuadro 8</w:t>
      </w:r>
      <w:r>
        <w:br/>
      </w:r>
      <w:r w:rsidR="005546B9">
        <w:t>Número de personas con diferentes diplomas técnicos y profesionales, por centro</w:t>
      </w:r>
    </w:p>
    <w:p w:rsidR="00240C60" w:rsidRPr="00240C60" w:rsidRDefault="00240C60" w:rsidP="00240C60">
      <w:pPr>
        <w:pStyle w:val="SingleTxt"/>
        <w:spacing w:after="0" w:line="120" w:lineRule="exact"/>
        <w:rPr>
          <w:sz w:val="10"/>
        </w:rPr>
      </w:pPr>
    </w:p>
    <w:p w:rsidR="00240C60" w:rsidRPr="00240C60" w:rsidRDefault="00240C60" w:rsidP="00240C60">
      <w:pPr>
        <w:pStyle w:val="SingleTxt"/>
        <w:spacing w:after="0" w:line="120" w:lineRule="exact"/>
        <w:rPr>
          <w:sz w:val="10"/>
        </w:rPr>
      </w:pPr>
    </w:p>
    <w:tbl>
      <w:tblPr>
        <w:tblW w:w="7326" w:type="dxa"/>
        <w:tblInd w:w="1260" w:type="dxa"/>
        <w:tblLayout w:type="fixed"/>
        <w:tblCellMar>
          <w:left w:w="0" w:type="dxa"/>
          <w:right w:w="0" w:type="dxa"/>
        </w:tblCellMar>
        <w:tblLook w:val="0000"/>
      </w:tblPr>
      <w:tblGrid>
        <w:gridCol w:w="1036"/>
        <w:gridCol w:w="1925"/>
        <w:gridCol w:w="927"/>
        <w:gridCol w:w="828"/>
        <w:gridCol w:w="84"/>
        <w:gridCol w:w="789"/>
        <w:gridCol w:w="828"/>
        <w:gridCol w:w="909"/>
      </w:tblGrid>
      <w:tr w:rsidR="008835E7" w:rsidRPr="00412FB1" w:rsidTr="008835E7">
        <w:tblPrEx>
          <w:tblCellMar>
            <w:top w:w="0" w:type="dxa"/>
            <w:bottom w:w="0" w:type="dxa"/>
          </w:tblCellMar>
        </w:tblPrEx>
        <w:trPr>
          <w:tblHeader/>
        </w:trPr>
        <w:tc>
          <w:tcPr>
            <w:tcW w:w="1036" w:type="dxa"/>
            <w:vMerge w:val="restart"/>
            <w:tcBorders>
              <w:top w:val="single" w:sz="4"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rPr>
                <w:i/>
                <w:kern w:val="0"/>
                <w:sz w:val="14"/>
              </w:rPr>
            </w:pPr>
            <w:r w:rsidRPr="00412FB1">
              <w:rPr>
                <w:i/>
                <w:kern w:val="0"/>
                <w:sz w:val="14"/>
              </w:rPr>
              <w:t>Centros</w:t>
            </w:r>
          </w:p>
        </w:tc>
        <w:tc>
          <w:tcPr>
            <w:tcW w:w="1925" w:type="dxa"/>
            <w:vMerge w:val="restart"/>
            <w:tcBorders>
              <w:top w:val="single" w:sz="4"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rPr>
                <w:i/>
                <w:kern w:val="0"/>
                <w:sz w:val="14"/>
              </w:rPr>
            </w:pPr>
            <w:r w:rsidRPr="00412FB1">
              <w:rPr>
                <w:i/>
                <w:kern w:val="0"/>
                <w:sz w:val="14"/>
              </w:rPr>
              <w:t>Opciones</w:t>
            </w:r>
          </w:p>
        </w:tc>
        <w:tc>
          <w:tcPr>
            <w:tcW w:w="1755" w:type="dxa"/>
            <w:gridSpan w:val="2"/>
            <w:tcBorders>
              <w:top w:val="single" w:sz="4" w:space="0" w:color="auto"/>
              <w:bottom w:val="single" w:sz="4" w:space="0" w:color="auto"/>
            </w:tcBorders>
            <w:shd w:val="clear" w:color="auto" w:fill="auto"/>
            <w:vAlign w:val="bottom"/>
          </w:tcPr>
          <w:p w:rsidR="008835E7" w:rsidRPr="00412FB1" w:rsidRDefault="008835E7" w:rsidP="008835E7">
            <w:pPr>
              <w:tabs>
                <w:tab w:val="left" w:pos="288"/>
                <w:tab w:val="left" w:pos="576"/>
                <w:tab w:val="left" w:pos="864"/>
                <w:tab w:val="left" w:pos="1152"/>
              </w:tabs>
              <w:spacing w:before="80" w:after="80" w:line="160" w:lineRule="exact"/>
              <w:ind w:right="40"/>
              <w:jc w:val="center"/>
              <w:rPr>
                <w:i/>
                <w:kern w:val="0"/>
                <w:sz w:val="14"/>
              </w:rPr>
            </w:pPr>
            <w:r w:rsidRPr="00412FB1">
              <w:rPr>
                <w:i/>
                <w:kern w:val="0"/>
                <w:sz w:val="14"/>
              </w:rPr>
              <w:t>Varones</w:t>
            </w:r>
          </w:p>
        </w:tc>
        <w:tc>
          <w:tcPr>
            <w:tcW w:w="84" w:type="dxa"/>
            <w:tcBorders>
              <w:top w:val="single" w:sz="4"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before="80" w:after="80" w:line="160" w:lineRule="exact"/>
              <w:ind w:right="40"/>
              <w:jc w:val="right"/>
              <w:rPr>
                <w:i/>
                <w:kern w:val="0"/>
                <w:sz w:val="14"/>
              </w:rPr>
            </w:pPr>
          </w:p>
        </w:tc>
        <w:tc>
          <w:tcPr>
            <w:tcW w:w="1617" w:type="dxa"/>
            <w:gridSpan w:val="2"/>
            <w:tcBorders>
              <w:top w:val="single" w:sz="4" w:space="0" w:color="auto"/>
              <w:bottom w:val="single" w:sz="4" w:space="0" w:color="auto"/>
            </w:tcBorders>
            <w:shd w:val="clear" w:color="auto" w:fill="auto"/>
            <w:vAlign w:val="bottom"/>
          </w:tcPr>
          <w:p w:rsidR="008835E7" w:rsidRPr="00412FB1" w:rsidRDefault="008835E7" w:rsidP="008835E7">
            <w:pPr>
              <w:tabs>
                <w:tab w:val="left" w:pos="288"/>
                <w:tab w:val="left" w:pos="576"/>
                <w:tab w:val="left" w:pos="864"/>
                <w:tab w:val="left" w:pos="1152"/>
              </w:tabs>
              <w:spacing w:before="80" w:after="80" w:line="160" w:lineRule="exact"/>
              <w:ind w:right="40"/>
              <w:jc w:val="center"/>
              <w:rPr>
                <w:i/>
                <w:kern w:val="0"/>
                <w:sz w:val="14"/>
              </w:rPr>
            </w:pPr>
            <w:r w:rsidRPr="00412FB1">
              <w:rPr>
                <w:i/>
                <w:kern w:val="0"/>
                <w:sz w:val="14"/>
              </w:rPr>
              <w:t>Mujeres</w:t>
            </w:r>
          </w:p>
        </w:tc>
        <w:tc>
          <w:tcPr>
            <w:tcW w:w="909" w:type="dxa"/>
            <w:vMerge w:val="restart"/>
            <w:tcBorders>
              <w:top w:val="single" w:sz="4"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r w:rsidRPr="00412FB1">
              <w:rPr>
                <w:i/>
                <w:kern w:val="0"/>
                <w:sz w:val="14"/>
              </w:rPr>
              <w:t>Total</w:t>
            </w:r>
          </w:p>
        </w:tc>
      </w:tr>
      <w:tr w:rsidR="008835E7" w:rsidRPr="00412FB1" w:rsidTr="008835E7">
        <w:tblPrEx>
          <w:tblCellMar>
            <w:top w:w="0" w:type="dxa"/>
            <w:bottom w:w="0" w:type="dxa"/>
          </w:tblCellMar>
        </w:tblPrEx>
        <w:trPr>
          <w:tblHeader/>
        </w:trPr>
        <w:tc>
          <w:tcPr>
            <w:tcW w:w="1036" w:type="dxa"/>
            <w:vMerge/>
            <w:tcBorders>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rPr>
                <w:i/>
                <w:kern w:val="0"/>
                <w:sz w:val="14"/>
              </w:rPr>
            </w:pPr>
          </w:p>
        </w:tc>
        <w:tc>
          <w:tcPr>
            <w:tcW w:w="1925" w:type="dxa"/>
            <w:vMerge/>
            <w:tcBorders>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rPr>
                <w:i/>
                <w:kern w:val="0"/>
                <w:sz w:val="14"/>
              </w:rPr>
            </w:pPr>
          </w:p>
        </w:tc>
        <w:tc>
          <w:tcPr>
            <w:tcW w:w="927" w:type="dxa"/>
            <w:tcBorders>
              <w:top w:val="single" w:sz="4" w:space="0" w:color="auto"/>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r w:rsidRPr="00412FB1">
              <w:rPr>
                <w:i/>
                <w:kern w:val="0"/>
                <w:sz w:val="14"/>
              </w:rPr>
              <w:t>Número</w:t>
            </w:r>
          </w:p>
        </w:tc>
        <w:tc>
          <w:tcPr>
            <w:tcW w:w="828" w:type="dxa"/>
            <w:tcBorders>
              <w:top w:val="single" w:sz="4" w:space="0" w:color="auto"/>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r w:rsidRPr="00412FB1">
              <w:rPr>
                <w:i/>
                <w:kern w:val="0"/>
                <w:sz w:val="14"/>
              </w:rPr>
              <w:t>%</w:t>
            </w:r>
          </w:p>
        </w:tc>
        <w:tc>
          <w:tcPr>
            <w:tcW w:w="873" w:type="dxa"/>
            <w:gridSpan w:val="2"/>
            <w:tcBorders>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r w:rsidRPr="00412FB1">
              <w:rPr>
                <w:i/>
                <w:kern w:val="0"/>
                <w:sz w:val="14"/>
              </w:rPr>
              <w:t>Número</w:t>
            </w:r>
          </w:p>
        </w:tc>
        <w:tc>
          <w:tcPr>
            <w:tcW w:w="828" w:type="dxa"/>
            <w:tcBorders>
              <w:top w:val="single" w:sz="4" w:space="0" w:color="auto"/>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r w:rsidRPr="00412FB1">
              <w:rPr>
                <w:i/>
                <w:kern w:val="0"/>
                <w:sz w:val="14"/>
              </w:rPr>
              <w:t>%</w:t>
            </w:r>
          </w:p>
        </w:tc>
        <w:tc>
          <w:tcPr>
            <w:tcW w:w="909" w:type="dxa"/>
            <w:vMerge/>
            <w:tcBorders>
              <w:bottom w:val="single" w:sz="12" w:space="0" w:color="auto"/>
            </w:tcBorders>
            <w:shd w:val="clear" w:color="auto" w:fill="auto"/>
            <w:vAlign w:val="bottom"/>
          </w:tcPr>
          <w:p w:rsidR="008835E7" w:rsidRPr="00412FB1" w:rsidRDefault="008835E7" w:rsidP="00412FB1">
            <w:pPr>
              <w:tabs>
                <w:tab w:val="left" w:pos="288"/>
                <w:tab w:val="left" w:pos="576"/>
                <w:tab w:val="left" w:pos="864"/>
                <w:tab w:val="left" w:pos="1152"/>
              </w:tabs>
              <w:spacing w:after="80" w:line="160" w:lineRule="exact"/>
              <w:ind w:right="40"/>
              <w:jc w:val="right"/>
              <w:rPr>
                <w:i/>
                <w:kern w:val="0"/>
                <w:sz w:val="14"/>
              </w:rPr>
            </w:pPr>
          </w:p>
        </w:tc>
      </w:tr>
      <w:tr w:rsidR="00412FB1" w:rsidRPr="00412FB1" w:rsidTr="008835E7">
        <w:tblPrEx>
          <w:tblCellMar>
            <w:top w:w="0" w:type="dxa"/>
            <w:bottom w:w="0" w:type="dxa"/>
          </w:tblCellMar>
        </w:tblPrEx>
        <w:trPr>
          <w:trHeight w:hRule="exact" w:val="115"/>
          <w:tblHeader/>
        </w:trPr>
        <w:tc>
          <w:tcPr>
            <w:tcW w:w="1036" w:type="dxa"/>
            <w:tcBorders>
              <w:top w:val="single" w:sz="12"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p>
        </w:tc>
        <w:tc>
          <w:tcPr>
            <w:tcW w:w="1925" w:type="dxa"/>
            <w:tcBorders>
              <w:top w:val="single" w:sz="12"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p>
        </w:tc>
        <w:tc>
          <w:tcPr>
            <w:tcW w:w="927" w:type="dxa"/>
            <w:tcBorders>
              <w:top w:val="single" w:sz="12" w:space="0" w:color="auto"/>
            </w:tcBorders>
            <w:shd w:val="clear" w:color="auto" w:fill="auto"/>
            <w:vAlign w:val="bottom"/>
          </w:tcPr>
          <w:p w:rsidR="00412FB1" w:rsidRPr="00412FB1" w:rsidRDefault="00412FB1" w:rsidP="00412FB1">
            <w:pPr>
              <w:pStyle w:val="DTpara"/>
              <w:numPr>
                <w:ilvl w:val="0"/>
                <w:numId w:val="0"/>
              </w:numPr>
              <w:spacing w:before="40" w:after="40" w:line="210" w:lineRule="exact"/>
              <w:ind w:left="-342" w:right="40"/>
              <w:jc w:val="right"/>
              <w:rPr>
                <w:spacing w:val="4"/>
                <w:w w:val="103"/>
                <w:sz w:val="17"/>
                <w:szCs w:val="24"/>
                <w:lang w:val="fr-FR"/>
              </w:rPr>
            </w:pPr>
          </w:p>
        </w:tc>
        <w:tc>
          <w:tcPr>
            <w:tcW w:w="828" w:type="dxa"/>
            <w:tcBorders>
              <w:top w:val="single" w:sz="12" w:space="0" w:color="auto"/>
            </w:tcBorders>
            <w:shd w:val="clear" w:color="auto" w:fill="auto"/>
            <w:vAlign w:val="bottom"/>
          </w:tcPr>
          <w:p w:rsidR="00412FB1" w:rsidRPr="00412FB1" w:rsidRDefault="00412FB1" w:rsidP="00412FB1">
            <w:pPr>
              <w:pStyle w:val="DTpara"/>
              <w:numPr>
                <w:ilvl w:val="0"/>
                <w:numId w:val="0"/>
              </w:numPr>
              <w:spacing w:before="40" w:after="40" w:line="210" w:lineRule="exact"/>
              <w:ind w:left="-342" w:right="40"/>
              <w:jc w:val="right"/>
              <w:rPr>
                <w:spacing w:val="4"/>
                <w:w w:val="103"/>
                <w:sz w:val="17"/>
                <w:szCs w:val="24"/>
                <w:lang w:val="fr-FR"/>
              </w:rPr>
            </w:pPr>
          </w:p>
        </w:tc>
        <w:tc>
          <w:tcPr>
            <w:tcW w:w="873" w:type="dxa"/>
            <w:gridSpan w:val="2"/>
            <w:tcBorders>
              <w:top w:val="single" w:sz="12" w:space="0" w:color="auto"/>
            </w:tcBorders>
            <w:shd w:val="clear" w:color="auto" w:fill="auto"/>
            <w:vAlign w:val="bottom"/>
          </w:tcPr>
          <w:p w:rsidR="00412FB1" w:rsidRPr="00412FB1" w:rsidRDefault="00412FB1" w:rsidP="00412FB1">
            <w:pPr>
              <w:pStyle w:val="DTpara"/>
              <w:numPr>
                <w:ilvl w:val="0"/>
                <w:numId w:val="0"/>
              </w:numPr>
              <w:spacing w:before="40" w:after="40" w:line="210" w:lineRule="exact"/>
              <w:ind w:left="-247" w:right="40"/>
              <w:jc w:val="right"/>
              <w:rPr>
                <w:spacing w:val="4"/>
                <w:w w:val="103"/>
                <w:sz w:val="17"/>
                <w:szCs w:val="24"/>
                <w:lang w:val="fr-FR"/>
              </w:rPr>
            </w:pPr>
          </w:p>
        </w:tc>
        <w:tc>
          <w:tcPr>
            <w:tcW w:w="828" w:type="dxa"/>
            <w:tcBorders>
              <w:top w:val="single" w:sz="12" w:space="0" w:color="auto"/>
            </w:tcBorders>
            <w:shd w:val="clear" w:color="auto" w:fill="auto"/>
            <w:vAlign w:val="bottom"/>
          </w:tcPr>
          <w:p w:rsidR="00412FB1" w:rsidRPr="00412FB1" w:rsidRDefault="00412FB1" w:rsidP="00412FB1">
            <w:pPr>
              <w:pStyle w:val="DTpara"/>
              <w:numPr>
                <w:ilvl w:val="0"/>
                <w:numId w:val="0"/>
              </w:numPr>
              <w:spacing w:before="40" w:after="40" w:line="210" w:lineRule="exact"/>
              <w:ind w:left="-247" w:right="40"/>
              <w:jc w:val="right"/>
              <w:rPr>
                <w:spacing w:val="4"/>
                <w:w w:val="103"/>
                <w:sz w:val="17"/>
                <w:szCs w:val="24"/>
                <w:lang w:val="fr-FR"/>
              </w:rPr>
            </w:pPr>
          </w:p>
        </w:tc>
        <w:tc>
          <w:tcPr>
            <w:tcW w:w="909" w:type="dxa"/>
            <w:tcBorders>
              <w:top w:val="single" w:sz="12" w:space="0" w:color="auto"/>
            </w:tcBorders>
            <w:shd w:val="clear" w:color="auto" w:fill="auto"/>
            <w:vAlign w:val="bottom"/>
          </w:tcPr>
          <w:p w:rsidR="00412FB1" w:rsidRPr="00412FB1" w:rsidRDefault="00412FB1" w:rsidP="00412FB1">
            <w:pPr>
              <w:pStyle w:val="DTpara"/>
              <w:numPr>
                <w:ilvl w:val="0"/>
                <w:numId w:val="0"/>
              </w:numPr>
              <w:spacing w:before="40" w:after="40" w:line="210" w:lineRule="exact"/>
              <w:ind w:left="-247" w:right="40"/>
              <w:jc w:val="right"/>
              <w:rPr>
                <w:spacing w:val="4"/>
                <w:w w:val="103"/>
                <w:sz w:val="17"/>
                <w:szCs w:val="24"/>
                <w:lang w:val="fr-FR"/>
              </w:rPr>
            </w:pPr>
          </w:p>
        </w:tc>
      </w:tr>
      <w:tr w:rsidR="00412FB1" w:rsidRPr="00412FB1" w:rsidTr="008835E7">
        <w:tblPrEx>
          <w:tblCellMar>
            <w:top w:w="0" w:type="dxa"/>
            <w:bottom w:w="0" w:type="dxa"/>
          </w:tblCellMar>
        </w:tblPrEx>
        <w:tc>
          <w:tcPr>
            <w:tcW w:w="1036" w:type="dxa"/>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r w:rsidRPr="00412FB1">
              <w:rPr>
                <w:kern w:val="0"/>
                <w:sz w:val="17"/>
              </w:rPr>
              <w:t>Libreville</w:t>
            </w:r>
          </w:p>
        </w:tc>
        <w:tc>
          <w:tcPr>
            <w:tcW w:w="1925" w:type="dxa"/>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r w:rsidRPr="00412FB1">
              <w:rPr>
                <w:kern w:val="0"/>
                <w:sz w:val="17"/>
              </w:rPr>
              <w:t>Asistente contable</w:t>
            </w:r>
          </w:p>
        </w:tc>
        <w:tc>
          <w:tcPr>
            <w:tcW w:w="927"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342" w:right="40"/>
              <w:jc w:val="right"/>
              <w:rPr>
                <w:spacing w:val="4"/>
                <w:w w:val="103"/>
                <w:sz w:val="17"/>
                <w:szCs w:val="24"/>
                <w:lang w:val="fr-FR"/>
              </w:rPr>
            </w:pPr>
            <w:r w:rsidRPr="00412FB1">
              <w:rPr>
                <w:spacing w:val="4"/>
                <w:w w:val="103"/>
                <w:sz w:val="17"/>
                <w:szCs w:val="24"/>
                <w:lang w:val="fr-FR"/>
              </w:rPr>
              <w:t>71</w:t>
            </w:r>
          </w:p>
        </w:tc>
        <w:tc>
          <w:tcPr>
            <w:tcW w:w="828"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342" w:right="40"/>
              <w:jc w:val="right"/>
              <w:rPr>
                <w:spacing w:val="4"/>
                <w:w w:val="103"/>
                <w:sz w:val="17"/>
                <w:szCs w:val="24"/>
                <w:lang w:val="fr-FR"/>
              </w:rPr>
            </w:pPr>
            <w:r w:rsidRPr="00412FB1">
              <w:rPr>
                <w:spacing w:val="4"/>
                <w:w w:val="103"/>
                <w:sz w:val="17"/>
                <w:szCs w:val="24"/>
                <w:lang w:val="fr-FR"/>
              </w:rPr>
              <w:t>82,56</w:t>
            </w:r>
          </w:p>
        </w:tc>
        <w:tc>
          <w:tcPr>
            <w:tcW w:w="873" w:type="dxa"/>
            <w:gridSpan w:val="2"/>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220</w:t>
            </w:r>
          </w:p>
        </w:tc>
        <w:tc>
          <w:tcPr>
            <w:tcW w:w="828"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68,30</w:t>
            </w:r>
          </w:p>
        </w:tc>
        <w:tc>
          <w:tcPr>
            <w:tcW w:w="909"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291</w:t>
            </w:r>
          </w:p>
        </w:tc>
      </w:tr>
      <w:tr w:rsidR="00412FB1" w:rsidRPr="00412FB1" w:rsidTr="008835E7">
        <w:tblPrEx>
          <w:tblCellMar>
            <w:top w:w="0" w:type="dxa"/>
            <w:bottom w:w="0" w:type="dxa"/>
          </w:tblCellMar>
        </w:tblPrEx>
        <w:tc>
          <w:tcPr>
            <w:tcW w:w="1036" w:type="dxa"/>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p>
        </w:tc>
        <w:tc>
          <w:tcPr>
            <w:tcW w:w="1925" w:type="dxa"/>
            <w:shd w:val="clear" w:color="auto" w:fill="auto"/>
            <w:vAlign w:val="bottom"/>
          </w:tcPr>
          <w:p w:rsidR="00412FB1" w:rsidRPr="00412FB1" w:rsidRDefault="00412FB1" w:rsidP="00412FB1">
            <w:pPr>
              <w:tabs>
                <w:tab w:val="left" w:pos="288"/>
                <w:tab w:val="left" w:pos="576"/>
                <w:tab w:val="left" w:pos="864"/>
                <w:tab w:val="left" w:pos="1152"/>
              </w:tabs>
              <w:spacing w:before="40" w:after="40" w:line="210" w:lineRule="exact"/>
              <w:ind w:right="40"/>
              <w:rPr>
                <w:kern w:val="0"/>
                <w:sz w:val="17"/>
              </w:rPr>
            </w:pPr>
            <w:r w:rsidRPr="00412FB1">
              <w:rPr>
                <w:kern w:val="0"/>
                <w:sz w:val="17"/>
              </w:rPr>
              <w:t>Estenógrafo-dactilógrafo</w:t>
            </w:r>
          </w:p>
        </w:tc>
        <w:tc>
          <w:tcPr>
            <w:tcW w:w="927"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342" w:right="40"/>
              <w:jc w:val="right"/>
              <w:rPr>
                <w:spacing w:val="4"/>
                <w:w w:val="103"/>
                <w:sz w:val="17"/>
                <w:szCs w:val="24"/>
                <w:lang w:val="fr-FR"/>
              </w:rPr>
            </w:pPr>
            <w:r w:rsidRPr="00412FB1">
              <w:rPr>
                <w:spacing w:val="4"/>
                <w:w w:val="103"/>
                <w:sz w:val="17"/>
                <w:szCs w:val="24"/>
                <w:lang w:val="fr-FR"/>
              </w:rPr>
              <w:t>5</w:t>
            </w:r>
          </w:p>
        </w:tc>
        <w:tc>
          <w:tcPr>
            <w:tcW w:w="828"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342" w:right="40"/>
              <w:jc w:val="right"/>
              <w:rPr>
                <w:spacing w:val="4"/>
                <w:w w:val="103"/>
                <w:sz w:val="17"/>
                <w:szCs w:val="24"/>
                <w:lang w:val="fr-FR"/>
              </w:rPr>
            </w:pPr>
            <w:r w:rsidRPr="00412FB1">
              <w:rPr>
                <w:spacing w:val="4"/>
                <w:w w:val="103"/>
                <w:sz w:val="17"/>
                <w:szCs w:val="24"/>
                <w:lang w:val="fr-FR"/>
              </w:rPr>
              <w:t>5,81</w:t>
            </w:r>
          </w:p>
        </w:tc>
        <w:tc>
          <w:tcPr>
            <w:tcW w:w="873" w:type="dxa"/>
            <w:gridSpan w:val="2"/>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85</w:t>
            </w:r>
          </w:p>
        </w:tc>
        <w:tc>
          <w:tcPr>
            <w:tcW w:w="828"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26,4</w:t>
            </w:r>
          </w:p>
        </w:tc>
        <w:tc>
          <w:tcPr>
            <w:tcW w:w="909" w:type="dxa"/>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412FB1">
              <w:rPr>
                <w:spacing w:val="4"/>
                <w:w w:val="103"/>
                <w:sz w:val="17"/>
                <w:szCs w:val="24"/>
                <w:lang w:val="fr-FR"/>
              </w:rPr>
              <w:t>90</w:t>
            </w:r>
          </w:p>
        </w:tc>
      </w:tr>
      <w:tr w:rsidR="00412FB1" w:rsidRPr="00412FB1" w:rsidTr="008835E7">
        <w:tblPrEx>
          <w:tblCellMar>
            <w:top w:w="0" w:type="dxa"/>
            <w:bottom w:w="0" w:type="dxa"/>
          </w:tblCellMar>
        </w:tblPrEx>
        <w:tc>
          <w:tcPr>
            <w:tcW w:w="1036"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p>
        </w:tc>
        <w:tc>
          <w:tcPr>
            <w:tcW w:w="1925"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r w:rsidRPr="00412FB1">
              <w:rPr>
                <w:kern w:val="0"/>
                <w:sz w:val="17"/>
              </w:rPr>
              <w:t>Empleado de banco</w:t>
            </w:r>
          </w:p>
        </w:tc>
        <w:tc>
          <w:tcPr>
            <w:tcW w:w="927"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342" w:right="40"/>
              <w:jc w:val="right"/>
              <w:rPr>
                <w:spacing w:val="4"/>
                <w:w w:val="103"/>
                <w:sz w:val="17"/>
                <w:szCs w:val="24"/>
                <w:lang w:val="fr-FR"/>
              </w:rPr>
            </w:pPr>
            <w:r w:rsidRPr="00412FB1">
              <w:rPr>
                <w:spacing w:val="4"/>
                <w:w w:val="103"/>
                <w:sz w:val="17"/>
                <w:szCs w:val="24"/>
                <w:lang w:val="fr-FR"/>
              </w:rPr>
              <w:t>10</w:t>
            </w:r>
          </w:p>
        </w:tc>
        <w:tc>
          <w:tcPr>
            <w:tcW w:w="828"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342" w:right="40"/>
              <w:jc w:val="right"/>
              <w:rPr>
                <w:spacing w:val="4"/>
                <w:w w:val="103"/>
                <w:sz w:val="17"/>
                <w:szCs w:val="24"/>
                <w:lang w:val="fr-FR"/>
              </w:rPr>
            </w:pPr>
            <w:r w:rsidRPr="00412FB1">
              <w:rPr>
                <w:spacing w:val="4"/>
                <w:w w:val="103"/>
                <w:sz w:val="17"/>
                <w:szCs w:val="24"/>
                <w:lang w:val="fr-FR"/>
              </w:rPr>
              <w:t>11,63</w:t>
            </w:r>
          </w:p>
        </w:tc>
        <w:tc>
          <w:tcPr>
            <w:tcW w:w="873" w:type="dxa"/>
            <w:gridSpan w:val="2"/>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17</w:t>
            </w:r>
          </w:p>
        </w:tc>
        <w:tc>
          <w:tcPr>
            <w:tcW w:w="828"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5,3</w:t>
            </w:r>
          </w:p>
        </w:tc>
        <w:tc>
          <w:tcPr>
            <w:tcW w:w="909"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27</w:t>
            </w:r>
          </w:p>
        </w:tc>
      </w:tr>
      <w:tr w:rsidR="00412FB1" w:rsidRPr="00412FB1" w:rsidTr="008835E7">
        <w:tblPrEx>
          <w:tblCellMar>
            <w:top w:w="0" w:type="dxa"/>
            <w:bottom w:w="0" w:type="dxa"/>
          </w:tblCellMar>
        </w:tblPrEx>
        <w:tc>
          <w:tcPr>
            <w:tcW w:w="1036"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r w:rsidRPr="00412FB1">
              <w:rPr>
                <w:b/>
                <w:kern w:val="0"/>
                <w:sz w:val="17"/>
              </w:rPr>
              <w:tab/>
              <w:t>Total</w:t>
            </w:r>
          </w:p>
        </w:tc>
        <w:tc>
          <w:tcPr>
            <w:tcW w:w="1925"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p>
        </w:tc>
        <w:tc>
          <w:tcPr>
            <w:tcW w:w="927" w:type="dxa"/>
            <w:tcBorders>
              <w:top w:val="single" w:sz="4" w:space="0" w:color="auto"/>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81" w:line="210" w:lineRule="exact"/>
              <w:ind w:left="-342" w:right="40"/>
              <w:jc w:val="right"/>
              <w:rPr>
                <w:b/>
                <w:spacing w:val="4"/>
                <w:w w:val="103"/>
                <w:sz w:val="17"/>
                <w:szCs w:val="24"/>
                <w:lang w:val="fr-FR"/>
              </w:rPr>
            </w:pPr>
            <w:r w:rsidRPr="00412FB1">
              <w:rPr>
                <w:b/>
                <w:spacing w:val="4"/>
                <w:w w:val="103"/>
                <w:sz w:val="17"/>
                <w:szCs w:val="24"/>
                <w:lang w:val="fr-FR"/>
              </w:rPr>
              <w:t>86</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81" w:line="210" w:lineRule="exact"/>
              <w:ind w:left="-342" w:right="40"/>
              <w:jc w:val="right"/>
              <w:rPr>
                <w:b/>
                <w:spacing w:val="4"/>
                <w:w w:val="103"/>
                <w:sz w:val="17"/>
                <w:szCs w:val="24"/>
                <w:lang w:val="fr-FR"/>
              </w:rPr>
            </w:pPr>
            <w:r w:rsidRPr="00412FB1">
              <w:rPr>
                <w:b/>
                <w:spacing w:val="4"/>
                <w:w w:val="103"/>
                <w:sz w:val="17"/>
                <w:szCs w:val="24"/>
                <w:lang w:val="fr-FR"/>
              </w:rPr>
              <w:t>100</w:t>
            </w:r>
          </w:p>
        </w:tc>
        <w:tc>
          <w:tcPr>
            <w:tcW w:w="873" w:type="dxa"/>
            <w:gridSpan w:val="2"/>
            <w:tcBorders>
              <w:top w:val="single" w:sz="4" w:space="0" w:color="auto"/>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412FB1">
              <w:rPr>
                <w:b/>
                <w:spacing w:val="4"/>
                <w:w w:val="103"/>
                <w:sz w:val="17"/>
                <w:szCs w:val="24"/>
                <w:lang w:val="fr-FR"/>
              </w:rPr>
              <w:t>322</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412FB1">
              <w:rPr>
                <w:b/>
                <w:spacing w:val="4"/>
                <w:w w:val="103"/>
                <w:sz w:val="17"/>
                <w:szCs w:val="24"/>
                <w:lang w:val="fr-FR"/>
              </w:rPr>
              <w:t>100</w:t>
            </w:r>
          </w:p>
        </w:tc>
        <w:tc>
          <w:tcPr>
            <w:tcW w:w="909" w:type="dxa"/>
            <w:tcBorders>
              <w:top w:val="single" w:sz="4" w:space="0" w:color="auto"/>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412FB1">
              <w:rPr>
                <w:b/>
                <w:spacing w:val="4"/>
                <w:w w:val="103"/>
                <w:sz w:val="17"/>
                <w:szCs w:val="24"/>
                <w:lang w:val="fr-FR"/>
              </w:rPr>
              <w:t>408</w:t>
            </w:r>
          </w:p>
        </w:tc>
      </w:tr>
      <w:tr w:rsidR="00412FB1" w:rsidRPr="00412FB1" w:rsidTr="008835E7">
        <w:tblPrEx>
          <w:tblCellMar>
            <w:top w:w="0" w:type="dxa"/>
            <w:bottom w:w="0" w:type="dxa"/>
          </w:tblCellMar>
        </w:tblPrEx>
        <w:tc>
          <w:tcPr>
            <w:tcW w:w="1036"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Port Gentil</w:t>
            </w:r>
          </w:p>
        </w:tc>
        <w:tc>
          <w:tcPr>
            <w:tcW w:w="1925"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Asistente contable</w:t>
            </w:r>
          </w:p>
        </w:tc>
        <w:tc>
          <w:tcPr>
            <w:tcW w:w="927" w:type="dxa"/>
            <w:tcBorders>
              <w:top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40" w:line="210" w:lineRule="exact"/>
              <w:ind w:left="-342" w:right="40"/>
              <w:jc w:val="right"/>
              <w:rPr>
                <w:spacing w:val="4"/>
                <w:w w:val="103"/>
                <w:sz w:val="17"/>
                <w:szCs w:val="24"/>
                <w:lang w:val="fr-FR"/>
              </w:rPr>
            </w:pPr>
            <w:r w:rsidRPr="00412FB1">
              <w:rPr>
                <w:spacing w:val="4"/>
                <w:w w:val="103"/>
                <w:sz w:val="17"/>
                <w:szCs w:val="24"/>
                <w:lang w:val="fr-FR"/>
              </w:rPr>
              <w:t>29</w:t>
            </w:r>
          </w:p>
        </w:tc>
        <w:tc>
          <w:tcPr>
            <w:tcW w:w="828" w:type="dxa"/>
            <w:tcBorders>
              <w:top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40" w:line="210" w:lineRule="exact"/>
              <w:ind w:left="-342" w:right="40"/>
              <w:jc w:val="right"/>
              <w:rPr>
                <w:spacing w:val="4"/>
                <w:w w:val="103"/>
                <w:sz w:val="17"/>
                <w:szCs w:val="24"/>
                <w:lang w:val="fr-FR"/>
              </w:rPr>
            </w:pPr>
            <w:r w:rsidRPr="00412FB1">
              <w:rPr>
                <w:spacing w:val="4"/>
                <w:w w:val="103"/>
                <w:sz w:val="17"/>
                <w:szCs w:val="24"/>
                <w:lang w:val="fr-FR"/>
              </w:rPr>
              <w:t>87,88</w:t>
            </w:r>
          </w:p>
        </w:tc>
        <w:tc>
          <w:tcPr>
            <w:tcW w:w="873" w:type="dxa"/>
            <w:gridSpan w:val="2"/>
            <w:tcBorders>
              <w:top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40" w:line="210" w:lineRule="exact"/>
              <w:ind w:left="-247" w:right="40"/>
              <w:jc w:val="right"/>
              <w:rPr>
                <w:spacing w:val="4"/>
                <w:w w:val="103"/>
                <w:sz w:val="17"/>
                <w:szCs w:val="24"/>
                <w:lang w:val="fr-FR"/>
              </w:rPr>
            </w:pPr>
            <w:r w:rsidRPr="00412FB1">
              <w:rPr>
                <w:spacing w:val="4"/>
                <w:w w:val="103"/>
                <w:sz w:val="17"/>
                <w:szCs w:val="24"/>
                <w:lang w:val="fr-FR"/>
              </w:rPr>
              <w:t>64</w:t>
            </w:r>
          </w:p>
        </w:tc>
        <w:tc>
          <w:tcPr>
            <w:tcW w:w="828" w:type="dxa"/>
            <w:tcBorders>
              <w:top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40" w:line="210" w:lineRule="exact"/>
              <w:ind w:left="-247" w:right="40"/>
              <w:jc w:val="right"/>
              <w:rPr>
                <w:spacing w:val="4"/>
                <w:w w:val="103"/>
                <w:sz w:val="17"/>
                <w:szCs w:val="24"/>
                <w:lang w:val="fr-FR"/>
              </w:rPr>
            </w:pPr>
            <w:r w:rsidRPr="00412FB1">
              <w:rPr>
                <w:spacing w:val="4"/>
                <w:w w:val="103"/>
                <w:sz w:val="17"/>
                <w:szCs w:val="24"/>
                <w:lang w:val="fr-FR"/>
              </w:rPr>
              <w:t>67,4</w:t>
            </w:r>
          </w:p>
        </w:tc>
        <w:tc>
          <w:tcPr>
            <w:tcW w:w="909" w:type="dxa"/>
            <w:tcBorders>
              <w:top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81" w:after="40" w:line="210" w:lineRule="exact"/>
              <w:ind w:left="-247" w:right="40"/>
              <w:jc w:val="right"/>
              <w:rPr>
                <w:spacing w:val="4"/>
                <w:w w:val="103"/>
                <w:sz w:val="17"/>
                <w:szCs w:val="24"/>
                <w:lang w:val="fr-FR"/>
              </w:rPr>
            </w:pPr>
            <w:r w:rsidRPr="00412FB1">
              <w:rPr>
                <w:spacing w:val="4"/>
                <w:w w:val="103"/>
                <w:sz w:val="17"/>
                <w:szCs w:val="24"/>
                <w:lang w:val="fr-FR"/>
              </w:rPr>
              <w:t>93</w:t>
            </w:r>
          </w:p>
        </w:tc>
      </w:tr>
      <w:tr w:rsidR="00412FB1" w:rsidRPr="00412FB1" w:rsidTr="008835E7">
        <w:tblPrEx>
          <w:tblCellMar>
            <w:top w:w="0" w:type="dxa"/>
            <w:bottom w:w="0" w:type="dxa"/>
          </w:tblCellMar>
        </w:tblPrEx>
        <w:tc>
          <w:tcPr>
            <w:tcW w:w="1036"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p>
        </w:tc>
        <w:tc>
          <w:tcPr>
            <w:tcW w:w="1925"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r w:rsidRPr="00412FB1">
              <w:rPr>
                <w:kern w:val="0"/>
                <w:sz w:val="17"/>
              </w:rPr>
              <w:t>Estenógrafo-dactilógrafo</w:t>
            </w:r>
          </w:p>
        </w:tc>
        <w:tc>
          <w:tcPr>
            <w:tcW w:w="927"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342" w:right="40"/>
              <w:jc w:val="right"/>
              <w:rPr>
                <w:spacing w:val="4"/>
                <w:w w:val="103"/>
                <w:sz w:val="17"/>
                <w:szCs w:val="24"/>
                <w:lang w:val="fr-FR"/>
              </w:rPr>
            </w:pPr>
            <w:r w:rsidRPr="00412FB1">
              <w:rPr>
                <w:spacing w:val="4"/>
                <w:w w:val="103"/>
                <w:sz w:val="17"/>
                <w:szCs w:val="24"/>
                <w:lang w:val="fr-FR"/>
              </w:rPr>
              <w:t>4</w:t>
            </w:r>
          </w:p>
        </w:tc>
        <w:tc>
          <w:tcPr>
            <w:tcW w:w="828"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342" w:right="40"/>
              <w:jc w:val="right"/>
              <w:rPr>
                <w:spacing w:val="4"/>
                <w:w w:val="103"/>
                <w:sz w:val="17"/>
                <w:szCs w:val="24"/>
                <w:lang w:val="fr-FR"/>
              </w:rPr>
            </w:pPr>
            <w:r w:rsidRPr="00412FB1">
              <w:rPr>
                <w:spacing w:val="4"/>
                <w:w w:val="103"/>
                <w:sz w:val="17"/>
                <w:szCs w:val="24"/>
                <w:lang w:val="fr-FR"/>
              </w:rPr>
              <w:t>12,12</w:t>
            </w:r>
          </w:p>
        </w:tc>
        <w:tc>
          <w:tcPr>
            <w:tcW w:w="873" w:type="dxa"/>
            <w:gridSpan w:val="2"/>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31</w:t>
            </w:r>
          </w:p>
        </w:tc>
        <w:tc>
          <w:tcPr>
            <w:tcW w:w="828"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32,6</w:t>
            </w:r>
          </w:p>
        </w:tc>
        <w:tc>
          <w:tcPr>
            <w:tcW w:w="909" w:type="dxa"/>
            <w:tcBorders>
              <w:bottom w:val="single" w:sz="4" w:space="0" w:color="auto"/>
            </w:tcBorders>
            <w:shd w:val="clear" w:color="auto" w:fill="auto"/>
            <w:vAlign w:val="bottom"/>
          </w:tcPr>
          <w:p w:rsidR="00412FB1" w:rsidRPr="00412FB1" w:rsidRDefault="00412FB1" w:rsidP="00412FB1">
            <w:pPr>
              <w:pStyle w:val="DTpara"/>
              <w:numPr>
                <w:ilvl w:val="0"/>
                <w:numId w:val="0"/>
              </w:numPr>
              <w:tabs>
                <w:tab w:val="left" w:pos="288"/>
                <w:tab w:val="left" w:pos="576"/>
                <w:tab w:val="left" w:pos="864"/>
                <w:tab w:val="left" w:pos="1152"/>
              </w:tabs>
              <w:spacing w:before="40" w:after="81" w:line="210" w:lineRule="exact"/>
              <w:ind w:left="-247" w:right="40"/>
              <w:jc w:val="right"/>
              <w:rPr>
                <w:spacing w:val="4"/>
                <w:w w:val="103"/>
                <w:sz w:val="17"/>
                <w:szCs w:val="24"/>
                <w:lang w:val="fr-FR"/>
              </w:rPr>
            </w:pPr>
            <w:r w:rsidRPr="00412FB1">
              <w:rPr>
                <w:spacing w:val="4"/>
                <w:w w:val="103"/>
                <w:sz w:val="17"/>
                <w:szCs w:val="24"/>
                <w:lang w:val="fr-FR"/>
              </w:rPr>
              <w:t>35</w:t>
            </w:r>
          </w:p>
        </w:tc>
      </w:tr>
      <w:tr w:rsidR="00412FB1" w:rsidRPr="00412FB1" w:rsidTr="008835E7">
        <w:tblPrEx>
          <w:tblCellMar>
            <w:top w:w="0" w:type="dxa"/>
            <w:bottom w:w="0" w:type="dxa"/>
          </w:tblCellMar>
        </w:tblPrEx>
        <w:tc>
          <w:tcPr>
            <w:tcW w:w="1036"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r w:rsidRPr="00412FB1">
              <w:rPr>
                <w:b/>
                <w:kern w:val="0"/>
                <w:sz w:val="17"/>
              </w:rPr>
              <w:tab/>
              <w:t>Total</w:t>
            </w:r>
          </w:p>
        </w:tc>
        <w:tc>
          <w:tcPr>
            <w:tcW w:w="1925"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p>
        </w:tc>
        <w:tc>
          <w:tcPr>
            <w:tcW w:w="927"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33</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100</w:t>
            </w:r>
          </w:p>
        </w:tc>
        <w:tc>
          <w:tcPr>
            <w:tcW w:w="873" w:type="dxa"/>
            <w:gridSpan w:val="2"/>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95</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100</w:t>
            </w:r>
          </w:p>
        </w:tc>
        <w:tc>
          <w:tcPr>
            <w:tcW w:w="909"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128</w:t>
            </w:r>
          </w:p>
        </w:tc>
      </w:tr>
      <w:tr w:rsidR="00412FB1" w:rsidRPr="00412FB1" w:rsidTr="008835E7">
        <w:tblPrEx>
          <w:tblCellMar>
            <w:top w:w="0" w:type="dxa"/>
            <w:bottom w:w="0" w:type="dxa"/>
          </w:tblCellMar>
        </w:tblPrEx>
        <w:tc>
          <w:tcPr>
            <w:tcW w:w="1036"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Franceville</w:t>
            </w:r>
          </w:p>
        </w:tc>
        <w:tc>
          <w:tcPr>
            <w:tcW w:w="1925"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Asistente contable</w:t>
            </w:r>
          </w:p>
        </w:tc>
        <w:tc>
          <w:tcPr>
            <w:tcW w:w="927"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8" w:right="40"/>
              <w:jc w:val="right"/>
              <w:rPr>
                <w:kern w:val="0"/>
                <w:sz w:val="17"/>
                <w:szCs w:val="24"/>
                <w:lang w:val="fr-FR"/>
              </w:rPr>
            </w:pPr>
            <w:r w:rsidRPr="00412FB1">
              <w:rPr>
                <w:kern w:val="0"/>
                <w:sz w:val="17"/>
                <w:szCs w:val="24"/>
                <w:lang w:val="fr-FR"/>
              </w:rPr>
              <w:t>2</w:t>
            </w:r>
          </w:p>
        </w:tc>
        <w:tc>
          <w:tcPr>
            <w:tcW w:w="828"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8" w:right="40"/>
              <w:jc w:val="right"/>
              <w:rPr>
                <w:kern w:val="0"/>
                <w:sz w:val="17"/>
                <w:szCs w:val="24"/>
                <w:lang w:val="fr-FR"/>
              </w:rPr>
            </w:pPr>
            <w:r w:rsidRPr="00412FB1">
              <w:rPr>
                <w:kern w:val="0"/>
                <w:sz w:val="17"/>
                <w:szCs w:val="24"/>
                <w:lang w:val="fr-FR"/>
              </w:rPr>
              <w:t>100</w:t>
            </w:r>
          </w:p>
        </w:tc>
        <w:tc>
          <w:tcPr>
            <w:tcW w:w="873" w:type="dxa"/>
            <w:gridSpan w:val="2"/>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8</w:t>
            </w:r>
          </w:p>
        </w:tc>
        <w:tc>
          <w:tcPr>
            <w:tcW w:w="828"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38,1</w:t>
            </w:r>
          </w:p>
        </w:tc>
        <w:tc>
          <w:tcPr>
            <w:tcW w:w="909"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10</w:t>
            </w:r>
          </w:p>
        </w:tc>
      </w:tr>
      <w:tr w:rsidR="00412FB1" w:rsidRPr="00412FB1" w:rsidTr="008835E7">
        <w:tblPrEx>
          <w:tblCellMar>
            <w:top w:w="0" w:type="dxa"/>
            <w:bottom w:w="0" w:type="dxa"/>
          </w:tblCellMar>
        </w:tblPrEx>
        <w:tc>
          <w:tcPr>
            <w:tcW w:w="1036"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p>
        </w:tc>
        <w:tc>
          <w:tcPr>
            <w:tcW w:w="1925"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r w:rsidRPr="00412FB1">
              <w:rPr>
                <w:kern w:val="0"/>
                <w:sz w:val="17"/>
              </w:rPr>
              <w:t>Estenógrafo-dactilógrafo</w:t>
            </w:r>
          </w:p>
        </w:tc>
        <w:tc>
          <w:tcPr>
            <w:tcW w:w="927"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8" w:right="40"/>
              <w:jc w:val="right"/>
              <w:rPr>
                <w:kern w:val="0"/>
                <w:sz w:val="17"/>
                <w:szCs w:val="24"/>
                <w:lang w:val="fr-FR"/>
              </w:rPr>
            </w:pPr>
            <w:r w:rsidRPr="00412FB1">
              <w:rPr>
                <w:kern w:val="0"/>
                <w:sz w:val="17"/>
                <w:szCs w:val="24"/>
                <w:lang w:val="fr-FR"/>
              </w:rPr>
              <w:t>0</w:t>
            </w:r>
          </w:p>
        </w:tc>
        <w:tc>
          <w:tcPr>
            <w:tcW w:w="828"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8" w:right="40"/>
              <w:jc w:val="right"/>
              <w:rPr>
                <w:kern w:val="0"/>
                <w:sz w:val="17"/>
                <w:szCs w:val="24"/>
                <w:lang w:val="fr-FR"/>
              </w:rPr>
            </w:pPr>
            <w:r w:rsidRPr="00412FB1">
              <w:rPr>
                <w:kern w:val="0"/>
                <w:sz w:val="17"/>
                <w:szCs w:val="24"/>
                <w:lang w:val="fr-FR"/>
              </w:rPr>
              <w:t>0</w:t>
            </w:r>
          </w:p>
        </w:tc>
        <w:tc>
          <w:tcPr>
            <w:tcW w:w="873" w:type="dxa"/>
            <w:gridSpan w:val="2"/>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13</w:t>
            </w:r>
          </w:p>
        </w:tc>
        <w:tc>
          <w:tcPr>
            <w:tcW w:w="828"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61,9</w:t>
            </w:r>
          </w:p>
        </w:tc>
        <w:tc>
          <w:tcPr>
            <w:tcW w:w="909"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13</w:t>
            </w:r>
          </w:p>
        </w:tc>
      </w:tr>
      <w:tr w:rsidR="00412FB1" w:rsidRPr="00412FB1" w:rsidTr="008835E7">
        <w:tblPrEx>
          <w:tblCellMar>
            <w:top w:w="0" w:type="dxa"/>
            <w:bottom w:w="0" w:type="dxa"/>
          </w:tblCellMar>
        </w:tblPrEx>
        <w:tc>
          <w:tcPr>
            <w:tcW w:w="1036"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r w:rsidRPr="00412FB1">
              <w:rPr>
                <w:b/>
                <w:kern w:val="0"/>
                <w:sz w:val="17"/>
              </w:rPr>
              <w:tab/>
              <w:t>Total</w:t>
            </w:r>
          </w:p>
        </w:tc>
        <w:tc>
          <w:tcPr>
            <w:tcW w:w="1925" w:type="dxa"/>
            <w:tcBorders>
              <w:top w:val="single" w:sz="4" w:space="0" w:color="auto"/>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p>
        </w:tc>
        <w:tc>
          <w:tcPr>
            <w:tcW w:w="927"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2</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100</w:t>
            </w:r>
          </w:p>
        </w:tc>
        <w:tc>
          <w:tcPr>
            <w:tcW w:w="873" w:type="dxa"/>
            <w:gridSpan w:val="2"/>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21</w:t>
            </w:r>
          </w:p>
        </w:tc>
        <w:tc>
          <w:tcPr>
            <w:tcW w:w="828"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100</w:t>
            </w:r>
          </w:p>
        </w:tc>
        <w:tc>
          <w:tcPr>
            <w:tcW w:w="909" w:type="dxa"/>
            <w:tcBorders>
              <w:top w:val="single" w:sz="4" w:space="0" w:color="auto"/>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23</w:t>
            </w:r>
          </w:p>
        </w:tc>
      </w:tr>
      <w:tr w:rsidR="00412FB1" w:rsidRPr="00412FB1" w:rsidTr="008835E7">
        <w:tblPrEx>
          <w:tblCellMar>
            <w:top w:w="0" w:type="dxa"/>
            <w:bottom w:w="0" w:type="dxa"/>
          </w:tblCellMar>
        </w:tblPrEx>
        <w:tc>
          <w:tcPr>
            <w:tcW w:w="1036"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Mouila</w:t>
            </w:r>
          </w:p>
        </w:tc>
        <w:tc>
          <w:tcPr>
            <w:tcW w:w="1925" w:type="dxa"/>
            <w:tcBorders>
              <w:top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40" w:line="210" w:lineRule="exact"/>
              <w:ind w:right="40"/>
              <w:rPr>
                <w:kern w:val="0"/>
                <w:sz w:val="17"/>
              </w:rPr>
            </w:pPr>
            <w:r w:rsidRPr="00412FB1">
              <w:rPr>
                <w:kern w:val="0"/>
                <w:sz w:val="17"/>
              </w:rPr>
              <w:t>Asistente contable</w:t>
            </w:r>
          </w:p>
        </w:tc>
        <w:tc>
          <w:tcPr>
            <w:tcW w:w="927"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8" w:right="40"/>
              <w:jc w:val="right"/>
              <w:rPr>
                <w:kern w:val="0"/>
                <w:sz w:val="17"/>
                <w:szCs w:val="24"/>
                <w:lang w:val="fr-FR"/>
              </w:rPr>
            </w:pPr>
            <w:r w:rsidRPr="00412FB1">
              <w:rPr>
                <w:kern w:val="0"/>
                <w:sz w:val="17"/>
                <w:szCs w:val="24"/>
                <w:lang w:val="fr-FR"/>
              </w:rPr>
              <w:t>5</w:t>
            </w:r>
          </w:p>
        </w:tc>
        <w:tc>
          <w:tcPr>
            <w:tcW w:w="828"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8" w:right="40"/>
              <w:jc w:val="right"/>
              <w:rPr>
                <w:kern w:val="0"/>
                <w:sz w:val="17"/>
                <w:szCs w:val="24"/>
                <w:lang w:val="fr-FR"/>
              </w:rPr>
            </w:pPr>
            <w:r w:rsidRPr="00412FB1">
              <w:rPr>
                <w:kern w:val="0"/>
                <w:sz w:val="17"/>
                <w:szCs w:val="24"/>
                <w:lang w:val="fr-FR"/>
              </w:rPr>
              <w:t>100</w:t>
            </w:r>
          </w:p>
        </w:tc>
        <w:tc>
          <w:tcPr>
            <w:tcW w:w="873" w:type="dxa"/>
            <w:gridSpan w:val="2"/>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13</w:t>
            </w:r>
          </w:p>
        </w:tc>
        <w:tc>
          <w:tcPr>
            <w:tcW w:w="828"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56,5</w:t>
            </w:r>
          </w:p>
        </w:tc>
        <w:tc>
          <w:tcPr>
            <w:tcW w:w="909" w:type="dxa"/>
            <w:tcBorders>
              <w:top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412FB1">
              <w:rPr>
                <w:kern w:val="0"/>
                <w:sz w:val="17"/>
                <w:szCs w:val="24"/>
                <w:lang w:val="fr-FR"/>
              </w:rPr>
              <w:t>18</w:t>
            </w:r>
          </w:p>
        </w:tc>
      </w:tr>
      <w:tr w:rsidR="00412FB1" w:rsidRPr="00412FB1" w:rsidTr="008835E7">
        <w:tblPrEx>
          <w:tblCellMar>
            <w:top w:w="0" w:type="dxa"/>
            <w:bottom w:w="0" w:type="dxa"/>
          </w:tblCellMar>
        </w:tblPrEx>
        <w:tc>
          <w:tcPr>
            <w:tcW w:w="1036"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p>
        </w:tc>
        <w:tc>
          <w:tcPr>
            <w:tcW w:w="1925" w:type="dxa"/>
            <w:tcBorders>
              <w:bottom w:val="single" w:sz="4"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40" w:after="81" w:line="210" w:lineRule="exact"/>
              <w:ind w:right="40"/>
              <w:rPr>
                <w:kern w:val="0"/>
                <w:sz w:val="17"/>
              </w:rPr>
            </w:pPr>
            <w:r w:rsidRPr="00412FB1">
              <w:rPr>
                <w:kern w:val="0"/>
                <w:sz w:val="17"/>
              </w:rPr>
              <w:t>Estenógrafo-dactilógrafo</w:t>
            </w:r>
          </w:p>
        </w:tc>
        <w:tc>
          <w:tcPr>
            <w:tcW w:w="927"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8" w:right="40"/>
              <w:jc w:val="right"/>
              <w:rPr>
                <w:kern w:val="0"/>
                <w:sz w:val="17"/>
                <w:szCs w:val="24"/>
                <w:lang w:val="fr-FR"/>
              </w:rPr>
            </w:pPr>
            <w:r w:rsidRPr="00412FB1">
              <w:rPr>
                <w:kern w:val="0"/>
                <w:sz w:val="17"/>
                <w:szCs w:val="24"/>
                <w:lang w:val="fr-FR"/>
              </w:rPr>
              <w:t>0</w:t>
            </w:r>
          </w:p>
        </w:tc>
        <w:tc>
          <w:tcPr>
            <w:tcW w:w="828"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8" w:right="40"/>
              <w:jc w:val="right"/>
              <w:rPr>
                <w:kern w:val="0"/>
                <w:sz w:val="17"/>
                <w:szCs w:val="24"/>
                <w:lang w:val="fr-FR"/>
              </w:rPr>
            </w:pPr>
            <w:r w:rsidRPr="00412FB1">
              <w:rPr>
                <w:kern w:val="0"/>
                <w:sz w:val="17"/>
                <w:szCs w:val="24"/>
                <w:lang w:val="fr-FR"/>
              </w:rPr>
              <w:t>0</w:t>
            </w:r>
          </w:p>
        </w:tc>
        <w:tc>
          <w:tcPr>
            <w:tcW w:w="873" w:type="dxa"/>
            <w:gridSpan w:val="2"/>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10</w:t>
            </w:r>
          </w:p>
        </w:tc>
        <w:tc>
          <w:tcPr>
            <w:tcW w:w="828"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43,5</w:t>
            </w:r>
          </w:p>
        </w:tc>
        <w:tc>
          <w:tcPr>
            <w:tcW w:w="909" w:type="dxa"/>
            <w:tcBorders>
              <w:bottom w:val="single" w:sz="4"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412FB1">
              <w:rPr>
                <w:kern w:val="0"/>
                <w:sz w:val="17"/>
                <w:szCs w:val="24"/>
                <w:lang w:val="fr-FR"/>
              </w:rPr>
              <w:t>10</w:t>
            </w:r>
          </w:p>
        </w:tc>
      </w:tr>
      <w:tr w:rsidR="00412FB1" w:rsidRPr="00412FB1" w:rsidTr="008835E7">
        <w:tblPrEx>
          <w:tblCellMar>
            <w:top w:w="0" w:type="dxa"/>
            <w:bottom w:w="0" w:type="dxa"/>
          </w:tblCellMar>
        </w:tblPrEx>
        <w:tc>
          <w:tcPr>
            <w:tcW w:w="1036" w:type="dxa"/>
            <w:tcBorders>
              <w:top w:val="single" w:sz="4" w:space="0" w:color="auto"/>
              <w:bottom w:val="single" w:sz="12"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r w:rsidRPr="00412FB1">
              <w:rPr>
                <w:b/>
                <w:kern w:val="0"/>
                <w:sz w:val="17"/>
              </w:rPr>
              <w:tab/>
              <w:t>Total</w:t>
            </w:r>
          </w:p>
        </w:tc>
        <w:tc>
          <w:tcPr>
            <w:tcW w:w="1925" w:type="dxa"/>
            <w:tcBorders>
              <w:top w:val="single" w:sz="4" w:space="0" w:color="auto"/>
              <w:bottom w:val="single" w:sz="12" w:space="0" w:color="auto"/>
            </w:tcBorders>
            <w:shd w:val="clear" w:color="auto" w:fill="auto"/>
            <w:vAlign w:val="bottom"/>
          </w:tcPr>
          <w:p w:rsidR="00412FB1" w:rsidRPr="00412FB1" w:rsidRDefault="00412FB1" w:rsidP="00412FB1">
            <w:pPr>
              <w:tabs>
                <w:tab w:val="left" w:pos="288"/>
                <w:tab w:val="left" w:pos="576"/>
                <w:tab w:val="left" w:pos="864"/>
                <w:tab w:val="left" w:pos="1152"/>
              </w:tabs>
              <w:spacing w:before="81" w:after="81" w:line="210" w:lineRule="exact"/>
              <w:ind w:right="40"/>
              <w:rPr>
                <w:b/>
                <w:kern w:val="0"/>
                <w:sz w:val="17"/>
              </w:rPr>
            </w:pPr>
          </w:p>
        </w:tc>
        <w:tc>
          <w:tcPr>
            <w:tcW w:w="927" w:type="dxa"/>
            <w:tcBorders>
              <w:top w:val="single" w:sz="4" w:space="0" w:color="auto"/>
              <w:bottom w:val="single" w:sz="12"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5</w:t>
            </w:r>
          </w:p>
        </w:tc>
        <w:tc>
          <w:tcPr>
            <w:tcW w:w="828" w:type="dxa"/>
            <w:tcBorders>
              <w:top w:val="single" w:sz="4" w:space="0" w:color="auto"/>
              <w:bottom w:val="single" w:sz="12"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8" w:right="40"/>
              <w:jc w:val="right"/>
              <w:rPr>
                <w:b/>
                <w:kern w:val="0"/>
                <w:sz w:val="17"/>
                <w:szCs w:val="24"/>
                <w:lang w:val="fr-FR"/>
              </w:rPr>
            </w:pPr>
            <w:r w:rsidRPr="00412FB1">
              <w:rPr>
                <w:b/>
                <w:kern w:val="0"/>
                <w:sz w:val="17"/>
                <w:szCs w:val="24"/>
                <w:lang w:val="fr-FR"/>
              </w:rPr>
              <w:t>100</w:t>
            </w:r>
          </w:p>
        </w:tc>
        <w:tc>
          <w:tcPr>
            <w:tcW w:w="873" w:type="dxa"/>
            <w:gridSpan w:val="2"/>
            <w:tcBorders>
              <w:top w:val="single" w:sz="4" w:space="0" w:color="auto"/>
              <w:bottom w:val="single" w:sz="12"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23</w:t>
            </w:r>
          </w:p>
        </w:tc>
        <w:tc>
          <w:tcPr>
            <w:tcW w:w="828" w:type="dxa"/>
            <w:tcBorders>
              <w:top w:val="single" w:sz="4" w:space="0" w:color="auto"/>
              <w:bottom w:val="single" w:sz="12"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100</w:t>
            </w:r>
          </w:p>
        </w:tc>
        <w:tc>
          <w:tcPr>
            <w:tcW w:w="909" w:type="dxa"/>
            <w:tcBorders>
              <w:top w:val="single" w:sz="4" w:space="0" w:color="auto"/>
              <w:bottom w:val="single" w:sz="12" w:space="0" w:color="auto"/>
            </w:tcBorders>
            <w:shd w:val="clear" w:color="auto" w:fill="auto"/>
            <w:vAlign w:val="bottom"/>
          </w:tcPr>
          <w:p w:rsidR="00412FB1" w:rsidRPr="00412FB1" w:rsidRDefault="00412FB1" w:rsidP="00412FB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12FB1">
              <w:rPr>
                <w:b/>
                <w:kern w:val="0"/>
                <w:sz w:val="17"/>
                <w:szCs w:val="24"/>
                <w:lang w:val="fr-FR"/>
              </w:rPr>
              <w:t>28</w:t>
            </w:r>
          </w:p>
        </w:tc>
      </w:tr>
    </w:tbl>
    <w:p w:rsidR="005546B9" w:rsidRPr="005546B9" w:rsidRDefault="005546B9" w:rsidP="005546B9">
      <w:pPr>
        <w:pStyle w:val="SingleTxt"/>
        <w:spacing w:after="0" w:line="120" w:lineRule="exact"/>
        <w:rPr>
          <w:sz w:val="10"/>
        </w:rPr>
      </w:pPr>
    </w:p>
    <w:p w:rsidR="005546B9" w:rsidRPr="00412FB1" w:rsidRDefault="005546B9" w:rsidP="00412F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right="0" w:hanging="288"/>
        <w:rPr>
          <w:sz w:val="17"/>
          <w:szCs w:val="17"/>
        </w:rPr>
      </w:pPr>
      <w:r w:rsidRPr="00412FB1">
        <w:rPr>
          <w:i/>
          <w:sz w:val="17"/>
          <w:szCs w:val="17"/>
        </w:rPr>
        <w:t>Fuente</w:t>
      </w:r>
      <w:r w:rsidRPr="00412FB1">
        <w:rPr>
          <w:sz w:val="17"/>
          <w:szCs w:val="17"/>
        </w:rPr>
        <w:t>: Ministerio de Enseñanza Técnica y Formación Profesional, año 2007.</w:t>
      </w:r>
    </w:p>
    <w:p w:rsidR="005546B9" w:rsidRPr="005546B9" w:rsidRDefault="005546B9" w:rsidP="005546B9">
      <w:pPr>
        <w:pStyle w:val="SingleTxt"/>
        <w:spacing w:after="0" w:line="120" w:lineRule="exact"/>
        <w:rPr>
          <w:sz w:val="10"/>
        </w:rPr>
      </w:pPr>
    </w:p>
    <w:p w:rsidR="005546B9" w:rsidRDefault="005546B9" w:rsidP="005546B9">
      <w:pPr>
        <w:pStyle w:val="SingleTxt"/>
        <w:spacing w:after="0" w:line="120" w:lineRule="exact"/>
        <w:rPr>
          <w:sz w:val="10"/>
        </w:rPr>
      </w:pPr>
    </w:p>
    <w:p w:rsidR="008835E7" w:rsidRPr="005546B9" w:rsidRDefault="008835E7" w:rsidP="005546B9">
      <w:pPr>
        <w:pStyle w:val="SingleTxt"/>
        <w:spacing w:after="0" w:line="120" w:lineRule="exact"/>
        <w:rPr>
          <w:sz w:val="10"/>
        </w:rPr>
      </w:pPr>
    </w:p>
    <w:p w:rsidR="005546B9" w:rsidRDefault="005546B9" w:rsidP="00554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enseñanza superior</w:t>
      </w:r>
    </w:p>
    <w:p w:rsidR="005546B9" w:rsidRPr="005546B9" w:rsidRDefault="005546B9" w:rsidP="005546B9">
      <w:pPr>
        <w:pStyle w:val="SingleTxt"/>
        <w:spacing w:after="0" w:line="120" w:lineRule="exact"/>
        <w:rPr>
          <w:sz w:val="10"/>
        </w:rPr>
      </w:pPr>
    </w:p>
    <w:p w:rsidR="005546B9" w:rsidRDefault="005546B9" w:rsidP="005546B9">
      <w:pPr>
        <w:pStyle w:val="SingleTxt"/>
      </w:pPr>
      <w:r>
        <w:t>94.</w:t>
      </w:r>
      <w:r>
        <w:tab/>
        <w:t>Los datos de 2003 muestran disparidades importantes en el ingreso a la universidad. Las mujeres representan todavía apenas un terc</w:t>
      </w:r>
      <w:r w:rsidR="008835E7">
        <w:t>io de los alumnos. Hay un 64,43</w:t>
      </w:r>
      <w:r>
        <w:t>% de hombres y un 35,57% de mujeres. En general, se observa una variación muy grande en las disparidades. Las mujeres representan más del 30% en letras, derecho y medicina y son menos las que se inscriben en carreras científicas.</w:t>
      </w:r>
    </w:p>
    <w:p w:rsidR="005F19B1" w:rsidRPr="005546B9" w:rsidRDefault="005F19B1" w:rsidP="005546B9">
      <w:pPr>
        <w:pStyle w:val="SingleTxt"/>
        <w:spacing w:after="0" w:line="120" w:lineRule="exact"/>
        <w:rPr>
          <w:sz w:val="10"/>
        </w:rPr>
      </w:pPr>
    </w:p>
    <w:p w:rsidR="005546B9" w:rsidRDefault="005546B9" w:rsidP="00554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546B9">
        <w:rPr>
          <w:b w:val="0"/>
        </w:rPr>
        <w:t>Cuadro 9</w:t>
      </w:r>
      <w:r>
        <w:br/>
        <w:t>Mujeres en la Universidad y distribución por sexo</w:t>
      </w:r>
    </w:p>
    <w:p w:rsidR="008835E7" w:rsidRPr="008835E7" w:rsidRDefault="008835E7" w:rsidP="008835E7">
      <w:pPr>
        <w:pStyle w:val="SingleTxt"/>
        <w:suppressAutoHyphens/>
        <w:spacing w:after="0" w:line="120" w:lineRule="exact"/>
        <w:rPr>
          <w:sz w:val="10"/>
        </w:rPr>
      </w:pPr>
    </w:p>
    <w:p w:rsidR="008835E7" w:rsidRPr="008835E7" w:rsidRDefault="008835E7" w:rsidP="008835E7">
      <w:pPr>
        <w:pStyle w:val="SingleTxt"/>
        <w:suppressAutoHyphens/>
        <w:spacing w:after="0" w:line="120" w:lineRule="exact"/>
        <w:rPr>
          <w:sz w:val="10"/>
        </w:rPr>
      </w:pPr>
    </w:p>
    <w:tbl>
      <w:tblPr>
        <w:tblW w:w="8586" w:type="dxa"/>
        <w:tblInd w:w="1260" w:type="dxa"/>
        <w:tblLayout w:type="fixed"/>
        <w:tblCellMar>
          <w:left w:w="0" w:type="dxa"/>
          <w:right w:w="0" w:type="dxa"/>
        </w:tblCellMar>
        <w:tblLook w:val="0000"/>
      </w:tblPr>
      <w:tblGrid>
        <w:gridCol w:w="2840"/>
        <w:gridCol w:w="1375"/>
        <w:gridCol w:w="839"/>
        <w:gridCol w:w="850"/>
        <w:gridCol w:w="90"/>
        <w:gridCol w:w="830"/>
        <w:gridCol w:w="810"/>
        <w:gridCol w:w="952"/>
      </w:tblGrid>
      <w:tr w:rsidR="00C57554" w:rsidRPr="005F19B1" w:rsidTr="00C57554">
        <w:tblPrEx>
          <w:tblCellMar>
            <w:top w:w="0" w:type="dxa"/>
            <w:bottom w:w="0" w:type="dxa"/>
          </w:tblCellMar>
        </w:tblPrEx>
        <w:trPr>
          <w:tblHeader/>
        </w:trPr>
        <w:tc>
          <w:tcPr>
            <w:tcW w:w="2840" w:type="dxa"/>
            <w:vMerge w:val="restart"/>
            <w:tcBorders>
              <w:top w:val="single" w:sz="4" w:space="0" w:color="auto"/>
            </w:tcBorders>
            <w:shd w:val="clear" w:color="auto" w:fill="auto"/>
            <w:vAlign w:val="bottom"/>
          </w:tcPr>
          <w:p w:rsidR="00C57554" w:rsidRPr="005F19B1" w:rsidRDefault="00C57554" w:rsidP="005F19B1">
            <w:pPr>
              <w:widowControl w:val="0"/>
              <w:autoSpaceDE w:val="0"/>
              <w:autoSpaceDN w:val="0"/>
              <w:adjustRightInd w:val="0"/>
              <w:spacing w:after="80" w:line="160" w:lineRule="exact"/>
              <w:ind w:right="40"/>
              <w:rPr>
                <w:i/>
                <w:kern w:val="0"/>
                <w:sz w:val="14"/>
                <w:szCs w:val="16"/>
              </w:rPr>
            </w:pPr>
            <w:r w:rsidRPr="005F19B1">
              <w:rPr>
                <w:i/>
                <w:iCs/>
                <w:kern w:val="0"/>
                <w:sz w:val="14"/>
                <w:szCs w:val="16"/>
              </w:rPr>
              <w:t>Universidad (facultades)</w:t>
            </w:r>
          </w:p>
        </w:tc>
        <w:tc>
          <w:tcPr>
            <w:tcW w:w="1375" w:type="dxa"/>
            <w:vMerge w:val="restart"/>
            <w:tcBorders>
              <w:top w:val="single" w:sz="4" w:space="0" w:color="auto"/>
            </w:tcBorders>
            <w:shd w:val="clear" w:color="auto" w:fill="auto"/>
            <w:vAlign w:val="bottom"/>
          </w:tcPr>
          <w:p w:rsidR="00C57554" w:rsidRPr="005F19B1" w:rsidRDefault="00C57554" w:rsidP="004A2E38">
            <w:pPr>
              <w:widowControl w:val="0"/>
              <w:autoSpaceDE w:val="0"/>
              <w:autoSpaceDN w:val="0"/>
              <w:adjustRightInd w:val="0"/>
              <w:spacing w:after="80" w:line="160" w:lineRule="exact"/>
              <w:ind w:right="40"/>
              <w:rPr>
                <w:i/>
                <w:kern w:val="0"/>
                <w:sz w:val="14"/>
                <w:szCs w:val="16"/>
              </w:rPr>
            </w:pPr>
            <w:r w:rsidRPr="005F19B1">
              <w:rPr>
                <w:i/>
                <w:iCs/>
                <w:kern w:val="0"/>
                <w:sz w:val="14"/>
                <w:szCs w:val="16"/>
              </w:rPr>
              <w:t>Ubicación</w:t>
            </w:r>
          </w:p>
        </w:tc>
        <w:tc>
          <w:tcPr>
            <w:tcW w:w="1689" w:type="dxa"/>
            <w:gridSpan w:val="2"/>
            <w:tcBorders>
              <w:top w:val="single" w:sz="4" w:space="0" w:color="auto"/>
              <w:bottom w:val="single" w:sz="4" w:space="0" w:color="auto"/>
            </w:tcBorders>
            <w:shd w:val="clear" w:color="auto" w:fill="auto"/>
            <w:vAlign w:val="bottom"/>
          </w:tcPr>
          <w:p w:rsidR="00C57554" w:rsidRPr="005F19B1" w:rsidRDefault="00C57554" w:rsidP="00C57554">
            <w:pPr>
              <w:widowControl w:val="0"/>
              <w:autoSpaceDE w:val="0"/>
              <w:autoSpaceDN w:val="0"/>
              <w:adjustRightInd w:val="0"/>
              <w:spacing w:before="80" w:after="80" w:line="160" w:lineRule="exact"/>
              <w:ind w:right="40"/>
              <w:jc w:val="center"/>
              <w:rPr>
                <w:i/>
                <w:kern w:val="0"/>
                <w:sz w:val="14"/>
                <w:szCs w:val="16"/>
              </w:rPr>
            </w:pPr>
            <w:r w:rsidRPr="005F19B1">
              <w:rPr>
                <w:i/>
                <w:iCs/>
                <w:kern w:val="0"/>
                <w:sz w:val="14"/>
                <w:szCs w:val="16"/>
              </w:rPr>
              <w:t>Hombres</w:t>
            </w:r>
          </w:p>
        </w:tc>
        <w:tc>
          <w:tcPr>
            <w:tcW w:w="90" w:type="dxa"/>
            <w:tcBorders>
              <w:top w:val="single" w:sz="4" w:space="0" w:color="auto"/>
            </w:tcBorders>
            <w:shd w:val="clear" w:color="auto" w:fill="auto"/>
            <w:vAlign w:val="bottom"/>
          </w:tcPr>
          <w:p w:rsidR="00C57554" w:rsidRPr="005F19B1" w:rsidRDefault="00C57554" w:rsidP="005F19B1">
            <w:pPr>
              <w:tabs>
                <w:tab w:val="left" w:pos="288"/>
                <w:tab w:val="left" w:pos="576"/>
                <w:tab w:val="left" w:pos="864"/>
                <w:tab w:val="left" w:pos="1152"/>
              </w:tabs>
              <w:spacing w:before="80" w:after="80" w:line="160" w:lineRule="exact"/>
              <w:ind w:right="40"/>
              <w:jc w:val="right"/>
              <w:rPr>
                <w:i/>
                <w:kern w:val="0"/>
                <w:sz w:val="14"/>
                <w:szCs w:val="16"/>
              </w:rPr>
            </w:pPr>
          </w:p>
        </w:tc>
        <w:tc>
          <w:tcPr>
            <w:tcW w:w="1640" w:type="dxa"/>
            <w:gridSpan w:val="2"/>
            <w:tcBorders>
              <w:top w:val="single" w:sz="4" w:space="0" w:color="auto"/>
              <w:bottom w:val="single" w:sz="4" w:space="0" w:color="auto"/>
            </w:tcBorders>
            <w:shd w:val="clear" w:color="auto" w:fill="auto"/>
            <w:vAlign w:val="bottom"/>
          </w:tcPr>
          <w:p w:rsidR="00C57554" w:rsidRPr="005F19B1" w:rsidRDefault="00C57554" w:rsidP="00C57554">
            <w:pPr>
              <w:tabs>
                <w:tab w:val="left" w:pos="288"/>
                <w:tab w:val="left" w:pos="576"/>
                <w:tab w:val="left" w:pos="864"/>
                <w:tab w:val="left" w:pos="1152"/>
              </w:tabs>
              <w:spacing w:before="80" w:after="80" w:line="160" w:lineRule="exact"/>
              <w:ind w:right="40"/>
              <w:jc w:val="center"/>
              <w:rPr>
                <w:i/>
                <w:kern w:val="0"/>
                <w:sz w:val="14"/>
                <w:szCs w:val="16"/>
              </w:rPr>
            </w:pPr>
            <w:r w:rsidRPr="005F19B1">
              <w:rPr>
                <w:i/>
                <w:iCs/>
                <w:kern w:val="0"/>
                <w:sz w:val="14"/>
                <w:szCs w:val="16"/>
              </w:rPr>
              <w:t>Mujeres</w:t>
            </w:r>
          </w:p>
        </w:tc>
        <w:tc>
          <w:tcPr>
            <w:tcW w:w="952" w:type="dxa"/>
            <w:vMerge w:val="restart"/>
            <w:tcBorders>
              <w:top w:val="single" w:sz="4" w:space="0" w:color="auto"/>
            </w:tcBorders>
            <w:shd w:val="clear" w:color="auto" w:fill="auto"/>
            <w:vAlign w:val="bottom"/>
          </w:tcPr>
          <w:p w:rsidR="00C57554" w:rsidRPr="005F19B1" w:rsidRDefault="00C57554" w:rsidP="005F19B1">
            <w:pPr>
              <w:widowControl w:val="0"/>
              <w:autoSpaceDE w:val="0"/>
              <w:autoSpaceDN w:val="0"/>
              <w:adjustRightInd w:val="0"/>
              <w:spacing w:after="80" w:line="160" w:lineRule="exact"/>
              <w:ind w:right="40"/>
              <w:jc w:val="right"/>
              <w:rPr>
                <w:i/>
                <w:kern w:val="0"/>
                <w:sz w:val="14"/>
                <w:szCs w:val="16"/>
              </w:rPr>
            </w:pPr>
            <w:r w:rsidRPr="005F19B1">
              <w:rPr>
                <w:i/>
                <w:kern w:val="0"/>
                <w:sz w:val="14"/>
                <w:szCs w:val="16"/>
              </w:rPr>
              <w:t>Total</w:t>
            </w:r>
          </w:p>
        </w:tc>
      </w:tr>
      <w:tr w:rsidR="00C57554" w:rsidRPr="005F19B1" w:rsidTr="00C57554">
        <w:tblPrEx>
          <w:tblCellMar>
            <w:top w:w="0" w:type="dxa"/>
            <w:bottom w:w="0" w:type="dxa"/>
          </w:tblCellMar>
        </w:tblPrEx>
        <w:trPr>
          <w:tblHeader/>
        </w:trPr>
        <w:tc>
          <w:tcPr>
            <w:tcW w:w="2840" w:type="dxa"/>
            <w:vMerge/>
            <w:tcBorders>
              <w:bottom w:val="single" w:sz="12" w:space="0" w:color="auto"/>
            </w:tcBorders>
            <w:shd w:val="clear" w:color="auto" w:fill="auto"/>
            <w:vAlign w:val="bottom"/>
          </w:tcPr>
          <w:p w:rsidR="00C57554" w:rsidRPr="005F19B1" w:rsidRDefault="00C57554" w:rsidP="005F19B1">
            <w:pPr>
              <w:widowControl w:val="0"/>
              <w:autoSpaceDE w:val="0"/>
              <w:autoSpaceDN w:val="0"/>
              <w:adjustRightInd w:val="0"/>
              <w:spacing w:after="80" w:line="160" w:lineRule="exact"/>
              <w:ind w:right="40"/>
              <w:rPr>
                <w:i/>
                <w:iCs/>
                <w:kern w:val="0"/>
                <w:sz w:val="14"/>
                <w:szCs w:val="16"/>
              </w:rPr>
            </w:pPr>
          </w:p>
        </w:tc>
        <w:tc>
          <w:tcPr>
            <w:tcW w:w="1375" w:type="dxa"/>
            <w:vMerge/>
            <w:tcBorders>
              <w:bottom w:val="single" w:sz="12" w:space="0" w:color="auto"/>
            </w:tcBorders>
            <w:shd w:val="clear" w:color="auto" w:fill="auto"/>
            <w:vAlign w:val="bottom"/>
          </w:tcPr>
          <w:p w:rsidR="00C57554" w:rsidRPr="005F19B1" w:rsidRDefault="00C57554" w:rsidP="004A2E38">
            <w:pPr>
              <w:widowControl w:val="0"/>
              <w:autoSpaceDE w:val="0"/>
              <w:autoSpaceDN w:val="0"/>
              <w:adjustRightInd w:val="0"/>
              <w:spacing w:after="80" w:line="160" w:lineRule="exact"/>
              <w:ind w:right="40"/>
              <w:rPr>
                <w:i/>
                <w:kern w:val="0"/>
                <w:sz w:val="14"/>
                <w:szCs w:val="16"/>
              </w:rPr>
            </w:pPr>
          </w:p>
        </w:tc>
        <w:tc>
          <w:tcPr>
            <w:tcW w:w="839" w:type="dxa"/>
            <w:tcBorders>
              <w:top w:val="single" w:sz="4" w:space="0" w:color="auto"/>
              <w:bottom w:val="single" w:sz="12" w:space="0" w:color="auto"/>
            </w:tcBorders>
            <w:shd w:val="clear" w:color="auto" w:fill="auto"/>
            <w:vAlign w:val="bottom"/>
          </w:tcPr>
          <w:p w:rsidR="00C57554" w:rsidRPr="005F19B1" w:rsidRDefault="00C57554" w:rsidP="00521B8C">
            <w:pPr>
              <w:widowControl w:val="0"/>
              <w:autoSpaceDE w:val="0"/>
              <w:autoSpaceDN w:val="0"/>
              <w:adjustRightInd w:val="0"/>
              <w:spacing w:before="40" w:after="80" w:line="160" w:lineRule="exact"/>
              <w:ind w:right="43"/>
              <w:jc w:val="right"/>
              <w:rPr>
                <w:i/>
                <w:kern w:val="0"/>
                <w:sz w:val="14"/>
                <w:szCs w:val="16"/>
              </w:rPr>
            </w:pPr>
            <w:r w:rsidRPr="005F19B1">
              <w:rPr>
                <w:i/>
                <w:iCs/>
                <w:kern w:val="0"/>
                <w:sz w:val="14"/>
                <w:szCs w:val="16"/>
              </w:rPr>
              <w:t>Número</w:t>
            </w:r>
          </w:p>
        </w:tc>
        <w:tc>
          <w:tcPr>
            <w:tcW w:w="850" w:type="dxa"/>
            <w:tcBorders>
              <w:top w:val="single" w:sz="4" w:space="0" w:color="auto"/>
              <w:bottom w:val="single" w:sz="12" w:space="0" w:color="auto"/>
            </w:tcBorders>
            <w:shd w:val="clear" w:color="auto" w:fill="auto"/>
            <w:vAlign w:val="bottom"/>
          </w:tcPr>
          <w:p w:rsidR="00C57554" w:rsidRPr="005F19B1" w:rsidRDefault="00C57554" w:rsidP="00521B8C">
            <w:pPr>
              <w:widowControl w:val="0"/>
              <w:autoSpaceDE w:val="0"/>
              <w:autoSpaceDN w:val="0"/>
              <w:adjustRightInd w:val="0"/>
              <w:spacing w:before="40" w:after="80" w:line="160" w:lineRule="exact"/>
              <w:ind w:right="43"/>
              <w:jc w:val="right"/>
              <w:rPr>
                <w:i/>
                <w:kern w:val="0"/>
                <w:sz w:val="14"/>
                <w:szCs w:val="16"/>
              </w:rPr>
            </w:pPr>
            <w:r w:rsidRPr="005F19B1">
              <w:rPr>
                <w:i/>
                <w:iCs/>
                <w:kern w:val="0"/>
                <w:sz w:val="14"/>
                <w:szCs w:val="16"/>
              </w:rPr>
              <w:t>%</w:t>
            </w:r>
          </w:p>
        </w:tc>
        <w:tc>
          <w:tcPr>
            <w:tcW w:w="920" w:type="dxa"/>
            <w:gridSpan w:val="2"/>
            <w:tcBorders>
              <w:bottom w:val="single" w:sz="12" w:space="0" w:color="auto"/>
            </w:tcBorders>
            <w:shd w:val="clear" w:color="auto" w:fill="auto"/>
            <w:vAlign w:val="bottom"/>
          </w:tcPr>
          <w:p w:rsidR="00C57554" w:rsidRPr="005F19B1" w:rsidRDefault="00C57554" w:rsidP="00521B8C">
            <w:pPr>
              <w:widowControl w:val="0"/>
              <w:autoSpaceDE w:val="0"/>
              <w:autoSpaceDN w:val="0"/>
              <w:adjustRightInd w:val="0"/>
              <w:spacing w:before="40" w:after="80" w:line="160" w:lineRule="exact"/>
              <w:ind w:right="43"/>
              <w:jc w:val="right"/>
              <w:rPr>
                <w:i/>
                <w:kern w:val="0"/>
                <w:sz w:val="14"/>
                <w:szCs w:val="16"/>
              </w:rPr>
            </w:pPr>
            <w:r w:rsidRPr="005F19B1">
              <w:rPr>
                <w:i/>
                <w:iCs/>
                <w:kern w:val="0"/>
                <w:sz w:val="14"/>
                <w:szCs w:val="16"/>
              </w:rPr>
              <w:t>Número</w:t>
            </w:r>
          </w:p>
        </w:tc>
        <w:tc>
          <w:tcPr>
            <w:tcW w:w="810" w:type="dxa"/>
            <w:tcBorders>
              <w:top w:val="single" w:sz="4" w:space="0" w:color="auto"/>
              <w:bottom w:val="single" w:sz="12" w:space="0" w:color="auto"/>
            </w:tcBorders>
            <w:shd w:val="clear" w:color="auto" w:fill="auto"/>
            <w:vAlign w:val="bottom"/>
          </w:tcPr>
          <w:p w:rsidR="00C57554" w:rsidRPr="005F19B1" w:rsidRDefault="00C57554" w:rsidP="00521B8C">
            <w:pPr>
              <w:widowControl w:val="0"/>
              <w:autoSpaceDE w:val="0"/>
              <w:autoSpaceDN w:val="0"/>
              <w:adjustRightInd w:val="0"/>
              <w:spacing w:before="40" w:after="80" w:line="160" w:lineRule="exact"/>
              <w:ind w:right="43"/>
              <w:jc w:val="right"/>
              <w:rPr>
                <w:i/>
                <w:kern w:val="0"/>
                <w:sz w:val="14"/>
                <w:szCs w:val="16"/>
              </w:rPr>
            </w:pPr>
            <w:r w:rsidRPr="005F19B1">
              <w:rPr>
                <w:i/>
                <w:iCs/>
                <w:kern w:val="0"/>
                <w:sz w:val="14"/>
                <w:szCs w:val="16"/>
              </w:rPr>
              <w:t>%</w:t>
            </w:r>
          </w:p>
        </w:tc>
        <w:tc>
          <w:tcPr>
            <w:tcW w:w="952" w:type="dxa"/>
            <w:vMerge/>
            <w:tcBorders>
              <w:bottom w:val="single" w:sz="12" w:space="0" w:color="auto"/>
            </w:tcBorders>
            <w:shd w:val="clear" w:color="auto" w:fill="auto"/>
            <w:vAlign w:val="bottom"/>
          </w:tcPr>
          <w:p w:rsidR="00C57554" w:rsidRPr="005F19B1" w:rsidRDefault="00C57554" w:rsidP="005F19B1">
            <w:pPr>
              <w:widowControl w:val="0"/>
              <w:autoSpaceDE w:val="0"/>
              <w:autoSpaceDN w:val="0"/>
              <w:adjustRightInd w:val="0"/>
              <w:spacing w:after="80" w:line="160" w:lineRule="exact"/>
              <w:ind w:right="40"/>
              <w:jc w:val="right"/>
              <w:rPr>
                <w:i/>
                <w:kern w:val="0"/>
                <w:sz w:val="14"/>
                <w:szCs w:val="16"/>
              </w:rPr>
            </w:pPr>
          </w:p>
        </w:tc>
      </w:tr>
      <w:tr w:rsidR="005F19B1" w:rsidRPr="005F19B1" w:rsidTr="00C57554">
        <w:tblPrEx>
          <w:tblCellMar>
            <w:top w:w="0" w:type="dxa"/>
            <w:bottom w:w="0" w:type="dxa"/>
          </w:tblCellMar>
        </w:tblPrEx>
        <w:trPr>
          <w:trHeight w:hRule="exact" w:val="115"/>
          <w:tblHeader/>
        </w:trPr>
        <w:tc>
          <w:tcPr>
            <w:tcW w:w="2840" w:type="dxa"/>
            <w:tcBorders>
              <w:top w:val="single" w:sz="12" w:space="0" w:color="auto"/>
            </w:tcBorders>
            <w:shd w:val="clear" w:color="auto" w:fill="auto"/>
            <w:vAlign w:val="bottom"/>
          </w:tcPr>
          <w:p w:rsidR="005F19B1" w:rsidRPr="005F19B1" w:rsidRDefault="005F19B1" w:rsidP="005F19B1">
            <w:pPr>
              <w:tabs>
                <w:tab w:val="left" w:pos="288"/>
                <w:tab w:val="left" w:pos="576"/>
                <w:tab w:val="left" w:pos="864"/>
                <w:tab w:val="left" w:pos="1152"/>
              </w:tabs>
              <w:spacing w:before="40" w:after="40" w:line="210" w:lineRule="exact"/>
              <w:ind w:right="40"/>
              <w:rPr>
                <w:kern w:val="0"/>
                <w:sz w:val="17"/>
              </w:rPr>
            </w:pPr>
          </w:p>
        </w:tc>
        <w:tc>
          <w:tcPr>
            <w:tcW w:w="1375" w:type="dxa"/>
            <w:tcBorders>
              <w:top w:val="single" w:sz="12" w:space="0" w:color="auto"/>
            </w:tcBorders>
            <w:shd w:val="clear" w:color="auto" w:fill="auto"/>
            <w:vAlign w:val="bottom"/>
          </w:tcPr>
          <w:p w:rsidR="005F19B1" w:rsidRPr="005F19B1" w:rsidRDefault="005F19B1" w:rsidP="004A2E38">
            <w:pPr>
              <w:tabs>
                <w:tab w:val="left" w:pos="288"/>
                <w:tab w:val="left" w:pos="576"/>
                <w:tab w:val="left" w:pos="864"/>
                <w:tab w:val="left" w:pos="1152"/>
              </w:tabs>
              <w:spacing w:before="40" w:after="40" w:line="210" w:lineRule="exact"/>
              <w:ind w:right="40"/>
              <w:rPr>
                <w:kern w:val="0"/>
                <w:sz w:val="17"/>
                <w:szCs w:val="24"/>
              </w:rPr>
            </w:pPr>
          </w:p>
        </w:tc>
        <w:tc>
          <w:tcPr>
            <w:tcW w:w="839" w:type="dxa"/>
            <w:tcBorders>
              <w:top w:val="single" w:sz="12" w:space="0" w:color="auto"/>
            </w:tcBorders>
            <w:shd w:val="clear" w:color="auto" w:fill="auto"/>
            <w:vAlign w:val="bottom"/>
          </w:tcPr>
          <w:p w:rsidR="005F19B1" w:rsidRPr="005F19B1" w:rsidRDefault="005F19B1" w:rsidP="004A2E38">
            <w:pPr>
              <w:pStyle w:val="DTpara"/>
              <w:numPr>
                <w:ilvl w:val="0"/>
                <w:numId w:val="0"/>
              </w:numPr>
              <w:spacing w:before="40" w:after="40" w:line="210" w:lineRule="exact"/>
              <w:ind w:left="164" w:right="40"/>
              <w:jc w:val="right"/>
              <w:rPr>
                <w:spacing w:val="4"/>
                <w:w w:val="103"/>
                <w:sz w:val="17"/>
                <w:szCs w:val="24"/>
                <w:lang w:val="fr-FR"/>
              </w:rPr>
            </w:pPr>
          </w:p>
        </w:tc>
        <w:tc>
          <w:tcPr>
            <w:tcW w:w="850" w:type="dxa"/>
            <w:tcBorders>
              <w:top w:val="single" w:sz="12" w:space="0" w:color="auto"/>
            </w:tcBorders>
            <w:shd w:val="clear" w:color="auto" w:fill="auto"/>
            <w:vAlign w:val="bottom"/>
          </w:tcPr>
          <w:p w:rsidR="005F19B1" w:rsidRPr="005F19B1" w:rsidRDefault="005F19B1" w:rsidP="004A2E38">
            <w:pPr>
              <w:pStyle w:val="DTpara"/>
              <w:numPr>
                <w:ilvl w:val="0"/>
                <w:numId w:val="0"/>
              </w:numPr>
              <w:spacing w:before="40" w:after="40" w:line="210" w:lineRule="exact"/>
              <w:ind w:left="164" w:right="40"/>
              <w:jc w:val="right"/>
              <w:rPr>
                <w:spacing w:val="4"/>
                <w:w w:val="103"/>
                <w:sz w:val="17"/>
                <w:szCs w:val="24"/>
                <w:lang w:val="fr-FR"/>
              </w:rPr>
            </w:pPr>
          </w:p>
        </w:tc>
        <w:tc>
          <w:tcPr>
            <w:tcW w:w="920" w:type="dxa"/>
            <w:gridSpan w:val="2"/>
            <w:tcBorders>
              <w:top w:val="single" w:sz="12" w:space="0" w:color="auto"/>
            </w:tcBorders>
            <w:shd w:val="clear" w:color="auto" w:fill="auto"/>
            <w:vAlign w:val="bottom"/>
          </w:tcPr>
          <w:p w:rsidR="005F19B1" w:rsidRPr="005F19B1" w:rsidRDefault="005F19B1" w:rsidP="004A2E38">
            <w:pPr>
              <w:pStyle w:val="DTpara"/>
              <w:numPr>
                <w:ilvl w:val="0"/>
                <w:numId w:val="0"/>
              </w:numPr>
              <w:spacing w:before="40" w:after="40" w:line="210" w:lineRule="exact"/>
              <w:ind w:left="164" w:right="40"/>
              <w:jc w:val="right"/>
              <w:rPr>
                <w:spacing w:val="4"/>
                <w:w w:val="103"/>
                <w:sz w:val="17"/>
                <w:szCs w:val="24"/>
                <w:lang w:val="fr-FR"/>
              </w:rPr>
            </w:pPr>
          </w:p>
        </w:tc>
        <w:tc>
          <w:tcPr>
            <w:tcW w:w="810" w:type="dxa"/>
            <w:tcBorders>
              <w:top w:val="single" w:sz="12" w:space="0" w:color="auto"/>
            </w:tcBorders>
            <w:shd w:val="clear" w:color="auto" w:fill="auto"/>
            <w:vAlign w:val="bottom"/>
          </w:tcPr>
          <w:p w:rsidR="005F19B1" w:rsidRPr="005F19B1" w:rsidRDefault="005F19B1" w:rsidP="004A2E38">
            <w:pPr>
              <w:pStyle w:val="DTpara"/>
              <w:numPr>
                <w:ilvl w:val="0"/>
                <w:numId w:val="0"/>
              </w:numPr>
              <w:spacing w:before="40" w:after="40" w:line="210" w:lineRule="exact"/>
              <w:ind w:left="164" w:right="40"/>
              <w:jc w:val="right"/>
              <w:rPr>
                <w:spacing w:val="4"/>
                <w:w w:val="103"/>
                <w:sz w:val="17"/>
                <w:szCs w:val="24"/>
                <w:lang w:val="fr-FR"/>
              </w:rPr>
            </w:pPr>
          </w:p>
        </w:tc>
        <w:tc>
          <w:tcPr>
            <w:tcW w:w="952" w:type="dxa"/>
            <w:tcBorders>
              <w:top w:val="single" w:sz="12" w:space="0" w:color="auto"/>
            </w:tcBorders>
            <w:shd w:val="clear" w:color="auto" w:fill="auto"/>
            <w:vAlign w:val="bottom"/>
          </w:tcPr>
          <w:p w:rsidR="005F19B1" w:rsidRPr="005F19B1" w:rsidRDefault="005F19B1" w:rsidP="004A2E38">
            <w:pPr>
              <w:pStyle w:val="DTpara"/>
              <w:numPr>
                <w:ilvl w:val="0"/>
                <w:numId w:val="0"/>
              </w:numPr>
              <w:spacing w:before="40" w:after="40" w:line="210" w:lineRule="exact"/>
              <w:ind w:left="164" w:right="40"/>
              <w:jc w:val="right"/>
              <w:rPr>
                <w:spacing w:val="4"/>
                <w:w w:val="103"/>
                <w:sz w:val="17"/>
                <w:szCs w:val="24"/>
                <w:lang w:val="fr-FR"/>
              </w:rPr>
            </w:pPr>
          </w:p>
        </w:tc>
      </w:tr>
      <w:tr w:rsidR="00C57554" w:rsidRPr="005F19B1" w:rsidTr="00C57554">
        <w:tblPrEx>
          <w:tblCellMar>
            <w:top w:w="0" w:type="dxa"/>
            <w:bottom w:w="0" w:type="dxa"/>
          </w:tblCellMar>
        </w:tblPrEx>
        <w:tc>
          <w:tcPr>
            <w:tcW w:w="2840" w:type="dxa"/>
            <w:shd w:val="clear" w:color="auto" w:fill="auto"/>
            <w:vAlign w:val="bottom"/>
          </w:tcPr>
          <w:p w:rsidR="005F19B1" w:rsidRPr="005F19B1" w:rsidRDefault="005F19B1" w:rsidP="005F19B1">
            <w:pPr>
              <w:tabs>
                <w:tab w:val="left" w:pos="288"/>
                <w:tab w:val="left" w:pos="576"/>
                <w:tab w:val="left" w:pos="864"/>
                <w:tab w:val="left" w:pos="1152"/>
              </w:tabs>
              <w:spacing w:before="40" w:after="40" w:line="210" w:lineRule="exact"/>
              <w:ind w:right="40"/>
              <w:rPr>
                <w:kern w:val="0"/>
                <w:sz w:val="17"/>
              </w:rPr>
            </w:pPr>
            <w:r w:rsidRPr="005F19B1">
              <w:rPr>
                <w:kern w:val="0"/>
                <w:sz w:val="17"/>
              </w:rPr>
              <w:t>Letras</w:t>
            </w:r>
          </w:p>
        </w:tc>
        <w:tc>
          <w:tcPr>
            <w:tcW w:w="1375" w:type="dxa"/>
            <w:shd w:val="clear" w:color="auto" w:fill="auto"/>
            <w:vAlign w:val="bottom"/>
          </w:tcPr>
          <w:p w:rsidR="005F19B1" w:rsidRPr="005F19B1" w:rsidRDefault="005F19B1" w:rsidP="004A2E38">
            <w:pPr>
              <w:tabs>
                <w:tab w:val="left" w:pos="288"/>
                <w:tab w:val="left" w:pos="576"/>
                <w:tab w:val="left" w:pos="864"/>
                <w:tab w:val="left" w:pos="1152"/>
              </w:tabs>
              <w:spacing w:before="40" w:after="40" w:line="210" w:lineRule="exact"/>
              <w:ind w:right="40"/>
              <w:rPr>
                <w:kern w:val="0"/>
                <w:sz w:val="17"/>
              </w:rPr>
            </w:pPr>
            <w:r w:rsidRPr="005F19B1">
              <w:rPr>
                <w:kern w:val="0"/>
                <w:sz w:val="17"/>
                <w:szCs w:val="24"/>
              </w:rPr>
              <w:t>Libreville</w:t>
            </w:r>
          </w:p>
        </w:tc>
        <w:tc>
          <w:tcPr>
            <w:tcW w:w="839" w:type="dxa"/>
            <w:shd w:val="clear" w:color="auto" w:fill="auto"/>
            <w:vAlign w:val="bottom"/>
          </w:tcPr>
          <w:p w:rsidR="005F19B1" w:rsidRPr="005F19B1" w:rsidRDefault="005F19B1" w:rsidP="005F19B1">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F19B1">
              <w:rPr>
                <w:spacing w:val="4"/>
                <w:w w:val="103"/>
                <w:sz w:val="17"/>
                <w:szCs w:val="24"/>
                <w:lang w:val="fr-FR"/>
              </w:rPr>
              <w:t>2 383</w:t>
            </w:r>
          </w:p>
        </w:tc>
        <w:tc>
          <w:tcPr>
            <w:tcW w:w="850" w:type="dxa"/>
            <w:shd w:val="clear" w:color="auto" w:fill="auto"/>
            <w:vAlign w:val="bottom"/>
          </w:tcPr>
          <w:p w:rsidR="005F19B1" w:rsidRPr="005F19B1" w:rsidRDefault="005F19B1" w:rsidP="005F19B1">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F19B1">
              <w:rPr>
                <w:spacing w:val="4"/>
                <w:w w:val="103"/>
                <w:sz w:val="17"/>
                <w:szCs w:val="24"/>
                <w:lang w:val="fr-FR"/>
              </w:rPr>
              <w:t>59,32</w:t>
            </w:r>
          </w:p>
        </w:tc>
        <w:tc>
          <w:tcPr>
            <w:tcW w:w="920" w:type="dxa"/>
            <w:gridSpan w:val="2"/>
            <w:shd w:val="clear" w:color="auto" w:fill="auto"/>
            <w:vAlign w:val="bottom"/>
          </w:tcPr>
          <w:p w:rsidR="005F19B1" w:rsidRPr="005F19B1" w:rsidRDefault="005F19B1" w:rsidP="005F19B1">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F19B1">
              <w:rPr>
                <w:spacing w:val="4"/>
                <w:w w:val="103"/>
                <w:sz w:val="17"/>
                <w:szCs w:val="24"/>
                <w:lang w:val="fr-FR"/>
              </w:rPr>
              <w:t>1 634</w:t>
            </w:r>
          </w:p>
        </w:tc>
        <w:tc>
          <w:tcPr>
            <w:tcW w:w="810" w:type="dxa"/>
            <w:shd w:val="clear" w:color="auto" w:fill="auto"/>
            <w:vAlign w:val="bottom"/>
          </w:tcPr>
          <w:p w:rsidR="005F19B1" w:rsidRPr="005F19B1" w:rsidRDefault="005F19B1" w:rsidP="005F19B1">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F19B1">
              <w:rPr>
                <w:spacing w:val="4"/>
                <w:w w:val="103"/>
                <w:sz w:val="17"/>
                <w:szCs w:val="24"/>
                <w:lang w:val="fr-FR"/>
              </w:rPr>
              <w:t>40,68</w:t>
            </w:r>
          </w:p>
        </w:tc>
        <w:tc>
          <w:tcPr>
            <w:tcW w:w="952" w:type="dxa"/>
            <w:shd w:val="clear" w:color="auto" w:fill="auto"/>
            <w:vAlign w:val="bottom"/>
          </w:tcPr>
          <w:p w:rsidR="005F19B1" w:rsidRPr="005F19B1" w:rsidRDefault="005F19B1" w:rsidP="005F19B1">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F19B1">
              <w:rPr>
                <w:spacing w:val="4"/>
                <w:w w:val="103"/>
                <w:sz w:val="17"/>
                <w:szCs w:val="24"/>
                <w:lang w:val="fr-FR"/>
              </w:rPr>
              <w:t>4 017</w:t>
            </w:r>
          </w:p>
        </w:tc>
      </w:tr>
      <w:tr w:rsidR="00C57554" w:rsidRPr="005F19B1" w:rsidTr="00C57554">
        <w:tblPrEx>
          <w:tblCellMar>
            <w:top w:w="0" w:type="dxa"/>
            <w:bottom w:w="0" w:type="dxa"/>
          </w:tblCellMar>
        </w:tblPrEx>
        <w:tc>
          <w:tcPr>
            <w:tcW w:w="2840" w:type="dxa"/>
            <w:tcBorders>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40" w:after="81" w:line="210" w:lineRule="exact"/>
              <w:ind w:right="40"/>
              <w:rPr>
                <w:kern w:val="0"/>
                <w:sz w:val="17"/>
              </w:rPr>
            </w:pPr>
            <w:r w:rsidRPr="005F19B1">
              <w:rPr>
                <w:kern w:val="0"/>
                <w:sz w:val="17"/>
              </w:rPr>
              <w:t>Derecho/ciencias económicas</w:t>
            </w:r>
          </w:p>
        </w:tc>
        <w:tc>
          <w:tcPr>
            <w:tcW w:w="1375" w:type="dxa"/>
            <w:tcBorders>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40" w:after="81" w:line="210" w:lineRule="exact"/>
              <w:ind w:right="40"/>
              <w:rPr>
                <w:kern w:val="0"/>
                <w:sz w:val="17"/>
              </w:rPr>
            </w:pPr>
          </w:p>
        </w:tc>
        <w:tc>
          <w:tcPr>
            <w:tcW w:w="839" w:type="dxa"/>
            <w:tcBorders>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5F19B1">
              <w:rPr>
                <w:spacing w:val="4"/>
                <w:w w:val="103"/>
                <w:sz w:val="17"/>
                <w:szCs w:val="24"/>
                <w:lang w:val="fr-FR"/>
              </w:rPr>
              <w:t>1 341</w:t>
            </w:r>
          </w:p>
        </w:tc>
        <w:tc>
          <w:tcPr>
            <w:tcW w:w="850" w:type="dxa"/>
            <w:tcBorders>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5F19B1">
              <w:rPr>
                <w:spacing w:val="4"/>
                <w:w w:val="103"/>
                <w:sz w:val="17"/>
                <w:szCs w:val="24"/>
                <w:lang w:val="fr-FR"/>
              </w:rPr>
              <w:t>69,16</w:t>
            </w:r>
          </w:p>
        </w:tc>
        <w:tc>
          <w:tcPr>
            <w:tcW w:w="920" w:type="dxa"/>
            <w:gridSpan w:val="2"/>
            <w:tcBorders>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5F19B1">
              <w:rPr>
                <w:spacing w:val="4"/>
                <w:w w:val="103"/>
                <w:sz w:val="17"/>
                <w:szCs w:val="24"/>
                <w:lang w:val="fr-FR"/>
              </w:rPr>
              <w:t>598</w:t>
            </w:r>
          </w:p>
        </w:tc>
        <w:tc>
          <w:tcPr>
            <w:tcW w:w="810" w:type="dxa"/>
            <w:tcBorders>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5F19B1">
              <w:rPr>
                <w:spacing w:val="4"/>
                <w:w w:val="103"/>
                <w:sz w:val="17"/>
                <w:szCs w:val="24"/>
                <w:lang w:val="fr-FR"/>
              </w:rPr>
              <w:t>30,84</w:t>
            </w:r>
          </w:p>
        </w:tc>
        <w:tc>
          <w:tcPr>
            <w:tcW w:w="952" w:type="dxa"/>
            <w:tcBorders>
              <w:bottom w:val="single" w:sz="4" w:space="0" w:color="auto"/>
            </w:tcBorders>
            <w:shd w:val="clear" w:color="auto" w:fill="auto"/>
            <w:vAlign w:val="bottom"/>
          </w:tcPr>
          <w:p w:rsidR="004A2E38" w:rsidRPr="004A2E38" w:rsidRDefault="004A2E38" w:rsidP="00C57554">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Pr>
                <w:spacing w:val="4"/>
                <w:w w:val="103"/>
                <w:sz w:val="17"/>
                <w:szCs w:val="24"/>
                <w:lang w:val="fr-FR"/>
              </w:rPr>
              <w:t xml:space="preserve">1 </w:t>
            </w:r>
            <w:r w:rsidRPr="004A2E38">
              <w:rPr>
                <w:spacing w:val="4"/>
                <w:w w:val="103"/>
                <w:sz w:val="17"/>
                <w:szCs w:val="24"/>
                <w:lang w:val="fr-FR"/>
              </w:rPr>
              <w:t>939</w:t>
            </w:r>
          </w:p>
        </w:tc>
      </w:tr>
      <w:tr w:rsidR="00C57554" w:rsidRPr="00C57554" w:rsidTr="00C57554">
        <w:tblPrEx>
          <w:tblCellMar>
            <w:top w:w="0" w:type="dxa"/>
            <w:bottom w:w="0" w:type="dxa"/>
          </w:tblCellMar>
        </w:tblPrEx>
        <w:tc>
          <w:tcPr>
            <w:tcW w:w="2840" w:type="dxa"/>
            <w:tcBorders>
              <w:top w:val="single" w:sz="4" w:space="0" w:color="auto"/>
              <w:bottom w:val="single" w:sz="4" w:space="0" w:color="auto"/>
            </w:tcBorders>
            <w:shd w:val="clear" w:color="auto" w:fill="auto"/>
            <w:vAlign w:val="bottom"/>
          </w:tcPr>
          <w:p w:rsidR="004A2E38" w:rsidRPr="00C57554" w:rsidRDefault="00C57554" w:rsidP="00C57554">
            <w:pPr>
              <w:tabs>
                <w:tab w:val="left" w:pos="288"/>
                <w:tab w:val="left" w:pos="576"/>
                <w:tab w:val="left" w:pos="864"/>
                <w:tab w:val="left" w:pos="1152"/>
              </w:tabs>
              <w:spacing w:before="81" w:after="81" w:line="210" w:lineRule="exact"/>
              <w:ind w:right="40"/>
              <w:rPr>
                <w:b/>
                <w:kern w:val="0"/>
                <w:sz w:val="17"/>
              </w:rPr>
            </w:pPr>
            <w:r>
              <w:rPr>
                <w:b/>
                <w:kern w:val="0"/>
                <w:sz w:val="17"/>
              </w:rPr>
              <w:tab/>
            </w:r>
            <w:r w:rsidR="004A2E38" w:rsidRPr="00C57554">
              <w:rPr>
                <w:b/>
                <w:kern w:val="0"/>
                <w:sz w:val="17"/>
              </w:rPr>
              <w:t>Subtotal UOB</w:t>
            </w:r>
          </w:p>
        </w:tc>
        <w:tc>
          <w:tcPr>
            <w:tcW w:w="1375" w:type="dxa"/>
            <w:tcBorders>
              <w:top w:val="single" w:sz="4" w:space="0" w:color="auto"/>
              <w:bottom w:val="single" w:sz="4" w:space="0" w:color="auto"/>
            </w:tcBorders>
            <w:shd w:val="clear" w:color="auto" w:fill="auto"/>
            <w:vAlign w:val="bottom"/>
          </w:tcPr>
          <w:p w:rsidR="004A2E38" w:rsidRPr="00C57554" w:rsidRDefault="004A2E38" w:rsidP="00C57554">
            <w:pPr>
              <w:tabs>
                <w:tab w:val="left" w:pos="288"/>
                <w:tab w:val="left" w:pos="576"/>
                <w:tab w:val="left" w:pos="864"/>
                <w:tab w:val="left" w:pos="1152"/>
              </w:tabs>
              <w:spacing w:before="81" w:after="81" w:line="210" w:lineRule="exact"/>
              <w:ind w:right="40"/>
              <w:rPr>
                <w:b/>
                <w:kern w:val="0"/>
                <w:sz w:val="17"/>
              </w:rPr>
            </w:pPr>
          </w:p>
        </w:tc>
        <w:tc>
          <w:tcPr>
            <w:tcW w:w="839"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C57554">
              <w:rPr>
                <w:b/>
                <w:spacing w:val="4"/>
                <w:w w:val="103"/>
                <w:sz w:val="17"/>
                <w:szCs w:val="24"/>
                <w:lang w:val="fr-FR"/>
              </w:rPr>
              <w:t>3 724</w:t>
            </w:r>
          </w:p>
        </w:tc>
        <w:tc>
          <w:tcPr>
            <w:tcW w:w="850"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p>
        </w:tc>
        <w:tc>
          <w:tcPr>
            <w:tcW w:w="920" w:type="dxa"/>
            <w:gridSpan w:val="2"/>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C57554">
              <w:rPr>
                <w:b/>
                <w:spacing w:val="4"/>
                <w:w w:val="103"/>
                <w:sz w:val="17"/>
                <w:szCs w:val="24"/>
                <w:lang w:val="fr-FR"/>
              </w:rPr>
              <w:t>2 232</w:t>
            </w:r>
          </w:p>
        </w:tc>
        <w:tc>
          <w:tcPr>
            <w:tcW w:w="810"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p>
        </w:tc>
        <w:tc>
          <w:tcPr>
            <w:tcW w:w="952"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247" w:right="40"/>
              <w:jc w:val="right"/>
              <w:rPr>
                <w:b/>
                <w:spacing w:val="4"/>
                <w:w w:val="103"/>
                <w:sz w:val="17"/>
                <w:szCs w:val="24"/>
                <w:lang w:val="fr-FR"/>
              </w:rPr>
            </w:pPr>
            <w:r w:rsidRPr="00C57554">
              <w:rPr>
                <w:b/>
                <w:spacing w:val="4"/>
                <w:w w:val="103"/>
                <w:sz w:val="17"/>
                <w:szCs w:val="24"/>
                <w:lang w:val="fr-FR"/>
              </w:rPr>
              <w:t>5 956</w:t>
            </w:r>
          </w:p>
        </w:tc>
      </w:tr>
      <w:tr w:rsidR="00C57554" w:rsidRPr="005F19B1" w:rsidTr="00C57554">
        <w:tblPrEx>
          <w:tblCellMar>
            <w:top w:w="0" w:type="dxa"/>
            <w:bottom w:w="0" w:type="dxa"/>
          </w:tblCellMar>
        </w:tblPrEx>
        <w:tc>
          <w:tcPr>
            <w:tcW w:w="2840" w:type="dxa"/>
            <w:tcBorders>
              <w:top w:val="single" w:sz="4" w:space="0" w:color="auto"/>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81" w:after="81" w:line="210" w:lineRule="exact"/>
              <w:ind w:right="40"/>
              <w:rPr>
                <w:kern w:val="0"/>
                <w:sz w:val="17"/>
              </w:rPr>
            </w:pPr>
            <w:r w:rsidRPr="005F19B1">
              <w:rPr>
                <w:kern w:val="0"/>
                <w:sz w:val="17"/>
              </w:rPr>
              <w:t>Facultad de medicina</w:t>
            </w:r>
          </w:p>
        </w:tc>
        <w:tc>
          <w:tcPr>
            <w:tcW w:w="1375" w:type="dxa"/>
            <w:tcBorders>
              <w:top w:val="single" w:sz="4" w:space="0" w:color="auto"/>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81" w:after="81" w:line="210" w:lineRule="exact"/>
              <w:ind w:right="40"/>
              <w:rPr>
                <w:kern w:val="0"/>
                <w:sz w:val="17"/>
              </w:rPr>
            </w:pPr>
            <w:r w:rsidRPr="005F19B1">
              <w:rPr>
                <w:kern w:val="0"/>
                <w:sz w:val="17"/>
              </w:rPr>
              <w:t>Estuaire Owendo</w:t>
            </w:r>
          </w:p>
        </w:tc>
        <w:tc>
          <w:tcPr>
            <w:tcW w:w="839" w:type="dxa"/>
            <w:tcBorders>
              <w:top w:val="single" w:sz="4" w:space="0" w:color="auto"/>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spacing w:val="4"/>
                <w:w w:val="103"/>
                <w:sz w:val="17"/>
                <w:szCs w:val="24"/>
                <w:lang w:val="fr-FR"/>
              </w:rPr>
            </w:pPr>
            <w:r w:rsidRPr="005F19B1">
              <w:rPr>
                <w:spacing w:val="4"/>
                <w:w w:val="103"/>
                <w:sz w:val="17"/>
                <w:szCs w:val="24"/>
                <w:lang w:val="fr-FR"/>
              </w:rPr>
              <w:t>489</w:t>
            </w:r>
          </w:p>
        </w:tc>
        <w:tc>
          <w:tcPr>
            <w:tcW w:w="850" w:type="dxa"/>
            <w:tcBorders>
              <w:top w:val="single" w:sz="4" w:space="0" w:color="auto"/>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spacing w:val="4"/>
                <w:w w:val="103"/>
                <w:sz w:val="17"/>
                <w:szCs w:val="24"/>
                <w:lang w:val="fr-FR"/>
              </w:rPr>
            </w:pPr>
            <w:r w:rsidRPr="005F19B1">
              <w:rPr>
                <w:spacing w:val="4"/>
                <w:w w:val="103"/>
                <w:sz w:val="17"/>
                <w:szCs w:val="24"/>
                <w:lang w:val="fr-FR"/>
              </w:rPr>
              <w:t>57,6</w:t>
            </w:r>
          </w:p>
        </w:tc>
        <w:tc>
          <w:tcPr>
            <w:tcW w:w="920" w:type="dxa"/>
            <w:gridSpan w:val="2"/>
            <w:tcBorders>
              <w:top w:val="single" w:sz="4" w:space="0" w:color="auto"/>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spacing w:val="4"/>
                <w:w w:val="103"/>
                <w:sz w:val="17"/>
                <w:szCs w:val="24"/>
                <w:lang w:val="fr-FR"/>
              </w:rPr>
            </w:pPr>
            <w:r w:rsidRPr="005F19B1">
              <w:rPr>
                <w:spacing w:val="4"/>
                <w:w w:val="103"/>
                <w:sz w:val="17"/>
                <w:szCs w:val="24"/>
                <w:lang w:val="fr-FR"/>
              </w:rPr>
              <w:t>368</w:t>
            </w:r>
          </w:p>
        </w:tc>
        <w:tc>
          <w:tcPr>
            <w:tcW w:w="810" w:type="dxa"/>
            <w:tcBorders>
              <w:top w:val="single" w:sz="4" w:space="0" w:color="auto"/>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spacing w:val="4"/>
                <w:w w:val="103"/>
                <w:sz w:val="17"/>
                <w:szCs w:val="24"/>
                <w:lang w:val="fr-FR"/>
              </w:rPr>
            </w:pPr>
            <w:r w:rsidRPr="005F19B1">
              <w:rPr>
                <w:spacing w:val="4"/>
                <w:w w:val="103"/>
                <w:sz w:val="17"/>
                <w:szCs w:val="24"/>
                <w:lang w:val="fr-FR"/>
              </w:rPr>
              <w:t>42,94</w:t>
            </w:r>
          </w:p>
        </w:tc>
        <w:tc>
          <w:tcPr>
            <w:tcW w:w="952" w:type="dxa"/>
            <w:tcBorders>
              <w:top w:val="single" w:sz="4" w:space="0" w:color="auto"/>
              <w:bottom w:val="single" w:sz="4" w:space="0" w:color="auto"/>
            </w:tcBorders>
            <w:shd w:val="clear" w:color="auto" w:fill="auto"/>
            <w:vAlign w:val="bottom"/>
          </w:tcPr>
          <w:p w:rsidR="004A2E38" w:rsidRPr="005F19B1"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spacing w:val="4"/>
                <w:w w:val="103"/>
                <w:sz w:val="17"/>
                <w:szCs w:val="24"/>
                <w:lang w:val="fr-FR"/>
              </w:rPr>
            </w:pPr>
            <w:r w:rsidRPr="005F19B1">
              <w:rPr>
                <w:spacing w:val="4"/>
                <w:w w:val="103"/>
                <w:sz w:val="17"/>
                <w:szCs w:val="24"/>
                <w:lang w:val="fr-FR"/>
              </w:rPr>
              <w:t>857</w:t>
            </w:r>
          </w:p>
        </w:tc>
      </w:tr>
      <w:tr w:rsidR="00C57554" w:rsidRPr="00C57554" w:rsidTr="00C57554">
        <w:tblPrEx>
          <w:tblCellMar>
            <w:top w:w="0" w:type="dxa"/>
            <w:bottom w:w="0" w:type="dxa"/>
          </w:tblCellMar>
        </w:tblPrEx>
        <w:tc>
          <w:tcPr>
            <w:tcW w:w="2840" w:type="dxa"/>
            <w:tcBorders>
              <w:top w:val="single" w:sz="4" w:space="0" w:color="auto"/>
              <w:bottom w:val="single" w:sz="4" w:space="0" w:color="auto"/>
            </w:tcBorders>
            <w:shd w:val="clear" w:color="auto" w:fill="auto"/>
            <w:vAlign w:val="bottom"/>
          </w:tcPr>
          <w:p w:rsidR="004A2E38" w:rsidRPr="00C57554" w:rsidRDefault="00C57554" w:rsidP="00C57554">
            <w:pPr>
              <w:tabs>
                <w:tab w:val="left" w:pos="288"/>
                <w:tab w:val="left" w:pos="576"/>
                <w:tab w:val="left" w:pos="864"/>
                <w:tab w:val="left" w:pos="1152"/>
              </w:tabs>
              <w:spacing w:before="81" w:after="81" w:line="210" w:lineRule="exact"/>
              <w:ind w:left="288" w:right="43" w:hanging="288"/>
              <w:rPr>
                <w:b/>
                <w:kern w:val="0"/>
                <w:sz w:val="17"/>
              </w:rPr>
            </w:pPr>
            <w:r>
              <w:rPr>
                <w:b/>
                <w:kern w:val="0"/>
                <w:sz w:val="17"/>
              </w:rPr>
              <w:tab/>
            </w:r>
            <w:r w:rsidR="004A2E38" w:rsidRPr="00C57554">
              <w:rPr>
                <w:b/>
                <w:kern w:val="0"/>
                <w:sz w:val="17"/>
              </w:rPr>
              <w:t>Subtotal Universidad de ciencias y salud</w:t>
            </w:r>
          </w:p>
        </w:tc>
        <w:tc>
          <w:tcPr>
            <w:tcW w:w="1375" w:type="dxa"/>
            <w:tcBorders>
              <w:top w:val="single" w:sz="4" w:space="0" w:color="auto"/>
              <w:bottom w:val="single" w:sz="4" w:space="0" w:color="auto"/>
            </w:tcBorders>
            <w:shd w:val="clear" w:color="auto" w:fill="auto"/>
            <w:vAlign w:val="bottom"/>
          </w:tcPr>
          <w:p w:rsidR="004A2E38" w:rsidRPr="00C57554" w:rsidRDefault="004A2E38" w:rsidP="00C57554">
            <w:pPr>
              <w:tabs>
                <w:tab w:val="left" w:pos="288"/>
                <w:tab w:val="left" w:pos="576"/>
                <w:tab w:val="left" w:pos="864"/>
                <w:tab w:val="left" w:pos="1152"/>
              </w:tabs>
              <w:spacing w:before="81" w:after="81" w:line="210" w:lineRule="exact"/>
              <w:ind w:right="40"/>
              <w:rPr>
                <w:b/>
                <w:kern w:val="0"/>
                <w:sz w:val="17"/>
              </w:rPr>
            </w:pPr>
          </w:p>
        </w:tc>
        <w:tc>
          <w:tcPr>
            <w:tcW w:w="839"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C57554">
              <w:rPr>
                <w:b/>
                <w:spacing w:val="4"/>
                <w:w w:val="103"/>
                <w:sz w:val="17"/>
                <w:szCs w:val="24"/>
                <w:lang w:val="fr-FR"/>
              </w:rPr>
              <w:t>489</w:t>
            </w:r>
          </w:p>
        </w:tc>
        <w:tc>
          <w:tcPr>
            <w:tcW w:w="850"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p>
        </w:tc>
        <w:tc>
          <w:tcPr>
            <w:tcW w:w="920" w:type="dxa"/>
            <w:gridSpan w:val="2"/>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C57554">
              <w:rPr>
                <w:b/>
                <w:spacing w:val="4"/>
                <w:w w:val="103"/>
                <w:sz w:val="17"/>
                <w:szCs w:val="24"/>
                <w:lang w:val="fr-FR"/>
              </w:rPr>
              <w:t>368</w:t>
            </w:r>
          </w:p>
        </w:tc>
        <w:tc>
          <w:tcPr>
            <w:tcW w:w="810"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p>
        </w:tc>
        <w:tc>
          <w:tcPr>
            <w:tcW w:w="952" w:type="dxa"/>
            <w:tcBorders>
              <w:top w:val="single" w:sz="4" w:space="0" w:color="auto"/>
              <w:bottom w:val="single" w:sz="4" w:space="0" w:color="auto"/>
            </w:tcBorders>
            <w:shd w:val="clear" w:color="auto" w:fill="auto"/>
            <w:vAlign w:val="bottom"/>
          </w:tcPr>
          <w:p w:rsidR="004A2E38" w:rsidRPr="00C57554" w:rsidRDefault="004A2E38" w:rsidP="00C57554">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C57554">
              <w:rPr>
                <w:b/>
                <w:spacing w:val="4"/>
                <w:w w:val="103"/>
                <w:sz w:val="17"/>
                <w:szCs w:val="24"/>
                <w:lang w:val="fr-FR"/>
              </w:rPr>
              <w:t>857</w:t>
            </w:r>
          </w:p>
        </w:tc>
      </w:tr>
      <w:tr w:rsidR="00C57554" w:rsidRPr="005F19B1" w:rsidTr="00C57554">
        <w:tblPrEx>
          <w:tblCellMar>
            <w:top w:w="0" w:type="dxa"/>
            <w:bottom w:w="0" w:type="dxa"/>
          </w:tblCellMar>
        </w:tblPrEx>
        <w:tc>
          <w:tcPr>
            <w:tcW w:w="2840" w:type="dxa"/>
            <w:tcBorders>
              <w:top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81" w:after="40" w:line="210" w:lineRule="exact"/>
              <w:ind w:right="40"/>
              <w:rPr>
                <w:kern w:val="0"/>
                <w:sz w:val="17"/>
              </w:rPr>
            </w:pPr>
            <w:r w:rsidRPr="005F19B1">
              <w:rPr>
                <w:kern w:val="0"/>
                <w:sz w:val="17"/>
              </w:rPr>
              <w:t>Escuela politécnica de Masuku</w:t>
            </w:r>
          </w:p>
        </w:tc>
        <w:tc>
          <w:tcPr>
            <w:tcW w:w="1375" w:type="dxa"/>
            <w:tcBorders>
              <w:top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81" w:after="40" w:line="210" w:lineRule="exact"/>
              <w:ind w:right="40"/>
              <w:rPr>
                <w:kern w:val="0"/>
                <w:sz w:val="17"/>
              </w:rPr>
            </w:pPr>
            <w:r w:rsidRPr="005F19B1">
              <w:rPr>
                <w:kern w:val="0"/>
                <w:sz w:val="17"/>
              </w:rPr>
              <w:t>Haute-Ogooué</w:t>
            </w:r>
          </w:p>
        </w:tc>
        <w:tc>
          <w:tcPr>
            <w:tcW w:w="839" w:type="dxa"/>
            <w:tcBorders>
              <w:top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81" w:after="40" w:line="210" w:lineRule="exact"/>
              <w:ind w:right="40"/>
              <w:jc w:val="right"/>
              <w:rPr>
                <w:kern w:val="0"/>
                <w:sz w:val="17"/>
                <w:szCs w:val="24"/>
                <w:lang w:val="fr-FR"/>
              </w:rPr>
            </w:pPr>
            <w:r w:rsidRPr="005F19B1">
              <w:rPr>
                <w:kern w:val="0"/>
                <w:sz w:val="17"/>
                <w:szCs w:val="24"/>
                <w:lang w:val="fr-FR"/>
              </w:rPr>
              <w:t>161</w:t>
            </w:r>
          </w:p>
        </w:tc>
        <w:tc>
          <w:tcPr>
            <w:tcW w:w="850" w:type="dxa"/>
            <w:tcBorders>
              <w:top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81" w:after="40" w:line="210" w:lineRule="exact"/>
              <w:ind w:right="40"/>
              <w:jc w:val="right"/>
              <w:rPr>
                <w:kern w:val="0"/>
                <w:sz w:val="17"/>
                <w:szCs w:val="24"/>
                <w:lang w:val="fr-FR"/>
              </w:rPr>
            </w:pPr>
            <w:r w:rsidRPr="005F19B1">
              <w:rPr>
                <w:kern w:val="0"/>
                <w:sz w:val="17"/>
                <w:szCs w:val="24"/>
                <w:lang w:val="fr-FR"/>
              </w:rPr>
              <w:t>85,64</w:t>
            </w:r>
          </w:p>
        </w:tc>
        <w:tc>
          <w:tcPr>
            <w:tcW w:w="920" w:type="dxa"/>
            <w:gridSpan w:val="2"/>
            <w:tcBorders>
              <w:top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81" w:after="40" w:line="210" w:lineRule="exact"/>
              <w:ind w:right="40"/>
              <w:jc w:val="right"/>
              <w:rPr>
                <w:kern w:val="0"/>
                <w:sz w:val="17"/>
                <w:szCs w:val="24"/>
                <w:lang w:val="fr-FR"/>
              </w:rPr>
            </w:pPr>
            <w:r w:rsidRPr="005F19B1">
              <w:rPr>
                <w:kern w:val="0"/>
                <w:sz w:val="17"/>
                <w:szCs w:val="24"/>
                <w:lang w:val="fr-FR"/>
              </w:rPr>
              <w:t>27</w:t>
            </w:r>
          </w:p>
        </w:tc>
        <w:tc>
          <w:tcPr>
            <w:tcW w:w="810" w:type="dxa"/>
            <w:tcBorders>
              <w:top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81" w:after="40" w:line="210" w:lineRule="exact"/>
              <w:ind w:right="40"/>
              <w:jc w:val="right"/>
              <w:rPr>
                <w:kern w:val="0"/>
                <w:sz w:val="17"/>
                <w:szCs w:val="24"/>
                <w:lang w:val="fr-FR"/>
              </w:rPr>
            </w:pPr>
            <w:r w:rsidRPr="005F19B1">
              <w:rPr>
                <w:kern w:val="0"/>
                <w:sz w:val="17"/>
                <w:szCs w:val="24"/>
                <w:lang w:val="fr-FR"/>
              </w:rPr>
              <w:t>14,36</w:t>
            </w:r>
          </w:p>
        </w:tc>
        <w:tc>
          <w:tcPr>
            <w:tcW w:w="952" w:type="dxa"/>
            <w:tcBorders>
              <w:top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81" w:after="40" w:line="210" w:lineRule="exact"/>
              <w:ind w:left="113" w:right="40"/>
              <w:jc w:val="right"/>
              <w:rPr>
                <w:kern w:val="0"/>
                <w:sz w:val="17"/>
                <w:szCs w:val="24"/>
                <w:lang w:val="fr-FR"/>
              </w:rPr>
            </w:pPr>
            <w:r w:rsidRPr="005F19B1">
              <w:rPr>
                <w:kern w:val="0"/>
                <w:sz w:val="17"/>
                <w:szCs w:val="24"/>
                <w:lang w:val="fr-FR"/>
              </w:rPr>
              <w:t>188</w:t>
            </w:r>
          </w:p>
        </w:tc>
      </w:tr>
      <w:tr w:rsidR="00C57554" w:rsidRPr="005F19B1" w:rsidTr="00C57554">
        <w:tblPrEx>
          <w:tblCellMar>
            <w:top w:w="0" w:type="dxa"/>
            <w:bottom w:w="0" w:type="dxa"/>
          </w:tblCellMar>
        </w:tblPrEx>
        <w:tc>
          <w:tcPr>
            <w:tcW w:w="2840" w:type="dxa"/>
            <w:shd w:val="clear" w:color="auto" w:fill="auto"/>
            <w:vAlign w:val="bottom"/>
          </w:tcPr>
          <w:p w:rsidR="004A2E38" w:rsidRPr="005F19B1" w:rsidRDefault="004A2E38" w:rsidP="005F19B1">
            <w:pPr>
              <w:tabs>
                <w:tab w:val="left" w:pos="288"/>
                <w:tab w:val="left" w:pos="576"/>
                <w:tab w:val="left" w:pos="864"/>
                <w:tab w:val="left" w:pos="1152"/>
              </w:tabs>
              <w:spacing w:before="40" w:after="40" w:line="210" w:lineRule="exact"/>
              <w:ind w:right="40"/>
              <w:rPr>
                <w:kern w:val="0"/>
                <w:sz w:val="17"/>
              </w:rPr>
            </w:pPr>
            <w:r w:rsidRPr="005F19B1">
              <w:rPr>
                <w:kern w:val="0"/>
                <w:sz w:val="17"/>
              </w:rPr>
              <w:t>Facultad de ciencias</w:t>
            </w:r>
          </w:p>
        </w:tc>
        <w:tc>
          <w:tcPr>
            <w:tcW w:w="1375" w:type="dxa"/>
            <w:shd w:val="clear" w:color="auto" w:fill="auto"/>
            <w:vAlign w:val="bottom"/>
          </w:tcPr>
          <w:p w:rsidR="004A2E38" w:rsidRPr="005F19B1" w:rsidRDefault="004A2E38" w:rsidP="004A2E38">
            <w:pPr>
              <w:tabs>
                <w:tab w:val="left" w:pos="288"/>
                <w:tab w:val="left" w:pos="576"/>
                <w:tab w:val="left" w:pos="864"/>
                <w:tab w:val="left" w:pos="1152"/>
              </w:tabs>
              <w:spacing w:before="40" w:after="40" w:line="210" w:lineRule="exact"/>
              <w:ind w:right="40"/>
              <w:rPr>
                <w:kern w:val="0"/>
                <w:sz w:val="17"/>
              </w:rPr>
            </w:pPr>
          </w:p>
        </w:tc>
        <w:tc>
          <w:tcPr>
            <w:tcW w:w="839" w:type="dxa"/>
            <w:shd w:val="clear" w:color="auto" w:fill="auto"/>
            <w:vAlign w:val="bottom"/>
          </w:tcPr>
          <w:p w:rsidR="004A2E38" w:rsidRPr="005F19B1" w:rsidRDefault="004A2E38" w:rsidP="005F19B1">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5F19B1">
              <w:rPr>
                <w:kern w:val="0"/>
                <w:sz w:val="17"/>
                <w:szCs w:val="24"/>
                <w:lang w:val="fr-FR"/>
              </w:rPr>
              <w:t>511</w:t>
            </w:r>
          </w:p>
        </w:tc>
        <w:tc>
          <w:tcPr>
            <w:tcW w:w="850" w:type="dxa"/>
            <w:shd w:val="clear" w:color="auto" w:fill="auto"/>
            <w:vAlign w:val="bottom"/>
          </w:tcPr>
          <w:p w:rsidR="004A2E38" w:rsidRPr="005F19B1" w:rsidRDefault="004A2E38" w:rsidP="005F19B1">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5F19B1">
              <w:rPr>
                <w:kern w:val="0"/>
                <w:sz w:val="17"/>
                <w:szCs w:val="24"/>
                <w:lang w:val="fr-FR"/>
              </w:rPr>
              <w:t>84,88</w:t>
            </w:r>
          </w:p>
        </w:tc>
        <w:tc>
          <w:tcPr>
            <w:tcW w:w="920" w:type="dxa"/>
            <w:gridSpan w:val="2"/>
            <w:shd w:val="clear" w:color="auto" w:fill="auto"/>
            <w:vAlign w:val="bottom"/>
          </w:tcPr>
          <w:p w:rsidR="004A2E38" w:rsidRPr="005F19B1" w:rsidRDefault="004A2E38" w:rsidP="005F19B1">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5F19B1">
              <w:rPr>
                <w:kern w:val="0"/>
                <w:sz w:val="17"/>
                <w:szCs w:val="24"/>
                <w:lang w:val="fr-FR"/>
              </w:rPr>
              <w:t>91</w:t>
            </w:r>
          </w:p>
        </w:tc>
        <w:tc>
          <w:tcPr>
            <w:tcW w:w="810" w:type="dxa"/>
            <w:shd w:val="clear" w:color="auto" w:fill="auto"/>
            <w:vAlign w:val="bottom"/>
          </w:tcPr>
          <w:p w:rsidR="004A2E38" w:rsidRPr="005F19B1" w:rsidRDefault="004A2E38" w:rsidP="005F19B1">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5F19B1">
              <w:rPr>
                <w:kern w:val="0"/>
                <w:sz w:val="17"/>
                <w:szCs w:val="24"/>
                <w:lang w:val="fr-FR"/>
              </w:rPr>
              <w:t>15,12</w:t>
            </w:r>
          </w:p>
        </w:tc>
        <w:tc>
          <w:tcPr>
            <w:tcW w:w="952" w:type="dxa"/>
            <w:shd w:val="clear" w:color="auto" w:fill="auto"/>
            <w:vAlign w:val="bottom"/>
          </w:tcPr>
          <w:p w:rsidR="004A2E38" w:rsidRPr="005F19B1" w:rsidRDefault="004A2E38" w:rsidP="005F19B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5F19B1">
              <w:rPr>
                <w:kern w:val="0"/>
                <w:sz w:val="17"/>
                <w:szCs w:val="24"/>
                <w:lang w:val="fr-FR"/>
              </w:rPr>
              <w:t>602</w:t>
            </w:r>
          </w:p>
        </w:tc>
      </w:tr>
      <w:tr w:rsidR="00C57554" w:rsidRPr="005F19B1" w:rsidTr="00C57554">
        <w:tblPrEx>
          <w:tblCellMar>
            <w:top w:w="0" w:type="dxa"/>
            <w:bottom w:w="0" w:type="dxa"/>
          </w:tblCellMar>
        </w:tblPrEx>
        <w:tc>
          <w:tcPr>
            <w:tcW w:w="2840" w:type="dxa"/>
            <w:tcBorders>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40" w:after="81" w:line="210" w:lineRule="exact"/>
              <w:ind w:right="40"/>
              <w:rPr>
                <w:kern w:val="0"/>
                <w:sz w:val="17"/>
              </w:rPr>
            </w:pPr>
            <w:r w:rsidRPr="005F19B1">
              <w:rPr>
                <w:kern w:val="0"/>
                <w:sz w:val="17"/>
              </w:rPr>
              <w:t>Instituto superior de agronomía y bioquímica</w:t>
            </w:r>
          </w:p>
        </w:tc>
        <w:tc>
          <w:tcPr>
            <w:tcW w:w="1375" w:type="dxa"/>
            <w:tcBorders>
              <w:bottom w:val="single" w:sz="4" w:space="0" w:color="auto"/>
            </w:tcBorders>
            <w:shd w:val="clear" w:color="auto" w:fill="auto"/>
            <w:vAlign w:val="bottom"/>
          </w:tcPr>
          <w:p w:rsidR="004A2E38" w:rsidRPr="005F19B1" w:rsidRDefault="004A2E38" w:rsidP="00C57554">
            <w:pPr>
              <w:tabs>
                <w:tab w:val="left" w:pos="288"/>
                <w:tab w:val="left" w:pos="576"/>
                <w:tab w:val="left" w:pos="864"/>
                <w:tab w:val="left" w:pos="1152"/>
              </w:tabs>
              <w:spacing w:before="40" w:after="81" w:line="210" w:lineRule="exact"/>
              <w:ind w:right="40"/>
              <w:rPr>
                <w:kern w:val="0"/>
                <w:sz w:val="17"/>
              </w:rPr>
            </w:pPr>
          </w:p>
        </w:tc>
        <w:tc>
          <w:tcPr>
            <w:tcW w:w="839" w:type="dxa"/>
            <w:tcBorders>
              <w:bottom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40" w:after="81" w:line="210" w:lineRule="exact"/>
              <w:ind w:right="40"/>
              <w:jc w:val="right"/>
              <w:rPr>
                <w:kern w:val="0"/>
                <w:sz w:val="17"/>
                <w:szCs w:val="24"/>
                <w:lang w:val="fr-FR"/>
              </w:rPr>
            </w:pPr>
            <w:r w:rsidRPr="005F19B1">
              <w:rPr>
                <w:kern w:val="0"/>
                <w:sz w:val="17"/>
                <w:szCs w:val="24"/>
                <w:lang w:val="fr-FR"/>
              </w:rPr>
              <w:t>85</w:t>
            </w:r>
          </w:p>
        </w:tc>
        <w:tc>
          <w:tcPr>
            <w:tcW w:w="850" w:type="dxa"/>
            <w:tcBorders>
              <w:bottom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40" w:after="81" w:line="210" w:lineRule="exact"/>
              <w:ind w:right="40"/>
              <w:jc w:val="right"/>
              <w:rPr>
                <w:kern w:val="0"/>
                <w:sz w:val="17"/>
                <w:szCs w:val="24"/>
                <w:lang w:val="fr-FR"/>
              </w:rPr>
            </w:pPr>
            <w:r w:rsidRPr="005F19B1">
              <w:rPr>
                <w:kern w:val="0"/>
                <w:sz w:val="17"/>
                <w:szCs w:val="24"/>
                <w:lang w:val="fr-FR"/>
              </w:rPr>
              <w:t>76,58</w:t>
            </w:r>
          </w:p>
        </w:tc>
        <w:tc>
          <w:tcPr>
            <w:tcW w:w="920" w:type="dxa"/>
            <w:gridSpan w:val="2"/>
            <w:tcBorders>
              <w:bottom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40" w:after="81" w:line="210" w:lineRule="exact"/>
              <w:ind w:right="40"/>
              <w:jc w:val="right"/>
              <w:rPr>
                <w:kern w:val="0"/>
                <w:sz w:val="17"/>
                <w:szCs w:val="24"/>
                <w:lang w:val="fr-FR"/>
              </w:rPr>
            </w:pPr>
            <w:r w:rsidRPr="005F19B1">
              <w:rPr>
                <w:kern w:val="0"/>
                <w:sz w:val="17"/>
                <w:szCs w:val="24"/>
                <w:lang w:val="fr-FR"/>
              </w:rPr>
              <w:t>26</w:t>
            </w:r>
          </w:p>
        </w:tc>
        <w:tc>
          <w:tcPr>
            <w:tcW w:w="810" w:type="dxa"/>
            <w:tcBorders>
              <w:bottom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40" w:after="81" w:line="210" w:lineRule="exact"/>
              <w:ind w:right="40"/>
              <w:jc w:val="right"/>
              <w:rPr>
                <w:kern w:val="0"/>
                <w:sz w:val="17"/>
                <w:szCs w:val="24"/>
                <w:lang w:val="fr-FR"/>
              </w:rPr>
            </w:pPr>
            <w:r w:rsidRPr="005F19B1">
              <w:rPr>
                <w:kern w:val="0"/>
                <w:sz w:val="17"/>
                <w:szCs w:val="24"/>
                <w:lang w:val="fr-FR"/>
              </w:rPr>
              <w:t>23,42</w:t>
            </w:r>
          </w:p>
        </w:tc>
        <w:tc>
          <w:tcPr>
            <w:tcW w:w="952" w:type="dxa"/>
            <w:tcBorders>
              <w:bottom w:val="single" w:sz="4" w:space="0" w:color="auto"/>
            </w:tcBorders>
            <w:shd w:val="clear" w:color="auto" w:fill="auto"/>
            <w:vAlign w:val="bottom"/>
          </w:tcPr>
          <w:p w:rsidR="004A2E38" w:rsidRPr="005F19B1" w:rsidRDefault="004A2E38" w:rsidP="00C5755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5F19B1">
              <w:rPr>
                <w:kern w:val="0"/>
                <w:sz w:val="17"/>
                <w:szCs w:val="24"/>
                <w:lang w:val="fr-FR"/>
              </w:rPr>
              <w:t>111</w:t>
            </w:r>
          </w:p>
        </w:tc>
      </w:tr>
      <w:tr w:rsidR="00C57554" w:rsidRPr="00C57554" w:rsidTr="00C57554">
        <w:tblPrEx>
          <w:tblCellMar>
            <w:top w:w="0" w:type="dxa"/>
            <w:bottom w:w="0" w:type="dxa"/>
          </w:tblCellMar>
        </w:tblPrEx>
        <w:tc>
          <w:tcPr>
            <w:tcW w:w="2840" w:type="dxa"/>
            <w:tcBorders>
              <w:top w:val="single" w:sz="4" w:space="0" w:color="auto"/>
              <w:bottom w:val="single" w:sz="4" w:space="0" w:color="auto"/>
            </w:tcBorders>
            <w:shd w:val="clear" w:color="auto" w:fill="auto"/>
            <w:vAlign w:val="bottom"/>
          </w:tcPr>
          <w:p w:rsidR="004A2E38" w:rsidRPr="00C57554" w:rsidRDefault="00C57554" w:rsidP="00C57554">
            <w:pPr>
              <w:tabs>
                <w:tab w:val="left" w:pos="288"/>
                <w:tab w:val="left" w:pos="576"/>
                <w:tab w:val="left" w:pos="864"/>
                <w:tab w:val="left" w:pos="1152"/>
              </w:tabs>
              <w:spacing w:before="81" w:after="81" w:line="210" w:lineRule="exact"/>
              <w:ind w:left="288" w:right="43" w:hanging="288"/>
              <w:rPr>
                <w:b/>
                <w:kern w:val="0"/>
                <w:sz w:val="17"/>
              </w:rPr>
            </w:pPr>
            <w:r>
              <w:rPr>
                <w:b/>
                <w:kern w:val="0"/>
                <w:sz w:val="17"/>
              </w:rPr>
              <w:tab/>
            </w:r>
            <w:r w:rsidR="004A2E38" w:rsidRPr="00C57554">
              <w:rPr>
                <w:b/>
                <w:kern w:val="0"/>
                <w:sz w:val="17"/>
              </w:rPr>
              <w:t>Subtotal Universidad científica y técnica de Masuku</w:t>
            </w:r>
          </w:p>
        </w:tc>
        <w:tc>
          <w:tcPr>
            <w:tcW w:w="1375" w:type="dxa"/>
            <w:tcBorders>
              <w:top w:val="single" w:sz="4" w:space="0" w:color="auto"/>
              <w:bottom w:val="single" w:sz="4" w:space="0" w:color="auto"/>
            </w:tcBorders>
            <w:shd w:val="clear" w:color="auto" w:fill="auto"/>
            <w:vAlign w:val="bottom"/>
          </w:tcPr>
          <w:p w:rsidR="004A2E38" w:rsidRPr="00C57554" w:rsidRDefault="004A2E38" w:rsidP="00C57554">
            <w:pPr>
              <w:tabs>
                <w:tab w:val="left" w:pos="288"/>
                <w:tab w:val="left" w:pos="576"/>
                <w:tab w:val="left" w:pos="864"/>
                <w:tab w:val="left" w:pos="1152"/>
              </w:tabs>
              <w:spacing w:before="81" w:after="81" w:line="210" w:lineRule="exact"/>
              <w:ind w:right="40"/>
              <w:rPr>
                <w:b/>
                <w:kern w:val="0"/>
                <w:sz w:val="17"/>
              </w:rPr>
            </w:pPr>
          </w:p>
        </w:tc>
        <w:tc>
          <w:tcPr>
            <w:tcW w:w="839" w:type="dxa"/>
            <w:tcBorders>
              <w:top w:val="single" w:sz="4" w:space="0" w:color="auto"/>
              <w:bottom w:val="single" w:sz="4" w:space="0" w:color="auto"/>
            </w:tcBorders>
            <w:shd w:val="clear" w:color="auto" w:fill="auto"/>
            <w:vAlign w:val="bottom"/>
          </w:tcPr>
          <w:p w:rsidR="004A2E38" w:rsidRPr="00C57554"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C57554">
              <w:rPr>
                <w:b/>
                <w:kern w:val="0"/>
                <w:sz w:val="17"/>
                <w:szCs w:val="24"/>
                <w:lang w:val="fr-FR"/>
              </w:rPr>
              <w:t>757</w:t>
            </w:r>
          </w:p>
        </w:tc>
        <w:tc>
          <w:tcPr>
            <w:tcW w:w="850" w:type="dxa"/>
            <w:tcBorders>
              <w:top w:val="single" w:sz="4" w:space="0" w:color="auto"/>
              <w:bottom w:val="single" w:sz="4" w:space="0" w:color="auto"/>
            </w:tcBorders>
            <w:shd w:val="clear" w:color="auto" w:fill="auto"/>
            <w:vAlign w:val="bottom"/>
          </w:tcPr>
          <w:p w:rsidR="004A2E38" w:rsidRPr="00C57554"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C57554">
              <w:rPr>
                <w:b/>
                <w:kern w:val="0"/>
                <w:sz w:val="17"/>
                <w:szCs w:val="24"/>
                <w:lang w:val="fr-FR"/>
              </w:rPr>
              <w:t>84,02</w:t>
            </w:r>
          </w:p>
        </w:tc>
        <w:tc>
          <w:tcPr>
            <w:tcW w:w="920" w:type="dxa"/>
            <w:gridSpan w:val="2"/>
            <w:tcBorders>
              <w:top w:val="single" w:sz="4" w:space="0" w:color="auto"/>
              <w:bottom w:val="single" w:sz="4" w:space="0" w:color="auto"/>
            </w:tcBorders>
            <w:shd w:val="clear" w:color="auto" w:fill="auto"/>
            <w:vAlign w:val="bottom"/>
          </w:tcPr>
          <w:p w:rsidR="004A2E38" w:rsidRPr="00C57554"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C57554">
              <w:rPr>
                <w:b/>
                <w:kern w:val="0"/>
                <w:sz w:val="17"/>
                <w:szCs w:val="24"/>
                <w:lang w:val="fr-FR"/>
              </w:rPr>
              <w:t>144</w:t>
            </w:r>
          </w:p>
        </w:tc>
        <w:tc>
          <w:tcPr>
            <w:tcW w:w="810" w:type="dxa"/>
            <w:tcBorders>
              <w:top w:val="single" w:sz="4" w:space="0" w:color="auto"/>
              <w:bottom w:val="single" w:sz="4" w:space="0" w:color="auto"/>
            </w:tcBorders>
            <w:shd w:val="clear" w:color="auto" w:fill="auto"/>
            <w:vAlign w:val="bottom"/>
          </w:tcPr>
          <w:p w:rsidR="004A2E38" w:rsidRPr="00C57554"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C57554">
              <w:rPr>
                <w:b/>
                <w:kern w:val="0"/>
                <w:sz w:val="17"/>
                <w:szCs w:val="24"/>
                <w:lang w:val="fr-FR"/>
              </w:rPr>
              <w:t>15,98</w:t>
            </w:r>
          </w:p>
        </w:tc>
        <w:tc>
          <w:tcPr>
            <w:tcW w:w="952" w:type="dxa"/>
            <w:tcBorders>
              <w:top w:val="single" w:sz="4" w:space="0" w:color="auto"/>
              <w:bottom w:val="single" w:sz="4" w:space="0" w:color="auto"/>
            </w:tcBorders>
            <w:shd w:val="clear" w:color="auto" w:fill="auto"/>
            <w:vAlign w:val="bottom"/>
          </w:tcPr>
          <w:p w:rsidR="004A2E38" w:rsidRPr="00C57554" w:rsidRDefault="004A2E38" w:rsidP="00C5755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57554">
              <w:rPr>
                <w:b/>
                <w:kern w:val="0"/>
                <w:sz w:val="17"/>
                <w:szCs w:val="24"/>
                <w:lang w:val="fr-FR"/>
              </w:rPr>
              <w:t>901</w:t>
            </w:r>
          </w:p>
        </w:tc>
      </w:tr>
      <w:tr w:rsidR="00C57554" w:rsidRPr="004A2E38" w:rsidTr="00C57554">
        <w:tblPrEx>
          <w:tblCellMar>
            <w:top w:w="0" w:type="dxa"/>
            <w:bottom w:w="0" w:type="dxa"/>
          </w:tblCellMar>
        </w:tblPrEx>
        <w:tc>
          <w:tcPr>
            <w:tcW w:w="2840" w:type="dxa"/>
            <w:tcBorders>
              <w:top w:val="single" w:sz="4" w:space="0" w:color="auto"/>
              <w:bottom w:val="single" w:sz="12" w:space="0" w:color="auto"/>
            </w:tcBorders>
            <w:shd w:val="clear" w:color="auto" w:fill="auto"/>
            <w:vAlign w:val="bottom"/>
          </w:tcPr>
          <w:p w:rsidR="004A2E38" w:rsidRPr="004A2E38" w:rsidRDefault="004A2E38" w:rsidP="00C57554">
            <w:pPr>
              <w:tabs>
                <w:tab w:val="left" w:pos="288"/>
                <w:tab w:val="left" w:pos="576"/>
                <w:tab w:val="left" w:pos="864"/>
                <w:tab w:val="left" w:pos="1152"/>
              </w:tabs>
              <w:spacing w:before="81" w:after="81" w:line="210" w:lineRule="exact"/>
              <w:ind w:right="40"/>
              <w:rPr>
                <w:b/>
                <w:kern w:val="0"/>
                <w:sz w:val="17"/>
                <w:szCs w:val="16"/>
              </w:rPr>
            </w:pPr>
            <w:r w:rsidRPr="004A2E38">
              <w:rPr>
                <w:b/>
                <w:kern w:val="0"/>
                <w:sz w:val="17"/>
                <w:szCs w:val="16"/>
              </w:rPr>
              <w:tab/>
            </w:r>
            <w:r w:rsidR="00C57554">
              <w:rPr>
                <w:b/>
                <w:kern w:val="0"/>
                <w:sz w:val="17"/>
                <w:szCs w:val="16"/>
              </w:rPr>
              <w:tab/>
            </w:r>
            <w:r w:rsidRPr="004A2E38">
              <w:rPr>
                <w:b/>
                <w:kern w:val="0"/>
                <w:sz w:val="17"/>
                <w:szCs w:val="16"/>
              </w:rPr>
              <w:t>Total Universidades</w:t>
            </w:r>
          </w:p>
        </w:tc>
        <w:tc>
          <w:tcPr>
            <w:tcW w:w="1375" w:type="dxa"/>
            <w:tcBorders>
              <w:top w:val="single" w:sz="4" w:space="0" w:color="auto"/>
              <w:bottom w:val="single" w:sz="12" w:space="0" w:color="auto"/>
            </w:tcBorders>
            <w:shd w:val="clear" w:color="auto" w:fill="auto"/>
            <w:vAlign w:val="bottom"/>
          </w:tcPr>
          <w:p w:rsidR="004A2E38" w:rsidRPr="004A2E38" w:rsidRDefault="004A2E38" w:rsidP="00C57554">
            <w:pPr>
              <w:tabs>
                <w:tab w:val="left" w:pos="288"/>
                <w:tab w:val="left" w:pos="576"/>
                <w:tab w:val="left" w:pos="864"/>
                <w:tab w:val="left" w:pos="1152"/>
              </w:tabs>
              <w:spacing w:before="81" w:after="81" w:line="210" w:lineRule="exact"/>
              <w:ind w:right="40"/>
              <w:rPr>
                <w:b/>
                <w:kern w:val="0"/>
                <w:sz w:val="17"/>
              </w:rPr>
            </w:pPr>
          </w:p>
        </w:tc>
        <w:tc>
          <w:tcPr>
            <w:tcW w:w="839" w:type="dxa"/>
            <w:tcBorders>
              <w:top w:val="single" w:sz="4" w:space="0" w:color="auto"/>
              <w:bottom w:val="single" w:sz="12" w:space="0" w:color="auto"/>
            </w:tcBorders>
            <w:shd w:val="clear" w:color="auto" w:fill="auto"/>
            <w:vAlign w:val="bottom"/>
          </w:tcPr>
          <w:p w:rsidR="004A2E38" w:rsidRPr="004A2E38"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4A2E38">
              <w:rPr>
                <w:b/>
                <w:kern w:val="0"/>
                <w:sz w:val="17"/>
                <w:szCs w:val="24"/>
                <w:lang w:val="fr-FR"/>
              </w:rPr>
              <w:t>4 970</w:t>
            </w:r>
          </w:p>
        </w:tc>
        <w:tc>
          <w:tcPr>
            <w:tcW w:w="850" w:type="dxa"/>
            <w:tcBorders>
              <w:top w:val="single" w:sz="4" w:space="0" w:color="auto"/>
              <w:bottom w:val="single" w:sz="12" w:space="0" w:color="auto"/>
            </w:tcBorders>
            <w:shd w:val="clear" w:color="auto" w:fill="auto"/>
            <w:vAlign w:val="bottom"/>
          </w:tcPr>
          <w:p w:rsidR="004A2E38" w:rsidRPr="004A2E38"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4A2E38">
              <w:rPr>
                <w:b/>
                <w:kern w:val="0"/>
                <w:sz w:val="17"/>
                <w:szCs w:val="24"/>
                <w:lang w:val="fr-FR"/>
              </w:rPr>
              <w:t>64,43</w:t>
            </w:r>
          </w:p>
        </w:tc>
        <w:tc>
          <w:tcPr>
            <w:tcW w:w="920" w:type="dxa"/>
            <w:gridSpan w:val="2"/>
            <w:tcBorders>
              <w:top w:val="single" w:sz="4" w:space="0" w:color="auto"/>
              <w:bottom w:val="single" w:sz="12" w:space="0" w:color="auto"/>
            </w:tcBorders>
            <w:shd w:val="clear" w:color="auto" w:fill="auto"/>
            <w:vAlign w:val="bottom"/>
          </w:tcPr>
          <w:p w:rsidR="004A2E38" w:rsidRPr="004A2E38"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4A2E38">
              <w:rPr>
                <w:b/>
                <w:kern w:val="0"/>
                <w:sz w:val="17"/>
                <w:szCs w:val="24"/>
                <w:lang w:val="fr-FR"/>
              </w:rPr>
              <w:t>2 744</w:t>
            </w:r>
          </w:p>
        </w:tc>
        <w:tc>
          <w:tcPr>
            <w:tcW w:w="810" w:type="dxa"/>
            <w:tcBorders>
              <w:top w:val="single" w:sz="4" w:space="0" w:color="auto"/>
              <w:bottom w:val="single" w:sz="12" w:space="0" w:color="auto"/>
            </w:tcBorders>
            <w:shd w:val="clear" w:color="auto" w:fill="auto"/>
            <w:vAlign w:val="bottom"/>
          </w:tcPr>
          <w:p w:rsidR="004A2E38" w:rsidRPr="004A2E38" w:rsidRDefault="004A2E38" w:rsidP="00C57554">
            <w:pPr>
              <w:pStyle w:val="NormalSchedule"/>
              <w:tabs>
                <w:tab w:val="left" w:pos="288"/>
                <w:tab w:val="left" w:pos="576"/>
                <w:tab w:val="left" w:pos="864"/>
                <w:tab w:val="left" w:pos="1152"/>
              </w:tabs>
              <w:spacing w:before="81" w:after="81" w:line="210" w:lineRule="exact"/>
              <w:ind w:right="40"/>
              <w:jc w:val="right"/>
              <w:rPr>
                <w:b/>
                <w:kern w:val="0"/>
                <w:sz w:val="17"/>
                <w:szCs w:val="24"/>
                <w:lang w:val="fr-FR"/>
              </w:rPr>
            </w:pPr>
            <w:r w:rsidRPr="004A2E38">
              <w:rPr>
                <w:b/>
                <w:kern w:val="0"/>
                <w:sz w:val="17"/>
                <w:szCs w:val="24"/>
                <w:lang w:val="fr-FR"/>
              </w:rPr>
              <w:t>35,57</w:t>
            </w:r>
          </w:p>
        </w:tc>
        <w:tc>
          <w:tcPr>
            <w:tcW w:w="952" w:type="dxa"/>
            <w:tcBorders>
              <w:top w:val="single" w:sz="4" w:space="0" w:color="auto"/>
              <w:bottom w:val="single" w:sz="12" w:space="0" w:color="auto"/>
            </w:tcBorders>
            <w:shd w:val="clear" w:color="auto" w:fill="auto"/>
            <w:vAlign w:val="bottom"/>
          </w:tcPr>
          <w:p w:rsidR="004A2E38" w:rsidRPr="004A2E38" w:rsidRDefault="004A2E38" w:rsidP="00C5755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4A2E38">
              <w:rPr>
                <w:b/>
                <w:kern w:val="0"/>
                <w:sz w:val="17"/>
                <w:szCs w:val="24"/>
                <w:lang w:val="fr-FR"/>
              </w:rPr>
              <w:t>7 714</w:t>
            </w:r>
          </w:p>
        </w:tc>
      </w:tr>
    </w:tbl>
    <w:p w:rsidR="005F19B1" w:rsidRPr="005F19B1" w:rsidRDefault="005F19B1" w:rsidP="005F19B1">
      <w:pPr>
        <w:pStyle w:val="SingleTxt"/>
        <w:spacing w:after="0" w:line="120" w:lineRule="exact"/>
        <w:rPr>
          <w:sz w:val="10"/>
        </w:rPr>
      </w:pPr>
    </w:p>
    <w:p w:rsidR="005F19B1" w:rsidRPr="005F19B1" w:rsidRDefault="005F19B1" w:rsidP="005F1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5F19B1">
        <w:rPr>
          <w:i/>
          <w:sz w:val="17"/>
          <w:szCs w:val="17"/>
        </w:rPr>
        <w:t>Fuente</w:t>
      </w:r>
      <w:r w:rsidRPr="005F19B1">
        <w:rPr>
          <w:sz w:val="17"/>
          <w:szCs w:val="17"/>
        </w:rPr>
        <w:t>: Anuario estadístico de la enseñanza superior 2013-2004.</w:t>
      </w:r>
    </w:p>
    <w:p w:rsidR="005F19B1" w:rsidRPr="005F19B1" w:rsidRDefault="005F19B1" w:rsidP="005F19B1">
      <w:pPr>
        <w:pStyle w:val="SingleTxt"/>
        <w:spacing w:after="0" w:line="120" w:lineRule="exact"/>
        <w:rPr>
          <w:sz w:val="10"/>
        </w:rPr>
      </w:pPr>
    </w:p>
    <w:p w:rsidR="005F19B1" w:rsidRPr="005F19B1" w:rsidRDefault="005F19B1" w:rsidP="005F19B1">
      <w:pPr>
        <w:pStyle w:val="SingleTxt"/>
        <w:spacing w:after="0" w:line="120" w:lineRule="exact"/>
        <w:rPr>
          <w:sz w:val="10"/>
        </w:rPr>
      </w:pPr>
    </w:p>
    <w:p w:rsidR="005F19B1" w:rsidRPr="005F19B1" w:rsidRDefault="005F19B1" w:rsidP="005F19B1">
      <w:pPr>
        <w:pStyle w:val="SingleTxt"/>
        <w:spacing w:after="0" w:line="120" w:lineRule="exact"/>
        <w:rPr>
          <w:sz w:val="10"/>
        </w:rPr>
      </w:pPr>
    </w:p>
    <w:p w:rsidR="005F19B1" w:rsidRDefault="005F19B1" w:rsidP="005F1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escuelas superiores</w:t>
      </w:r>
    </w:p>
    <w:p w:rsidR="005F19B1" w:rsidRPr="005F19B1" w:rsidRDefault="005F19B1" w:rsidP="005F19B1">
      <w:pPr>
        <w:pStyle w:val="SingleTxt"/>
        <w:spacing w:after="0" w:line="120" w:lineRule="exact"/>
        <w:rPr>
          <w:sz w:val="10"/>
        </w:rPr>
      </w:pPr>
    </w:p>
    <w:p w:rsidR="005F19B1" w:rsidRDefault="005F19B1" w:rsidP="005F19B1">
      <w:pPr>
        <w:pStyle w:val="SingleTxt"/>
      </w:pPr>
      <w:r>
        <w:t>95.</w:t>
      </w:r>
      <w:r>
        <w:tab/>
        <w:t>A nivel de las escuelas superiores, se observa un gran avance de las mujeres, con retrasos importantes, no obstante, a nivel de la Escuela normal superior de enseñanza técnica (ENSET) y de la Escuela nacional de aguas y bosques (ENEF). Las mujeres representan el 94,21% contra solamente el 5,64% de varones. En el Instituto nacional de tecnología (INT), la diferencia entre mujeres (39,05%) y varones (57,05% es menor.</w:t>
      </w:r>
    </w:p>
    <w:p w:rsidR="005F19B1" w:rsidRPr="005F19B1" w:rsidRDefault="005F19B1" w:rsidP="005F19B1">
      <w:pPr>
        <w:pStyle w:val="SingleTxt"/>
        <w:spacing w:after="0" w:line="120" w:lineRule="exact"/>
        <w:rPr>
          <w:sz w:val="10"/>
        </w:rPr>
      </w:pPr>
    </w:p>
    <w:p w:rsidR="00166BC3" w:rsidRDefault="005F19B1" w:rsidP="005F19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F19B1">
        <w:rPr>
          <w:b w:val="0"/>
        </w:rPr>
        <w:t>Cuadro 10</w:t>
      </w:r>
      <w:r>
        <w:br/>
        <w:t>Distribución de los alumnos en las escuelas superiores, por sexo</w:t>
      </w:r>
    </w:p>
    <w:p w:rsidR="005F19B1" w:rsidRPr="005F19B1" w:rsidRDefault="005F19B1" w:rsidP="005F19B1">
      <w:pPr>
        <w:pStyle w:val="SingleTxt"/>
        <w:suppressAutoHyphens/>
        <w:spacing w:after="0" w:line="120" w:lineRule="exact"/>
        <w:rPr>
          <w:sz w:val="10"/>
        </w:rPr>
      </w:pPr>
    </w:p>
    <w:p w:rsidR="005F19B1" w:rsidRPr="005F19B1" w:rsidRDefault="005F19B1" w:rsidP="005F19B1">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3660"/>
        <w:gridCol w:w="978"/>
        <w:gridCol w:w="978"/>
        <w:gridCol w:w="63"/>
        <w:gridCol w:w="915"/>
        <w:gridCol w:w="978"/>
        <w:gridCol w:w="1014"/>
      </w:tblGrid>
      <w:tr w:rsidR="00521B8C" w:rsidRPr="003417BA" w:rsidTr="00521B8C">
        <w:tblPrEx>
          <w:tblCellMar>
            <w:top w:w="0" w:type="dxa"/>
            <w:bottom w:w="0" w:type="dxa"/>
          </w:tblCellMar>
        </w:tblPrEx>
        <w:trPr>
          <w:tblHeader/>
        </w:trPr>
        <w:tc>
          <w:tcPr>
            <w:tcW w:w="3660" w:type="dxa"/>
            <w:vMerge w:val="restart"/>
            <w:tcBorders>
              <w:top w:val="single" w:sz="4" w:space="0" w:color="auto"/>
            </w:tcBorders>
            <w:shd w:val="clear" w:color="auto" w:fill="auto"/>
            <w:vAlign w:val="bottom"/>
          </w:tcPr>
          <w:p w:rsidR="00521B8C" w:rsidRPr="003417BA" w:rsidRDefault="00521B8C" w:rsidP="003417BA">
            <w:pPr>
              <w:widowControl w:val="0"/>
              <w:autoSpaceDE w:val="0"/>
              <w:autoSpaceDN w:val="0"/>
              <w:adjustRightInd w:val="0"/>
              <w:spacing w:after="80" w:line="160" w:lineRule="exact"/>
              <w:ind w:right="40"/>
              <w:rPr>
                <w:i/>
                <w:kern w:val="0"/>
                <w:sz w:val="14"/>
              </w:rPr>
            </w:pPr>
            <w:r w:rsidRPr="003417BA">
              <w:rPr>
                <w:i/>
                <w:iCs/>
                <w:kern w:val="0"/>
                <w:sz w:val="14"/>
                <w:szCs w:val="24"/>
              </w:rPr>
              <w:t>Escuela superior</w:t>
            </w:r>
          </w:p>
        </w:tc>
        <w:tc>
          <w:tcPr>
            <w:tcW w:w="1956" w:type="dxa"/>
            <w:gridSpan w:val="2"/>
            <w:tcBorders>
              <w:top w:val="single" w:sz="4" w:space="0" w:color="auto"/>
              <w:bottom w:val="single" w:sz="4" w:space="0" w:color="auto"/>
            </w:tcBorders>
            <w:shd w:val="clear" w:color="auto" w:fill="auto"/>
            <w:vAlign w:val="bottom"/>
          </w:tcPr>
          <w:p w:rsidR="00521B8C" w:rsidRPr="003417BA" w:rsidRDefault="00521B8C" w:rsidP="00521B8C">
            <w:pPr>
              <w:widowControl w:val="0"/>
              <w:autoSpaceDE w:val="0"/>
              <w:autoSpaceDN w:val="0"/>
              <w:adjustRightInd w:val="0"/>
              <w:spacing w:before="80" w:after="80" w:line="160" w:lineRule="exact"/>
              <w:ind w:right="40"/>
              <w:jc w:val="center"/>
              <w:rPr>
                <w:b/>
                <w:bCs/>
                <w:i/>
                <w:kern w:val="0"/>
                <w:sz w:val="14"/>
              </w:rPr>
            </w:pPr>
            <w:r w:rsidRPr="003417BA">
              <w:rPr>
                <w:i/>
                <w:iCs/>
                <w:kern w:val="0"/>
                <w:sz w:val="14"/>
                <w:szCs w:val="24"/>
              </w:rPr>
              <w:t>Hombres</w:t>
            </w:r>
          </w:p>
        </w:tc>
        <w:tc>
          <w:tcPr>
            <w:tcW w:w="63" w:type="dxa"/>
            <w:tcBorders>
              <w:top w:val="single" w:sz="4" w:space="0" w:color="auto"/>
            </w:tcBorders>
            <w:shd w:val="clear" w:color="auto" w:fill="auto"/>
            <w:vAlign w:val="bottom"/>
          </w:tcPr>
          <w:p w:rsidR="00521B8C" w:rsidRPr="003417BA" w:rsidRDefault="00521B8C" w:rsidP="00521B8C">
            <w:pPr>
              <w:widowControl w:val="0"/>
              <w:autoSpaceDE w:val="0"/>
              <w:autoSpaceDN w:val="0"/>
              <w:adjustRightInd w:val="0"/>
              <w:spacing w:before="80" w:after="80" w:line="160" w:lineRule="exact"/>
              <w:ind w:right="40"/>
              <w:jc w:val="center"/>
              <w:rPr>
                <w:b/>
                <w:bCs/>
                <w:i/>
                <w:kern w:val="0"/>
                <w:sz w:val="14"/>
              </w:rPr>
            </w:pPr>
          </w:p>
        </w:tc>
        <w:tc>
          <w:tcPr>
            <w:tcW w:w="1893" w:type="dxa"/>
            <w:gridSpan w:val="2"/>
            <w:tcBorders>
              <w:top w:val="single" w:sz="4" w:space="0" w:color="auto"/>
              <w:bottom w:val="single" w:sz="4" w:space="0" w:color="auto"/>
            </w:tcBorders>
            <w:shd w:val="clear" w:color="auto" w:fill="auto"/>
            <w:vAlign w:val="bottom"/>
          </w:tcPr>
          <w:p w:rsidR="00521B8C" w:rsidRPr="003417BA" w:rsidRDefault="00521B8C" w:rsidP="00521B8C">
            <w:pPr>
              <w:tabs>
                <w:tab w:val="left" w:pos="288"/>
                <w:tab w:val="left" w:pos="576"/>
                <w:tab w:val="left" w:pos="864"/>
                <w:tab w:val="left" w:pos="1152"/>
              </w:tabs>
              <w:spacing w:before="80" w:after="80" w:line="160" w:lineRule="exact"/>
              <w:ind w:right="40"/>
              <w:jc w:val="center"/>
              <w:rPr>
                <w:i/>
                <w:kern w:val="0"/>
                <w:sz w:val="14"/>
              </w:rPr>
            </w:pPr>
            <w:r w:rsidRPr="003417BA">
              <w:rPr>
                <w:i/>
                <w:iCs/>
                <w:kern w:val="0"/>
                <w:sz w:val="14"/>
                <w:szCs w:val="24"/>
              </w:rPr>
              <w:t>Mujeres</w:t>
            </w:r>
          </w:p>
        </w:tc>
        <w:tc>
          <w:tcPr>
            <w:tcW w:w="1014" w:type="dxa"/>
            <w:vMerge w:val="restart"/>
            <w:tcBorders>
              <w:top w:val="single" w:sz="4" w:space="0" w:color="auto"/>
            </w:tcBorders>
            <w:shd w:val="clear" w:color="auto" w:fill="auto"/>
            <w:vAlign w:val="bottom"/>
          </w:tcPr>
          <w:p w:rsidR="00521B8C" w:rsidRPr="003417BA" w:rsidRDefault="00521B8C" w:rsidP="003417BA">
            <w:pPr>
              <w:widowControl w:val="0"/>
              <w:autoSpaceDE w:val="0"/>
              <w:autoSpaceDN w:val="0"/>
              <w:adjustRightInd w:val="0"/>
              <w:spacing w:after="80" w:line="160" w:lineRule="exact"/>
              <w:ind w:right="40"/>
              <w:jc w:val="right"/>
              <w:rPr>
                <w:i/>
                <w:kern w:val="0"/>
                <w:sz w:val="14"/>
              </w:rPr>
            </w:pPr>
            <w:r w:rsidRPr="003417BA">
              <w:rPr>
                <w:bCs/>
                <w:i/>
                <w:kern w:val="0"/>
                <w:sz w:val="14"/>
              </w:rPr>
              <w:t>Total</w:t>
            </w:r>
          </w:p>
        </w:tc>
      </w:tr>
      <w:tr w:rsidR="00521B8C" w:rsidRPr="003417BA" w:rsidTr="00521B8C">
        <w:tblPrEx>
          <w:tblCellMar>
            <w:top w:w="0" w:type="dxa"/>
            <w:bottom w:w="0" w:type="dxa"/>
          </w:tblCellMar>
        </w:tblPrEx>
        <w:trPr>
          <w:tblHeader/>
        </w:trPr>
        <w:tc>
          <w:tcPr>
            <w:tcW w:w="3660" w:type="dxa"/>
            <w:vMerge/>
            <w:tcBorders>
              <w:bottom w:val="single" w:sz="12" w:space="0" w:color="auto"/>
            </w:tcBorders>
            <w:shd w:val="clear" w:color="auto" w:fill="auto"/>
            <w:vAlign w:val="bottom"/>
          </w:tcPr>
          <w:p w:rsidR="00521B8C" w:rsidRPr="003417BA" w:rsidRDefault="00521B8C" w:rsidP="003417BA">
            <w:pPr>
              <w:widowControl w:val="0"/>
              <w:autoSpaceDE w:val="0"/>
              <w:autoSpaceDN w:val="0"/>
              <w:adjustRightInd w:val="0"/>
              <w:spacing w:after="80" w:line="160" w:lineRule="exact"/>
              <w:ind w:right="40"/>
              <w:rPr>
                <w:b/>
                <w:bCs/>
                <w:i/>
                <w:kern w:val="0"/>
                <w:sz w:val="14"/>
              </w:rPr>
            </w:pPr>
          </w:p>
        </w:tc>
        <w:tc>
          <w:tcPr>
            <w:tcW w:w="978" w:type="dxa"/>
            <w:tcBorders>
              <w:top w:val="single" w:sz="4" w:space="0" w:color="auto"/>
              <w:bottom w:val="single" w:sz="12" w:space="0" w:color="auto"/>
            </w:tcBorders>
            <w:shd w:val="clear" w:color="auto" w:fill="auto"/>
            <w:vAlign w:val="bottom"/>
          </w:tcPr>
          <w:p w:rsidR="00521B8C" w:rsidRPr="003417BA" w:rsidRDefault="00521B8C" w:rsidP="00521B8C">
            <w:pPr>
              <w:widowControl w:val="0"/>
              <w:autoSpaceDE w:val="0"/>
              <w:autoSpaceDN w:val="0"/>
              <w:adjustRightInd w:val="0"/>
              <w:spacing w:before="40" w:after="80" w:line="160" w:lineRule="exact"/>
              <w:ind w:right="43"/>
              <w:jc w:val="right"/>
              <w:rPr>
                <w:b/>
                <w:bCs/>
                <w:i/>
                <w:kern w:val="0"/>
                <w:sz w:val="14"/>
              </w:rPr>
            </w:pPr>
            <w:r w:rsidRPr="003417BA">
              <w:rPr>
                <w:i/>
                <w:iCs/>
                <w:kern w:val="0"/>
                <w:sz w:val="14"/>
                <w:szCs w:val="24"/>
              </w:rPr>
              <w:t>Número</w:t>
            </w:r>
          </w:p>
        </w:tc>
        <w:tc>
          <w:tcPr>
            <w:tcW w:w="978" w:type="dxa"/>
            <w:tcBorders>
              <w:top w:val="single" w:sz="4" w:space="0" w:color="auto"/>
              <w:bottom w:val="single" w:sz="12" w:space="0" w:color="auto"/>
            </w:tcBorders>
            <w:shd w:val="clear" w:color="auto" w:fill="auto"/>
            <w:vAlign w:val="bottom"/>
          </w:tcPr>
          <w:p w:rsidR="00521B8C" w:rsidRPr="003417BA" w:rsidRDefault="00521B8C" w:rsidP="00521B8C">
            <w:pPr>
              <w:widowControl w:val="0"/>
              <w:autoSpaceDE w:val="0"/>
              <w:autoSpaceDN w:val="0"/>
              <w:adjustRightInd w:val="0"/>
              <w:spacing w:before="40" w:after="80" w:line="160" w:lineRule="exact"/>
              <w:ind w:right="43"/>
              <w:jc w:val="right"/>
              <w:rPr>
                <w:b/>
                <w:bCs/>
                <w:i/>
                <w:kern w:val="0"/>
                <w:sz w:val="14"/>
              </w:rPr>
            </w:pPr>
            <w:r w:rsidRPr="003417BA">
              <w:rPr>
                <w:i/>
                <w:iCs/>
                <w:kern w:val="0"/>
                <w:sz w:val="14"/>
                <w:szCs w:val="24"/>
              </w:rPr>
              <w:t>%</w:t>
            </w:r>
          </w:p>
        </w:tc>
        <w:tc>
          <w:tcPr>
            <w:tcW w:w="978" w:type="dxa"/>
            <w:gridSpan w:val="2"/>
            <w:tcBorders>
              <w:bottom w:val="single" w:sz="12" w:space="0" w:color="auto"/>
            </w:tcBorders>
            <w:shd w:val="clear" w:color="auto" w:fill="auto"/>
            <w:vAlign w:val="bottom"/>
          </w:tcPr>
          <w:p w:rsidR="00521B8C" w:rsidRPr="003417BA" w:rsidRDefault="00521B8C" w:rsidP="00521B8C">
            <w:pPr>
              <w:widowControl w:val="0"/>
              <w:autoSpaceDE w:val="0"/>
              <w:autoSpaceDN w:val="0"/>
              <w:adjustRightInd w:val="0"/>
              <w:spacing w:before="40" w:after="80" w:line="160" w:lineRule="exact"/>
              <w:ind w:right="43"/>
              <w:jc w:val="right"/>
              <w:rPr>
                <w:b/>
                <w:bCs/>
                <w:i/>
                <w:kern w:val="0"/>
                <w:sz w:val="14"/>
              </w:rPr>
            </w:pPr>
            <w:r w:rsidRPr="003417BA">
              <w:rPr>
                <w:i/>
                <w:iCs/>
                <w:kern w:val="0"/>
                <w:sz w:val="14"/>
                <w:szCs w:val="24"/>
              </w:rPr>
              <w:t>Número</w:t>
            </w:r>
          </w:p>
        </w:tc>
        <w:tc>
          <w:tcPr>
            <w:tcW w:w="978" w:type="dxa"/>
            <w:tcBorders>
              <w:top w:val="single" w:sz="4" w:space="0" w:color="auto"/>
              <w:bottom w:val="single" w:sz="12" w:space="0" w:color="auto"/>
            </w:tcBorders>
            <w:shd w:val="clear" w:color="auto" w:fill="auto"/>
            <w:vAlign w:val="bottom"/>
          </w:tcPr>
          <w:p w:rsidR="00521B8C" w:rsidRPr="003417BA" w:rsidRDefault="00521B8C" w:rsidP="00521B8C">
            <w:pPr>
              <w:widowControl w:val="0"/>
              <w:autoSpaceDE w:val="0"/>
              <w:autoSpaceDN w:val="0"/>
              <w:adjustRightInd w:val="0"/>
              <w:spacing w:before="40" w:after="80" w:line="160" w:lineRule="exact"/>
              <w:ind w:right="43"/>
              <w:jc w:val="right"/>
              <w:rPr>
                <w:b/>
                <w:bCs/>
                <w:i/>
                <w:kern w:val="0"/>
                <w:sz w:val="14"/>
              </w:rPr>
            </w:pPr>
            <w:r w:rsidRPr="003417BA">
              <w:rPr>
                <w:i/>
                <w:iCs/>
                <w:kern w:val="0"/>
                <w:sz w:val="14"/>
                <w:szCs w:val="24"/>
              </w:rPr>
              <w:t>%</w:t>
            </w:r>
          </w:p>
        </w:tc>
        <w:tc>
          <w:tcPr>
            <w:tcW w:w="1014" w:type="dxa"/>
            <w:vMerge/>
            <w:tcBorders>
              <w:bottom w:val="single" w:sz="12" w:space="0" w:color="auto"/>
            </w:tcBorders>
            <w:shd w:val="clear" w:color="auto" w:fill="auto"/>
            <w:vAlign w:val="bottom"/>
          </w:tcPr>
          <w:p w:rsidR="00521B8C" w:rsidRPr="003417BA" w:rsidRDefault="00521B8C" w:rsidP="003417BA">
            <w:pPr>
              <w:widowControl w:val="0"/>
              <w:autoSpaceDE w:val="0"/>
              <w:autoSpaceDN w:val="0"/>
              <w:adjustRightInd w:val="0"/>
              <w:spacing w:after="80" w:line="160" w:lineRule="exact"/>
              <w:ind w:right="40"/>
              <w:jc w:val="right"/>
              <w:rPr>
                <w:bCs/>
                <w:i/>
                <w:kern w:val="0"/>
                <w:sz w:val="14"/>
              </w:rPr>
            </w:pPr>
          </w:p>
        </w:tc>
      </w:tr>
      <w:tr w:rsidR="003417BA" w:rsidRPr="003417BA" w:rsidTr="00521B8C">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p>
        </w:tc>
        <w:tc>
          <w:tcPr>
            <w:tcW w:w="978" w:type="dxa"/>
            <w:tcBorders>
              <w:top w:val="single" w:sz="12" w:space="0" w:color="auto"/>
            </w:tcBorders>
            <w:shd w:val="clear" w:color="auto" w:fill="auto"/>
            <w:vAlign w:val="bottom"/>
          </w:tcPr>
          <w:p w:rsidR="003417BA" w:rsidRPr="003417BA" w:rsidRDefault="003417BA" w:rsidP="003417BA">
            <w:pPr>
              <w:pStyle w:val="DTpara"/>
              <w:numPr>
                <w:ilvl w:val="0"/>
                <w:numId w:val="0"/>
              </w:numPr>
              <w:spacing w:before="40" w:after="40" w:line="210" w:lineRule="exact"/>
              <w:ind w:left="164" w:right="40"/>
              <w:jc w:val="right"/>
              <w:rPr>
                <w:spacing w:val="4"/>
                <w:w w:val="103"/>
                <w:sz w:val="17"/>
                <w:szCs w:val="24"/>
                <w:lang w:val="fr-FR"/>
              </w:rPr>
            </w:pPr>
          </w:p>
        </w:tc>
        <w:tc>
          <w:tcPr>
            <w:tcW w:w="978" w:type="dxa"/>
            <w:tcBorders>
              <w:top w:val="single" w:sz="12" w:space="0" w:color="auto"/>
            </w:tcBorders>
            <w:shd w:val="clear" w:color="auto" w:fill="auto"/>
            <w:vAlign w:val="bottom"/>
          </w:tcPr>
          <w:p w:rsidR="003417BA" w:rsidRPr="003417BA" w:rsidRDefault="003417BA" w:rsidP="003417BA">
            <w:pPr>
              <w:pStyle w:val="DTpara"/>
              <w:numPr>
                <w:ilvl w:val="0"/>
                <w:numId w:val="0"/>
              </w:numPr>
              <w:spacing w:before="40" w:after="40" w:line="210" w:lineRule="exact"/>
              <w:ind w:left="164" w:right="40"/>
              <w:jc w:val="right"/>
              <w:rPr>
                <w:spacing w:val="4"/>
                <w:w w:val="103"/>
                <w:sz w:val="17"/>
                <w:szCs w:val="24"/>
                <w:lang w:val="fr-FR"/>
              </w:rPr>
            </w:pPr>
          </w:p>
        </w:tc>
        <w:tc>
          <w:tcPr>
            <w:tcW w:w="978" w:type="dxa"/>
            <w:gridSpan w:val="2"/>
            <w:tcBorders>
              <w:top w:val="single" w:sz="12" w:space="0" w:color="auto"/>
            </w:tcBorders>
            <w:shd w:val="clear" w:color="auto" w:fill="auto"/>
            <w:vAlign w:val="bottom"/>
          </w:tcPr>
          <w:p w:rsidR="003417BA" w:rsidRPr="003417BA" w:rsidRDefault="003417BA" w:rsidP="003417BA">
            <w:pPr>
              <w:pStyle w:val="DTpara"/>
              <w:numPr>
                <w:ilvl w:val="0"/>
                <w:numId w:val="0"/>
              </w:numPr>
              <w:spacing w:before="40" w:after="40" w:line="210" w:lineRule="exact"/>
              <w:ind w:left="164" w:right="40"/>
              <w:jc w:val="right"/>
              <w:rPr>
                <w:spacing w:val="4"/>
                <w:w w:val="103"/>
                <w:sz w:val="17"/>
                <w:szCs w:val="24"/>
                <w:lang w:val="fr-FR"/>
              </w:rPr>
            </w:pPr>
          </w:p>
        </w:tc>
        <w:tc>
          <w:tcPr>
            <w:tcW w:w="978" w:type="dxa"/>
            <w:tcBorders>
              <w:top w:val="single" w:sz="12" w:space="0" w:color="auto"/>
            </w:tcBorders>
            <w:shd w:val="clear" w:color="auto" w:fill="auto"/>
            <w:vAlign w:val="bottom"/>
          </w:tcPr>
          <w:p w:rsidR="003417BA" w:rsidRPr="003417BA" w:rsidRDefault="003417BA" w:rsidP="003417BA">
            <w:pPr>
              <w:pStyle w:val="DTpara"/>
              <w:numPr>
                <w:ilvl w:val="0"/>
                <w:numId w:val="0"/>
              </w:numPr>
              <w:spacing w:before="40" w:after="40" w:line="210" w:lineRule="exact"/>
              <w:ind w:left="164" w:right="40"/>
              <w:jc w:val="right"/>
              <w:rPr>
                <w:spacing w:val="4"/>
                <w:w w:val="103"/>
                <w:sz w:val="17"/>
                <w:szCs w:val="24"/>
                <w:lang w:val="fr-FR"/>
              </w:rPr>
            </w:pPr>
          </w:p>
        </w:tc>
        <w:tc>
          <w:tcPr>
            <w:tcW w:w="1014" w:type="dxa"/>
            <w:tcBorders>
              <w:top w:val="single" w:sz="12" w:space="0" w:color="auto"/>
            </w:tcBorders>
            <w:shd w:val="clear" w:color="auto" w:fill="auto"/>
            <w:vAlign w:val="bottom"/>
          </w:tcPr>
          <w:p w:rsidR="003417BA" w:rsidRPr="003417BA" w:rsidRDefault="003417BA" w:rsidP="003417BA">
            <w:pPr>
              <w:pStyle w:val="DTpara"/>
              <w:numPr>
                <w:ilvl w:val="0"/>
                <w:numId w:val="0"/>
              </w:numPr>
              <w:spacing w:before="40" w:after="40" w:line="210" w:lineRule="exact"/>
              <w:ind w:left="164" w:right="40"/>
              <w:jc w:val="right"/>
              <w:rPr>
                <w:spacing w:val="4"/>
                <w:w w:val="103"/>
                <w:sz w:val="17"/>
                <w:szCs w:val="24"/>
                <w:lang w:val="fr-FR"/>
              </w:rPr>
            </w:pPr>
          </w:p>
        </w:tc>
      </w:tr>
      <w:tr w:rsidR="003417BA" w:rsidRPr="003417BA" w:rsidTr="00521B8C">
        <w:tblPrEx>
          <w:tblCellMar>
            <w:top w:w="0" w:type="dxa"/>
            <w:bottom w:w="0" w:type="dxa"/>
          </w:tblCellMar>
        </w:tblPrEx>
        <w:tc>
          <w:tcPr>
            <w:tcW w:w="3660" w:type="dxa"/>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r w:rsidRPr="003417BA">
              <w:rPr>
                <w:kern w:val="0"/>
                <w:sz w:val="17"/>
              </w:rPr>
              <w:t>Escuela nacional de aguas y bosques (ENEF)</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64</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86,48</w:t>
            </w:r>
          </w:p>
        </w:tc>
        <w:tc>
          <w:tcPr>
            <w:tcW w:w="978" w:type="dxa"/>
            <w:gridSpan w:val="2"/>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10</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13,52</w:t>
            </w:r>
          </w:p>
        </w:tc>
        <w:tc>
          <w:tcPr>
            <w:tcW w:w="1014"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74</w:t>
            </w:r>
          </w:p>
        </w:tc>
      </w:tr>
      <w:tr w:rsidR="003417BA" w:rsidRPr="003417BA" w:rsidTr="00521B8C">
        <w:tblPrEx>
          <w:tblCellMar>
            <w:top w:w="0" w:type="dxa"/>
            <w:bottom w:w="0" w:type="dxa"/>
          </w:tblCellMar>
        </w:tblPrEx>
        <w:tc>
          <w:tcPr>
            <w:tcW w:w="3660" w:type="dxa"/>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r w:rsidRPr="003417BA">
              <w:rPr>
                <w:kern w:val="0"/>
                <w:sz w:val="17"/>
              </w:rPr>
              <w:t>Escuela normal superior (ENS)</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594</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85,49</w:t>
            </w:r>
          </w:p>
        </w:tc>
        <w:tc>
          <w:tcPr>
            <w:tcW w:w="978" w:type="dxa"/>
            <w:gridSpan w:val="2"/>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313</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34,51</w:t>
            </w:r>
          </w:p>
        </w:tc>
        <w:tc>
          <w:tcPr>
            <w:tcW w:w="1014"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907</w:t>
            </w:r>
          </w:p>
        </w:tc>
      </w:tr>
      <w:tr w:rsidR="003417BA" w:rsidRPr="003417BA" w:rsidTr="00521B8C">
        <w:tblPrEx>
          <w:tblCellMar>
            <w:top w:w="0" w:type="dxa"/>
            <w:bottom w:w="0" w:type="dxa"/>
          </w:tblCellMar>
        </w:tblPrEx>
        <w:tc>
          <w:tcPr>
            <w:tcW w:w="3660" w:type="dxa"/>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r w:rsidRPr="003417BA">
              <w:rPr>
                <w:kern w:val="0"/>
                <w:sz w:val="17"/>
              </w:rPr>
              <w:t>Escuela nacional superior de enseñanza técnica</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184</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94,36</w:t>
            </w:r>
          </w:p>
        </w:tc>
        <w:tc>
          <w:tcPr>
            <w:tcW w:w="978" w:type="dxa"/>
            <w:gridSpan w:val="2"/>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11</w:t>
            </w:r>
          </w:p>
        </w:tc>
        <w:tc>
          <w:tcPr>
            <w:tcW w:w="978"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5,64</w:t>
            </w:r>
          </w:p>
        </w:tc>
        <w:tc>
          <w:tcPr>
            <w:tcW w:w="1014" w:type="dxa"/>
            <w:shd w:val="clear" w:color="auto" w:fill="auto"/>
            <w:vAlign w:val="bottom"/>
          </w:tcPr>
          <w:p w:rsidR="003417BA" w:rsidRPr="003417BA" w:rsidRDefault="003417BA" w:rsidP="003417BA">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3417BA">
              <w:rPr>
                <w:spacing w:val="4"/>
                <w:w w:val="103"/>
                <w:sz w:val="17"/>
                <w:szCs w:val="24"/>
                <w:lang w:val="fr-FR"/>
              </w:rPr>
              <w:t>195</w:t>
            </w:r>
          </w:p>
        </w:tc>
      </w:tr>
      <w:tr w:rsidR="003417BA" w:rsidRPr="003417BA" w:rsidTr="00521B8C">
        <w:tblPrEx>
          <w:tblCellMar>
            <w:top w:w="0" w:type="dxa"/>
            <w:bottom w:w="0" w:type="dxa"/>
          </w:tblCellMar>
        </w:tblPrEx>
        <w:tc>
          <w:tcPr>
            <w:tcW w:w="3660" w:type="dxa"/>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r w:rsidRPr="003417BA">
              <w:rPr>
                <w:kern w:val="0"/>
                <w:sz w:val="17"/>
              </w:rPr>
              <w:t>Escuela nacional superior de secretariado</w:t>
            </w:r>
          </w:p>
        </w:tc>
        <w:tc>
          <w:tcPr>
            <w:tcW w:w="978" w:type="dxa"/>
            <w:shd w:val="clear" w:color="auto" w:fill="auto"/>
            <w:vAlign w:val="bottom"/>
          </w:tcPr>
          <w:p w:rsidR="003417BA" w:rsidRPr="003417BA" w:rsidRDefault="003417BA" w:rsidP="003417BA">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3417BA">
              <w:rPr>
                <w:kern w:val="0"/>
                <w:sz w:val="17"/>
                <w:szCs w:val="24"/>
                <w:lang w:val="fr-FR"/>
              </w:rPr>
              <w:t>14</w:t>
            </w:r>
          </w:p>
        </w:tc>
        <w:tc>
          <w:tcPr>
            <w:tcW w:w="978" w:type="dxa"/>
            <w:shd w:val="clear" w:color="auto" w:fill="auto"/>
            <w:vAlign w:val="bottom"/>
          </w:tcPr>
          <w:p w:rsidR="003417BA" w:rsidRPr="003417BA" w:rsidRDefault="003417BA" w:rsidP="003417BA">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5,78</w:t>
            </w:r>
          </w:p>
        </w:tc>
        <w:tc>
          <w:tcPr>
            <w:tcW w:w="978" w:type="dxa"/>
            <w:gridSpan w:val="2"/>
            <w:shd w:val="clear" w:color="auto" w:fill="auto"/>
            <w:vAlign w:val="bottom"/>
          </w:tcPr>
          <w:p w:rsidR="003417BA" w:rsidRPr="003417BA" w:rsidRDefault="003417BA" w:rsidP="003417BA">
            <w:pPr>
              <w:pStyle w:val="NormalSchedule"/>
              <w:tabs>
                <w:tab w:val="left" w:pos="288"/>
                <w:tab w:val="left" w:pos="576"/>
                <w:tab w:val="left" w:pos="864"/>
                <w:tab w:val="left" w:pos="1152"/>
              </w:tabs>
              <w:spacing w:before="40" w:after="40" w:line="210" w:lineRule="exact"/>
              <w:ind w:right="40"/>
              <w:jc w:val="right"/>
              <w:rPr>
                <w:kern w:val="0"/>
                <w:sz w:val="17"/>
                <w:szCs w:val="24"/>
                <w:lang w:val="fr-FR"/>
              </w:rPr>
            </w:pPr>
            <w:r w:rsidRPr="003417BA">
              <w:rPr>
                <w:kern w:val="0"/>
                <w:sz w:val="17"/>
                <w:szCs w:val="24"/>
                <w:lang w:val="fr-FR"/>
              </w:rPr>
              <w:t>228</w:t>
            </w:r>
          </w:p>
        </w:tc>
        <w:tc>
          <w:tcPr>
            <w:tcW w:w="978" w:type="dxa"/>
            <w:shd w:val="clear" w:color="auto" w:fill="auto"/>
            <w:vAlign w:val="bottom"/>
          </w:tcPr>
          <w:p w:rsidR="003417BA" w:rsidRPr="003417BA" w:rsidRDefault="003417BA" w:rsidP="003417BA">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94,21</w:t>
            </w:r>
          </w:p>
        </w:tc>
        <w:tc>
          <w:tcPr>
            <w:tcW w:w="1014" w:type="dxa"/>
            <w:shd w:val="clear" w:color="auto" w:fill="auto"/>
            <w:vAlign w:val="bottom"/>
          </w:tcPr>
          <w:p w:rsidR="003417BA" w:rsidRPr="003417BA" w:rsidRDefault="003417BA" w:rsidP="003417BA">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242</w:t>
            </w:r>
          </w:p>
        </w:tc>
      </w:tr>
      <w:tr w:rsidR="003417BA" w:rsidRPr="003417BA" w:rsidTr="00521B8C">
        <w:tblPrEx>
          <w:tblCellMar>
            <w:top w:w="0" w:type="dxa"/>
            <w:bottom w:w="0" w:type="dxa"/>
          </w:tblCellMar>
        </w:tblPrEx>
        <w:tc>
          <w:tcPr>
            <w:tcW w:w="3660" w:type="dxa"/>
            <w:shd w:val="clear" w:color="auto" w:fill="auto"/>
            <w:vAlign w:val="bottom"/>
          </w:tcPr>
          <w:p w:rsidR="003417BA" w:rsidRPr="003417BA" w:rsidRDefault="003417BA" w:rsidP="003417BA">
            <w:pPr>
              <w:tabs>
                <w:tab w:val="left" w:pos="288"/>
                <w:tab w:val="left" w:pos="576"/>
                <w:tab w:val="left" w:pos="864"/>
                <w:tab w:val="left" w:pos="1152"/>
              </w:tabs>
              <w:spacing w:before="40" w:after="40" w:line="210" w:lineRule="exact"/>
              <w:ind w:right="40"/>
              <w:rPr>
                <w:kern w:val="0"/>
                <w:sz w:val="17"/>
              </w:rPr>
            </w:pPr>
            <w:r w:rsidRPr="003417BA">
              <w:rPr>
                <w:kern w:val="0"/>
                <w:sz w:val="17"/>
              </w:rPr>
              <w:t>Instituto nacional de ciencias y de gestión</w:t>
            </w:r>
          </w:p>
        </w:tc>
        <w:tc>
          <w:tcPr>
            <w:tcW w:w="978" w:type="dxa"/>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40" w:line="210" w:lineRule="exact"/>
              <w:ind w:right="40"/>
              <w:jc w:val="right"/>
              <w:rPr>
                <w:kern w:val="0"/>
                <w:sz w:val="17"/>
                <w:szCs w:val="24"/>
                <w:lang w:val="fr-FR"/>
              </w:rPr>
            </w:pPr>
            <w:r w:rsidRPr="003417BA">
              <w:rPr>
                <w:kern w:val="0"/>
                <w:sz w:val="17"/>
                <w:szCs w:val="24"/>
                <w:lang w:val="fr-FR"/>
              </w:rPr>
              <w:t>187</w:t>
            </w:r>
          </w:p>
        </w:tc>
        <w:tc>
          <w:tcPr>
            <w:tcW w:w="978" w:type="dxa"/>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64,04</w:t>
            </w:r>
          </w:p>
        </w:tc>
        <w:tc>
          <w:tcPr>
            <w:tcW w:w="978" w:type="dxa"/>
            <w:gridSpan w:val="2"/>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40" w:line="210" w:lineRule="exact"/>
              <w:ind w:right="40"/>
              <w:jc w:val="right"/>
              <w:rPr>
                <w:kern w:val="0"/>
                <w:sz w:val="17"/>
                <w:szCs w:val="24"/>
                <w:lang w:val="fr-FR"/>
              </w:rPr>
            </w:pPr>
            <w:r w:rsidRPr="003417BA">
              <w:rPr>
                <w:kern w:val="0"/>
                <w:sz w:val="17"/>
                <w:szCs w:val="24"/>
                <w:lang w:val="fr-FR"/>
              </w:rPr>
              <w:t>105</w:t>
            </w:r>
          </w:p>
        </w:tc>
        <w:tc>
          <w:tcPr>
            <w:tcW w:w="978" w:type="dxa"/>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35,96</w:t>
            </w:r>
          </w:p>
        </w:tc>
        <w:tc>
          <w:tcPr>
            <w:tcW w:w="1014" w:type="dxa"/>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3417BA">
              <w:rPr>
                <w:kern w:val="0"/>
                <w:sz w:val="17"/>
                <w:szCs w:val="24"/>
                <w:lang w:val="fr-FR"/>
              </w:rPr>
              <w:t>292</w:t>
            </w:r>
          </w:p>
        </w:tc>
      </w:tr>
      <w:tr w:rsidR="003417BA" w:rsidRPr="003417BA" w:rsidTr="00521B8C">
        <w:tblPrEx>
          <w:tblCellMar>
            <w:top w:w="0" w:type="dxa"/>
            <w:bottom w:w="0" w:type="dxa"/>
          </w:tblCellMar>
        </w:tblPrEx>
        <w:tc>
          <w:tcPr>
            <w:tcW w:w="3660" w:type="dxa"/>
            <w:tcBorders>
              <w:bottom w:val="single" w:sz="4" w:space="0" w:color="auto"/>
            </w:tcBorders>
            <w:shd w:val="clear" w:color="auto" w:fill="auto"/>
            <w:vAlign w:val="bottom"/>
          </w:tcPr>
          <w:p w:rsidR="003417BA" w:rsidRPr="003417BA" w:rsidRDefault="003417BA" w:rsidP="003417BA">
            <w:pPr>
              <w:tabs>
                <w:tab w:val="left" w:pos="288"/>
                <w:tab w:val="left" w:pos="576"/>
                <w:tab w:val="left" w:pos="864"/>
                <w:tab w:val="left" w:pos="1152"/>
              </w:tabs>
              <w:spacing w:before="40" w:after="81" w:line="210" w:lineRule="exact"/>
              <w:ind w:right="40"/>
              <w:rPr>
                <w:kern w:val="0"/>
                <w:sz w:val="17"/>
              </w:rPr>
            </w:pPr>
            <w:r w:rsidRPr="003417BA">
              <w:rPr>
                <w:kern w:val="0"/>
                <w:sz w:val="17"/>
              </w:rPr>
              <w:t>Instituto nacional de tecnología (IST)</w:t>
            </w:r>
          </w:p>
        </w:tc>
        <w:tc>
          <w:tcPr>
            <w:tcW w:w="978" w:type="dxa"/>
            <w:tcBorders>
              <w:bottom w:val="single" w:sz="4"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81" w:line="210" w:lineRule="exact"/>
              <w:ind w:left="113" w:right="40"/>
              <w:jc w:val="right"/>
              <w:rPr>
                <w:kern w:val="0"/>
                <w:sz w:val="17"/>
                <w:szCs w:val="24"/>
                <w:lang w:val="fr-FR"/>
              </w:rPr>
            </w:pPr>
            <w:r w:rsidRPr="003417BA">
              <w:rPr>
                <w:kern w:val="0"/>
                <w:sz w:val="17"/>
                <w:szCs w:val="24"/>
                <w:lang w:val="fr-FR"/>
              </w:rPr>
              <w:t>161</w:t>
            </w:r>
          </w:p>
        </w:tc>
        <w:tc>
          <w:tcPr>
            <w:tcW w:w="978" w:type="dxa"/>
            <w:tcBorders>
              <w:bottom w:val="single" w:sz="4"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81" w:line="210" w:lineRule="exact"/>
              <w:ind w:left="113" w:right="40"/>
              <w:jc w:val="right"/>
              <w:rPr>
                <w:kern w:val="0"/>
                <w:sz w:val="17"/>
                <w:szCs w:val="24"/>
                <w:lang w:val="fr-FR"/>
              </w:rPr>
            </w:pPr>
            <w:r w:rsidRPr="003417BA">
              <w:rPr>
                <w:kern w:val="0"/>
                <w:sz w:val="17"/>
                <w:szCs w:val="24"/>
                <w:lang w:val="fr-FR"/>
              </w:rPr>
              <w:t>57,05</w:t>
            </w:r>
          </w:p>
        </w:tc>
        <w:tc>
          <w:tcPr>
            <w:tcW w:w="978" w:type="dxa"/>
            <w:gridSpan w:val="2"/>
            <w:tcBorders>
              <w:bottom w:val="single" w:sz="4"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81" w:line="210" w:lineRule="exact"/>
              <w:ind w:left="113" w:right="40"/>
              <w:jc w:val="right"/>
              <w:rPr>
                <w:kern w:val="0"/>
                <w:sz w:val="17"/>
                <w:szCs w:val="24"/>
                <w:lang w:val="fr-FR"/>
              </w:rPr>
            </w:pPr>
            <w:r w:rsidRPr="003417BA">
              <w:rPr>
                <w:kern w:val="0"/>
                <w:sz w:val="17"/>
                <w:szCs w:val="24"/>
                <w:lang w:val="fr-FR"/>
              </w:rPr>
              <w:t>119</w:t>
            </w:r>
          </w:p>
        </w:tc>
        <w:tc>
          <w:tcPr>
            <w:tcW w:w="978" w:type="dxa"/>
            <w:tcBorders>
              <w:bottom w:val="single" w:sz="4"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81" w:line="210" w:lineRule="exact"/>
              <w:ind w:left="113" w:right="40"/>
              <w:jc w:val="right"/>
              <w:rPr>
                <w:kern w:val="0"/>
                <w:sz w:val="17"/>
                <w:szCs w:val="24"/>
                <w:lang w:val="fr-FR"/>
              </w:rPr>
            </w:pPr>
            <w:r w:rsidRPr="003417BA">
              <w:rPr>
                <w:kern w:val="0"/>
                <w:sz w:val="17"/>
                <w:szCs w:val="24"/>
                <w:lang w:val="fr-FR"/>
              </w:rPr>
              <w:t>42,05</w:t>
            </w:r>
          </w:p>
        </w:tc>
        <w:tc>
          <w:tcPr>
            <w:tcW w:w="1014" w:type="dxa"/>
            <w:tcBorders>
              <w:bottom w:val="single" w:sz="4"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40" w:after="81" w:line="210" w:lineRule="exact"/>
              <w:ind w:left="113" w:right="40"/>
              <w:jc w:val="right"/>
              <w:rPr>
                <w:kern w:val="0"/>
                <w:sz w:val="17"/>
                <w:szCs w:val="24"/>
                <w:lang w:val="fr-FR"/>
              </w:rPr>
            </w:pPr>
            <w:r w:rsidRPr="003417BA">
              <w:rPr>
                <w:kern w:val="0"/>
                <w:sz w:val="17"/>
                <w:szCs w:val="24"/>
                <w:lang w:val="fr-FR"/>
              </w:rPr>
              <w:t>280</w:t>
            </w:r>
          </w:p>
        </w:tc>
      </w:tr>
      <w:tr w:rsidR="003417BA" w:rsidRPr="003417BA" w:rsidTr="00521B8C">
        <w:tblPrEx>
          <w:tblCellMar>
            <w:top w:w="0" w:type="dxa"/>
            <w:bottom w:w="0" w:type="dxa"/>
          </w:tblCellMar>
        </w:tblPrEx>
        <w:tc>
          <w:tcPr>
            <w:tcW w:w="3660" w:type="dxa"/>
            <w:tcBorders>
              <w:top w:val="single" w:sz="4" w:space="0" w:color="auto"/>
              <w:bottom w:val="single" w:sz="12" w:space="0" w:color="auto"/>
            </w:tcBorders>
            <w:shd w:val="clear" w:color="auto" w:fill="auto"/>
            <w:vAlign w:val="bottom"/>
          </w:tcPr>
          <w:p w:rsidR="003417BA" w:rsidRPr="003417BA" w:rsidRDefault="003417BA" w:rsidP="003417BA">
            <w:pPr>
              <w:tabs>
                <w:tab w:val="left" w:pos="288"/>
                <w:tab w:val="left" w:pos="576"/>
                <w:tab w:val="left" w:pos="864"/>
                <w:tab w:val="left" w:pos="1152"/>
              </w:tabs>
              <w:spacing w:before="81" w:after="81" w:line="210" w:lineRule="exact"/>
              <w:ind w:left="288" w:right="43" w:hanging="288"/>
              <w:rPr>
                <w:b/>
                <w:kern w:val="0"/>
                <w:sz w:val="17"/>
              </w:rPr>
            </w:pPr>
            <w:r w:rsidRPr="003417BA">
              <w:rPr>
                <w:b/>
                <w:kern w:val="0"/>
                <w:sz w:val="17"/>
              </w:rPr>
              <w:tab/>
              <w:t>Total de escuelas superiores</w:t>
            </w:r>
          </w:p>
        </w:tc>
        <w:tc>
          <w:tcPr>
            <w:tcW w:w="978" w:type="dxa"/>
            <w:tcBorders>
              <w:top w:val="single" w:sz="4" w:space="0" w:color="auto"/>
              <w:bottom w:val="single" w:sz="12"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81" w:after="81" w:line="210" w:lineRule="exact"/>
              <w:ind w:left="113" w:right="40"/>
              <w:jc w:val="right"/>
              <w:rPr>
                <w:b/>
                <w:kern w:val="0"/>
                <w:sz w:val="17"/>
                <w:szCs w:val="24"/>
                <w:lang w:val="fr-FR"/>
              </w:rPr>
            </w:pPr>
            <w:r w:rsidRPr="003417BA">
              <w:rPr>
                <w:b/>
                <w:kern w:val="0"/>
                <w:sz w:val="17"/>
                <w:szCs w:val="24"/>
                <w:lang w:val="fr-FR"/>
              </w:rPr>
              <w:t>1 204</w:t>
            </w:r>
          </w:p>
        </w:tc>
        <w:tc>
          <w:tcPr>
            <w:tcW w:w="978" w:type="dxa"/>
            <w:tcBorders>
              <w:top w:val="single" w:sz="4" w:space="0" w:color="auto"/>
              <w:bottom w:val="single" w:sz="12"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81" w:after="81" w:line="210" w:lineRule="exact"/>
              <w:ind w:left="113" w:right="40"/>
              <w:jc w:val="right"/>
              <w:rPr>
                <w:b/>
                <w:kern w:val="0"/>
                <w:sz w:val="17"/>
                <w:szCs w:val="24"/>
                <w:lang w:val="fr-FR"/>
              </w:rPr>
            </w:pPr>
            <w:r w:rsidRPr="003417BA">
              <w:rPr>
                <w:b/>
                <w:kern w:val="0"/>
                <w:sz w:val="17"/>
                <w:szCs w:val="24"/>
                <w:lang w:val="fr-FR"/>
              </w:rPr>
              <w:t>60,05</w:t>
            </w:r>
          </w:p>
        </w:tc>
        <w:tc>
          <w:tcPr>
            <w:tcW w:w="978" w:type="dxa"/>
            <w:gridSpan w:val="2"/>
            <w:tcBorders>
              <w:top w:val="single" w:sz="4" w:space="0" w:color="auto"/>
              <w:bottom w:val="single" w:sz="12"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81" w:after="81" w:line="210" w:lineRule="exact"/>
              <w:ind w:left="113" w:right="40"/>
              <w:jc w:val="right"/>
              <w:rPr>
                <w:b/>
                <w:kern w:val="0"/>
                <w:sz w:val="17"/>
                <w:szCs w:val="24"/>
                <w:lang w:val="fr-FR"/>
              </w:rPr>
            </w:pPr>
            <w:r w:rsidRPr="003417BA">
              <w:rPr>
                <w:b/>
                <w:kern w:val="0"/>
                <w:sz w:val="17"/>
                <w:szCs w:val="24"/>
                <w:lang w:val="fr-FR"/>
              </w:rPr>
              <w:t>786</w:t>
            </w:r>
          </w:p>
        </w:tc>
        <w:tc>
          <w:tcPr>
            <w:tcW w:w="978" w:type="dxa"/>
            <w:tcBorders>
              <w:top w:val="single" w:sz="4" w:space="0" w:color="auto"/>
              <w:bottom w:val="single" w:sz="12"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81" w:after="81" w:line="210" w:lineRule="exact"/>
              <w:ind w:left="113" w:right="40"/>
              <w:jc w:val="right"/>
              <w:rPr>
                <w:b/>
                <w:kern w:val="0"/>
                <w:sz w:val="17"/>
                <w:szCs w:val="24"/>
                <w:lang w:val="fr-FR"/>
              </w:rPr>
            </w:pPr>
            <w:r w:rsidRPr="003417BA">
              <w:rPr>
                <w:b/>
                <w:kern w:val="0"/>
                <w:sz w:val="17"/>
                <w:szCs w:val="24"/>
                <w:lang w:val="fr-FR"/>
              </w:rPr>
              <w:t>39,05</w:t>
            </w:r>
          </w:p>
        </w:tc>
        <w:tc>
          <w:tcPr>
            <w:tcW w:w="1014" w:type="dxa"/>
            <w:tcBorders>
              <w:top w:val="single" w:sz="4" w:space="0" w:color="auto"/>
              <w:bottom w:val="single" w:sz="12" w:space="0" w:color="auto"/>
            </w:tcBorders>
            <w:shd w:val="clear" w:color="auto" w:fill="auto"/>
            <w:vAlign w:val="bottom"/>
          </w:tcPr>
          <w:p w:rsidR="003417BA" w:rsidRPr="003417BA" w:rsidRDefault="003417BA" w:rsidP="003417BA">
            <w:pPr>
              <w:pStyle w:val="NormalSchedule"/>
              <w:keepNext/>
              <w:tabs>
                <w:tab w:val="left" w:pos="288"/>
                <w:tab w:val="left" w:pos="576"/>
                <w:tab w:val="left" w:pos="864"/>
                <w:tab w:val="left" w:pos="1152"/>
              </w:tabs>
              <w:spacing w:before="81" w:after="81" w:line="210" w:lineRule="exact"/>
              <w:ind w:left="113" w:right="40"/>
              <w:jc w:val="right"/>
              <w:rPr>
                <w:b/>
                <w:kern w:val="0"/>
                <w:sz w:val="17"/>
                <w:szCs w:val="24"/>
                <w:lang w:val="fr-FR"/>
              </w:rPr>
            </w:pPr>
            <w:r w:rsidRPr="003417BA">
              <w:rPr>
                <w:b/>
                <w:kern w:val="0"/>
                <w:sz w:val="17"/>
                <w:szCs w:val="24"/>
                <w:lang w:val="fr-FR"/>
              </w:rPr>
              <w:t>1 990</w:t>
            </w:r>
          </w:p>
        </w:tc>
      </w:tr>
    </w:tbl>
    <w:p w:rsidR="003417BA" w:rsidRPr="003417BA" w:rsidRDefault="003417BA" w:rsidP="003417BA">
      <w:pPr>
        <w:pStyle w:val="SingleTxt"/>
        <w:spacing w:after="0" w:line="120" w:lineRule="exact"/>
        <w:rPr>
          <w:sz w:val="10"/>
        </w:rPr>
      </w:pPr>
    </w:p>
    <w:p w:rsidR="008835E7" w:rsidRPr="003417BA" w:rsidRDefault="003417BA" w:rsidP="003417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3417BA">
        <w:rPr>
          <w:i/>
          <w:sz w:val="17"/>
          <w:szCs w:val="17"/>
        </w:rPr>
        <w:t>Fuente</w:t>
      </w:r>
      <w:r w:rsidRPr="003417BA">
        <w:rPr>
          <w:sz w:val="17"/>
          <w:szCs w:val="17"/>
        </w:rPr>
        <w:t>: Anuario estadístico de la enseñanza superior 2002-2003</w:t>
      </w:r>
      <w:r>
        <w:rPr>
          <w:sz w:val="17"/>
          <w:szCs w:val="17"/>
        </w:rPr>
        <w:t>.</w:t>
      </w:r>
    </w:p>
    <w:p w:rsidR="003417BA" w:rsidRPr="003417BA" w:rsidRDefault="003417BA" w:rsidP="003417BA">
      <w:pPr>
        <w:pStyle w:val="SingleTxt"/>
        <w:suppressAutoHyphens/>
        <w:spacing w:after="0" w:line="120" w:lineRule="exact"/>
        <w:rPr>
          <w:sz w:val="10"/>
        </w:rPr>
      </w:pPr>
    </w:p>
    <w:p w:rsidR="003417BA" w:rsidRPr="003417BA" w:rsidRDefault="003417BA" w:rsidP="003417BA">
      <w:pPr>
        <w:pStyle w:val="SingleTxt"/>
        <w:suppressAutoHyphens/>
        <w:spacing w:after="0" w:line="120" w:lineRule="exact"/>
        <w:rPr>
          <w:sz w:val="10"/>
        </w:rPr>
      </w:pPr>
    </w:p>
    <w:p w:rsidR="003417BA" w:rsidRPr="003417BA" w:rsidRDefault="003417BA" w:rsidP="003417BA">
      <w:pPr>
        <w:pStyle w:val="SingleTxt"/>
        <w:suppressAutoHyphens/>
        <w:spacing w:after="0" w:line="120" w:lineRule="exact"/>
        <w:rPr>
          <w:sz w:val="10"/>
        </w:rPr>
      </w:pPr>
    </w:p>
    <w:p w:rsidR="00521B8C" w:rsidRPr="00521B8C" w:rsidRDefault="00521B8C" w:rsidP="00521B8C">
      <w:pPr>
        <w:pStyle w:val="SingleTxt"/>
        <w:suppressAutoHyphens/>
      </w:pPr>
      <w:r w:rsidRPr="00521B8C">
        <w:t>96.</w:t>
      </w:r>
      <w:r w:rsidR="000F6460">
        <w:tab/>
      </w:r>
      <w:r w:rsidRPr="00521B8C">
        <w:t>El Comité exhorta al Estado de Gabón a que en sus medidas prioritarias incluya el acceso de las jóvenes y las mujeres a todos los niveles de la educación, tomando al mismo tiempo medidas especiales y temporarias adecuadas para alentar a los padres y a los niños (por ejemplo: otorgamiento de becas a las niñas, subvenciones a los padres, etc.), e información para la población sobre la importancia de la educación en tanto que derecho humano esencial para que las mujeres obtengan la autonomía, la integración en los sistemas de educación y de formación, y el conocimiento de la Convención para la Eliminación de todas las formas de Discriminación contra la Mujer.</w:t>
      </w:r>
    </w:p>
    <w:p w:rsidR="00521B8C" w:rsidRPr="00521B8C" w:rsidRDefault="000F6460" w:rsidP="00521B8C">
      <w:pPr>
        <w:pStyle w:val="SingleTxt"/>
        <w:suppressAutoHyphens/>
      </w:pPr>
      <w:r>
        <w:t>97.</w:t>
      </w:r>
      <w:r>
        <w:tab/>
      </w:r>
      <w:r w:rsidR="00521B8C" w:rsidRPr="00521B8C">
        <w:t>A pesar de que la constatación hecha por el Comité es exacta en el plano estadístico, es esencial que el Estado de Gabón no establezca ninguna discriminación entre los varones y las mujeres en cuanto al acceso a la educación y la formación a todos los niveles. El Estado facilita más la educación de las mujeres. Por ejemplo: la construcción de guarderías en las provincias para que las madres jóvenes con escasos recursos y no tengan que interrumpir sus estudios a causa del nacimiento de uno o más hijos, o la formación de educadoras comunitarias para paliar los problemas de los niños en zonas rurales.</w:t>
      </w:r>
    </w:p>
    <w:p w:rsidR="00521B8C" w:rsidRPr="00521B8C" w:rsidRDefault="000F6460" w:rsidP="00521B8C">
      <w:pPr>
        <w:pStyle w:val="SingleTxt"/>
        <w:suppressAutoHyphens/>
      </w:pPr>
      <w:r>
        <w:t>98.</w:t>
      </w:r>
      <w:r>
        <w:tab/>
      </w:r>
      <w:r w:rsidR="00521B8C" w:rsidRPr="00521B8C">
        <w:t>En el mismo sentido se orientan las campañas de concienciación sobre la importancia de los estudios hechos por la Asociación de mujeres educadoras de Gabón (AFEG) en todo el país.</w:t>
      </w:r>
    </w:p>
    <w:p w:rsidR="000F6460" w:rsidRPr="000F6460" w:rsidRDefault="000F6460" w:rsidP="000F6460">
      <w:pPr>
        <w:pStyle w:val="SingleTxt"/>
        <w:suppressAutoHyphens/>
        <w:spacing w:after="0" w:line="120" w:lineRule="exact"/>
        <w:rPr>
          <w:sz w:val="10"/>
        </w:rPr>
      </w:pPr>
    </w:p>
    <w:p w:rsidR="000F6460" w:rsidRPr="000F6460" w:rsidRDefault="000F6460" w:rsidP="000F6460">
      <w:pPr>
        <w:pStyle w:val="SingleTxt"/>
        <w:suppressAutoHyphens/>
        <w:spacing w:after="0" w:line="120" w:lineRule="exact"/>
        <w:rPr>
          <w:sz w:val="10"/>
        </w:rPr>
      </w:pPr>
    </w:p>
    <w:p w:rsidR="00521B8C" w:rsidRPr="00521B8C" w:rsidRDefault="000F6460" w:rsidP="000F64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r>
      <w:r w:rsidR="00521B8C" w:rsidRPr="00521B8C">
        <w:t>Artículo 11 de la Convención: Promoción de la mujer en el empleo</w:t>
      </w:r>
    </w:p>
    <w:p w:rsidR="000F6460" w:rsidRPr="000F6460" w:rsidRDefault="000F6460" w:rsidP="000F6460">
      <w:pPr>
        <w:pStyle w:val="SingleTxt"/>
        <w:suppressAutoHyphens/>
        <w:spacing w:after="0" w:line="120" w:lineRule="exact"/>
        <w:rPr>
          <w:sz w:val="10"/>
        </w:rPr>
      </w:pPr>
    </w:p>
    <w:p w:rsidR="000F6460" w:rsidRPr="000F6460" w:rsidRDefault="000F6460" w:rsidP="000F6460">
      <w:pPr>
        <w:pStyle w:val="SingleTxt"/>
        <w:suppressAutoHyphens/>
        <w:spacing w:after="0" w:line="120" w:lineRule="exact"/>
        <w:rPr>
          <w:sz w:val="10"/>
        </w:rPr>
      </w:pPr>
    </w:p>
    <w:p w:rsidR="00521B8C" w:rsidRPr="000F6460" w:rsidRDefault="000F6460" w:rsidP="000F6460">
      <w:pPr>
        <w:pStyle w:val="SingleTxt"/>
        <w:suppressAutoHyphens/>
      </w:pPr>
      <w:r>
        <w:t>99.</w:t>
      </w:r>
      <w:r>
        <w:tab/>
      </w:r>
      <w:r w:rsidR="00521B8C" w:rsidRPr="000F6460">
        <w:t>La Constitución de la República de Gabón dispo</w:t>
      </w:r>
      <w:r>
        <w:t>ne en el párrafo 7 del artículo </w:t>
      </w:r>
      <w:r w:rsidR="00521B8C" w:rsidRPr="000F6460">
        <w:t>1, que cada ciudadano tiene el derecho de trabajar y de obtener un empleo. Nada puede perjudicar su trabajo por razones de origen, sexo, raza, opinión (ley N</w:t>
      </w:r>
      <w:r w:rsidR="00521B8C" w:rsidRPr="000F6460">
        <w:rPr>
          <w:vertAlign w:val="superscript"/>
        </w:rPr>
        <w:t>o</w:t>
      </w:r>
      <w:r>
        <w:t> </w:t>
      </w:r>
      <w:r w:rsidR="00521B8C" w:rsidRPr="000F6460">
        <w:t>3/91 de 26 de marzo de 1991, modificada por la ley N</w:t>
      </w:r>
      <w:r w:rsidR="00521B8C" w:rsidRPr="000F6460">
        <w:rPr>
          <w:vertAlign w:val="superscript"/>
        </w:rPr>
        <w:t>o</w:t>
      </w:r>
      <w:r w:rsidR="00521B8C" w:rsidRPr="000F6460">
        <w:t xml:space="preserve"> 13/2003 de 19 de agosto de 2003).</w:t>
      </w:r>
    </w:p>
    <w:p w:rsidR="00521B8C" w:rsidRPr="00521B8C" w:rsidRDefault="000F6460" w:rsidP="00521B8C">
      <w:pPr>
        <w:pStyle w:val="SingleTxt"/>
        <w:suppressAutoHyphens/>
      </w:pPr>
      <w:r>
        <w:t>100.</w:t>
      </w:r>
      <w:r>
        <w:tab/>
      </w:r>
      <w:r w:rsidR="00521B8C" w:rsidRPr="00521B8C">
        <w:t>El artículo 2 del Código de Trabajo dispone que toda persona, incluidos los que tienen discapacidad, tienen derecho a trabajar. El ejercicio de una actividad profesional es un deber nacional.</w:t>
      </w:r>
    </w:p>
    <w:p w:rsidR="00521B8C" w:rsidRPr="00521B8C" w:rsidRDefault="000F6460" w:rsidP="00521B8C">
      <w:pPr>
        <w:pStyle w:val="SingleTxt"/>
        <w:suppressAutoHyphens/>
      </w:pPr>
      <w:r>
        <w:t>101.</w:t>
      </w:r>
      <w:r>
        <w:tab/>
      </w:r>
      <w:r w:rsidR="00521B8C" w:rsidRPr="00521B8C">
        <w:t>El artículo 8 del mismo Código dispone que todos los trabajadores son iguales ante la ley y disfrutan de la misma protección y de las mismas garantías. Esta prohibida toda discriminación en materia de empleo y condiciones de trabajo basadas especialmente en la raza, el color, el sexo, la religión, la opinión política, la ascendencia nacional o el origen social. El estatuto general de los funcionarios y el estatuto general de la función pública disponen las mismas garantías en cuanto al nivel de empleo.</w:t>
      </w:r>
    </w:p>
    <w:p w:rsidR="00521B8C" w:rsidRPr="00521B8C" w:rsidRDefault="000F6460" w:rsidP="00521B8C">
      <w:pPr>
        <w:pStyle w:val="SingleTxt"/>
        <w:suppressAutoHyphens/>
      </w:pPr>
      <w:r>
        <w:t>102.</w:t>
      </w:r>
      <w:r>
        <w:tab/>
      </w:r>
      <w:r w:rsidR="00521B8C" w:rsidRPr="00521B8C">
        <w:t>Por consiguiente, en el Gabón no hay ninguna discriminación en materia de empleo. A diplomas iguales o calificación profesional igual, corresponde un salario igual para los ciudadanos de ambos sexos. Todas las otras leyes citadas en el informe precedente no han sido objeto de modificaciones desfavorables para la mujer. Siguen teniendo vigencia y se aplican.</w:t>
      </w:r>
    </w:p>
    <w:p w:rsidR="00521B8C" w:rsidRPr="00521B8C" w:rsidRDefault="000F6460" w:rsidP="00521B8C">
      <w:pPr>
        <w:pStyle w:val="SingleTxt"/>
        <w:suppressAutoHyphens/>
      </w:pPr>
      <w:r>
        <w:t>103.</w:t>
      </w:r>
      <w:r>
        <w:tab/>
      </w:r>
      <w:r w:rsidR="00521B8C" w:rsidRPr="00521B8C">
        <w:t>Hay sólo una edad de jubilación, que se ha aumentado de 55 a 60 años para los funcionarios distintos de los militares; para estos últimos, la edad de jubilación varía en función del grado, así como de los cuerpos que tienen estatutos particulares, para los que la edad de la jubilación se mantiene en 65 años (por ejemplo: magistrados, médicos, inspectores de trabajo, etc.).</w:t>
      </w:r>
    </w:p>
    <w:p w:rsidR="000F6460" w:rsidRPr="000F6460" w:rsidRDefault="000F6460" w:rsidP="000F6460">
      <w:pPr>
        <w:pStyle w:val="SingleTxt"/>
        <w:suppressAutoHyphens/>
        <w:spacing w:after="0" w:line="120" w:lineRule="exact"/>
        <w:rPr>
          <w:sz w:val="10"/>
        </w:rPr>
      </w:pPr>
    </w:p>
    <w:p w:rsidR="000F6460" w:rsidRPr="000F6460" w:rsidRDefault="000F6460" w:rsidP="000F6460">
      <w:pPr>
        <w:pStyle w:val="SingleTxt"/>
        <w:suppressAutoHyphens/>
        <w:spacing w:after="0" w:line="120" w:lineRule="exact"/>
        <w:rPr>
          <w:sz w:val="10"/>
        </w:rPr>
      </w:pPr>
    </w:p>
    <w:p w:rsidR="00521B8C" w:rsidRPr="00521B8C" w:rsidRDefault="000F6460" w:rsidP="000F64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21B8C" w:rsidRPr="00521B8C">
        <w:t>Artículo 12 de la Convención: Igualdad en materia de salud</w:t>
      </w:r>
    </w:p>
    <w:p w:rsidR="000F6460" w:rsidRPr="000F6460" w:rsidRDefault="000F6460" w:rsidP="000F6460">
      <w:pPr>
        <w:pStyle w:val="SingleTxt"/>
        <w:suppressAutoHyphens/>
        <w:spacing w:after="0" w:line="120" w:lineRule="exact"/>
        <w:rPr>
          <w:sz w:val="10"/>
        </w:rPr>
      </w:pPr>
    </w:p>
    <w:p w:rsidR="000F6460" w:rsidRPr="000F6460" w:rsidRDefault="000F6460" w:rsidP="000F6460">
      <w:pPr>
        <w:pStyle w:val="SingleTxt"/>
        <w:suppressAutoHyphens/>
        <w:spacing w:after="0" w:line="120" w:lineRule="exact"/>
        <w:rPr>
          <w:sz w:val="10"/>
        </w:rPr>
      </w:pPr>
    </w:p>
    <w:p w:rsidR="00521B8C" w:rsidRPr="00521B8C" w:rsidRDefault="000F6460" w:rsidP="000F64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21B8C" w:rsidRPr="00521B8C">
        <w:t>Inquietud N</w:t>
      </w:r>
      <w:r w:rsidR="00521B8C" w:rsidRPr="00521B8C">
        <w:rPr>
          <w:vertAlign w:val="superscript"/>
        </w:rPr>
        <w:t>o</w:t>
      </w:r>
      <w:r w:rsidR="00521B8C" w:rsidRPr="00521B8C">
        <w:t xml:space="preserve"> 36 y recomendación N</w:t>
      </w:r>
      <w:r w:rsidR="00521B8C" w:rsidRPr="00521B8C">
        <w:rPr>
          <w:vertAlign w:val="superscript"/>
        </w:rPr>
        <w:t>o</w:t>
      </w:r>
      <w:r w:rsidR="00521B8C" w:rsidRPr="00521B8C">
        <w:t xml:space="preserve"> 37 del Comité</w:t>
      </w:r>
    </w:p>
    <w:p w:rsidR="000F6460" w:rsidRPr="000F6460" w:rsidRDefault="000F6460" w:rsidP="000F6460">
      <w:pPr>
        <w:pStyle w:val="SingleTxt"/>
        <w:suppressAutoHyphens/>
        <w:spacing w:after="0" w:line="120" w:lineRule="exact"/>
        <w:rPr>
          <w:sz w:val="10"/>
        </w:rPr>
      </w:pPr>
    </w:p>
    <w:p w:rsidR="00521B8C" w:rsidRPr="00521B8C" w:rsidRDefault="000F6460" w:rsidP="00521B8C">
      <w:pPr>
        <w:pStyle w:val="SingleTxt"/>
        <w:suppressAutoHyphens/>
      </w:pPr>
      <w:r>
        <w:t>104.</w:t>
      </w:r>
      <w:r>
        <w:tab/>
      </w:r>
      <w:r w:rsidR="00521B8C" w:rsidRPr="00521B8C">
        <w:t>Se refiere a la falta de precisión de las medidas adoptadas para combatir la mortalidad infantil y materna y al acceso a los servicios de planificación de la familia, y a la prevalencia del VIH/SIDA. El Comité recomienda que en el informe se incluyan estadísticas detalladas y un análisis de las medidas adoptadas respecto de estos puntos, incluso en las zonas rurales, y los resultados de esas medidas.</w:t>
      </w:r>
    </w:p>
    <w:p w:rsidR="000F6460" w:rsidRPr="000F6460" w:rsidRDefault="000F6460" w:rsidP="000F6460">
      <w:pPr>
        <w:pStyle w:val="SingleTxt"/>
        <w:suppressAutoHyphens/>
        <w:spacing w:after="0" w:line="120" w:lineRule="exact"/>
        <w:rPr>
          <w:sz w:val="10"/>
        </w:rPr>
      </w:pPr>
    </w:p>
    <w:p w:rsidR="00521B8C" w:rsidRPr="00521B8C" w:rsidRDefault="000F6460" w:rsidP="000F64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21B8C" w:rsidRPr="00521B8C">
        <w:t>Medidas adoptadas</w:t>
      </w:r>
    </w:p>
    <w:p w:rsidR="000F6460" w:rsidRPr="000F6460" w:rsidRDefault="000F6460" w:rsidP="000F6460">
      <w:pPr>
        <w:pStyle w:val="SingleTxt"/>
        <w:suppressAutoHyphens/>
        <w:spacing w:after="0" w:line="120" w:lineRule="exact"/>
        <w:rPr>
          <w:sz w:val="10"/>
        </w:rPr>
      </w:pPr>
    </w:p>
    <w:p w:rsidR="00521B8C" w:rsidRPr="00521B8C" w:rsidRDefault="000F6460" w:rsidP="00521B8C">
      <w:pPr>
        <w:pStyle w:val="SingleTxt"/>
        <w:suppressAutoHyphens/>
      </w:pPr>
      <w:r>
        <w:t>105.</w:t>
      </w:r>
      <w:r>
        <w:tab/>
      </w:r>
      <w:r w:rsidR="00521B8C" w:rsidRPr="00521B8C">
        <w:t>Desde hace mucho tiempo Gabón ha hecho de la salud una de las prioridades de su política nacional y se ha adherido a diferentes iniciativas internacionales que se refieren a la reducción de la mortalidad materna perinatal. Se trata concretamente de la Iniciativa de la maternidad sin riesgo de Bamako de 1987, del Programa de acción de la Conferencia Internacional sobre la Población y el Desarrollo de 1994, de la cuarta Conferencia Mundial sobre la Mujer de Beijing de 1995 y de la Cumbre del Milenio para el desarrollo de 2000. Los objetivos 4 y 5 de esa Cumbre del Milenio tratan de la reducción en dos tercios de la mortalidad infantil y de tres cuartos de la mortalidad materna entre 1990 2015.</w:t>
      </w:r>
    </w:p>
    <w:p w:rsidR="00521B8C" w:rsidRPr="00521B8C" w:rsidRDefault="000F6460" w:rsidP="00521B8C">
      <w:pPr>
        <w:pStyle w:val="SingleTxt"/>
        <w:suppressAutoHyphens/>
      </w:pPr>
      <w:r>
        <w:t>106.</w:t>
      </w:r>
      <w:r>
        <w:tab/>
      </w:r>
      <w:r w:rsidR="00521B8C" w:rsidRPr="00521B8C">
        <w:t>El Ministerio de Salud Pública, con el apoyo de diferentes asociados, aplica esas diferentes iniciativas.</w:t>
      </w:r>
    </w:p>
    <w:p w:rsidR="00521B8C" w:rsidRPr="00521B8C" w:rsidRDefault="000F6460" w:rsidP="00521B8C">
      <w:pPr>
        <w:pStyle w:val="SingleTxt"/>
        <w:suppressAutoHyphens/>
      </w:pPr>
      <w:r>
        <w:t>107.</w:t>
      </w:r>
      <w:r>
        <w:tab/>
      </w:r>
      <w:r w:rsidR="00521B8C" w:rsidRPr="00521B8C">
        <w:t>Las medidas adoptadas en el sector de la salud reproductiva abarcan las cuatro (4) esferas siguientes:</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F6460">
        <w:tab/>
      </w:r>
      <w:r w:rsidR="00521B8C" w:rsidRPr="00521B8C">
        <w:t>1.</w:t>
      </w:r>
      <w:r>
        <w:tab/>
      </w:r>
      <w:r w:rsidR="00521B8C" w:rsidRPr="00521B8C">
        <w:t>Normativa</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SingleTxt"/>
        <w:tabs>
          <w:tab w:val="right" w:pos="1685"/>
        </w:tabs>
        <w:suppressAutoHyphens/>
        <w:ind w:left="1742" w:hanging="475"/>
      </w:pPr>
      <w:r>
        <w:tab/>
        <w:t>•</w:t>
      </w:r>
      <w:r>
        <w:tab/>
      </w:r>
      <w:r w:rsidR="00521B8C" w:rsidRPr="00521B8C">
        <w:t>La creación de un Comité nacional de salud reproductiva en 1991;</w:t>
      </w:r>
    </w:p>
    <w:p w:rsidR="00521B8C" w:rsidRPr="00521B8C" w:rsidRDefault="008D4161" w:rsidP="008D4161">
      <w:pPr>
        <w:pStyle w:val="SingleTxt"/>
        <w:tabs>
          <w:tab w:val="right" w:pos="1685"/>
        </w:tabs>
        <w:suppressAutoHyphens/>
        <w:ind w:left="1742" w:hanging="475"/>
      </w:pPr>
      <w:r>
        <w:tab/>
        <w:t>•</w:t>
      </w:r>
      <w:r>
        <w:tab/>
      </w:r>
      <w:r w:rsidR="00521B8C" w:rsidRPr="00521B8C">
        <w:t>La adopción de la iniciativa VISION 2010 de las Primeras Damas en 2001;</w:t>
      </w:r>
    </w:p>
    <w:p w:rsidR="00521B8C" w:rsidRPr="00521B8C" w:rsidRDefault="008D4161" w:rsidP="008D4161">
      <w:pPr>
        <w:pStyle w:val="SingleTxt"/>
        <w:tabs>
          <w:tab w:val="right" w:pos="1685"/>
        </w:tabs>
        <w:suppressAutoHyphens/>
        <w:ind w:left="1742" w:hanging="475"/>
      </w:pPr>
      <w:r>
        <w:tab/>
        <w:t>•</w:t>
      </w:r>
      <w:r>
        <w:tab/>
      </w:r>
      <w:r w:rsidR="00521B8C" w:rsidRPr="00521B8C">
        <w:t>La adopción de la hoja de ruta africana para acelerar la reducción de la morbilidad y la mortalidad maternas y neonatal adoptada por los Jefes de Estado de la Unión Africana en la Cumbre de Addis Abeba 1;</w:t>
      </w:r>
    </w:p>
    <w:p w:rsidR="00521B8C" w:rsidRPr="00521B8C" w:rsidRDefault="008D4161" w:rsidP="008D4161">
      <w:pPr>
        <w:pStyle w:val="SingleTxt"/>
        <w:tabs>
          <w:tab w:val="right" w:pos="1685"/>
        </w:tabs>
        <w:suppressAutoHyphens/>
        <w:ind w:left="1742" w:hanging="475"/>
      </w:pPr>
      <w:r>
        <w:tab/>
        <w:t>•</w:t>
      </w:r>
      <w:r>
        <w:tab/>
      </w:r>
      <w:r w:rsidR="00521B8C" w:rsidRPr="00521B8C">
        <w:t>Los estados generales de la salud en 2005;</w:t>
      </w:r>
    </w:p>
    <w:p w:rsidR="00521B8C" w:rsidRPr="00521B8C" w:rsidRDefault="008D4161" w:rsidP="008D4161">
      <w:pPr>
        <w:pStyle w:val="SingleTxt"/>
        <w:tabs>
          <w:tab w:val="right" w:pos="1685"/>
        </w:tabs>
        <w:suppressAutoHyphens/>
        <w:ind w:left="1742" w:hanging="475"/>
      </w:pPr>
      <w:r>
        <w:tab/>
        <w:t>•</w:t>
      </w:r>
      <w:r>
        <w:tab/>
      </w:r>
      <w:r w:rsidR="00521B8C" w:rsidRPr="00521B8C">
        <w:t>La Política nacional de la salud reproductiva 2001-2010;</w:t>
      </w:r>
    </w:p>
    <w:p w:rsidR="00521B8C" w:rsidRPr="00521B8C" w:rsidRDefault="008D4161" w:rsidP="008D4161">
      <w:pPr>
        <w:pStyle w:val="SingleTxt"/>
        <w:tabs>
          <w:tab w:val="right" w:pos="1685"/>
        </w:tabs>
        <w:suppressAutoHyphens/>
        <w:ind w:left="1742" w:hanging="475"/>
      </w:pPr>
      <w:r>
        <w:tab/>
        <w:t>•</w:t>
      </w:r>
      <w:r>
        <w:tab/>
      </w:r>
      <w:r w:rsidR="00521B8C" w:rsidRPr="00521B8C">
        <w:t>El Plan nacional de desarrollo sanitario 2007-2011;</w:t>
      </w:r>
    </w:p>
    <w:p w:rsidR="00521B8C" w:rsidRPr="00521B8C" w:rsidRDefault="008D4161" w:rsidP="008D4161">
      <w:pPr>
        <w:pStyle w:val="SingleTxt"/>
        <w:tabs>
          <w:tab w:val="right" w:pos="1685"/>
        </w:tabs>
        <w:suppressAutoHyphens/>
        <w:ind w:left="1742" w:hanging="475"/>
      </w:pPr>
      <w:r>
        <w:tab/>
        <w:t>•</w:t>
      </w:r>
      <w:r>
        <w:tab/>
      </w:r>
      <w:r w:rsidR="00521B8C" w:rsidRPr="00521B8C">
        <w:t>La Política nacional de la salud reproductiva 2013-2015;</w:t>
      </w:r>
    </w:p>
    <w:p w:rsidR="00521B8C" w:rsidRPr="00521B8C" w:rsidRDefault="008D4161" w:rsidP="008D4161">
      <w:pPr>
        <w:pStyle w:val="SingleTxt"/>
        <w:tabs>
          <w:tab w:val="right" w:pos="1685"/>
        </w:tabs>
        <w:suppressAutoHyphens/>
        <w:ind w:left="1742" w:hanging="475"/>
      </w:pPr>
      <w:r>
        <w:tab/>
        <w:t>•</w:t>
      </w:r>
      <w:r>
        <w:tab/>
      </w:r>
      <w:r w:rsidR="00521B8C" w:rsidRPr="00521B8C">
        <w:t xml:space="preserve">La celebración de las jornadas de lucha contra la mortalidad materna y neonatal en septiembre de 2000 </w:t>
      </w:r>
      <w:r w:rsidR="00EF6164" w:rsidRPr="00521B8C">
        <w:t>y</w:t>
      </w:r>
      <w:r w:rsidR="00EF6164">
        <w:t xml:space="preserve"> </w:t>
      </w:r>
      <w:r w:rsidR="00EF6164" w:rsidRPr="00521B8C">
        <w:t>2007</w:t>
      </w:r>
      <w:r w:rsidR="00521B8C" w:rsidRPr="00521B8C">
        <w:t>;</w:t>
      </w:r>
    </w:p>
    <w:p w:rsidR="00521B8C" w:rsidRPr="00521B8C" w:rsidRDefault="008D4161" w:rsidP="008D4161">
      <w:pPr>
        <w:pStyle w:val="SingleTxt"/>
        <w:tabs>
          <w:tab w:val="right" w:pos="1685"/>
        </w:tabs>
        <w:suppressAutoHyphens/>
        <w:ind w:left="1742" w:hanging="475"/>
      </w:pPr>
      <w:r>
        <w:tab/>
        <w:t>•</w:t>
      </w:r>
      <w:r>
        <w:tab/>
      </w:r>
      <w:r w:rsidR="00521B8C" w:rsidRPr="00521B8C">
        <w:t>La elaboración de la Guía práctica de prevención de la transmisión del VIH/SIDA de la madre al niño en 2004;</w:t>
      </w:r>
    </w:p>
    <w:p w:rsidR="00521B8C" w:rsidRPr="00521B8C" w:rsidRDefault="008D4161" w:rsidP="008D4161">
      <w:pPr>
        <w:pStyle w:val="SingleTxt"/>
        <w:tabs>
          <w:tab w:val="right" w:pos="1685"/>
        </w:tabs>
        <w:suppressAutoHyphens/>
        <w:ind w:left="1742" w:hanging="475"/>
      </w:pPr>
      <w:r>
        <w:tab/>
        <w:t>•</w:t>
      </w:r>
      <w:r>
        <w:tab/>
      </w:r>
      <w:r w:rsidR="00521B8C" w:rsidRPr="00521B8C">
        <w:t>El documento de política y normas nacionales en materia de prevención de la transmisión de la madre al niño de 2006;</w:t>
      </w:r>
    </w:p>
    <w:p w:rsidR="00521B8C" w:rsidRPr="00521B8C" w:rsidRDefault="008D4161" w:rsidP="008D4161">
      <w:pPr>
        <w:pStyle w:val="SingleTxt"/>
        <w:tabs>
          <w:tab w:val="right" w:pos="1685"/>
        </w:tabs>
        <w:suppressAutoHyphens/>
        <w:ind w:left="1742" w:hanging="475"/>
      </w:pPr>
      <w:r>
        <w:tab/>
        <w:t>•</w:t>
      </w:r>
      <w:r>
        <w:tab/>
      </w:r>
      <w:r w:rsidR="00521B8C" w:rsidRPr="00521B8C">
        <w:t>La Guía para tomar a cargo a personas que conviven con el VIH/SIDA en 2005;</w:t>
      </w:r>
    </w:p>
    <w:p w:rsidR="00521B8C" w:rsidRPr="00521B8C" w:rsidRDefault="008D4161" w:rsidP="008D4161">
      <w:pPr>
        <w:pStyle w:val="SingleTxt"/>
        <w:tabs>
          <w:tab w:val="right" w:pos="1685"/>
        </w:tabs>
        <w:suppressAutoHyphens/>
        <w:ind w:left="1742" w:hanging="475"/>
      </w:pPr>
      <w:r>
        <w:tab/>
        <w:t>•</w:t>
      </w:r>
      <w:r>
        <w:tab/>
      </w:r>
      <w:r w:rsidR="00521B8C" w:rsidRPr="00521B8C">
        <w:t>El documento de Estrategia, crecimiento y reducción de la pobreza (2006);</w:t>
      </w:r>
    </w:p>
    <w:p w:rsidR="00521B8C" w:rsidRPr="00521B8C" w:rsidRDefault="008D4161" w:rsidP="008D4161">
      <w:pPr>
        <w:pStyle w:val="SingleTxt"/>
        <w:tabs>
          <w:tab w:val="right" w:pos="1685"/>
        </w:tabs>
        <w:suppressAutoHyphens/>
        <w:ind w:left="1742" w:hanging="475"/>
      </w:pPr>
      <w:r>
        <w:tab/>
        <w:t>•</w:t>
      </w:r>
      <w:r>
        <w:tab/>
      </w:r>
      <w:r w:rsidR="00521B8C" w:rsidRPr="00521B8C">
        <w:t>La Carta sanitaria nacional 2007;</w:t>
      </w:r>
    </w:p>
    <w:p w:rsidR="00521B8C" w:rsidRPr="00521B8C" w:rsidRDefault="008D4161" w:rsidP="008D4161">
      <w:pPr>
        <w:pStyle w:val="SingleTxt"/>
        <w:tabs>
          <w:tab w:val="right" w:pos="1685"/>
        </w:tabs>
        <w:suppressAutoHyphens/>
        <w:ind w:left="1742" w:hanging="475"/>
      </w:pPr>
      <w:r>
        <w:tab/>
        <w:t>•</w:t>
      </w:r>
      <w:r>
        <w:tab/>
      </w:r>
      <w:r w:rsidR="00521B8C" w:rsidRPr="00521B8C">
        <w:t>El Plan de acción para eliminar el tétano neonatal y materno;</w:t>
      </w:r>
    </w:p>
    <w:p w:rsidR="00521B8C" w:rsidRPr="00521B8C" w:rsidRDefault="008D4161" w:rsidP="008D4161">
      <w:pPr>
        <w:pStyle w:val="SingleTxt"/>
        <w:tabs>
          <w:tab w:val="right" w:pos="1685"/>
        </w:tabs>
        <w:suppressAutoHyphens/>
        <w:ind w:left="1742" w:hanging="475"/>
      </w:pPr>
      <w:r>
        <w:tab/>
        <w:t>•</w:t>
      </w:r>
      <w:r>
        <w:tab/>
      </w:r>
      <w:r w:rsidR="00521B8C" w:rsidRPr="00521B8C">
        <w:t>La creación de un Ministerio de lucha contra el VIH;</w:t>
      </w:r>
    </w:p>
    <w:p w:rsidR="00521B8C" w:rsidRPr="00521B8C" w:rsidRDefault="008D4161" w:rsidP="008D4161">
      <w:pPr>
        <w:pStyle w:val="SingleTxt"/>
        <w:tabs>
          <w:tab w:val="right" w:pos="1685"/>
        </w:tabs>
        <w:suppressAutoHyphens/>
        <w:ind w:left="1742" w:hanging="475"/>
      </w:pPr>
      <w:r>
        <w:tab/>
        <w:t>•</w:t>
      </w:r>
      <w:r>
        <w:tab/>
      </w:r>
      <w:r w:rsidR="00521B8C" w:rsidRPr="00521B8C">
        <w:t>La elaboración y adopción del Plan estratégico nacional contra el VIH/SIDA, 2008-2012.</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F6460">
        <w:tab/>
      </w:r>
      <w:r w:rsidR="00521B8C" w:rsidRPr="00521B8C">
        <w:t>2.</w:t>
      </w:r>
      <w:r>
        <w:tab/>
      </w:r>
      <w:r w:rsidR="00521B8C" w:rsidRPr="00521B8C">
        <w:t>El marco jurídico</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SingleTxt"/>
        <w:tabs>
          <w:tab w:val="right" w:pos="1685"/>
        </w:tabs>
        <w:suppressAutoHyphens/>
        <w:ind w:left="1742" w:hanging="475"/>
      </w:pPr>
      <w:r>
        <w:tab/>
        <w:t>•</w:t>
      </w:r>
      <w:r>
        <w:tab/>
      </w:r>
      <w:r w:rsidR="00521B8C" w:rsidRPr="00521B8C">
        <w:t>Orden 64/69 de octubre de 1969, que prohíbe la promoción y el uso de anticonceptivos;</w:t>
      </w:r>
    </w:p>
    <w:p w:rsidR="00521B8C" w:rsidRPr="00521B8C" w:rsidRDefault="008D4161" w:rsidP="008D4161">
      <w:pPr>
        <w:pStyle w:val="SingleTxt"/>
        <w:tabs>
          <w:tab w:val="right" w:pos="1685"/>
        </w:tabs>
        <w:suppressAutoHyphens/>
        <w:ind w:left="1742" w:hanging="475"/>
      </w:pPr>
      <w:r>
        <w:tab/>
        <w:t>•</w:t>
      </w:r>
      <w:r>
        <w:tab/>
      </w:r>
      <w:r w:rsidR="00521B8C" w:rsidRPr="00521B8C">
        <w:t>Orden 001195, que contiene las orientaciones de la política de salud de la República del Gabón;</w:t>
      </w:r>
    </w:p>
    <w:p w:rsidR="00521B8C" w:rsidRPr="00521B8C" w:rsidRDefault="008D4161" w:rsidP="008D4161">
      <w:pPr>
        <w:pStyle w:val="SingleTxt"/>
        <w:tabs>
          <w:tab w:val="right" w:pos="1685"/>
        </w:tabs>
        <w:suppressAutoHyphens/>
        <w:ind w:left="1742" w:hanging="475"/>
      </w:pPr>
      <w:r>
        <w:tab/>
        <w:t>•</w:t>
      </w:r>
      <w:r>
        <w:tab/>
      </w:r>
      <w:r w:rsidR="00521B8C" w:rsidRPr="00521B8C">
        <w:t>Decreto 1158/PR/MSPP de 4 de septiembre de 1997, que fija las atribuciones y la organización del Ministerio de Salud Pública y de la población;</w:t>
      </w:r>
    </w:p>
    <w:p w:rsidR="00521B8C" w:rsidRPr="00521B8C" w:rsidRDefault="008D4161" w:rsidP="008D4161">
      <w:pPr>
        <w:pStyle w:val="SingleTxt"/>
        <w:tabs>
          <w:tab w:val="right" w:pos="1685"/>
        </w:tabs>
        <w:suppressAutoHyphens/>
        <w:ind w:left="1742" w:hanging="475"/>
      </w:pPr>
      <w:r>
        <w:tab/>
        <w:t>•</w:t>
      </w:r>
      <w:r>
        <w:tab/>
      </w:r>
      <w:r w:rsidR="00521B8C" w:rsidRPr="00521B8C">
        <w:t>Decreto 0004888/PR/MSPP de mayo de 1995, relativo a la creación, organización y funcionamiento de regiones y departamentos sanitarios;</w:t>
      </w:r>
    </w:p>
    <w:p w:rsidR="00521B8C" w:rsidRPr="00521B8C" w:rsidRDefault="008D4161" w:rsidP="008D4161">
      <w:pPr>
        <w:pStyle w:val="SingleTxt"/>
        <w:tabs>
          <w:tab w:val="right" w:pos="1685"/>
        </w:tabs>
        <w:suppressAutoHyphens/>
        <w:ind w:left="1742" w:hanging="475"/>
      </w:pPr>
      <w:r>
        <w:tab/>
        <w:t>•</w:t>
      </w:r>
      <w:r>
        <w:tab/>
      </w:r>
      <w:r w:rsidR="00521B8C" w:rsidRPr="00521B8C">
        <w:t>Ley nº 001/2000 que define ciertas medidas de carácter general de protección sanitaria y social de la mujer, de la madre y del niño, especialmente el acceso a la planificación familiar;</w:t>
      </w:r>
    </w:p>
    <w:p w:rsidR="00521B8C" w:rsidRPr="00521B8C" w:rsidRDefault="008D4161" w:rsidP="008D4161">
      <w:pPr>
        <w:pStyle w:val="SingleTxt"/>
        <w:tabs>
          <w:tab w:val="right" w:pos="1685"/>
        </w:tabs>
        <w:suppressAutoHyphens/>
        <w:ind w:left="1742" w:hanging="475"/>
      </w:pPr>
      <w:r>
        <w:tab/>
        <w:t>•</w:t>
      </w:r>
      <w:r>
        <w:tab/>
      </w:r>
      <w:r w:rsidR="00521B8C" w:rsidRPr="00521B8C">
        <w:t>Reglamento nº 0044LMSP/CAB de 10 de febrero de 2005, en el que se define en la lista de medicamentos, productos, objetos otros medios de anticoncepción y de protección emprendidos en las farmacias o en un centro autorizado y bajo control médico;</w:t>
      </w:r>
    </w:p>
    <w:p w:rsidR="00521B8C" w:rsidRPr="00521B8C" w:rsidRDefault="008D4161" w:rsidP="008D4161">
      <w:pPr>
        <w:pStyle w:val="SingleTxt"/>
        <w:tabs>
          <w:tab w:val="right" w:pos="1685"/>
        </w:tabs>
        <w:suppressAutoHyphens/>
        <w:ind w:left="1742" w:hanging="475"/>
      </w:pPr>
      <w:r>
        <w:tab/>
        <w:t>•</w:t>
      </w:r>
      <w:r>
        <w:tab/>
      </w:r>
      <w:r w:rsidR="00521B8C" w:rsidRPr="00521B8C">
        <w:t>Reglamento nº 00051IMSP en el que se define la lista de precios de los ensayos de diagnóstico;</w:t>
      </w:r>
    </w:p>
    <w:p w:rsidR="00521B8C" w:rsidRPr="00521B8C" w:rsidRDefault="008D4161" w:rsidP="008D4161">
      <w:pPr>
        <w:pStyle w:val="SingleTxt"/>
        <w:tabs>
          <w:tab w:val="right" w:pos="1685"/>
        </w:tabs>
        <w:suppressAutoHyphens/>
        <w:ind w:left="1742" w:hanging="475"/>
      </w:pPr>
      <w:r>
        <w:tab/>
        <w:t>•</w:t>
      </w:r>
      <w:r>
        <w:tab/>
      </w:r>
      <w:r w:rsidR="00521B8C" w:rsidRPr="00521B8C">
        <w:t>Decreto que contiene la reglamentación de la comercialización de los sustitutos de la leche materna.</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F6460">
        <w:tab/>
      </w:r>
      <w:r w:rsidR="00521B8C" w:rsidRPr="00521B8C">
        <w:t>3.</w:t>
      </w:r>
      <w:r>
        <w:tab/>
      </w:r>
      <w:r w:rsidR="00521B8C" w:rsidRPr="00521B8C">
        <w:t>Iniciativas, proyectos y programas</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SingleTxt"/>
        <w:tabs>
          <w:tab w:val="right" w:pos="1685"/>
        </w:tabs>
        <w:suppressAutoHyphens/>
        <w:ind w:left="1742" w:hanging="475"/>
      </w:pPr>
      <w:r>
        <w:tab/>
        <w:t>•</w:t>
      </w:r>
      <w:r>
        <w:tab/>
      </w:r>
      <w:r w:rsidR="00521B8C" w:rsidRPr="00521B8C">
        <w:t>Proyecto Maternidad sin riesgo, aprobado en 1987 y puesto en práctica en 1992;</w:t>
      </w:r>
    </w:p>
    <w:p w:rsidR="00521B8C" w:rsidRPr="00521B8C" w:rsidRDefault="008D4161" w:rsidP="008D4161">
      <w:pPr>
        <w:pStyle w:val="SingleTxt"/>
        <w:tabs>
          <w:tab w:val="right" w:pos="1685"/>
        </w:tabs>
        <w:suppressAutoHyphens/>
        <w:ind w:left="1742" w:hanging="475"/>
      </w:pPr>
      <w:r>
        <w:tab/>
        <w:t>•</w:t>
      </w:r>
      <w:r>
        <w:tab/>
      </w:r>
      <w:r w:rsidR="00521B8C" w:rsidRPr="00521B8C">
        <w:t>Proyecto de apoyo a la salud reproductiva en 1997-2002;</w:t>
      </w:r>
    </w:p>
    <w:p w:rsidR="00521B8C" w:rsidRPr="00521B8C" w:rsidRDefault="008D4161" w:rsidP="008D4161">
      <w:pPr>
        <w:pStyle w:val="SingleTxt"/>
        <w:tabs>
          <w:tab w:val="right" w:pos="1685"/>
        </w:tabs>
        <w:suppressAutoHyphens/>
        <w:ind w:left="1742" w:hanging="475"/>
      </w:pPr>
      <w:r>
        <w:tab/>
        <w:t>•</w:t>
      </w:r>
      <w:r>
        <w:tab/>
      </w:r>
      <w:r w:rsidR="00521B8C" w:rsidRPr="00521B8C">
        <w:t>Plan estratégico VIH/SIDA;</w:t>
      </w:r>
    </w:p>
    <w:p w:rsidR="00521B8C" w:rsidRPr="00521B8C" w:rsidRDefault="008D4161" w:rsidP="008D4161">
      <w:pPr>
        <w:pStyle w:val="SingleTxt"/>
        <w:tabs>
          <w:tab w:val="right" w:pos="1685"/>
        </w:tabs>
        <w:suppressAutoHyphens/>
        <w:ind w:left="1742" w:hanging="475"/>
      </w:pPr>
      <w:r>
        <w:tab/>
        <w:t>•</w:t>
      </w:r>
      <w:r>
        <w:tab/>
      </w:r>
      <w:r w:rsidR="00521B8C" w:rsidRPr="00521B8C">
        <w:t>Proyecto Prestaciones en salud reproductiva y mejora de la calidad de la atención de la salud reproductiva en 2002-2006;</w:t>
      </w:r>
    </w:p>
    <w:p w:rsidR="00521B8C" w:rsidRPr="00521B8C" w:rsidRDefault="008D4161" w:rsidP="008D4161">
      <w:pPr>
        <w:pStyle w:val="SingleTxt"/>
        <w:tabs>
          <w:tab w:val="right" w:pos="1685"/>
        </w:tabs>
        <w:suppressAutoHyphens/>
        <w:ind w:left="1742" w:hanging="475"/>
      </w:pPr>
      <w:r>
        <w:tab/>
        <w:t>•</w:t>
      </w:r>
      <w:r>
        <w:tab/>
      </w:r>
      <w:r w:rsidR="00521B8C" w:rsidRPr="00521B8C">
        <w:t>Plan de seguridad para los productos de la salud reproductiva en 2007;</w:t>
      </w:r>
    </w:p>
    <w:p w:rsidR="00521B8C" w:rsidRPr="00521B8C" w:rsidRDefault="008D4161" w:rsidP="008D4161">
      <w:pPr>
        <w:pStyle w:val="SingleTxt"/>
        <w:tabs>
          <w:tab w:val="right" w:pos="1685"/>
        </w:tabs>
        <w:suppressAutoHyphens/>
        <w:ind w:left="1742" w:hanging="475"/>
      </w:pPr>
      <w:r>
        <w:tab/>
        <w:t>•</w:t>
      </w:r>
      <w:r>
        <w:tab/>
      </w:r>
      <w:r w:rsidR="00521B8C" w:rsidRPr="00521B8C">
        <w:t>Elaboración de normas y reglas en materia de salud reproductiva en 2007;</w:t>
      </w:r>
    </w:p>
    <w:p w:rsidR="00521B8C" w:rsidRPr="00521B8C" w:rsidRDefault="008D4161" w:rsidP="008D4161">
      <w:pPr>
        <w:pStyle w:val="SingleTxt"/>
        <w:tabs>
          <w:tab w:val="right" w:pos="1685"/>
        </w:tabs>
        <w:suppressAutoHyphens/>
        <w:ind w:left="1742" w:hanging="475"/>
      </w:pPr>
      <w:r>
        <w:tab/>
        <w:t>•</w:t>
      </w:r>
      <w:r>
        <w:tab/>
      </w:r>
      <w:r w:rsidR="00521B8C" w:rsidRPr="00521B8C">
        <w:t>Programa de hospitales amigos de los recién nacidos;</w:t>
      </w:r>
    </w:p>
    <w:p w:rsidR="00521B8C" w:rsidRPr="00521B8C" w:rsidRDefault="008D4161" w:rsidP="008D4161">
      <w:pPr>
        <w:pStyle w:val="SingleTxt"/>
        <w:tabs>
          <w:tab w:val="right" w:pos="1685"/>
        </w:tabs>
        <w:suppressAutoHyphens/>
        <w:ind w:left="1742" w:hanging="475"/>
      </w:pPr>
      <w:r>
        <w:tab/>
        <w:t>•</w:t>
      </w:r>
      <w:r>
        <w:tab/>
      </w:r>
      <w:r w:rsidR="00521B8C" w:rsidRPr="00521B8C">
        <w:t>Creación de programas de promoción de la salud de la madre y la supervivencia del recién nacido;</w:t>
      </w:r>
    </w:p>
    <w:p w:rsidR="00521B8C" w:rsidRPr="00521B8C" w:rsidRDefault="008D4161" w:rsidP="008D4161">
      <w:pPr>
        <w:pStyle w:val="SingleTxt"/>
        <w:tabs>
          <w:tab w:val="right" w:pos="1685"/>
        </w:tabs>
        <w:suppressAutoHyphens/>
        <w:ind w:left="1742" w:hanging="475"/>
      </w:pPr>
      <w:r>
        <w:tab/>
        <w:t>•</w:t>
      </w:r>
      <w:r>
        <w:tab/>
      </w:r>
      <w:r w:rsidR="00521B8C" w:rsidRPr="00521B8C">
        <w:t>Atención integrada de las enfermedades prevalentes de la infancia (PCIM) a partir de 2000;</w:t>
      </w:r>
    </w:p>
    <w:p w:rsidR="00521B8C" w:rsidRPr="00521B8C" w:rsidRDefault="008D4161" w:rsidP="008D4161">
      <w:pPr>
        <w:pStyle w:val="SingleTxt"/>
        <w:tabs>
          <w:tab w:val="right" w:pos="1685"/>
        </w:tabs>
        <w:suppressAutoHyphens/>
        <w:ind w:left="1742" w:hanging="475"/>
      </w:pPr>
      <w:r>
        <w:tab/>
        <w:t>•</w:t>
      </w:r>
      <w:r>
        <w:tab/>
      </w:r>
      <w:r w:rsidR="00521B8C" w:rsidRPr="00521B8C">
        <w:t>Puesta en práctica del programa de prevención de la transmisión del VIH/SIDA de madre a hijo (PTME) en 2002;</w:t>
      </w:r>
    </w:p>
    <w:p w:rsidR="00521B8C" w:rsidRPr="00521B8C" w:rsidRDefault="008D4161" w:rsidP="008D4161">
      <w:pPr>
        <w:pStyle w:val="SingleTxt"/>
        <w:tabs>
          <w:tab w:val="right" w:pos="1685"/>
        </w:tabs>
        <w:suppressAutoHyphens/>
        <w:ind w:left="1742" w:hanging="475"/>
      </w:pPr>
      <w:r>
        <w:tab/>
        <w:t>•</w:t>
      </w:r>
      <w:r>
        <w:tab/>
      </w:r>
      <w:r w:rsidR="00521B8C" w:rsidRPr="00521B8C">
        <w:t>Puesta en práctica del plan de urgencia del Programa ampliado de vacunación (PEV) en 2006;</w:t>
      </w:r>
    </w:p>
    <w:p w:rsidR="00521B8C" w:rsidRPr="00521B8C" w:rsidRDefault="008D4161" w:rsidP="008D4161">
      <w:pPr>
        <w:pStyle w:val="SingleTxt"/>
        <w:tabs>
          <w:tab w:val="right" w:pos="1685"/>
        </w:tabs>
        <w:suppressAutoHyphens/>
        <w:ind w:left="1742" w:hanging="475"/>
      </w:pPr>
      <w:r>
        <w:tab/>
        <w:t>•</w:t>
      </w:r>
      <w:r>
        <w:tab/>
      </w:r>
      <w:r w:rsidR="00521B8C" w:rsidRPr="00521B8C">
        <w:t>Creación del Fondo terapéutico nacional de lucha contra el SIDA en 2001;</w:t>
      </w:r>
    </w:p>
    <w:p w:rsidR="00521B8C" w:rsidRPr="00521B8C" w:rsidRDefault="008D4161" w:rsidP="008D4161">
      <w:pPr>
        <w:pStyle w:val="SingleTxt"/>
        <w:tabs>
          <w:tab w:val="right" w:pos="1685"/>
        </w:tabs>
        <w:suppressAutoHyphens/>
        <w:ind w:left="1742" w:hanging="475"/>
      </w:pPr>
      <w:r>
        <w:tab/>
        <w:t>•</w:t>
      </w:r>
      <w:r>
        <w:tab/>
      </w:r>
      <w:r w:rsidR="00521B8C" w:rsidRPr="00521B8C">
        <w:t>Creación del Fondo multisectorial de lucha contra el SIDA en 2003-2004;</w:t>
      </w:r>
    </w:p>
    <w:p w:rsidR="00521B8C" w:rsidRPr="00521B8C" w:rsidRDefault="008D4161" w:rsidP="008D4161">
      <w:pPr>
        <w:pStyle w:val="SingleTxt"/>
        <w:tabs>
          <w:tab w:val="right" w:pos="1685"/>
        </w:tabs>
        <w:suppressAutoHyphens/>
        <w:ind w:left="1742" w:hanging="475"/>
      </w:pPr>
      <w:r>
        <w:tab/>
        <w:t>•</w:t>
      </w:r>
      <w:r>
        <w:tab/>
      </w:r>
      <w:r w:rsidR="00521B8C" w:rsidRPr="00521B8C">
        <w:t>Aceptación de Gabón para ingresar al Fondo Mundial de Lucha contra el SIDA, la Tuberculosis y la Malaria (2004-2005);</w:t>
      </w:r>
    </w:p>
    <w:p w:rsidR="00521B8C" w:rsidRPr="00521B8C" w:rsidRDefault="008D4161" w:rsidP="008D4161">
      <w:pPr>
        <w:pStyle w:val="SingleTxt"/>
        <w:tabs>
          <w:tab w:val="right" w:pos="1685"/>
        </w:tabs>
        <w:suppressAutoHyphens/>
        <w:ind w:left="1742" w:hanging="475"/>
      </w:pPr>
      <w:r>
        <w:tab/>
        <w:t>•</w:t>
      </w:r>
      <w:r>
        <w:tab/>
      </w:r>
      <w:r w:rsidR="00521B8C" w:rsidRPr="00521B8C">
        <w:t>Puesta en práctica de una campaña integr</w:t>
      </w:r>
      <w:r w:rsidR="00EF6164">
        <w:t xml:space="preserve">ada de suplementos de vitamina </w:t>
      </w:r>
      <w:r w:rsidR="00521B8C" w:rsidRPr="00521B8C">
        <w:t>A y de eliminación de parásitos en 2007;</w:t>
      </w:r>
    </w:p>
    <w:p w:rsidR="00521B8C" w:rsidRPr="00521B8C" w:rsidRDefault="008D4161" w:rsidP="008D4161">
      <w:pPr>
        <w:pStyle w:val="SingleTxt"/>
        <w:tabs>
          <w:tab w:val="right" w:pos="1685"/>
        </w:tabs>
        <w:suppressAutoHyphens/>
        <w:ind w:left="1742" w:hanging="475"/>
      </w:pPr>
      <w:r>
        <w:tab/>
        <w:t>•</w:t>
      </w:r>
      <w:r>
        <w:tab/>
      </w:r>
      <w:r w:rsidR="00521B8C" w:rsidRPr="00521B8C">
        <w:t>Plan nacional de aceleración de la supervivencia del niño en el Gabón (2009-2015).</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21B8C" w:rsidRPr="00521B8C">
        <w:t>Resultados de la puesta en práctica de esas diferentes iniciativas, especialmente:</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SingleTxt"/>
        <w:tabs>
          <w:tab w:val="right" w:pos="1685"/>
        </w:tabs>
        <w:suppressAutoHyphens/>
        <w:ind w:left="1742" w:hanging="475"/>
      </w:pPr>
      <w:r>
        <w:tab/>
        <w:t>•</w:t>
      </w:r>
      <w:r>
        <w:tab/>
      </w:r>
      <w:r w:rsidR="00521B8C" w:rsidRPr="00521B8C">
        <w:t>Fortalecimiento de las capacidades de los prestatarios de cuidados en la esfera de la salud materna, neonatal, infantil y de los adolescentes;</w:t>
      </w:r>
    </w:p>
    <w:p w:rsidR="00521B8C" w:rsidRPr="00521B8C" w:rsidRDefault="008D4161" w:rsidP="008D4161">
      <w:pPr>
        <w:pStyle w:val="SingleTxt"/>
        <w:tabs>
          <w:tab w:val="right" w:pos="1685"/>
        </w:tabs>
        <w:suppressAutoHyphens/>
        <w:ind w:left="1742" w:hanging="475"/>
      </w:pPr>
      <w:r>
        <w:tab/>
        <w:t>•</w:t>
      </w:r>
      <w:r>
        <w:tab/>
      </w:r>
      <w:r w:rsidR="00521B8C" w:rsidRPr="00521B8C">
        <w:t>Formación en planificac</w:t>
      </w:r>
      <w:r>
        <w:t>ión familiar;</w:t>
      </w:r>
    </w:p>
    <w:p w:rsidR="00521B8C" w:rsidRPr="00521B8C" w:rsidRDefault="008D4161" w:rsidP="008D4161">
      <w:pPr>
        <w:pStyle w:val="SingleTxt"/>
        <w:tabs>
          <w:tab w:val="right" w:pos="1685"/>
        </w:tabs>
        <w:suppressAutoHyphens/>
        <w:ind w:left="1742" w:hanging="475"/>
      </w:pPr>
      <w:r>
        <w:tab/>
        <w:t>•</w:t>
      </w:r>
      <w:r>
        <w:tab/>
      </w:r>
      <w:r w:rsidR="00521B8C" w:rsidRPr="00521B8C">
        <w:t>Creación del Centro de salud reproductiva (SR);</w:t>
      </w:r>
    </w:p>
    <w:p w:rsidR="00521B8C" w:rsidRPr="00521B8C" w:rsidRDefault="008D4161" w:rsidP="008D4161">
      <w:pPr>
        <w:pStyle w:val="SingleTxt"/>
        <w:tabs>
          <w:tab w:val="right" w:pos="1685"/>
        </w:tabs>
        <w:suppressAutoHyphens/>
        <w:ind w:left="1742" w:hanging="475"/>
      </w:pPr>
      <w:r>
        <w:tab/>
        <w:t>•</w:t>
      </w:r>
      <w:r>
        <w:tab/>
      </w:r>
      <w:r w:rsidR="00521B8C" w:rsidRPr="00521B8C">
        <w:t>Creación de centros de tratamiento por rehidratación (TRO);</w:t>
      </w:r>
    </w:p>
    <w:p w:rsidR="00521B8C" w:rsidRPr="00521B8C" w:rsidRDefault="008D4161" w:rsidP="008D4161">
      <w:pPr>
        <w:pStyle w:val="SingleTxt"/>
        <w:tabs>
          <w:tab w:val="right" w:pos="1685"/>
        </w:tabs>
        <w:suppressAutoHyphens/>
        <w:ind w:left="1742" w:hanging="475"/>
      </w:pPr>
      <w:r>
        <w:tab/>
        <w:t>•</w:t>
      </w:r>
      <w:r>
        <w:tab/>
      </w:r>
      <w:r w:rsidR="00521B8C" w:rsidRPr="00521B8C">
        <w:t>Creación de centros de atención de la malaria;</w:t>
      </w:r>
    </w:p>
    <w:p w:rsidR="00521B8C" w:rsidRPr="00521B8C" w:rsidRDefault="008D4161" w:rsidP="008D4161">
      <w:pPr>
        <w:pStyle w:val="SingleTxt"/>
        <w:tabs>
          <w:tab w:val="right" w:pos="1685"/>
        </w:tabs>
        <w:suppressAutoHyphens/>
        <w:ind w:left="1742" w:hanging="475"/>
      </w:pPr>
      <w:r>
        <w:tab/>
        <w:t>•</w:t>
      </w:r>
      <w:r>
        <w:tab/>
      </w:r>
      <w:r w:rsidR="00521B8C" w:rsidRPr="00521B8C">
        <w:t>Equipamiento de centros de salud y hospitales;</w:t>
      </w:r>
    </w:p>
    <w:p w:rsidR="00521B8C" w:rsidRPr="00521B8C" w:rsidRDefault="008D4161" w:rsidP="008D4161">
      <w:pPr>
        <w:pStyle w:val="SingleTxt"/>
        <w:tabs>
          <w:tab w:val="right" w:pos="1685"/>
        </w:tabs>
        <w:suppressAutoHyphens/>
        <w:ind w:left="1742" w:hanging="475"/>
      </w:pPr>
      <w:r>
        <w:tab/>
        <w:t>•</w:t>
      </w:r>
      <w:r>
        <w:tab/>
      </w:r>
      <w:r w:rsidR="00521B8C" w:rsidRPr="00521B8C">
        <w:t>Construcción y rehabilitación de infraestructuras sanitarias;</w:t>
      </w:r>
    </w:p>
    <w:p w:rsidR="00521B8C" w:rsidRPr="00521B8C" w:rsidRDefault="008D4161" w:rsidP="008D4161">
      <w:pPr>
        <w:pStyle w:val="SingleTxt"/>
        <w:tabs>
          <w:tab w:val="right" w:pos="1685"/>
        </w:tabs>
        <w:suppressAutoHyphens/>
        <w:ind w:left="1742" w:hanging="475"/>
      </w:pPr>
      <w:r>
        <w:tab/>
        <w:t>•</w:t>
      </w:r>
      <w:r>
        <w:tab/>
      </w:r>
      <w:r w:rsidR="00521B8C" w:rsidRPr="00521B8C">
        <w:t>Mejora de la cobertura de vacunación que pasa al 82% en 2008. La tasa de cobertura de la vacunación antitetánica es del 54%;</w:t>
      </w:r>
    </w:p>
    <w:p w:rsidR="00521B8C" w:rsidRPr="00521B8C" w:rsidRDefault="008D4161" w:rsidP="008D4161">
      <w:pPr>
        <w:pStyle w:val="SingleTxt"/>
        <w:tabs>
          <w:tab w:val="right" w:pos="1685"/>
        </w:tabs>
        <w:suppressAutoHyphens/>
        <w:ind w:left="1742" w:hanging="475"/>
      </w:pPr>
      <w:r>
        <w:tab/>
        <w:t>•</w:t>
      </w:r>
      <w:r>
        <w:tab/>
      </w:r>
      <w:r w:rsidR="00521B8C" w:rsidRPr="00521B8C">
        <w:t>Carácter gratuito del parto y de la operación cesárea en el centro hospitalario de Libreville a partir de 2007.</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F6460">
        <w:tab/>
      </w:r>
      <w:r w:rsidR="00521B8C" w:rsidRPr="00521B8C">
        <w:t>4.</w:t>
      </w:r>
      <w:r>
        <w:tab/>
      </w:r>
      <w:r w:rsidR="00521B8C" w:rsidRPr="00521B8C">
        <w:t>Investigación operacional</w:t>
      </w:r>
    </w:p>
    <w:p w:rsidR="008D4161" w:rsidRPr="008D4161" w:rsidRDefault="008D4161" w:rsidP="008D4161">
      <w:pPr>
        <w:pStyle w:val="SingleTxt"/>
        <w:suppressAutoHyphens/>
        <w:spacing w:after="0" w:line="120" w:lineRule="exact"/>
        <w:rPr>
          <w:sz w:val="10"/>
        </w:rPr>
      </w:pPr>
    </w:p>
    <w:p w:rsidR="00521B8C" w:rsidRPr="00521B8C" w:rsidRDefault="008D4161" w:rsidP="008D4161">
      <w:pPr>
        <w:pStyle w:val="SingleTxt"/>
        <w:tabs>
          <w:tab w:val="right" w:pos="1685"/>
        </w:tabs>
        <w:suppressAutoHyphens/>
        <w:ind w:left="1742" w:hanging="475"/>
      </w:pPr>
      <w:r>
        <w:tab/>
        <w:t>•</w:t>
      </w:r>
      <w:r>
        <w:tab/>
      </w:r>
      <w:r w:rsidR="00521B8C" w:rsidRPr="00521B8C">
        <w:t>Encuesta del proyecto Maternidad sin riesgo en Ngounié en 1993;</w:t>
      </w:r>
    </w:p>
    <w:p w:rsidR="00521B8C" w:rsidRPr="00521B8C" w:rsidRDefault="008D4161" w:rsidP="008D4161">
      <w:pPr>
        <w:pStyle w:val="SingleTxt"/>
        <w:tabs>
          <w:tab w:val="right" w:pos="1685"/>
        </w:tabs>
        <w:suppressAutoHyphens/>
        <w:ind w:left="1742" w:hanging="475"/>
      </w:pPr>
      <w:r>
        <w:tab/>
        <w:t>•</w:t>
      </w:r>
      <w:r>
        <w:tab/>
      </w:r>
      <w:r w:rsidR="00521B8C" w:rsidRPr="00521B8C">
        <w:t>Encuesta del proyecto inicial maternidad sin riesgo en l'Estuaire en 1995;</w:t>
      </w:r>
    </w:p>
    <w:p w:rsidR="00521B8C" w:rsidRPr="00521B8C" w:rsidRDefault="008D4161" w:rsidP="008D4161">
      <w:pPr>
        <w:pStyle w:val="SingleTxt"/>
        <w:tabs>
          <w:tab w:val="right" w:pos="1685"/>
        </w:tabs>
        <w:suppressAutoHyphens/>
        <w:ind w:left="1742" w:hanging="475"/>
      </w:pPr>
      <w:r>
        <w:tab/>
        <w:t>•</w:t>
      </w:r>
      <w:r>
        <w:tab/>
      </w:r>
      <w:r w:rsidR="00521B8C" w:rsidRPr="00521B8C">
        <w:t>EDSG 2000;</w:t>
      </w:r>
    </w:p>
    <w:p w:rsidR="00521B8C" w:rsidRPr="00521B8C" w:rsidRDefault="008D4161" w:rsidP="008D4161">
      <w:pPr>
        <w:pStyle w:val="SingleTxt"/>
        <w:tabs>
          <w:tab w:val="right" w:pos="1685"/>
        </w:tabs>
        <w:suppressAutoHyphens/>
        <w:ind w:left="1742" w:hanging="475"/>
      </w:pPr>
      <w:r>
        <w:tab/>
        <w:t>•</w:t>
      </w:r>
      <w:r>
        <w:tab/>
      </w:r>
      <w:r w:rsidR="00521B8C" w:rsidRPr="00521B8C">
        <w:t>Evaluación de la disponibilidad, la utilización y la calidad de los cuidados obstétricos de urgencia en Gabón en 2003;</w:t>
      </w:r>
    </w:p>
    <w:p w:rsidR="00521B8C" w:rsidRPr="00521B8C" w:rsidRDefault="008D4161" w:rsidP="008D4161">
      <w:pPr>
        <w:pStyle w:val="SingleTxt"/>
        <w:tabs>
          <w:tab w:val="right" w:pos="1685"/>
        </w:tabs>
        <w:suppressAutoHyphens/>
        <w:ind w:left="1742" w:hanging="475"/>
      </w:pPr>
      <w:r>
        <w:tab/>
        <w:t>•</w:t>
      </w:r>
      <w:r>
        <w:tab/>
      </w:r>
      <w:r w:rsidR="00521B8C" w:rsidRPr="00521B8C">
        <w:t>Auditoría de complicaciones obstétricas (Near-Miss) en el centro hospitalario de Libreville;</w:t>
      </w:r>
    </w:p>
    <w:p w:rsidR="00521B8C" w:rsidRPr="00521B8C" w:rsidRDefault="008D4161" w:rsidP="008D4161">
      <w:pPr>
        <w:pStyle w:val="SingleTxt"/>
        <w:tabs>
          <w:tab w:val="right" w:pos="1685"/>
        </w:tabs>
        <w:suppressAutoHyphens/>
        <w:ind w:left="1742" w:hanging="475"/>
      </w:pPr>
      <w:r>
        <w:tab/>
        <w:t>•</w:t>
      </w:r>
      <w:r>
        <w:tab/>
      </w:r>
      <w:r w:rsidR="00521B8C" w:rsidRPr="00521B8C">
        <w:t>Investigaciones conjuntas con la facultad de medicina en la esfera de la salud de la madre y el niño.</w:t>
      </w:r>
    </w:p>
    <w:p w:rsidR="00521B8C" w:rsidRPr="00521B8C" w:rsidRDefault="00521B8C" w:rsidP="00521B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tab/>
      </w:r>
      <w:r w:rsidRPr="00521B8C">
        <w:t>Situación sanitaria actual de la mujer: No hay datos desglosados por grupos de edades y sexo</w:t>
      </w:r>
    </w:p>
    <w:p w:rsidR="00521B8C" w:rsidRPr="00521B8C" w:rsidRDefault="00521B8C" w:rsidP="00521B8C">
      <w:pPr>
        <w:pStyle w:val="SingleTxt"/>
        <w:suppressAutoHyphens/>
        <w:spacing w:after="0" w:line="120" w:lineRule="exact"/>
        <w:rPr>
          <w:sz w:val="10"/>
        </w:rPr>
      </w:pPr>
    </w:p>
    <w:p w:rsidR="00521B8C" w:rsidRPr="00521B8C" w:rsidRDefault="00521B8C" w:rsidP="00521B8C">
      <w:pPr>
        <w:pStyle w:val="SingleTxt"/>
        <w:tabs>
          <w:tab w:val="right" w:pos="1685"/>
        </w:tabs>
        <w:suppressAutoHyphens/>
        <w:ind w:left="1742" w:hanging="475"/>
      </w:pPr>
      <w:r>
        <w:tab/>
        <w:t>•</w:t>
      </w:r>
      <w:r>
        <w:tab/>
      </w:r>
      <w:r w:rsidRPr="00521B8C">
        <w:t>Mortalidad infantil - 61 por 1000 (2000);</w:t>
      </w:r>
    </w:p>
    <w:p w:rsidR="00521B8C" w:rsidRPr="00521B8C" w:rsidRDefault="00521B8C" w:rsidP="00521B8C">
      <w:pPr>
        <w:pStyle w:val="SingleTxt"/>
        <w:tabs>
          <w:tab w:val="right" w:pos="1685"/>
        </w:tabs>
        <w:suppressAutoHyphens/>
        <w:ind w:left="1742" w:hanging="475"/>
      </w:pPr>
      <w:r>
        <w:tab/>
        <w:t>•</w:t>
      </w:r>
      <w:r>
        <w:tab/>
      </w:r>
      <w:r w:rsidRPr="00521B8C">
        <w:t>Mortalidad de menores de cinco años - 91,4 por 1000;</w:t>
      </w:r>
    </w:p>
    <w:p w:rsidR="00521B8C" w:rsidRPr="00521B8C" w:rsidRDefault="00521B8C" w:rsidP="00521B8C">
      <w:pPr>
        <w:pStyle w:val="SingleTxt"/>
        <w:tabs>
          <w:tab w:val="right" w:pos="1685"/>
        </w:tabs>
        <w:suppressAutoHyphens/>
        <w:ind w:left="1742" w:hanging="475"/>
      </w:pPr>
      <w:r>
        <w:tab/>
        <w:t>•</w:t>
      </w:r>
      <w:r>
        <w:tab/>
      </w:r>
      <w:r w:rsidRPr="00521B8C">
        <w:t>Mortalidad neonatal- 31 por 1000;</w:t>
      </w:r>
    </w:p>
    <w:p w:rsidR="00521B8C" w:rsidRPr="00521B8C" w:rsidRDefault="00521B8C" w:rsidP="00521B8C">
      <w:pPr>
        <w:pStyle w:val="SingleTxt"/>
        <w:tabs>
          <w:tab w:val="right" w:pos="1685"/>
        </w:tabs>
        <w:suppressAutoHyphens/>
        <w:ind w:left="1742" w:hanging="475"/>
      </w:pPr>
      <w:r>
        <w:tab/>
        <w:t>•</w:t>
      </w:r>
      <w:r>
        <w:tab/>
      </w:r>
      <w:r w:rsidRPr="00521B8C">
        <w:t>Mortalidad materna - 519 por 100.000 (2000);</w:t>
      </w:r>
    </w:p>
    <w:p w:rsidR="00521B8C" w:rsidRPr="00521B8C" w:rsidRDefault="00521B8C" w:rsidP="00521B8C">
      <w:pPr>
        <w:pStyle w:val="SingleTxt"/>
        <w:tabs>
          <w:tab w:val="right" w:pos="1685"/>
        </w:tabs>
        <w:suppressAutoHyphens/>
        <w:ind w:left="1742" w:hanging="475"/>
      </w:pPr>
      <w:r>
        <w:tab/>
        <w:t>•</w:t>
      </w:r>
      <w:r>
        <w:tab/>
      </w:r>
      <w:r w:rsidRPr="00521B8C">
        <w:t>Cuidados prenatales - CPN1: 94% y CPN4: 63%;</w:t>
      </w:r>
    </w:p>
    <w:p w:rsidR="00521B8C" w:rsidRPr="00521B8C" w:rsidRDefault="00521B8C" w:rsidP="00521B8C">
      <w:pPr>
        <w:pStyle w:val="SingleTxt"/>
        <w:tabs>
          <w:tab w:val="right" w:pos="1685"/>
        </w:tabs>
        <w:suppressAutoHyphens/>
        <w:ind w:left="1742" w:hanging="475"/>
      </w:pPr>
      <w:r>
        <w:tab/>
        <w:t>•</w:t>
      </w:r>
      <w:r>
        <w:tab/>
      </w:r>
      <w:r w:rsidRPr="00521B8C">
        <w:t>Partos asistidos - 87,3% (2000);</w:t>
      </w:r>
    </w:p>
    <w:p w:rsidR="00521B8C" w:rsidRPr="00521B8C" w:rsidRDefault="00521B8C" w:rsidP="00521B8C">
      <w:pPr>
        <w:pStyle w:val="SingleTxt"/>
        <w:tabs>
          <w:tab w:val="right" w:pos="1685"/>
        </w:tabs>
        <w:suppressAutoHyphens/>
        <w:ind w:left="1742" w:hanging="475"/>
        <w:jc w:val="left"/>
      </w:pPr>
      <w:r>
        <w:tab/>
        <w:t>•</w:t>
      </w:r>
      <w:r>
        <w:tab/>
      </w:r>
      <w:r w:rsidRPr="00521B8C">
        <w:t>Cuidados obstétricos y neonatales de urgencia (SONU) - 17% de las estructuras sanitarias (2003);</w:t>
      </w:r>
    </w:p>
    <w:p w:rsidR="00521B8C" w:rsidRPr="00521B8C" w:rsidRDefault="00521B8C" w:rsidP="00521B8C">
      <w:pPr>
        <w:pStyle w:val="SingleTxt"/>
        <w:tabs>
          <w:tab w:val="right" w:pos="1685"/>
        </w:tabs>
        <w:suppressAutoHyphens/>
        <w:ind w:left="1742" w:hanging="475"/>
      </w:pPr>
      <w:r>
        <w:tab/>
        <w:t>•</w:t>
      </w:r>
      <w:r>
        <w:tab/>
      </w:r>
      <w:r w:rsidRPr="00521B8C">
        <w:t>Prevalencia de anticonceptivos - 14% (2000);</w:t>
      </w:r>
    </w:p>
    <w:p w:rsidR="00521B8C" w:rsidRPr="00521B8C" w:rsidRDefault="00521B8C" w:rsidP="00521B8C">
      <w:pPr>
        <w:pStyle w:val="SingleTxt"/>
        <w:tabs>
          <w:tab w:val="right" w:pos="1685"/>
        </w:tabs>
        <w:suppressAutoHyphens/>
        <w:ind w:left="1742" w:hanging="475"/>
      </w:pPr>
      <w:r>
        <w:tab/>
        <w:t>•</w:t>
      </w:r>
      <w:r>
        <w:tab/>
      </w:r>
      <w:r w:rsidRPr="00521B8C">
        <w:t>Prevalencia del VIH - 5,9%;</w:t>
      </w:r>
    </w:p>
    <w:p w:rsidR="00521B8C" w:rsidRPr="00521B8C" w:rsidRDefault="00521B8C" w:rsidP="00521B8C">
      <w:pPr>
        <w:pStyle w:val="SingleTxt"/>
        <w:tabs>
          <w:tab w:val="right" w:pos="1685"/>
        </w:tabs>
        <w:suppressAutoHyphens/>
        <w:ind w:left="1742" w:hanging="475"/>
      </w:pPr>
      <w:r>
        <w:tab/>
        <w:t>•</w:t>
      </w:r>
      <w:r>
        <w:tab/>
      </w:r>
      <w:r w:rsidRPr="00521B8C">
        <w:t>VAT2 mujeres embarazadas - 67% (2008).</w:t>
      </w:r>
    </w:p>
    <w:p w:rsidR="00521B8C" w:rsidRPr="00521B8C" w:rsidRDefault="00521B8C" w:rsidP="00521B8C">
      <w:pPr>
        <w:pStyle w:val="SingleTxt"/>
        <w:suppressAutoHyphens/>
        <w:spacing w:after="0" w:line="120" w:lineRule="exact"/>
        <w:rPr>
          <w:sz w:val="10"/>
        </w:rPr>
      </w:pPr>
    </w:p>
    <w:p w:rsidR="008835E7" w:rsidRDefault="00521B8C" w:rsidP="00CE050B">
      <w:pPr>
        <w:pStyle w:val="H23"/>
        <w:tabs>
          <w:tab w:val="left" w:pos="475"/>
          <w:tab w:val="left" w:pos="965"/>
          <w:tab w:val="left" w:pos="1440"/>
          <w:tab w:val="left" w:pos="1915"/>
          <w:tab w:val="left" w:pos="2405"/>
          <w:tab w:val="left" w:pos="2880"/>
          <w:tab w:val="left" w:pos="3355"/>
        </w:tabs>
        <w:ind w:left="475" w:hanging="475"/>
      </w:pPr>
      <w:r>
        <w:tab/>
      </w:r>
      <w:r w:rsidRPr="00521B8C">
        <w:rPr>
          <w:b w:val="0"/>
        </w:rPr>
        <w:t>Cuadro 11</w:t>
      </w:r>
      <w:r>
        <w:br/>
      </w:r>
      <w:r w:rsidRPr="00521B8C">
        <w:t>Las estructuras sanitarias</w:t>
      </w:r>
    </w:p>
    <w:p w:rsidR="00521B8C" w:rsidRPr="00521B8C" w:rsidRDefault="00521B8C" w:rsidP="00521B8C">
      <w:pPr>
        <w:pStyle w:val="SingleTxt"/>
        <w:suppressAutoHyphens/>
        <w:spacing w:after="0" w:line="120" w:lineRule="exact"/>
        <w:rPr>
          <w:sz w:val="10"/>
        </w:rPr>
      </w:pPr>
    </w:p>
    <w:p w:rsidR="00521B8C" w:rsidRPr="00521B8C" w:rsidRDefault="00521B8C" w:rsidP="00521B8C">
      <w:pPr>
        <w:pStyle w:val="SingleTxt"/>
        <w:suppressAutoHyphens/>
        <w:spacing w:after="0" w:line="120" w:lineRule="exact"/>
        <w:rPr>
          <w:sz w:val="10"/>
        </w:rPr>
      </w:pPr>
    </w:p>
    <w:tbl>
      <w:tblPr>
        <w:tblW w:w="9838" w:type="dxa"/>
        <w:tblLayout w:type="fixed"/>
        <w:tblCellMar>
          <w:left w:w="0" w:type="dxa"/>
          <w:right w:w="0" w:type="dxa"/>
        </w:tblCellMar>
        <w:tblLook w:val="0000"/>
      </w:tblPr>
      <w:tblGrid>
        <w:gridCol w:w="1558"/>
        <w:gridCol w:w="410"/>
        <w:gridCol w:w="410"/>
        <w:gridCol w:w="410"/>
        <w:gridCol w:w="356"/>
        <w:gridCol w:w="738"/>
        <w:gridCol w:w="793"/>
        <w:gridCol w:w="765"/>
        <w:gridCol w:w="410"/>
        <w:gridCol w:w="410"/>
        <w:gridCol w:w="657"/>
        <w:gridCol w:w="691"/>
        <w:gridCol w:w="674"/>
        <w:gridCol w:w="899"/>
        <w:gridCol w:w="657"/>
      </w:tblGrid>
      <w:tr w:rsidR="00CE050B" w:rsidRPr="00CE050B" w:rsidTr="00CE050B">
        <w:tblPrEx>
          <w:tblCellMar>
            <w:top w:w="0" w:type="dxa"/>
            <w:bottom w:w="0" w:type="dxa"/>
          </w:tblCellMar>
        </w:tblPrEx>
        <w:trPr>
          <w:tblHeader/>
        </w:trPr>
        <w:tc>
          <w:tcPr>
            <w:tcW w:w="1558"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rPr>
                <w:i/>
                <w:kern w:val="0"/>
                <w:sz w:val="14"/>
              </w:rPr>
            </w:pPr>
            <w:r w:rsidRPr="00CE050B">
              <w:rPr>
                <w:i/>
                <w:kern w:val="0"/>
                <w:sz w:val="14"/>
              </w:rPr>
              <w:t>Región sanitaria</w:t>
            </w:r>
          </w:p>
        </w:tc>
        <w:tc>
          <w:tcPr>
            <w:tcW w:w="410"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CHI</w:t>
            </w:r>
          </w:p>
        </w:tc>
        <w:tc>
          <w:tcPr>
            <w:tcW w:w="410"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CHL</w:t>
            </w:r>
          </w:p>
        </w:tc>
        <w:tc>
          <w:tcPr>
            <w:tcW w:w="410"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CHR</w:t>
            </w:r>
          </w:p>
        </w:tc>
        <w:tc>
          <w:tcPr>
            <w:tcW w:w="356"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HR</w:t>
            </w:r>
          </w:p>
        </w:tc>
        <w:tc>
          <w:tcPr>
            <w:tcW w:w="738"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Hospitales especiales</w:t>
            </w:r>
          </w:p>
        </w:tc>
        <w:tc>
          <w:tcPr>
            <w:tcW w:w="793"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Bases epidemio</w:t>
            </w:r>
            <w:r w:rsidR="00EE5E02" w:rsidRPr="00CE050B">
              <w:rPr>
                <w:i/>
                <w:kern w:val="0"/>
                <w:sz w:val="14"/>
              </w:rPr>
              <w:t>-</w:t>
            </w:r>
            <w:r w:rsidRPr="00CE050B">
              <w:rPr>
                <w:i/>
                <w:kern w:val="0"/>
                <w:sz w:val="14"/>
              </w:rPr>
              <w:t>lógicas</w:t>
            </w:r>
          </w:p>
        </w:tc>
        <w:tc>
          <w:tcPr>
            <w:tcW w:w="765"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Bases higiénicas</w:t>
            </w:r>
          </w:p>
        </w:tc>
        <w:tc>
          <w:tcPr>
            <w:tcW w:w="410"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SMI</w:t>
            </w:r>
          </w:p>
        </w:tc>
        <w:tc>
          <w:tcPr>
            <w:tcW w:w="410"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CAT</w:t>
            </w:r>
          </w:p>
        </w:tc>
        <w:tc>
          <w:tcPr>
            <w:tcW w:w="657"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Centros médicos</w:t>
            </w:r>
          </w:p>
        </w:tc>
        <w:tc>
          <w:tcPr>
            <w:tcW w:w="691"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Centros de salud urbanos</w:t>
            </w:r>
          </w:p>
        </w:tc>
        <w:tc>
          <w:tcPr>
            <w:tcW w:w="674"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Centros de salud rurales</w:t>
            </w:r>
          </w:p>
        </w:tc>
        <w:tc>
          <w:tcPr>
            <w:tcW w:w="899"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Dispensarios</w:t>
            </w:r>
          </w:p>
        </w:tc>
        <w:tc>
          <w:tcPr>
            <w:tcW w:w="657" w:type="dxa"/>
            <w:tcBorders>
              <w:top w:val="single" w:sz="4" w:space="0" w:color="auto"/>
              <w:bottom w:val="single" w:sz="12" w:space="0" w:color="auto"/>
            </w:tcBorders>
            <w:shd w:val="clear" w:color="auto" w:fill="auto"/>
            <w:vAlign w:val="bottom"/>
          </w:tcPr>
          <w:p w:rsidR="008445B3" w:rsidRPr="00CE050B" w:rsidRDefault="008445B3" w:rsidP="00CE050B">
            <w:pPr>
              <w:spacing w:before="80" w:after="80" w:line="160" w:lineRule="exact"/>
              <w:ind w:right="40"/>
              <w:jc w:val="right"/>
              <w:rPr>
                <w:i/>
                <w:kern w:val="0"/>
                <w:sz w:val="14"/>
              </w:rPr>
            </w:pPr>
            <w:r w:rsidRPr="00CE050B">
              <w:rPr>
                <w:i/>
                <w:kern w:val="0"/>
                <w:sz w:val="14"/>
              </w:rPr>
              <w:t>Casas de salud</w:t>
            </w:r>
          </w:p>
        </w:tc>
      </w:tr>
      <w:tr w:rsidR="00CE050B" w:rsidRPr="00CE050B" w:rsidTr="00CE050B">
        <w:tblPrEx>
          <w:tblCellMar>
            <w:top w:w="0" w:type="dxa"/>
            <w:bottom w:w="0" w:type="dxa"/>
          </w:tblCellMar>
        </w:tblPrEx>
        <w:trPr>
          <w:trHeight w:hRule="exact" w:val="115"/>
          <w:tblHeader/>
        </w:trPr>
        <w:tc>
          <w:tcPr>
            <w:tcW w:w="1558" w:type="dxa"/>
            <w:tcBorders>
              <w:top w:val="single" w:sz="12" w:space="0" w:color="auto"/>
            </w:tcBorders>
            <w:shd w:val="clear" w:color="auto" w:fill="auto"/>
            <w:vAlign w:val="bottom"/>
          </w:tcPr>
          <w:p w:rsidR="00EE5E02" w:rsidRPr="00CE050B" w:rsidRDefault="00EE5E02" w:rsidP="00CE050B">
            <w:pPr>
              <w:widowControl w:val="0"/>
              <w:autoSpaceDE w:val="0"/>
              <w:autoSpaceDN w:val="0"/>
              <w:adjustRightInd w:val="0"/>
              <w:spacing w:before="40" w:after="40" w:line="210" w:lineRule="exact"/>
              <w:ind w:right="40"/>
              <w:rPr>
                <w:kern w:val="0"/>
                <w:sz w:val="17"/>
                <w:szCs w:val="24"/>
              </w:rPr>
            </w:pPr>
          </w:p>
        </w:tc>
        <w:tc>
          <w:tcPr>
            <w:tcW w:w="410"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410"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410"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356"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738"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793"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765"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410"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410"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657"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691"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674"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899"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c>
          <w:tcPr>
            <w:tcW w:w="657" w:type="dxa"/>
            <w:tcBorders>
              <w:top w:val="single" w:sz="12" w:space="0" w:color="auto"/>
            </w:tcBorders>
            <w:shd w:val="clear" w:color="auto" w:fill="auto"/>
            <w:vAlign w:val="bottom"/>
          </w:tcPr>
          <w:p w:rsidR="00EE5E02" w:rsidRPr="00CE050B" w:rsidRDefault="00EE5E02" w:rsidP="00CE050B">
            <w:pPr>
              <w:pStyle w:val="Bullet1G"/>
              <w:numPr>
                <w:ilvl w:val="0"/>
                <w:numId w:val="0"/>
              </w:numPr>
              <w:spacing w:before="40" w:after="40" w:line="210" w:lineRule="exact"/>
              <w:ind w:left="1531" w:right="40"/>
              <w:jc w:val="right"/>
              <w:rPr>
                <w:spacing w:val="4"/>
                <w:w w:val="103"/>
                <w:sz w:val="17"/>
                <w:szCs w:val="24"/>
                <w:lang w:val="fr-FR"/>
              </w:rPr>
            </w:pP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Libreville-Owendo</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7</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9</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Ouest (Estuaire)</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3</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3</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23</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4</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Sud-Est (Haut-Ogooué)</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11</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81</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Centre (Moyen-Ogooué)</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27</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10</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Centre Sud (Ngounié)</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8</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2</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86</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12</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Sud (Nyanga)</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356"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38"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793"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765"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410"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5</w:t>
            </w:r>
          </w:p>
        </w:tc>
        <w:tc>
          <w:tcPr>
            <w:tcW w:w="691"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0</w:t>
            </w:r>
          </w:p>
        </w:tc>
        <w:tc>
          <w:tcPr>
            <w:tcW w:w="674"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w:t>
            </w:r>
          </w:p>
        </w:tc>
        <w:tc>
          <w:tcPr>
            <w:tcW w:w="899"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36</w:t>
            </w:r>
          </w:p>
        </w:tc>
        <w:tc>
          <w:tcPr>
            <w:tcW w:w="657" w:type="dxa"/>
            <w:shd w:val="clear" w:color="auto" w:fill="auto"/>
            <w:vAlign w:val="bottom"/>
          </w:tcPr>
          <w:p w:rsidR="00EE5E02" w:rsidRPr="00CE050B" w:rsidRDefault="00EE5E02" w:rsidP="00CE050B">
            <w:pPr>
              <w:tabs>
                <w:tab w:val="left" w:pos="288"/>
                <w:tab w:val="left" w:pos="576"/>
                <w:tab w:val="left" w:pos="864"/>
                <w:tab w:val="left" w:pos="1152"/>
              </w:tabs>
              <w:spacing w:before="40" w:after="40" w:line="210" w:lineRule="exact"/>
              <w:ind w:right="40"/>
              <w:jc w:val="right"/>
              <w:rPr>
                <w:kern w:val="0"/>
                <w:sz w:val="17"/>
              </w:rPr>
            </w:pPr>
            <w:r w:rsidRPr="00CE050B">
              <w:rPr>
                <w:kern w:val="0"/>
                <w:sz w:val="17"/>
              </w:rPr>
              <w:t>12</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Est (Ogooué Ivindo)</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113"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1</w:t>
            </w:r>
          </w:p>
        </w:tc>
        <w:tc>
          <w:tcPr>
            <w:tcW w:w="356"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38"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93"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765"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2</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3</w:t>
            </w:r>
          </w:p>
        </w:tc>
        <w:tc>
          <w:tcPr>
            <w:tcW w:w="691"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674"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2</w:t>
            </w:r>
          </w:p>
        </w:tc>
        <w:tc>
          <w:tcPr>
            <w:tcW w:w="899"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61" w:right="40" w:firstLine="0"/>
              <w:jc w:val="right"/>
              <w:rPr>
                <w:spacing w:val="4"/>
                <w:w w:val="103"/>
                <w:kern w:val="0"/>
                <w:szCs w:val="24"/>
                <w:lang w:val="fr-FR"/>
              </w:rPr>
            </w:pPr>
            <w:r w:rsidRPr="00CE050B">
              <w:rPr>
                <w:spacing w:val="4"/>
                <w:w w:val="103"/>
                <w:kern w:val="0"/>
                <w:szCs w:val="24"/>
                <w:lang w:val="fr-FR"/>
              </w:rPr>
              <w:t>45</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21</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Centre Est (Ogooué Lolo)</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113"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1</w:t>
            </w:r>
          </w:p>
        </w:tc>
        <w:tc>
          <w:tcPr>
            <w:tcW w:w="356"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38"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93"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765"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3</w:t>
            </w:r>
          </w:p>
        </w:tc>
        <w:tc>
          <w:tcPr>
            <w:tcW w:w="691"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674"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3</w:t>
            </w:r>
          </w:p>
        </w:tc>
        <w:tc>
          <w:tcPr>
            <w:tcW w:w="899"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61" w:right="40" w:firstLine="0"/>
              <w:jc w:val="right"/>
              <w:rPr>
                <w:spacing w:val="4"/>
                <w:w w:val="103"/>
                <w:kern w:val="0"/>
                <w:szCs w:val="24"/>
                <w:lang w:val="fr-FR"/>
              </w:rPr>
            </w:pPr>
            <w:r w:rsidRPr="00CE050B">
              <w:rPr>
                <w:spacing w:val="4"/>
                <w:w w:val="103"/>
                <w:kern w:val="0"/>
                <w:szCs w:val="24"/>
                <w:lang w:val="fr-FR"/>
              </w:rPr>
              <w:t>69</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7</w:t>
            </w:r>
          </w:p>
        </w:tc>
      </w:tr>
      <w:tr w:rsidR="00CE050B" w:rsidRPr="00CE050B" w:rsidTr="00CE050B">
        <w:tblPrEx>
          <w:tblCellMar>
            <w:top w:w="0" w:type="dxa"/>
            <w:bottom w:w="0" w:type="dxa"/>
          </w:tblCellMar>
        </w:tblPrEx>
        <w:tc>
          <w:tcPr>
            <w:tcW w:w="1558" w:type="dxa"/>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CE050B">
              <w:rPr>
                <w:kern w:val="0"/>
                <w:sz w:val="17"/>
                <w:szCs w:val="24"/>
              </w:rPr>
              <w:t>Maritime (Ogooué maritime)</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113"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0</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4" w:right="40" w:firstLine="0"/>
              <w:jc w:val="right"/>
              <w:rPr>
                <w:spacing w:val="4"/>
                <w:w w:val="103"/>
                <w:kern w:val="0"/>
                <w:szCs w:val="24"/>
                <w:lang w:val="fr-FR"/>
              </w:rPr>
            </w:pPr>
            <w:r w:rsidRPr="00CE050B">
              <w:rPr>
                <w:spacing w:val="4"/>
                <w:w w:val="103"/>
                <w:kern w:val="0"/>
                <w:szCs w:val="24"/>
                <w:lang w:val="fr-FR"/>
              </w:rPr>
              <w:t>1</w:t>
            </w:r>
          </w:p>
        </w:tc>
        <w:tc>
          <w:tcPr>
            <w:tcW w:w="356"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38"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5" w:right="40" w:firstLine="0"/>
              <w:jc w:val="right"/>
              <w:rPr>
                <w:spacing w:val="4"/>
                <w:w w:val="103"/>
                <w:kern w:val="0"/>
                <w:szCs w:val="24"/>
                <w:lang w:val="fr-FR"/>
              </w:rPr>
            </w:pPr>
            <w:r w:rsidRPr="00CE050B">
              <w:rPr>
                <w:spacing w:val="4"/>
                <w:w w:val="103"/>
                <w:kern w:val="0"/>
                <w:szCs w:val="24"/>
                <w:lang w:val="fr-FR"/>
              </w:rPr>
              <w:t>0</w:t>
            </w:r>
          </w:p>
        </w:tc>
        <w:tc>
          <w:tcPr>
            <w:tcW w:w="793"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765"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410"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2</w:t>
            </w:r>
          </w:p>
        </w:tc>
        <w:tc>
          <w:tcPr>
            <w:tcW w:w="691"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674"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1</w:t>
            </w:r>
          </w:p>
        </w:tc>
        <w:tc>
          <w:tcPr>
            <w:tcW w:w="899"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61" w:right="40" w:firstLine="0"/>
              <w:jc w:val="right"/>
              <w:rPr>
                <w:spacing w:val="4"/>
                <w:w w:val="103"/>
                <w:kern w:val="0"/>
                <w:szCs w:val="24"/>
                <w:lang w:val="fr-FR"/>
              </w:rPr>
            </w:pPr>
            <w:r w:rsidRPr="00CE050B">
              <w:rPr>
                <w:spacing w:val="4"/>
                <w:w w:val="103"/>
                <w:kern w:val="0"/>
                <w:szCs w:val="24"/>
                <w:lang w:val="fr-FR"/>
              </w:rPr>
              <w:t>50</w:t>
            </w:r>
          </w:p>
        </w:tc>
        <w:tc>
          <w:tcPr>
            <w:tcW w:w="657" w:type="dxa"/>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40"/>
              <w:ind w:left="0" w:right="40" w:firstLine="0"/>
              <w:jc w:val="right"/>
              <w:rPr>
                <w:spacing w:val="4"/>
                <w:w w:val="103"/>
                <w:kern w:val="0"/>
                <w:szCs w:val="24"/>
                <w:lang w:val="fr-FR"/>
              </w:rPr>
            </w:pPr>
            <w:r w:rsidRPr="00CE050B">
              <w:rPr>
                <w:spacing w:val="4"/>
                <w:w w:val="103"/>
                <w:kern w:val="0"/>
                <w:szCs w:val="24"/>
                <w:lang w:val="fr-FR"/>
              </w:rPr>
              <w:t>4</w:t>
            </w:r>
          </w:p>
        </w:tc>
      </w:tr>
      <w:tr w:rsidR="00CE050B" w:rsidRPr="00CE050B" w:rsidTr="00CE050B">
        <w:tblPrEx>
          <w:tblCellMar>
            <w:top w:w="0" w:type="dxa"/>
            <w:bottom w:w="0" w:type="dxa"/>
          </w:tblCellMar>
        </w:tblPrEx>
        <w:tc>
          <w:tcPr>
            <w:tcW w:w="1558" w:type="dxa"/>
            <w:tcBorders>
              <w:bottom w:val="single" w:sz="4" w:space="0" w:color="auto"/>
            </w:tcBorders>
            <w:shd w:val="clear" w:color="auto" w:fill="auto"/>
            <w:vAlign w:val="bottom"/>
          </w:tcPr>
          <w:p w:rsidR="00EE5E02" w:rsidRPr="00CE050B" w:rsidRDefault="00EE5E02" w:rsidP="00CE050B">
            <w:pPr>
              <w:widowControl w:val="0"/>
              <w:tabs>
                <w:tab w:val="left" w:pos="288"/>
                <w:tab w:val="left" w:pos="576"/>
                <w:tab w:val="left" w:pos="864"/>
                <w:tab w:val="left" w:pos="1152"/>
              </w:tabs>
              <w:autoSpaceDE w:val="0"/>
              <w:autoSpaceDN w:val="0"/>
              <w:adjustRightInd w:val="0"/>
              <w:spacing w:before="40" w:after="81" w:line="210" w:lineRule="exact"/>
              <w:ind w:right="40"/>
              <w:rPr>
                <w:kern w:val="0"/>
                <w:sz w:val="17"/>
                <w:szCs w:val="24"/>
              </w:rPr>
            </w:pPr>
            <w:r w:rsidRPr="00CE050B">
              <w:rPr>
                <w:kern w:val="0"/>
                <w:sz w:val="17"/>
                <w:szCs w:val="24"/>
              </w:rPr>
              <w:t>Nord (Woleu Ntem)</w:t>
            </w:r>
          </w:p>
        </w:tc>
        <w:tc>
          <w:tcPr>
            <w:tcW w:w="410"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113" w:right="40" w:firstLine="0"/>
              <w:jc w:val="right"/>
              <w:rPr>
                <w:spacing w:val="4"/>
                <w:w w:val="103"/>
                <w:kern w:val="0"/>
                <w:szCs w:val="24"/>
                <w:lang w:val="fr-FR"/>
              </w:rPr>
            </w:pPr>
            <w:r w:rsidRPr="00CE050B">
              <w:rPr>
                <w:spacing w:val="4"/>
                <w:w w:val="103"/>
                <w:kern w:val="0"/>
                <w:szCs w:val="24"/>
                <w:lang w:val="fr-FR"/>
              </w:rPr>
              <w:t>0</w:t>
            </w:r>
          </w:p>
        </w:tc>
        <w:tc>
          <w:tcPr>
            <w:tcW w:w="410"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4" w:right="40" w:firstLine="0"/>
              <w:jc w:val="right"/>
              <w:rPr>
                <w:spacing w:val="4"/>
                <w:w w:val="103"/>
                <w:kern w:val="0"/>
                <w:szCs w:val="24"/>
                <w:lang w:val="fr-FR"/>
              </w:rPr>
            </w:pPr>
            <w:r w:rsidRPr="00CE050B">
              <w:rPr>
                <w:spacing w:val="4"/>
                <w:w w:val="103"/>
                <w:kern w:val="0"/>
                <w:szCs w:val="24"/>
                <w:lang w:val="fr-FR"/>
              </w:rPr>
              <w:t>0</w:t>
            </w:r>
          </w:p>
        </w:tc>
        <w:tc>
          <w:tcPr>
            <w:tcW w:w="410"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4" w:right="40" w:firstLine="0"/>
              <w:jc w:val="right"/>
              <w:rPr>
                <w:spacing w:val="4"/>
                <w:w w:val="103"/>
                <w:kern w:val="0"/>
                <w:szCs w:val="24"/>
                <w:lang w:val="fr-FR"/>
              </w:rPr>
            </w:pPr>
            <w:r w:rsidRPr="00CE050B">
              <w:rPr>
                <w:spacing w:val="4"/>
                <w:w w:val="103"/>
                <w:kern w:val="0"/>
                <w:szCs w:val="24"/>
                <w:lang w:val="fr-FR"/>
              </w:rPr>
              <w:t>1</w:t>
            </w:r>
          </w:p>
        </w:tc>
        <w:tc>
          <w:tcPr>
            <w:tcW w:w="356"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5" w:right="40" w:firstLine="0"/>
              <w:jc w:val="right"/>
              <w:rPr>
                <w:spacing w:val="4"/>
                <w:w w:val="103"/>
                <w:kern w:val="0"/>
                <w:szCs w:val="24"/>
                <w:lang w:val="fr-FR"/>
              </w:rPr>
            </w:pPr>
            <w:r w:rsidRPr="00CE050B">
              <w:rPr>
                <w:spacing w:val="4"/>
                <w:w w:val="103"/>
                <w:kern w:val="0"/>
                <w:szCs w:val="24"/>
                <w:lang w:val="fr-FR"/>
              </w:rPr>
              <w:t>0</w:t>
            </w:r>
          </w:p>
        </w:tc>
        <w:tc>
          <w:tcPr>
            <w:tcW w:w="738"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5" w:right="40" w:firstLine="0"/>
              <w:jc w:val="right"/>
              <w:rPr>
                <w:spacing w:val="4"/>
                <w:w w:val="103"/>
                <w:kern w:val="0"/>
                <w:szCs w:val="24"/>
                <w:lang w:val="fr-FR"/>
              </w:rPr>
            </w:pPr>
            <w:r w:rsidRPr="00CE050B">
              <w:rPr>
                <w:spacing w:val="4"/>
                <w:w w:val="103"/>
                <w:kern w:val="0"/>
                <w:szCs w:val="24"/>
                <w:lang w:val="fr-FR"/>
              </w:rPr>
              <w:t>1</w:t>
            </w:r>
          </w:p>
        </w:tc>
        <w:tc>
          <w:tcPr>
            <w:tcW w:w="793"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1</w:t>
            </w:r>
          </w:p>
        </w:tc>
        <w:tc>
          <w:tcPr>
            <w:tcW w:w="765"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1</w:t>
            </w:r>
          </w:p>
        </w:tc>
        <w:tc>
          <w:tcPr>
            <w:tcW w:w="410"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1</w:t>
            </w:r>
          </w:p>
        </w:tc>
        <w:tc>
          <w:tcPr>
            <w:tcW w:w="410"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1</w:t>
            </w:r>
          </w:p>
        </w:tc>
        <w:tc>
          <w:tcPr>
            <w:tcW w:w="657"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4</w:t>
            </w:r>
          </w:p>
        </w:tc>
        <w:tc>
          <w:tcPr>
            <w:tcW w:w="691"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1</w:t>
            </w:r>
          </w:p>
        </w:tc>
        <w:tc>
          <w:tcPr>
            <w:tcW w:w="674"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5</w:t>
            </w:r>
          </w:p>
        </w:tc>
        <w:tc>
          <w:tcPr>
            <w:tcW w:w="899"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61" w:right="40" w:firstLine="0"/>
              <w:jc w:val="right"/>
              <w:rPr>
                <w:spacing w:val="4"/>
                <w:w w:val="103"/>
                <w:kern w:val="0"/>
                <w:szCs w:val="24"/>
                <w:lang w:val="fr-FR"/>
              </w:rPr>
            </w:pPr>
            <w:r w:rsidRPr="00CE050B">
              <w:rPr>
                <w:spacing w:val="4"/>
                <w:w w:val="103"/>
                <w:kern w:val="0"/>
                <w:szCs w:val="24"/>
                <w:lang w:val="fr-FR"/>
              </w:rPr>
              <w:t>55</w:t>
            </w:r>
          </w:p>
        </w:tc>
        <w:tc>
          <w:tcPr>
            <w:tcW w:w="657" w:type="dxa"/>
            <w:tcBorders>
              <w:bottom w:val="single" w:sz="4" w:space="0" w:color="auto"/>
            </w:tcBorders>
            <w:shd w:val="clear" w:color="auto" w:fill="auto"/>
            <w:vAlign w:val="bottom"/>
          </w:tcPr>
          <w:p w:rsidR="00EE5E02" w:rsidRPr="00CE050B" w:rsidRDefault="00EE5E02" w:rsidP="00CE050B">
            <w:pPr>
              <w:pStyle w:val="FootnoteText"/>
              <w:tabs>
                <w:tab w:val="left" w:pos="288"/>
                <w:tab w:val="left" w:pos="576"/>
                <w:tab w:val="left" w:pos="864"/>
                <w:tab w:val="left" w:pos="1152"/>
              </w:tabs>
              <w:spacing w:before="40" w:after="81"/>
              <w:ind w:left="0" w:right="40" w:firstLine="0"/>
              <w:jc w:val="right"/>
              <w:rPr>
                <w:spacing w:val="4"/>
                <w:w w:val="103"/>
                <w:kern w:val="0"/>
                <w:szCs w:val="24"/>
                <w:lang w:val="fr-FR"/>
              </w:rPr>
            </w:pPr>
            <w:r w:rsidRPr="00CE050B">
              <w:rPr>
                <w:spacing w:val="4"/>
                <w:w w:val="103"/>
                <w:kern w:val="0"/>
                <w:szCs w:val="24"/>
                <w:lang w:val="fr-FR"/>
              </w:rPr>
              <w:t>25</w:t>
            </w:r>
          </w:p>
        </w:tc>
      </w:tr>
      <w:tr w:rsidR="00CE050B" w:rsidRPr="00CE050B" w:rsidTr="00CE050B">
        <w:tblPrEx>
          <w:tblCellMar>
            <w:top w:w="0" w:type="dxa"/>
            <w:bottom w:w="0" w:type="dxa"/>
          </w:tblCellMar>
        </w:tblPrEx>
        <w:tc>
          <w:tcPr>
            <w:tcW w:w="1558" w:type="dxa"/>
            <w:tcBorders>
              <w:top w:val="single" w:sz="4" w:space="0" w:color="auto"/>
              <w:bottom w:val="single" w:sz="12" w:space="0" w:color="auto"/>
            </w:tcBorders>
            <w:shd w:val="clear" w:color="auto" w:fill="auto"/>
            <w:vAlign w:val="bottom"/>
          </w:tcPr>
          <w:p w:rsidR="00CE050B" w:rsidRPr="00CE050B" w:rsidRDefault="00CE050B" w:rsidP="00CE050B">
            <w:pPr>
              <w:widowControl w:val="0"/>
              <w:tabs>
                <w:tab w:val="left" w:pos="288"/>
                <w:tab w:val="left" w:pos="576"/>
                <w:tab w:val="left" w:pos="864"/>
                <w:tab w:val="left" w:pos="1152"/>
              </w:tabs>
              <w:autoSpaceDE w:val="0"/>
              <w:autoSpaceDN w:val="0"/>
              <w:adjustRightInd w:val="0"/>
              <w:spacing w:before="81" w:after="81" w:line="210" w:lineRule="exact"/>
              <w:ind w:right="40"/>
              <w:rPr>
                <w:b/>
                <w:kern w:val="0"/>
                <w:sz w:val="17"/>
                <w:szCs w:val="24"/>
              </w:rPr>
            </w:pPr>
            <w:r w:rsidRPr="00CE050B">
              <w:rPr>
                <w:b/>
                <w:kern w:val="0"/>
                <w:sz w:val="17"/>
                <w:szCs w:val="24"/>
              </w:rPr>
              <w:tab/>
              <w:t>Total Gabón</w:t>
            </w:r>
          </w:p>
        </w:tc>
        <w:tc>
          <w:tcPr>
            <w:tcW w:w="410"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0</w:t>
            </w:r>
          </w:p>
        </w:tc>
        <w:tc>
          <w:tcPr>
            <w:tcW w:w="410"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w:t>
            </w:r>
          </w:p>
        </w:tc>
        <w:tc>
          <w:tcPr>
            <w:tcW w:w="410"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8</w:t>
            </w:r>
          </w:p>
        </w:tc>
        <w:tc>
          <w:tcPr>
            <w:tcW w:w="356"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3</w:t>
            </w:r>
          </w:p>
        </w:tc>
        <w:tc>
          <w:tcPr>
            <w:tcW w:w="738"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3</w:t>
            </w:r>
          </w:p>
        </w:tc>
        <w:tc>
          <w:tcPr>
            <w:tcW w:w="793"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10</w:t>
            </w:r>
          </w:p>
        </w:tc>
        <w:tc>
          <w:tcPr>
            <w:tcW w:w="765"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11</w:t>
            </w:r>
          </w:p>
        </w:tc>
        <w:tc>
          <w:tcPr>
            <w:tcW w:w="410"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11</w:t>
            </w:r>
          </w:p>
        </w:tc>
        <w:tc>
          <w:tcPr>
            <w:tcW w:w="410"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15</w:t>
            </w:r>
          </w:p>
        </w:tc>
        <w:tc>
          <w:tcPr>
            <w:tcW w:w="657"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42</w:t>
            </w:r>
          </w:p>
        </w:tc>
        <w:tc>
          <w:tcPr>
            <w:tcW w:w="691"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16</w:t>
            </w:r>
          </w:p>
        </w:tc>
        <w:tc>
          <w:tcPr>
            <w:tcW w:w="674"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16</w:t>
            </w:r>
          </w:p>
        </w:tc>
        <w:tc>
          <w:tcPr>
            <w:tcW w:w="899"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472</w:t>
            </w:r>
          </w:p>
        </w:tc>
        <w:tc>
          <w:tcPr>
            <w:tcW w:w="657" w:type="dxa"/>
            <w:tcBorders>
              <w:top w:val="single" w:sz="4" w:space="0" w:color="auto"/>
              <w:bottom w:val="single" w:sz="12" w:space="0" w:color="auto"/>
            </w:tcBorders>
            <w:shd w:val="clear" w:color="auto" w:fill="auto"/>
            <w:vAlign w:val="bottom"/>
          </w:tcPr>
          <w:p w:rsidR="00CE050B" w:rsidRPr="00CE050B" w:rsidRDefault="00CE050B" w:rsidP="00CE050B">
            <w:pPr>
              <w:tabs>
                <w:tab w:val="left" w:pos="288"/>
                <w:tab w:val="left" w:pos="576"/>
                <w:tab w:val="left" w:pos="864"/>
                <w:tab w:val="left" w:pos="1152"/>
              </w:tabs>
              <w:spacing w:before="81" w:after="81" w:line="210" w:lineRule="exact"/>
              <w:ind w:right="40"/>
              <w:jc w:val="right"/>
              <w:rPr>
                <w:b/>
                <w:kern w:val="0"/>
                <w:sz w:val="17"/>
              </w:rPr>
            </w:pPr>
            <w:r w:rsidRPr="00CE050B">
              <w:rPr>
                <w:b/>
                <w:kern w:val="0"/>
                <w:sz w:val="17"/>
              </w:rPr>
              <w:t>97</w:t>
            </w:r>
          </w:p>
        </w:tc>
      </w:tr>
    </w:tbl>
    <w:p w:rsidR="008445B3" w:rsidRPr="008445B3" w:rsidRDefault="008445B3" w:rsidP="008445B3">
      <w:pPr>
        <w:pStyle w:val="SingleTxt"/>
        <w:spacing w:after="0" w:line="120" w:lineRule="exact"/>
        <w:rPr>
          <w:sz w:val="10"/>
        </w:rPr>
      </w:pPr>
    </w:p>
    <w:p w:rsidR="008445B3" w:rsidRPr="00EE5E02" w:rsidRDefault="008445B3" w:rsidP="00EE5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16"/>
          <w:tab w:val="left" w:pos="288"/>
          <w:tab w:val="right" w:pos="576"/>
          <w:tab w:val="left" w:pos="648"/>
        </w:tabs>
        <w:spacing w:after="0" w:line="210" w:lineRule="exact"/>
        <w:ind w:left="288" w:right="0" w:hanging="288"/>
        <w:rPr>
          <w:sz w:val="17"/>
          <w:szCs w:val="17"/>
        </w:rPr>
      </w:pPr>
      <w:r w:rsidRPr="00EE5E02">
        <w:rPr>
          <w:i/>
          <w:sz w:val="17"/>
          <w:szCs w:val="17"/>
        </w:rPr>
        <w:t>Fuente</w:t>
      </w:r>
      <w:r w:rsidRPr="00EE5E02">
        <w:rPr>
          <w:sz w:val="17"/>
          <w:szCs w:val="17"/>
        </w:rPr>
        <w:t>: Carta sanitaria 2007.</w:t>
      </w:r>
    </w:p>
    <w:p w:rsidR="008445B3" w:rsidRPr="008445B3" w:rsidRDefault="008445B3" w:rsidP="008445B3">
      <w:pPr>
        <w:pStyle w:val="SingleTxt"/>
        <w:spacing w:after="0" w:line="120" w:lineRule="exact"/>
        <w:rPr>
          <w:sz w:val="10"/>
        </w:rPr>
      </w:pPr>
    </w:p>
    <w:p w:rsidR="008445B3" w:rsidRPr="008445B3" w:rsidRDefault="008445B3" w:rsidP="008445B3">
      <w:pPr>
        <w:pStyle w:val="SingleTxt"/>
        <w:spacing w:after="0" w:line="120" w:lineRule="exact"/>
        <w:rPr>
          <w:sz w:val="10"/>
        </w:rPr>
      </w:pPr>
    </w:p>
    <w:p w:rsidR="008445B3" w:rsidRPr="008445B3" w:rsidRDefault="008445B3" w:rsidP="008445B3">
      <w:pPr>
        <w:pStyle w:val="SingleTxt"/>
        <w:spacing w:after="0" w:line="120" w:lineRule="exact"/>
        <w:rPr>
          <w:sz w:val="10"/>
        </w:rPr>
      </w:pPr>
    </w:p>
    <w:p w:rsidR="008445B3" w:rsidRDefault="008445B3" w:rsidP="008445B3">
      <w:pPr>
        <w:pStyle w:val="SingleTxt"/>
      </w:pPr>
      <w:r>
        <w:t>108.</w:t>
      </w:r>
      <w:r>
        <w:tab/>
        <w:t>En lo que se refiere concretamente a las maternidades, la de Libreville se encuentra claramente a la cabeza, con el 29% de las instalaciones.</w:t>
      </w:r>
    </w:p>
    <w:p w:rsidR="008445B3" w:rsidRPr="008445B3" w:rsidRDefault="008445B3" w:rsidP="008445B3">
      <w:pPr>
        <w:pStyle w:val="SingleTxt"/>
        <w:spacing w:after="0" w:line="120" w:lineRule="exact"/>
        <w:rPr>
          <w:sz w:val="10"/>
        </w:rPr>
      </w:pPr>
    </w:p>
    <w:p w:rsidR="00521B8C" w:rsidRDefault="008445B3" w:rsidP="008445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445B3">
        <w:rPr>
          <w:b w:val="0"/>
        </w:rPr>
        <w:t>Cuadro 12</w:t>
      </w:r>
      <w:r>
        <w:br/>
        <w:t>Número de maternidades</w:t>
      </w:r>
    </w:p>
    <w:p w:rsidR="008445B3" w:rsidRPr="008445B3" w:rsidRDefault="008445B3" w:rsidP="008445B3">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440"/>
        <w:gridCol w:w="2122"/>
        <w:gridCol w:w="2758"/>
      </w:tblGrid>
      <w:tr w:rsidR="00193471" w:rsidRPr="00193471" w:rsidTr="00C62284">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93471" w:rsidRPr="00193471" w:rsidRDefault="00193471" w:rsidP="00193471">
            <w:pPr>
              <w:widowControl w:val="0"/>
              <w:autoSpaceDE w:val="0"/>
              <w:autoSpaceDN w:val="0"/>
              <w:adjustRightInd w:val="0"/>
              <w:spacing w:before="80" w:after="80" w:line="160" w:lineRule="exact"/>
              <w:ind w:right="40"/>
              <w:rPr>
                <w:i/>
                <w:kern w:val="0"/>
                <w:sz w:val="14"/>
                <w:szCs w:val="24"/>
              </w:rPr>
            </w:pPr>
            <w:r w:rsidRPr="00193471">
              <w:rPr>
                <w:i/>
                <w:iCs/>
                <w:kern w:val="0"/>
                <w:sz w:val="14"/>
                <w:szCs w:val="24"/>
              </w:rPr>
              <w:t>Localidad</w:t>
            </w:r>
          </w:p>
        </w:tc>
        <w:tc>
          <w:tcPr>
            <w:tcW w:w="2122" w:type="dxa"/>
            <w:tcBorders>
              <w:top w:val="single" w:sz="4" w:space="0" w:color="auto"/>
              <w:bottom w:val="single" w:sz="12" w:space="0" w:color="auto"/>
            </w:tcBorders>
            <w:shd w:val="clear" w:color="auto" w:fill="auto"/>
            <w:vAlign w:val="bottom"/>
          </w:tcPr>
          <w:p w:rsidR="00193471" w:rsidRPr="00193471" w:rsidRDefault="00193471" w:rsidP="00193471">
            <w:pPr>
              <w:widowControl w:val="0"/>
              <w:autoSpaceDE w:val="0"/>
              <w:autoSpaceDN w:val="0"/>
              <w:adjustRightInd w:val="0"/>
              <w:spacing w:before="80" w:after="80" w:line="160" w:lineRule="exact"/>
              <w:ind w:right="40"/>
              <w:jc w:val="right"/>
              <w:rPr>
                <w:i/>
                <w:kern w:val="0"/>
                <w:sz w:val="14"/>
                <w:szCs w:val="24"/>
              </w:rPr>
            </w:pPr>
            <w:r w:rsidRPr="00193471">
              <w:rPr>
                <w:i/>
                <w:iCs/>
                <w:kern w:val="0"/>
                <w:sz w:val="14"/>
                <w:szCs w:val="24"/>
              </w:rPr>
              <w:t>Número</w:t>
            </w:r>
          </w:p>
        </w:tc>
        <w:tc>
          <w:tcPr>
            <w:tcW w:w="2758" w:type="dxa"/>
            <w:tcBorders>
              <w:top w:val="single" w:sz="4" w:space="0" w:color="auto"/>
              <w:bottom w:val="single" w:sz="12" w:space="0" w:color="auto"/>
            </w:tcBorders>
            <w:shd w:val="clear" w:color="auto" w:fill="auto"/>
            <w:vAlign w:val="bottom"/>
          </w:tcPr>
          <w:p w:rsidR="00193471" w:rsidRPr="00193471" w:rsidRDefault="00193471" w:rsidP="00193471">
            <w:pPr>
              <w:widowControl w:val="0"/>
              <w:autoSpaceDE w:val="0"/>
              <w:autoSpaceDN w:val="0"/>
              <w:adjustRightInd w:val="0"/>
              <w:spacing w:before="80" w:after="80" w:line="160" w:lineRule="exact"/>
              <w:ind w:right="40"/>
              <w:jc w:val="right"/>
              <w:rPr>
                <w:i/>
                <w:kern w:val="0"/>
                <w:sz w:val="14"/>
                <w:szCs w:val="24"/>
              </w:rPr>
            </w:pPr>
            <w:r w:rsidRPr="00193471">
              <w:rPr>
                <w:i/>
                <w:iCs/>
                <w:kern w:val="0"/>
                <w:sz w:val="14"/>
                <w:szCs w:val="24"/>
              </w:rPr>
              <w:t>Porcentaje</w:t>
            </w:r>
          </w:p>
        </w:tc>
      </w:tr>
      <w:tr w:rsidR="00193471" w:rsidRPr="00193471" w:rsidTr="00C62284">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93471" w:rsidRPr="00193471" w:rsidRDefault="00193471" w:rsidP="00193471">
            <w:pPr>
              <w:widowControl w:val="0"/>
              <w:autoSpaceDE w:val="0"/>
              <w:autoSpaceDN w:val="0"/>
              <w:adjustRightInd w:val="0"/>
              <w:spacing w:before="40" w:after="40" w:line="210" w:lineRule="exact"/>
              <w:ind w:right="40"/>
              <w:rPr>
                <w:kern w:val="0"/>
                <w:sz w:val="17"/>
                <w:szCs w:val="24"/>
              </w:rPr>
            </w:pPr>
          </w:p>
        </w:tc>
        <w:tc>
          <w:tcPr>
            <w:tcW w:w="2122" w:type="dxa"/>
            <w:tcBorders>
              <w:top w:val="single" w:sz="12" w:space="0" w:color="auto"/>
            </w:tcBorders>
            <w:shd w:val="clear" w:color="auto" w:fill="auto"/>
            <w:vAlign w:val="bottom"/>
          </w:tcPr>
          <w:p w:rsidR="00193471" w:rsidRPr="00193471" w:rsidRDefault="00193471" w:rsidP="00193471">
            <w:pPr>
              <w:pStyle w:val="DTpara"/>
              <w:numPr>
                <w:ilvl w:val="0"/>
                <w:numId w:val="0"/>
              </w:numPr>
              <w:spacing w:before="40" w:after="40" w:line="210" w:lineRule="exact"/>
              <w:ind w:left="-247" w:right="40"/>
              <w:jc w:val="right"/>
              <w:rPr>
                <w:spacing w:val="4"/>
                <w:w w:val="103"/>
                <w:sz w:val="17"/>
                <w:szCs w:val="24"/>
                <w:lang w:val="fr-FR"/>
              </w:rPr>
            </w:pPr>
          </w:p>
        </w:tc>
        <w:tc>
          <w:tcPr>
            <w:tcW w:w="2758" w:type="dxa"/>
            <w:tcBorders>
              <w:top w:val="single" w:sz="12" w:space="0" w:color="auto"/>
            </w:tcBorders>
            <w:shd w:val="clear" w:color="auto" w:fill="auto"/>
            <w:vAlign w:val="bottom"/>
          </w:tcPr>
          <w:p w:rsidR="00193471" w:rsidRPr="00193471" w:rsidRDefault="00193471" w:rsidP="00193471">
            <w:pPr>
              <w:pStyle w:val="DTpara"/>
              <w:numPr>
                <w:ilvl w:val="0"/>
                <w:numId w:val="0"/>
              </w:numPr>
              <w:spacing w:before="40" w:after="40" w:line="210" w:lineRule="exact"/>
              <w:ind w:left="-247" w:right="40"/>
              <w:jc w:val="right"/>
              <w:rPr>
                <w:spacing w:val="4"/>
                <w:w w:val="103"/>
                <w:sz w:val="17"/>
                <w:szCs w:val="24"/>
                <w:lang w:val="fr-FR"/>
              </w:rPr>
            </w:pP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Libreville</w:t>
            </w:r>
          </w:p>
        </w:tc>
        <w:tc>
          <w:tcPr>
            <w:tcW w:w="2122"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18</w:t>
            </w:r>
          </w:p>
        </w:tc>
        <w:tc>
          <w:tcPr>
            <w:tcW w:w="2758"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29</w:t>
            </w: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Estuaire</w:t>
            </w:r>
          </w:p>
        </w:tc>
        <w:tc>
          <w:tcPr>
            <w:tcW w:w="2122"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p>
        </w:tc>
        <w:tc>
          <w:tcPr>
            <w:tcW w:w="2758"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Haut-Ogooué</w:t>
            </w:r>
          </w:p>
        </w:tc>
        <w:tc>
          <w:tcPr>
            <w:tcW w:w="2122"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12</w:t>
            </w:r>
          </w:p>
        </w:tc>
        <w:tc>
          <w:tcPr>
            <w:tcW w:w="2758"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19</w:t>
            </w: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Moyen-Ogooué</w:t>
            </w:r>
          </w:p>
        </w:tc>
        <w:tc>
          <w:tcPr>
            <w:tcW w:w="2122"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4</w:t>
            </w:r>
          </w:p>
        </w:tc>
        <w:tc>
          <w:tcPr>
            <w:tcW w:w="2758" w:type="dxa"/>
            <w:shd w:val="clear" w:color="auto" w:fill="auto"/>
            <w:vAlign w:val="bottom"/>
          </w:tcPr>
          <w:p w:rsidR="00193471" w:rsidRPr="00193471" w:rsidRDefault="00193471" w:rsidP="00193471">
            <w:pPr>
              <w:pStyle w:val="DTpara"/>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193471">
              <w:rPr>
                <w:spacing w:val="4"/>
                <w:w w:val="103"/>
                <w:sz w:val="17"/>
                <w:szCs w:val="24"/>
                <w:lang w:val="fr-FR"/>
              </w:rPr>
              <w:t>6</w:t>
            </w: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Ngounié</w:t>
            </w:r>
          </w:p>
        </w:tc>
        <w:tc>
          <w:tcPr>
            <w:tcW w:w="2122"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10</w:t>
            </w:r>
          </w:p>
        </w:tc>
        <w:tc>
          <w:tcPr>
            <w:tcW w:w="2758"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16</w:t>
            </w: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Nyanga</w:t>
            </w:r>
          </w:p>
        </w:tc>
        <w:tc>
          <w:tcPr>
            <w:tcW w:w="2122"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p>
        </w:tc>
        <w:tc>
          <w:tcPr>
            <w:tcW w:w="2758"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Ogooué Ivindo</w:t>
            </w:r>
          </w:p>
        </w:tc>
        <w:tc>
          <w:tcPr>
            <w:tcW w:w="2122"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4</w:t>
            </w:r>
          </w:p>
        </w:tc>
        <w:tc>
          <w:tcPr>
            <w:tcW w:w="2758"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6</w:t>
            </w: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Ogooué Lolo</w:t>
            </w:r>
          </w:p>
        </w:tc>
        <w:tc>
          <w:tcPr>
            <w:tcW w:w="2122"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p>
        </w:tc>
        <w:tc>
          <w:tcPr>
            <w:tcW w:w="2758"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p>
        </w:tc>
      </w:tr>
      <w:tr w:rsidR="00193471" w:rsidRPr="00193471" w:rsidTr="00C62284">
        <w:tblPrEx>
          <w:tblCellMar>
            <w:top w:w="0" w:type="dxa"/>
            <w:bottom w:w="0" w:type="dxa"/>
          </w:tblCellMar>
        </w:tblPrEx>
        <w:tc>
          <w:tcPr>
            <w:tcW w:w="2440" w:type="dxa"/>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193471">
              <w:rPr>
                <w:kern w:val="0"/>
                <w:sz w:val="17"/>
                <w:szCs w:val="24"/>
              </w:rPr>
              <w:t>Ogooué maritime</w:t>
            </w:r>
          </w:p>
        </w:tc>
        <w:tc>
          <w:tcPr>
            <w:tcW w:w="2122"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10</w:t>
            </w:r>
          </w:p>
        </w:tc>
        <w:tc>
          <w:tcPr>
            <w:tcW w:w="2758" w:type="dxa"/>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193471">
              <w:rPr>
                <w:kern w:val="0"/>
                <w:sz w:val="17"/>
                <w:szCs w:val="24"/>
                <w:lang w:val="fr-FR"/>
              </w:rPr>
              <w:t>16</w:t>
            </w:r>
          </w:p>
        </w:tc>
      </w:tr>
      <w:tr w:rsidR="00193471" w:rsidRPr="00193471" w:rsidTr="00C62284">
        <w:tblPrEx>
          <w:tblCellMar>
            <w:top w:w="0" w:type="dxa"/>
            <w:bottom w:w="0" w:type="dxa"/>
          </w:tblCellMar>
        </w:tblPrEx>
        <w:tc>
          <w:tcPr>
            <w:tcW w:w="2440" w:type="dxa"/>
            <w:tcBorders>
              <w:bottom w:val="single" w:sz="4" w:space="0" w:color="auto"/>
            </w:tcBorders>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40" w:after="81" w:line="210" w:lineRule="exact"/>
              <w:ind w:right="40"/>
              <w:rPr>
                <w:kern w:val="0"/>
                <w:sz w:val="17"/>
                <w:szCs w:val="24"/>
              </w:rPr>
            </w:pPr>
            <w:r w:rsidRPr="00193471">
              <w:rPr>
                <w:kern w:val="0"/>
                <w:sz w:val="17"/>
                <w:szCs w:val="24"/>
              </w:rPr>
              <w:t>Woleu Ntem</w:t>
            </w:r>
          </w:p>
        </w:tc>
        <w:tc>
          <w:tcPr>
            <w:tcW w:w="2122" w:type="dxa"/>
            <w:tcBorders>
              <w:bottom w:val="single" w:sz="4" w:space="0" w:color="auto"/>
            </w:tcBorders>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193471">
              <w:rPr>
                <w:kern w:val="0"/>
                <w:sz w:val="17"/>
                <w:szCs w:val="24"/>
                <w:lang w:val="fr-FR"/>
              </w:rPr>
              <w:t>5</w:t>
            </w:r>
          </w:p>
        </w:tc>
        <w:tc>
          <w:tcPr>
            <w:tcW w:w="2758" w:type="dxa"/>
            <w:tcBorders>
              <w:bottom w:val="single" w:sz="4" w:space="0" w:color="auto"/>
            </w:tcBorders>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193471">
              <w:rPr>
                <w:kern w:val="0"/>
                <w:sz w:val="17"/>
                <w:szCs w:val="24"/>
                <w:lang w:val="fr-FR"/>
              </w:rPr>
              <w:t>8</w:t>
            </w:r>
          </w:p>
        </w:tc>
      </w:tr>
      <w:tr w:rsidR="00193471" w:rsidRPr="00193471" w:rsidTr="00C62284">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193471" w:rsidRPr="00193471" w:rsidRDefault="00193471" w:rsidP="00193471">
            <w:pPr>
              <w:widowControl w:val="0"/>
              <w:tabs>
                <w:tab w:val="left" w:pos="288"/>
                <w:tab w:val="left" w:pos="576"/>
                <w:tab w:val="left" w:pos="864"/>
                <w:tab w:val="left" w:pos="1152"/>
              </w:tabs>
              <w:autoSpaceDE w:val="0"/>
              <w:autoSpaceDN w:val="0"/>
              <w:adjustRightInd w:val="0"/>
              <w:spacing w:before="81" w:after="81" w:line="210" w:lineRule="exact"/>
              <w:ind w:right="40"/>
              <w:rPr>
                <w:b/>
                <w:bCs/>
                <w:kern w:val="0"/>
                <w:sz w:val="17"/>
                <w:szCs w:val="24"/>
              </w:rPr>
            </w:pPr>
            <w:r w:rsidRPr="00193471">
              <w:rPr>
                <w:b/>
                <w:bCs/>
                <w:kern w:val="0"/>
                <w:sz w:val="17"/>
                <w:szCs w:val="24"/>
              </w:rPr>
              <w:tab/>
              <w:t>Total</w:t>
            </w:r>
          </w:p>
        </w:tc>
        <w:tc>
          <w:tcPr>
            <w:tcW w:w="2122" w:type="dxa"/>
            <w:tcBorders>
              <w:top w:val="single" w:sz="4" w:space="0" w:color="auto"/>
              <w:bottom w:val="single" w:sz="12" w:space="0" w:color="auto"/>
            </w:tcBorders>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93471">
              <w:rPr>
                <w:b/>
                <w:kern w:val="0"/>
                <w:sz w:val="17"/>
                <w:szCs w:val="24"/>
                <w:lang w:val="fr-FR"/>
              </w:rPr>
              <w:t>63</w:t>
            </w:r>
          </w:p>
        </w:tc>
        <w:tc>
          <w:tcPr>
            <w:tcW w:w="2758" w:type="dxa"/>
            <w:tcBorders>
              <w:top w:val="single" w:sz="4" w:space="0" w:color="auto"/>
              <w:bottom w:val="single" w:sz="12" w:space="0" w:color="auto"/>
            </w:tcBorders>
            <w:shd w:val="clear" w:color="auto" w:fill="auto"/>
            <w:vAlign w:val="bottom"/>
          </w:tcPr>
          <w:p w:rsidR="00193471" w:rsidRPr="00193471" w:rsidRDefault="00193471" w:rsidP="00193471">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p>
        </w:tc>
      </w:tr>
    </w:tbl>
    <w:p w:rsidR="00193471" w:rsidRPr="00193471" w:rsidRDefault="00193471" w:rsidP="00193471">
      <w:pPr>
        <w:pStyle w:val="SingleTxt"/>
        <w:suppressAutoHyphens/>
        <w:spacing w:after="0" w:line="120" w:lineRule="exact"/>
        <w:rPr>
          <w:sz w:val="10"/>
        </w:rPr>
      </w:pPr>
    </w:p>
    <w:p w:rsidR="00193471" w:rsidRPr="00193471" w:rsidRDefault="00193471" w:rsidP="001934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193471">
        <w:rPr>
          <w:i/>
          <w:sz w:val="17"/>
          <w:szCs w:val="17"/>
        </w:rPr>
        <w:t>Fuente</w:t>
      </w:r>
      <w:r w:rsidRPr="00193471">
        <w:rPr>
          <w:sz w:val="17"/>
          <w:szCs w:val="17"/>
        </w:rPr>
        <w:t>: Estudio de la disponibilidad, la utilización y la calidad de la atención obstétrica.</w:t>
      </w:r>
    </w:p>
    <w:p w:rsidR="00193471" w:rsidRPr="00193471" w:rsidRDefault="00193471" w:rsidP="00193471">
      <w:pPr>
        <w:pStyle w:val="SingleTxt"/>
        <w:spacing w:after="0" w:line="120" w:lineRule="exact"/>
        <w:rPr>
          <w:sz w:val="10"/>
        </w:rPr>
      </w:pPr>
    </w:p>
    <w:p w:rsidR="00193471" w:rsidRPr="00193471" w:rsidRDefault="00193471" w:rsidP="00193471">
      <w:pPr>
        <w:pStyle w:val="SingleTxt"/>
        <w:spacing w:after="0" w:line="120" w:lineRule="exact"/>
        <w:rPr>
          <w:sz w:val="10"/>
        </w:rPr>
      </w:pPr>
    </w:p>
    <w:p w:rsidR="00193471" w:rsidRDefault="00193471" w:rsidP="00193471">
      <w:pPr>
        <w:pStyle w:val="SingleTxt"/>
      </w:pPr>
      <w:r>
        <w:t>109.</w:t>
      </w:r>
      <w:r>
        <w:tab/>
        <w:t>En relación con las complicaciones del parto, todas las regiones cuentan con equipo de diverso tipo: mesas de parto, mesas de cirugía, mesas de reanimación neonatal, paquetes de parto y paquetes de operaciones cesáreas. Por otro lado, respecto de la atención de las complicaciones de nutrición en el nacimiento, se observa una cierta insuficiencia de las estructuras de atención.</w:t>
      </w:r>
    </w:p>
    <w:p w:rsidR="00193471" w:rsidRPr="00193471" w:rsidRDefault="00193471" w:rsidP="00193471">
      <w:pPr>
        <w:pStyle w:val="SingleTxt"/>
        <w:spacing w:after="0" w:line="120" w:lineRule="exact"/>
        <w:rPr>
          <w:sz w:val="10"/>
        </w:rPr>
      </w:pPr>
    </w:p>
    <w:p w:rsidR="008835E7" w:rsidRDefault="00193471" w:rsidP="001934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tab/>
      </w:r>
      <w:r>
        <w:tab/>
      </w:r>
      <w:r w:rsidRPr="00193471">
        <w:rPr>
          <w:b w:val="0"/>
        </w:rPr>
        <w:t>Cuadro 12</w:t>
      </w:r>
      <w:r>
        <w:br/>
        <w:t>Situación de los recursos materiales para la atención de la salud materna, por región</w:t>
      </w:r>
    </w:p>
    <w:p w:rsidR="00193471" w:rsidRPr="00193471" w:rsidRDefault="00193471" w:rsidP="00193471">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446"/>
        <w:gridCol w:w="994"/>
        <w:gridCol w:w="1220"/>
        <w:gridCol w:w="1220"/>
        <w:gridCol w:w="1220"/>
        <w:gridCol w:w="1220"/>
      </w:tblGrid>
      <w:tr w:rsidR="009B107B" w:rsidRPr="009B107B" w:rsidTr="00C62284">
        <w:tblPrEx>
          <w:tblCellMar>
            <w:top w:w="0" w:type="dxa"/>
            <w:bottom w:w="0" w:type="dxa"/>
          </w:tblCellMar>
        </w:tblPrEx>
        <w:trPr>
          <w:tblHeader/>
        </w:trPr>
        <w:tc>
          <w:tcPr>
            <w:tcW w:w="1446"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rPr>
                <w:b/>
                <w:bCs/>
                <w:i/>
                <w:kern w:val="0"/>
                <w:sz w:val="14"/>
                <w:szCs w:val="24"/>
              </w:rPr>
            </w:pPr>
            <w:r w:rsidRPr="009B107B">
              <w:rPr>
                <w:i/>
                <w:kern w:val="0"/>
                <w:sz w:val="14"/>
                <w:szCs w:val="24"/>
              </w:rPr>
              <w:t>Provincia</w:t>
            </w:r>
          </w:p>
        </w:tc>
        <w:tc>
          <w:tcPr>
            <w:tcW w:w="994"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jc w:val="right"/>
              <w:rPr>
                <w:b/>
                <w:bCs/>
                <w:i/>
                <w:kern w:val="0"/>
                <w:sz w:val="14"/>
                <w:szCs w:val="24"/>
              </w:rPr>
            </w:pPr>
            <w:r w:rsidRPr="009B107B">
              <w:rPr>
                <w:i/>
                <w:kern w:val="0"/>
                <w:sz w:val="14"/>
                <w:szCs w:val="24"/>
              </w:rPr>
              <w:t xml:space="preserve">Mesa de </w:t>
            </w:r>
            <w:r w:rsidR="00C62284">
              <w:rPr>
                <w:i/>
                <w:kern w:val="0"/>
                <w:sz w:val="14"/>
                <w:szCs w:val="24"/>
              </w:rPr>
              <w:br/>
            </w:r>
            <w:r w:rsidRPr="009B107B">
              <w:rPr>
                <w:i/>
                <w:kern w:val="0"/>
                <w:sz w:val="14"/>
                <w:szCs w:val="24"/>
              </w:rPr>
              <w:t>parto</w:t>
            </w:r>
          </w:p>
        </w:tc>
        <w:tc>
          <w:tcPr>
            <w:tcW w:w="1220"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jc w:val="right"/>
              <w:rPr>
                <w:b/>
                <w:bCs/>
                <w:i/>
                <w:kern w:val="0"/>
                <w:sz w:val="14"/>
                <w:szCs w:val="24"/>
              </w:rPr>
            </w:pPr>
            <w:r w:rsidRPr="009B107B">
              <w:rPr>
                <w:i/>
                <w:kern w:val="0"/>
                <w:sz w:val="14"/>
                <w:szCs w:val="24"/>
              </w:rPr>
              <w:t xml:space="preserve">Mesas de </w:t>
            </w:r>
            <w:r w:rsidR="00C62284">
              <w:rPr>
                <w:i/>
                <w:kern w:val="0"/>
                <w:sz w:val="14"/>
                <w:szCs w:val="24"/>
              </w:rPr>
              <w:br/>
            </w:r>
            <w:r w:rsidRPr="009B107B">
              <w:rPr>
                <w:i/>
                <w:kern w:val="0"/>
                <w:sz w:val="14"/>
                <w:szCs w:val="24"/>
              </w:rPr>
              <w:t>cirugía</w:t>
            </w:r>
          </w:p>
        </w:tc>
        <w:tc>
          <w:tcPr>
            <w:tcW w:w="1220"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jc w:val="right"/>
              <w:rPr>
                <w:b/>
                <w:bCs/>
                <w:i/>
                <w:kern w:val="0"/>
                <w:sz w:val="14"/>
                <w:szCs w:val="24"/>
              </w:rPr>
            </w:pPr>
            <w:r w:rsidRPr="009B107B">
              <w:rPr>
                <w:i/>
                <w:kern w:val="0"/>
                <w:sz w:val="14"/>
                <w:szCs w:val="24"/>
              </w:rPr>
              <w:t>Mesas de reanimación neonatal</w:t>
            </w:r>
          </w:p>
        </w:tc>
        <w:tc>
          <w:tcPr>
            <w:tcW w:w="1220"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jc w:val="right"/>
              <w:rPr>
                <w:b/>
                <w:bCs/>
                <w:i/>
                <w:kern w:val="0"/>
                <w:sz w:val="14"/>
                <w:szCs w:val="24"/>
              </w:rPr>
            </w:pPr>
            <w:r w:rsidRPr="009B107B">
              <w:rPr>
                <w:i/>
                <w:kern w:val="0"/>
                <w:sz w:val="14"/>
                <w:szCs w:val="24"/>
              </w:rPr>
              <w:t xml:space="preserve">Paquetes </w:t>
            </w:r>
            <w:r w:rsidR="00C62284">
              <w:rPr>
                <w:i/>
                <w:kern w:val="0"/>
                <w:sz w:val="14"/>
                <w:szCs w:val="24"/>
              </w:rPr>
              <w:br/>
            </w:r>
            <w:r w:rsidRPr="009B107B">
              <w:rPr>
                <w:i/>
                <w:kern w:val="0"/>
                <w:sz w:val="14"/>
                <w:szCs w:val="24"/>
              </w:rPr>
              <w:t>de parto</w:t>
            </w:r>
          </w:p>
        </w:tc>
        <w:tc>
          <w:tcPr>
            <w:tcW w:w="1220" w:type="dxa"/>
            <w:tcBorders>
              <w:top w:val="single" w:sz="4" w:space="0" w:color="auto"/>
              <w:bottom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80" w:after="80" w:line="160" w:lineRule="exact"/>
              <w:ind w:right="40"/>
              <w:jc w:val="right"/>
              <w:rPr>
                <w:b/>
                <w:bCs/>
                <w:i/>
                <w:kern w:val="0"/>
                <w:sz w:val="14"/>
                <w:szCs w:val="24"/>
              </w:rPr>
            </w:pPr>
            <w:r w:rsidRPr="009B107B">
              <w:rPr>
                <w:i/>
                <w:kern w:val="0"/>
                <w:sz w:val="14"/>
                <w:szCs w:val="24"/>
              </w:rPr>
              <w:t xml:space="preserve">Paquetes de operación </w:t>
            </w:r>
            <w:r w:rsidR="00C62284">
              <w:rPr>
                <w:i/>
                <w:kern w:val="0"/>
                <w:sz w:val="14"/>
                <w:szCs w:val="24"/>
              </w:rPr>
              <w:br/>
            </w:r>
            <w:r w:rsidRPr="009B107B">
              <w:rPr>
                <w:i/>
                <w:kern w:val="0"/>
                <w:sz w:val="14"/>
                <w:szCs w:val="24"/>
              </w:rPr>
              <w:t>cesárea</w:t>
            </w:r>
          </w:p>
        </w:tc>
      </w:tr>
      <w:tr w:rsidR="009B107B" w:rsidRPr="009B107B" w:rsidTr="00C62284">
        <w:tblPrEx>
          <w:tblCellMar>
            <w:top w:w="0" w:type="dxa"/>
            <w:bottom w:w="0" w:type="dxa"/>
          </w:tblCellMar>
        </w:tblPrEx>
        <w:trPr>
          <w:trHeight w:hRule="exact" w:val="115"/>
          <w:tblHeader/>
        </w:trPr>
        <w:tc>
          <w:tcPr>
            <w:tcW w:w="1446" w:type="dxa"/>
            <w:tcBorders>
              <w:top w:val="single" w:sz="12" w:space="0" w:color="auto"/>
            </w:tcBorders>
            <w:shd w:val="clear" w:color="auto" w:fill="auto"/>
            <w:vAlign w:val="bottom"/>
          </w:tcPr>
          <w:p w:rsidR="009B107B" w:rsidRPr="009B107B" w:rsidRDefault="009B107B" w:rsidP="009B107B">
            <w:pPr>
              <w:widowControl w:val="0"/>
              <w:autoSpaceDE w:val="0"/>
              <w:autoSpaceDN w:val="0"/>
              <w:adjustRightInd w:val="0"/>
              <w:spacing w:before="40" w:after="40" w:line="210" w:lineRule="exact"/>
              <w:ind w:left="-1044" w:right="40" w:firstLine="1044"/>
              <w:rPr>
                <w:kern w:val="0"/>
                <w:sz w:val="17"/>
                <w:szCs w:val="24"/>
              </w:rPr>
            </w:pPr>
          </w:p>
        </w:tc>
        <w:tc>
          <w:tcPr>
            <w:tcW w:w="994" w:type="dxa"/>
            <w:tcBorders>
              <w:top w:val="single" w:sz="12" w:space="0" w:color="auto"/>
            </w:tcBorders>
            <w:shd w:val="clear" w:color="auto" w:fill="auto"/>
            <w:vAlign w:val="bottom"/>
          </w:tcPr>
          <w:p w:rsidR="009B107B" w:rsidRPr="009B107B" w:rsidRDefault="009B107B" w:rsidP="009B107B">
            <w:pPr>
              <w:pStyle w:val="DTpara"/>
              <w:numPr>
                <w:ilvl w:val="0"/>
                <w:numId w:val="0"/>
              </w:numPr>
              <w:spacing w:before="40" w:after="40" w:line="210" w:lineRule="exact"/>
              <w:ind w:left="164" w:right="40"/>
              <w:jc w:val="right"/>
              <w:rPr>
                <w:spacing w:val="4"/>
                <w:w w:val="103"/>
                <w:sz w:val="17"/>
                <w:szCs w:val="24"/>
                <w:lang w:val="fr-FR"/>
              </w:rPr>
            </w:pPr>
          </w:p>
        </w:tc>
        <w:tc>
          <w:tcPr>
            <w:tcW w:w="1220" w:type="dxa"/>
            <w:tcBorders>
              <w:top w:val="single" w:sz="12" w:space="0" w:color="auto"/>
            </w:tcBorders>
            <w:shd w:val="clear" w:color="auto" w:fill="auto"/>
            <w:vAlign w:val="bottom"/>
          </w:tcPr>
          <w:p w:rsidR="009B107B" w:rsidRPr="009B107B" w:rsidRDefault="009B107B" w:rsidP="009B107B">
            <w:pPr>
              <w:pStyle w:val="DTpara"/>
              <w:numPr>
                <w:ilvl w:val="0"/>
                <w:numId w:val="0"/>
              </w:numPr>
              <w:spacing w:before="40" w:after="40" w:line="210" w:lineRule="exact"/>
              <w:ind w:left="164" w:right="40"/>
              <w:jc w:val="right"/>
              <w:rPr>
                <w:spacing w:val="4"/>
                <w:w w:val="103"/>
                <w:sz w:val="17"/>
                <w:szCs w:val="24"/>
                <w:lang w:val="fr-FR"/>
              </w:rPr>
            </w:pPr>
          </w:p>
        </w:tc>
        <w:tc>
          <w:tcPr>
            <w:tcW w:w="1220" w:type="dxa"/>
            <w:tcBorders>
              <w:top w:val="single" w:sz="12" w:space="0" w:color="auto"/>
            </w:tcBorders>
            <w:shd w:val="clear" w:color="auto" w:fill="auto"/>
            <w:vAlign w:val="bottom"/>
          </w:tcPr>
          <w:p w:rsidR="009B107B" w:rsidRPr="009B107B" w:rsidRDefault="009B107B" w:rsidP="009B107B">
            <w:pPr>
              <w:pStyle w:val="DTpara"/>
              <w:numPr>
                <w:ilvl w:val="0"/>
                <w:numId w:val="0"/>
              </w:numPr>
              <w:spacing w:before="40" w:after="40" w:line="210" w:lineRule="exact"/>
              <w:ind w:left="164" w:right="40"/>
              <w:jc w:val="right"/>
              <w:rPr>
                <w:spacing w:val="4"/>
                <w:w w:val="103"/>
                <w:sz w:val="17"/>
                <w:szCs w:val="24"/>
                <w:lang w:val="fr-FR"/>
              </w:rPr>
            </w:pPr>
          </w:p>
        </w:tc>
        <w:tc>
          <w:tcPr>
            <w:tcW w:w="1220" w:type="dxa"/>
            <w:tcBorders>
              <w:top w:val="single" w:sz="12" w:space="0" w:color="auto"/>
            </w:tcBorders>
            <w:shd w:val="clear" w:color="auto" w:fill="auto"/>
            <w:vAlign w:val="bottom"/>
          </w:tcPr>
          <w:p w:rsidR="009B107B" w:rsidRPr="009B107B" w:rsidRDefault="009B107B" w:rsidP="009B107B">
            <w:pPr>
              <w:pStyle w:val="DTpara"/>
              <w:numPr>
                <w:ilvl w:val="0"/>
                <w:numId w:val="0"/>
              </w:numPr>
              <w:spacing w:before="40" w:after="40" w:line="210" w:lineRule="exact"/>
              <w:ind w:left="164" w:right="40"/>
              <w:jc w:val="right"/>
              <w:rPr>
                <w:spacing w:val="4"/>
                <w:w w:val="103"/>
                <w:sz w:val="17"/>
                <w:szCs w:val="24"/>
                <w:lang w:val="fr-FR"/>
              </w:rPr>
            </w:pPr>
          </w:p>
        </w:tc>
        <w:tc>
          <w:tcPr>
            <w:tcW w:w="1220" w:type="dxa"/>
            <w:tcBorders>
              <w:top w:val="single" w:sz="12" w:space="0" w:color="auto"/>
            </w:tcBorders>
            <w:shd w:val="clear" w:color="auto" w:fill="auto"/>
            <w:vAlign w:val="bottom"/>
          </w:tcPr>
          <w:p w:rsidR="009B107B" w:rsidRPr="009B107B" w:rsidRDefault="009B107B" w:rsidP="009B107B">
            <w:pPr>
              <w:pStyle w:val="DTpara"/>
              <w:numPr>
                <w:ilvl w:val="0"/>
                <w:numId w:val="0"/>
              </w:numPr>
              <w:spacing w:before="40" w:after="40" w:line="210" w:lineRule="exact"/>
              <w:ind w:left="164" w:right="40"/>
              <w:jc w:val="right"/>
              <w:rPr>
                <w:spacing w:val="4"/>
                <w:w w:val="103"/>
                <w:sz w:val="17"/>
                <w:szCs w:val="24"/>
                <w:lang w:val="fr-FR"/>
              </w:rPr>
            </w:pP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left="-1044" w:right="40" w:firstLine="1044"/>
              <w:rPr>
                <w:kern w:val="0"/>
                <w:sz w:val="17"/>
                <w:szCs w:val="24"/>
              </w:rPr>
            </w:pPr>
            <w:r w:rsidRPr="009B107B">
              <w:rPr>
                <w:kern w:val="0"/>
                <w:sz w:val="17"/>
                <w:szCs w:val="24"/>
              </w:rPr>
              <w:t>Libreville</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42</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21</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19</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94</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43</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Estuaire</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6</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0</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5</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0</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Haut-Ogooué</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21</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8</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4</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23</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0</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Moyen-Ogooué</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6</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8</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17</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0</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Ngounié</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22</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6</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3</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41</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19</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Nyanga</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5</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2</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8</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1</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Ogooué Ivindo</w:t>
            </w:r>
          </w:p>
        </w:tc>
        <w:tc>
          <w:tcPr>
            <w:tcW w:w="994"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5</w:t>
            </w:r>
          </w:p>
        </w:tc>
        <w:tc>
          <w:tcPr>
            <w:tcW w:w="1220" w:type="dxa"/>
            <w:shd w:val="clear" w:color="auto" w:fill="auto"/>
            <w:vAlign w:val="bottom"/>
          </w:tcPr>
          <w:p w:rsidR="009B107B" w:rsidRPr="009B107B" w:rsidRDefault="009B107B" w:rsidP="009B107B">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9B107B">
              <w:rPr>
                <w:spacing w:val="4"/>
                <w:w w:val="103"/>
                <w:sz w:val="17"/>
                <w:szCs w:val="24"/>
                <w:lang w:val="fr-FR"/>
              </w:rPr>
              <w:t>4</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0</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12</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3</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Ogooué Lolo</w:t>
            </w:r>
          </w:p>
        </w:tc>
        <w:tc>
          <w:tcPr>
            <w:tcW w:w="994"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6</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5</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3</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7</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4</w:t>
            </w:r>
          </w:p>
        </w:tc>
      </w:tr>
      <w:tr w:rsidR="009B107B" w:rsidRPr="009B107B" w:rsidTr="00C62284">
        <w:tblPrEx>
          <w:tblCellMar>
            <w:top w:w="0" w:type="dxa"/>
            <w:bottom w:w="0" w:type="dxa"/>
          </w:tblCellMar>
        </w:tblPrEx>
        <w:tc>
          <w:tcPr>
            <w:tcW w:w="1446" w:type="dxa"/>
            <w:shd w:val="clear" w:color="auto" w:fill="auto"/>
            <w:vAlign w:val="bottom"/>
          </w:tcPr>
          <w:p w:rsidR="009B107B" w:rsidRPr="009B107B" w:rsidRDefault="009B107B" w:rsidP="009B107B">
            <w:pPr>
              <w:widowControl w:val="0"/>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9B107B">
              <w:rPr>
                <w:kern w:val="0"/>
                <w:sz w:val="17"/>
                <w:szCs w:val="24"/>
              </w:rPr>
              <w:t>Ogooué maritime</w:t>
            </w:r>
          </w:p>
        </w:tc>
        <w:tc>
          <w:tcPr>
            <w:tcW w:w="994"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16</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6</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10</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33</w:t>
            </w:r>
          </w:p>
        </w:tc>
        <w:tc>
          <w:tcPr>
            <w:tcW w:w="1220" w:type="dxa"/>
            <w:shd w:val="clear" w:color="auto" w:fill="auto"/>
            <w:vAlign w:val="bottom"/>
          </w:tcPr>
          <w:p w:rsidR="009B107B" w:rsidRPr="009B107B" w:rsidRDefault="009B107B" w:rsidP="009B107B">
            <w:pPr>
              <w:pStyle w:val="NormalSchedule"/>
              <w:tabs>
                <w:tab w:val="left" w:pos="288"/>
                <w:tab w:val="left" w:pos="576"/>
                <w:tab w:val="left" w:pos="864"/>
                <w:tab w:val="left" w:pos="1152"/>
              </w:tabs>
              <w:spacing w:before="40" w:after="40" w:line="210" w:lineRule="exact"/>
              <w:ind w:left="113" w:right="40"/>
              <w:jc w:val="right"/>
              <w:rPr>
                <w:kern w:val="0"/>
                <w:sz w:val="17"/>
                <w:szCs w:val="24"/>
                <w:lang w:val="fr-FR"/>
              </w:rPr>
            </w:pPr>
            <w:r w:rsidRPr="009B107B">
              <w:rPr>
                <w:kern w:val="0"/>
                <w:sz w:val="17"/>
                <w:szCs w:val="24"/>
                <w:lang w:val="fr-FR"/>
              </w:rPr>
              <w:t>12</w:t>
            </w:r>
          </w:p>
        </w:tc>
      </w:tr>
      <w:tr w:rsidR="009B107B" w:rsidRPr="009B107B" w:rsidTr="00C62284">
        <w:tblPrEx>
          <w:tblCellMar>
            <w:top w:w="0" w:type="dxa"/>
            <w:bottom w:w="0" w:type="dxa"/>
          </w:tblCellMar>
        </w:tblPrEx>
        <w:tc>
          <w:tcPr>
            <w:tcW w:w="1446" w:type="dxa"/>
            <w:tcBorders>
              <w:bottom w:val="single" w:sz="4" w:space="0" w:color="auto"/>
            </w:tcBorders>
            <w:shd w:val="clear" w:color="auto" w:fill="auto"/>
            <w:vAlign w:val="bottom"/>
          </w:tcPr>
          <w:p w:rsidR="009B107B" w:rsidRPr="009B107B" w:rsidRDefault="009B107B" w:rsidP="00C62284">
            <w:pPr>
              <w:widowControl w:val="0"/>
              <w:tabs>
                <w:tab w:val="left" w:pos="288"/>
                <w:tab w:val="left" w:pos="576"/>
                <w:tab w:val="left" w:pos="864"/>
                <w:tab w:val="left" w:pos="1152"/>
              </w:tabs>
              <w:autoSpaceDE w:val="0"/>
              <w:autoSpaceDN w:val="0"/>
              <w:adjustRightInd w:val="0"/>
              <w:spacing w:before="40" w:after="81" w:line="210" w:lineRule="exact"/>
              <w:ind w:right="40"/>
              <w:rPr>
                <w:kern w:val="0"/>
                <w:sz w:val="17"/>
                <w:szCs w:val="24"/>
              </w:rPr>
            </w:pPr>
            <w:r w:rsidRPr="009B107B">
              <w:rPr>
                <w:kern w:val="0"/>
                <w:sz w:val="17"/>
                <w:szCs w:val="24"/>
              </w:rPr>
              <w:t>Wolen Ntem</w:t>
            </w:r>
          </w:p>
        </w:tc>
        <w:tc>
          <w:tcPr>
            <w:tcW w:w="994" w:type="dxa"/>
            <w:tcBorders>
              <w:bottom w:val="single" w:sz="4" w:space="0" w:color="auto"/>
            </w:tcBorders>
            <w:shd w:val="clear" w:color="auto" w:fill="auto"/>
            <w:vAlign w:val="bottom"/>
          </w:tcPr>
          <w:p w:rsidR="009B107B" w:rsidRPr="009B107B" w:rsidRDefault="009B107B" w:rsidP="00C6228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9B107B">
              <w:rPr>
                <w:kern w:val="0"/>
                <w:sz w:val="17"/>
                <w:szCs w:val="24"/>
                <w:lang w:val="fr-FR"/>
              </w:rPr>
              <w:t>9</w:t>
            </w:r>
          </w:p>
        </w:tc>
        <w:tc>
          <w:tcPr>
            <w:tcW w:w="1220" w:type="dxa"/>
            <w:tcBorders>
              <w:bottom w:val="single" w:sz="4" w:space="0" w:color="auto"/>
            </w:tcBorders>
            <w:shd w:val="clear" w:color="auto" w:fill="auto"/>
            <w:vAlign w:val="bottom"/>
          </w:tcPr>
          <w:p w:rsidR="009B107B" w:rsidRPr="009B107B" w:rsidRDefault="009B107B" w:rsidP="00C6228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9B107B">
              <w:rPr>
                <w:kern w:val="0"/>
                <w:sz w:val="17"/>
                <w:szCs w:val="24"/>
                <w:lang w:val="fr-FR"/>
              </w:rPr>
              <w:t>4</w:t>
            </w:r>
          </w:p>
        </w:tc>
        <w:tc>
          <w:tcPr>
            <w:tcW w:w="1220" w:type="dxa"/>
            <w:tcBorders>
              <w:bottom w:val="single" w:sz="4" w:space="0" w:color="auto"/>
            </w:tcBorders>
            <w:shd w:val="clear" w:color="auto" w:fill="auto"/>
            <w:vAlign w:val="bottom"/>
          </w:tcPr>
          <w:p w:rsidR="009B107B" w:rsidRPr="009B107B" w:rsidRDefault="009B107B" w:rsidP="00C6228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9B107B">
              <w:rPr>
                <w:kern w:val="0"/>
                <w:sz w:val="17"/>
                <w:szCs w:val="24"/>
                <w:lang w:val="fr-FR"/>
              </w:rPr>
              <w:t>0</w:t>
            </w:r>
          </w:p>
        </w:tc>
        <w:tc>
          <w:tcPr>
            <w:tcW w:w="1220" w:type="dxa"/>
            <w:tcBorders>
              <w:bottom w:val="single" w:sz="4" w:space="0" w:color="auto"/>
            </w:tcBorders>
            <w:shd w:val="clear" w:color="auto" w:fill="auto"/>
            <w:vAlign w:val="bottom"/>
          </w:tcPr>
          <w:p w:rsidR="009B107B" w:rsidRPr="009B107B" w:rsidRDefault="009B107B" w:rsidP="00C6228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9B107B">
              <w:rPr>
                <w:kern w:val="0"/>
                <w:sz w:val="17"/>
                <w:szCs w:val="24"/>
                <w:lang w:val="fr-FR"/>
              </w:rPr>
              <w:t>9</w:t>
            </w:r>
          </w:p>
        </w:tc>
        <w:tc>
          <w:tcPr>
            <w:tcW w:w="1220" w:type="dxa"/>
            <w:tcBorders>
              <w:bottom w:val="single" w:sz="4" w:space="0" w:color="auto"/>
            </w:tcBorders>
            <w:shd w:val="clear" w:color="auto" w:fill="auto"/>
            <w:vAlign w:val="bottom"/>
          </w:tcPr>
          <w:p w:rsidR="009B107B" w:rsidRPr="009B107B" w:rsidRDefault="009B107B" w:rsidP="00C62284">
            <w:pPr>
              <w:pStyle w:val="NormalSchedule"/>
              <w:tabs>
                <w:tab w:val="left" w:pos="288"/>
                <w:tab w:val="left" w:pos="576"/>
                <w:tab w:val="left" w:pos="864"/>
                <w:tab w:val="left" w:pos="1152"/>
              </w:tabs>
              <w:spacing w:before="40" w:after="81" w:line="210" w:lineRule="exact"/>
              <w:ind w:left="113" w:right="40"/>
              <w:jc w:val="right"/>
              <w:rPr>
                <w:kern w:val="0"/>
                <w:sz w:val="17"/>
                <w:szCs w:val="24"/>
                <w:lang w:val="fr-FR"/>
              </w:rPr>
            </w:pPr>
            <w:r w:rsidRPr="009B107B">
              <w:rPr>
                <w:kern w:val="0"/>
                <w:sz w:val="17"/>
                <w:szCs w:val="24"/>
                <w:lang w:val="fr-FR"/>
              </w:rPr>
              <w:t>5</w:t>
            </w:r>
          </w:p>
        </w:tc>
      </w:tr>
      <w:tr w:rsidR="009B107B" w:rsidRPr="00C62284" w:rsidTr="00C62284">
        <w:tblPrEx>
          <w:tblCellMar>
            <w:top w:w="0" w:type="dxa"/>
            <w:bottom w:w="0" w:type="dxa"/>
          </w:tblCellMar>
        </w:tblPrEx>
        <w:tc>
          <w:tcPr>
            <w:tcW w:w="1446" w:type="dxa"/>
            <w:tcBorders>
              <w:top w:val="single" w:sz="4" w:space="0" w:color="auto"/>
              <w:bottom w:val="single" w:sz="12" w:space="0" w:color="auto"/>
            </w:tcBorders>
            <w:shd w:val="clear" w:color="auto" w:fill="auto"/>
            <w:vAlign w:val="bottom"/>
          </w:tcPr>
          <w:p w:rsidR="009B107B" w:rsidRPr="00C62284" w:rsidRDefault="009B107B" w:rsidP="00C62284">
            <w:pPr>
              <w:widowControl w:val="0"/>
              <w:tabs>
                <w:tab w:val="left" w:pos="288"/>
                <w:tab w:val="left" w:pos="576"/>
                <w:tab w:val="left" w:pos="864"/>
                <w:tab w:val="left" w:pos="1152"/>
              </w:tabs>
              <w:autoSpaceDE w:val="0"/>
              <w:autoSpaceDN w:val="0"/>
              <w:adjustRightInd w:val="0"/>
              <w:spacing w:before="81" w:after="81" w:line="210" w:lineRule="exact"/>
              <w:ind w:right="40"/>
              <w:rPr>
                <w:b/>
                <w:bCs/>
                <w:kern w:val="0"/>
                <w:sz w:val="17"/>
                <w:szCs w:val="24"/>
              </w:rPr>
            </w:pPr>
            <w:r w:rsidRPr="00C62284">
              <w:rPr>
                <w:b/>
                <w:bCs/>
                <w:kern w:val="0"/>
                <w:sz w:val="17"/>
                <w:szCs w:val="24"/>
              </w:rPr>
              <w:tab/>
              <w:t>Total</w:t>
            </w:r>
          </w:p>
        </w:tc>
        <w:tc>
          <w:tcPr>
            <w:tcW w:w="994" w:type="dxa"/>
            <w:tcBorders>
              <w:top w:val="single" w:sz="4" w:space="0" w:color="auto"/>
              <w:bottom w:val="single" w:sz="12" w:space="0" w:color="auto"/>
            </w:tcBorders>
            <w:shd w:val="clear" w:color="auto" w:fill="auto"/>
            <w:vAlign w:val="bottom"/>
          </w:tcPr>
          <w:p w:rsidR="009B107B" w:rsidRPr="00C62284" w:rsidRDefault="009B107B" w:rsidP="00C6228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62284">
              <w:rPr>
                <w:b/>
                <w:kern w:val="0"/>
                <w:sz w:val="17"/>
                <w:szCs w:val="24"/>
                <w:lang w:val="fr-FR"/>
              </w:rPr>
              <w:t>138</w:t>
            </w:r>
          </w:p>
        </w:tc>
        <w:tc>
          <w:tcPr>
            <w:tcW w:w="1220" w:type="dxa"/>
            <w:tcBorders>
              <w:top w:val="single" w:sz="4" w:space="0" w:color="auto"/>
              <w:bottom w:val="single" w:sz="12" w:space="0" w:color="auto"/>
            </w:tcBorders>
            <w:shd w:val="clear" w:color="auto" w:fill="auto"/>
            <w:vAlign w:val="bottom"/>
          </w:tcPr>
          <w:p w:rsidR="009B107B" w:rsidRPr="00C62284" w:rsidRDefault="009B107B" w:rsidP="00C6228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62284">
              <w:rPr>
                <w:b/>
                <w:kern w:val="0"/>
                <w:sz w:val="17"/>
                <w:szCs w:val="24"/>
                <w:lang w:val="fr-FR"/>
              </w:rPr>
              <w:t>56</w:t>
            </w:r>
          </w:p>
        </w:tc>
        <w:tc>
          <w:tcPr>
            <w:tcW w:w="1220" w:type="dxa"/>
            <w:tcBorders>
              <w:top w:val="single" w:sz="4" w:space="0" w:color="auto"/>
              <w:bottom w:val="single" w:sz="12" w:space="0" w:color="auto"/>
            </w:tcBorders>
            <w:shd w:val="clear" w:color="auto" w:fill="auto"/>
            <w:vAlign w:val="bottom"/>
          </w:tcPr>
          <w:p w:rsidR="009B107B" w:rsidRPr="00C62284" w:rsidRDefault="009B107B" w:rsidP="00C6228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62284">
              <w:rPr>
                <w:b/>
                <w:kern w:val="0"/>
                <w:sz w:val="17"/>
                <w:szCs w:val="24"/>
                <w:lang w:val="fr-FR"/>
              </w:rPr>
              <w:t>51</w:t>
            </w:r>
          </w:p>
        </w:tc>
        <w:tc>
          <w:tcPr>
            <w:tcW w:w="1220" w:type="dxa"/>
            <w:tcBorders>
              <w:top w:val="single" w:sz="4" w:space="0" w:color="auto"/>
              <w:bottom w:val="single" w:sz="12" w:space="0" w:color="auto"/>
            </w:tcBorders>
            <w:shd w:val="clear" w:color="auto" w:fill="auto"/>
            <w:vAlign w:val="bottom"/>
          </w:tcPr>
          <w:p w:rsidR="009B107B" w:rsidRPr="00C62284" w:rsidRDefault="009B107B" w:rsidP="00C6228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62284">
              <w:rPr>
                <w:b/>
                <w:kern w:val="0"/>
                <w:sz w:val="17"/>
                <w:szCs w:val="24"/>
                <w:lang w:val="fr-FR"/>
              </w:rPr>
              <w:t>249</w:t>
            </w:r>
          </w:p>
        </w:tc>
        <w:tc>
          <w:tcPr>
            <w:tcW w:w="1220" w:type="dxa"/>
            <w:tcBorders>
              <w:top w:val="single" w:sz="4" w:space="0" w:color="auto"/>
              <w:bottom w:val="single" w:sz="12" w:space="0" w:color="auto"/>
            </w:tcBorders>
            <w:shd w:val="clear" w:color="auto" w:fill="auto"/>
            <w:vAlign w:val="bottom"/>
          </w:tcPr>
          <w:p w:rsidR="009B107B" w:rsidRPr="00C62284" w:rsidRDefault="009B107B" w:rsidP="00C62284">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C62284">
              <w:rPr>
                <w:b/>
                <w:kern w:val="0"/>
                <w:sz w:val="17"/>
                <w:szCs w:val="24"/>
                <w:lang w:val="fr-FR"/>
              </w:rPr>
              <w:t>87</w:t>
            </w:r>
          </w:p>
        </w:tc>
      </w:tr>
    </w:tbl>
    <w:p w:rsidR="009B107B" w:rsidRPr="009B107B" w:rsidRDefault="009B107B" w:rsidP="009B107B">
      <w:pPr>
        <w:pStyle w:val="SingleTxt"/>
        <w:suppressAutoHyphens/>
        <w:spacing w:after="0" w:line="120" w:lineRule="exact"/>
        <w:rPr>
          <w:sz w:val="10"/>
        </w:rPr>
      </w:pPr>
    </w:p>
    <w:p w:rsidR="009B107B" w:rsidRPr="00C62284" w:rsidRDefault="009B107B" w:rsidP="00C622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jc w:val="left"/>
        <w:rPr>
          <w:sz w:val="17"/>
          <w:szCs w:val="17"/>
        </w:rPr>
      </w:pPr>
      <w:r w:rsidRPr="00C62284">
        <w:rPr>
          <w:i/>
          <w:sz w:val="17"/>
          <w:szCs w:val="17"/>
        </w:rPr>
        <w:t>Fuente</w:t>
      </w:r>
      <w:r w:rsidRPr="00C62284">
        <w:rPr>
          <w:sz w:val="17"/>
          <w:szCs w:val="17"/>
        </w:rPr>
        <w:t>: Estudio de la disponibilidad, la utilización y la calidad de los cuidados obstétricos de urgencia en el Gabón. Ministerio de la Salud, FNUAP, diciembre de 2003</w:t>
      </w:r>
      <w:r w:rsidR="00C62284" w:rsidRPr="00C62284">
        <w:rPr>
          <w:sz w:val="17"/>
          <w:szCs w:val="17"/>
        </w:rPr>
        <w:t>.</w:t>
      </w:r>
    </w:p>
    <w:p w:rsidR="009B107B" w:rsidRPr="009B107B" w:rsidRDefault="009B107B" w:rsidP="009B107B">
      <w:pPr>
        <w:pStyle w:val="SingleTxt"/>
        <w:spacing w:after="0" w:line="120" w:lineRule="exact"/>
        <w:rPr>
          <w:sz w:val="10"/>
        </w:rPr>
      </w:pPr>
    </w:p>
    <w:p w:rsidR="009B107B" w:rsidRPr="009B107B" w:rsidRDefault="009B107B" w:rsidP="009B107B">
      <w:pPr>
        <w:pStyle w:val="SingleTxt"/>
        <w:spacing w:after="0" w:line="120" w:lineRule="exact"/>
        <w:rPr>
          <w:sz w:val="10"/>
        </w:rPr>
      </w:pPr>
    </w:p>
    <w:p w:rsidR="009B107B" w:rsidRDefault="009B107B" w:rsidP="009B10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a los servicios de salud</w:t>
      </w:r>
    </w:p>
    <w:p w:rsidR="009B107B" w:rsidRPr="009B107B" w:rsidRDefault="009B107B" w:rsidP="009B107B">
      <w:pPr>
        <w:pStyle w:val="SingleTxt"/>
        <w:spacing w:after="0" w:line="120" w:lineRule="exact"/>
        <w:rPr>
          <w:sz w:val="10"/>
        </w:rPr>
      </w:pPr>
    </w:p>
    <w:p w:rsidR="009B107B" w:rsidRDefault="009B107B" w:rsidP="009B107B">
      <w:pPr>
        <w:pStyle w:val="SingleTxt"/>
      </w:pPr>
      <w:r>
        <w:t>110.</w:t>
      </w:r>
      <w:r>
        <w:tab/>
        <w:t>Se considera que un hogar tiene acceso a un servicio de salud cuando su domicilio está situado a menos de 30 minutos de un establecimiento sanitario. El acceso a los servicios de salud se encuentra en el ámbito urbano (66%) y en el ámbito rural (53%).</w:t>
      </w:r>
    </w:p>
    <w:p w:rsidR="009B107B" w:rsidRPr="009B107B" w:rsidRDefault="009B107B" w:rsidP="009B107B">
      <w:pPr>
        <w:pStyle w:val="SingleTxt"/>
        <w:spacing w:after="0" w:line="120" w:lineRule="exact"/>
        <w:rPr>
          <w:sz w:val="10"/>
        </w:rPr>
      </w:pPr>
    </w:p>
    <w:p w:rsidR="009B107B" w:rsidRDefault="009B107B" w:rsidP="009B10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Partos registrados según los establecimientos sanitarios</w:t>
      </w:r>
    </w:p>
    <w:p w:rsidR="009B107B" w:rsidRPr="009B107B" w:rsidRDefault="009B107B" w:rsidP="009B107B">
      <w:pPr>
        <w:pStyle w:val="SingleTxt"/>
        <w:spacing w:after="0" w:line="120" w:lineRule="exact"/>
        <w:rPr>
          <w:sz w:val="10"/>
        </w:rPr>
      </w:pPr>
    </w:p>
    <w:p w:rsidR="008445B3" w:rsidRDefault="009B107B" w:rsidP="009B10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B107B">
        <w:rPr>
          <w:b w:val="0"/>
        </w:rPr>
        <w:t>Cuadro 13</w:t>
      </w:r>
      <w:r>
        <w:br/>
        <w:t>Partos registrados según los establecimientos de salud</w:t>
      </w:r>
    </w:p>
    <w:p w:rsidR="009B107B" w:rsidRPr="009B107B" w:rsidRDefault="009B107B" w:rsidP="009B107B">
      <w:pPr>
        <w:pStyle w:val="SingleTxt"/>
        <w:suppressAutoHyphens/>
        <w:spacing w:after="0" w:line="120" w:lineRule="exact"/>
        <w:rPr>
          <w:sz w:val="10"/>
        </w:rPr>
      </w:pPr>
    </w:p>
    <w:p w:rsidR="009B107B" w:rsidRPr="009B107B" w:rsidRDefault="009B107B" w:rsidP="009B107B">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758"/>
        <w:gridCol w:w="2122"/>
        <w:gridCol w:w="2440"/>
      </w:tblGrid>
      <w:tr w:rsidR="00C62284" w:rsidRPr="00C62284" w:rsidTr="00C62284">
        <w:tblPrEx>
          <w:tblCellMar>
            <w:top w:w="0" w:type="dxa"/>
            <w:bottom w:w="0" w:type="dxa"/>
          </w:tblCellMar>
        </w:tblPrEx>
        <w:trPr>
          <w:tblHeader/>
        </w:trPr>
        <w:tc>
          <w:tcPr>
            <w:tcW w:w="2758" w:type="dxa"/>
            <w:tcBorders>
              <w:top w:val="single" w:sz="4" w:space="0" w:color="auto"/>
              <w:bottom w:val="single" w:sz="12" w:space="0" w:color="auto"/>
            </w:tcBorders>
            <w:shd w:val="clear" w:color="auto" w:fill="auto"/>
            <w:vAlign w:val="bottom"/>
          </w:tcPr>
          <w:p w:rsidR="00C62284" w:rsidRPr="00C62284" w:rsidRDefault="00C62284" w:rsidP="00C62284">
            <w:pPr>
              <w:tabs>
                <w:tab w:val="left" w:pos="288"/>
                <w:tab w:val="left" w:pos="576"/>
                <w:tab w:val="left" w:pos="864"/>
                <w:tab w:val="left" w:pos="1152"/>
              </w:tabs>
              <w:spacing w:before="80" w:after="80" w:line="160" w:lineRule="exact"/>
              <w:ind w:right="40"/>
              <w:rPr>
                <w:i/>
                <w:kern w:val="0"/>
                <w:sz w:val="14"/>
              </w:rPr>
            </w:pPr>
          </w:p>
        </w:tc>
        <w:tc>
          <w:tcPr>
            <w:tcW w:w="2122" w:type="dxa"/>
            <w:tcBorders>
              <w:top w:val="single" w:sz="4" w:space="0" w:color="auto"/>
              <w:bottom w:val="single" w:sz="12" w:space="0" w:color="auto"/>
            </w:tcBorders>
            <w:shd w:val="clear" w:color="auto" w:fill="auto"/>
            <w:vAlign w:val="bottom"/>
          </w:tcPr>
          <w:p w:rsidR="00C62284" w:rsidRPr="00C62284" w:rsidRDefault="00C62284" w:rsidP="00C62284">
            <w:pPr>
              <w:widowControl w:val="0"/>
              <w:autoSpaceDE w:val="0"/>
              <w:autoSpaceDN w:val="0"/>
              <w:adjustRightInd w:val="0"/>
              <w:spacing w:before="80" w:after="80" w:line="160" w:lineRule="exact"/>
              <w:ind w:right="40"/>
              <w:jc w:val="right"/>
              <w:rPr>
                <w:bCs/>
                <w:i/>
                <w:kern w:val="0"/>
                <w:sz w:val="14"/>
                <w:szCs w:val="24"/>
              </w:rPr>
            </w:pPr>
            <w:r w:rsidRPr="00C62284">
              <w:rPr>
                <w:bCs/>
                <w:i/>
                <w:kern w:val="0"/>
                <w:sz w:val="14"/>
                <w:szCs w:val="24"/>
              </w:rPr>
              <w:t>Número</w:t>
            </w:r>
          </w:p>
        </w:tc>
        <w:tc>
          <w:tcPr>
            <w:tcW w:w="2440" w:type="dxa"/>
            <w:tcBorders>
              <w:top w:val="single" w:sz="4" w:space="0" w:color="auto"/>
              <w:bottom w:val="single" w:sz="12" w:space="0" w:color="auto"/>
            </w:tcBorders>
            <w:shd w:val="clear" w:color="auto" w:fill="auto"/>
            <w:vAlign w:val="bottom"/>
          </w:tcPr>
          <w:p w:rsidR="00C62284" w:rsidRPr="00C62284" w:rsidRDefault="00C62284" w:rsidP="00C62284">
            <w:pPr>
              <w:widowControl w:val="0"/>
              <w:autoSpaceDE w:val="0"/>
              <w:autoSpaceDN w:val="0"/>
              <w:adjustRightInd w:val="0"/>
              <w:spacing w:before="80" w:after="80" w:line="160" w:lineRule="exact"/>
              <w:ind w:right="40"/>
              <w:jc w:val="right"/>
              <w:rPr>
                <w:bCs/>
                <w:i/>
                <w:kern w:val="0"/>
                <w:sz w:val="14"/>
                <w:szCs w:val="24"/>
              </w:rPr>
            </w:pPr>
            <w:r w:rsidRPr="00C62284">
              <w:rPr>
                <w:bCs/>
                <w:i/>
                <w:kern w:val="0"/>
                <w:sz w:val="14"/>
                <w:szCs w:val="24"/>
              </w:rPr>
              <w:t>Porcentaje</w:t>
            </w:r>
          </w:p>
        </w:tc>
      </w:tr>
      <w:tr w:rsidR="00C62284" w:rsidRPr="00C62284" w:rsidTr="00C62284">
        <w:tblPrEx>
          <w:tblCellMar>
            <w:top w:w="0" w:type="dxa"/>
            <w:bottom w:w="0" w:type="dxa"/>
          </w:tblCellMar>
        </w:tblPrEx>
        <w:trPr>
          <w:trHeight w:hRule="exact" w:val="115"/>
          <w:tblHeader/>
        </w:trPr>
        <w:tc>
          <w:tcPr>
            <w:tcW w:w="2758" w:type="dxa"/>
            <w:tcBorders>
              <w:top w:val="single" w:sz="12" w:space="0" w:color="auto"/>
            </w:tcBorders>
            <w:shd w:val="clear" w:color="auto" w:fill="auto"/>
            <w:vAlign w:val="bottom"/>
          </w:tcPr>
          <w:p w:rsidR="00C62284" w:rsidRPr="00C62284" w:rsidRDefault="00C62284" w:rsidP="00C62284">
            <w:pPr>
              <w:tabs>
                <w:tab w:val="left" w:pos="288"/>
                <w:tab w:val="left" w:pos="576"/>
                <w:tab w:val="left" w:pos="864"/>
                <w:tab w:val="left" w:pos="1152"/>
              </w:tabs>
              <w:spacing w:before="40" w:after="40" w:line="210" w:lineRule="exact"/>
              <w:ind w:right="40"/>
              <w:rPr>
                <w:kern w:val="0"/>
                <w:sz w:val="17"/>
              </w:rPr>
            </w:pPr>
          </w:p>
        </w:tc>
        <w:tc>
          <w:tcPr>
            <w:tcW w:w="2122" w:type="dxa"/>
            <w:tcBorders>
              <w:top w:val="single" w:sz="12" w:space="0" w:color="auto"/>
            </w:tcBorders>
            <w:shd w:val="clear" w:color="auto" w:fill="auto"/>
            <w:vAlign w:val="bottom"/>
          </w:tcPr>
          <w:p w:rsidR="00C62284" w:rsidRPr="00C62284" w:rsidRDefault="00C62284" w:rsidP="00C62284">
            <w:pPr>
              <w:pStyle w:val="SingleTxtG"/>
              <w:spacing w:before="40" w:after="40" w:line="210" w:lineRule="exact"/>
              <w:ind w:left="113" w:right="40"/>
              <w:jc w:val="right"/>
              <w:rPr>
                <w:spacing w:val="4"/>
                <w:w w:val="103"/>
                <w:sz w:val="17"/>
                <w:szCs w:val="24"/>
                <w:lang w:val="fr-FR"/>
              </w:rPr>
            </w:pPr>
          </w:p>
        </w:tc>
        <w:tc>
          <w:tcPr>
            <w:tcW w:w="2440" w:type="dxa"/>
            <w:tcBorders>
              <w:top w:val="single" w:sz="12" w:space="0" w:color="auto"/>
            </w:tcBorders>
            <w:shd w:val="clear" w:color="auto" w:fill="auto"/>
            <w:vAlign w:val="bottom"/>
          </w:tcPr>
          <w:p w:rsidR="00C62284" w:rsidRPr="00C62284" w:rsidRDefault="00C62284" w:rsidP="00C62284">
            <w:pPr>
              <w:pStyle w:val="SingleTxtG"/>
              <w:spacing w:before="40" w:after="40" w:line="210" w:lineRule="exact"/>
              <w:ind w:left="113" w:right="40"/>
              <w:jc w:val="right"/>
              <w:rPr>
                <w:spacing w:val="4"/>
                <w:w w:val="103"/>
                <w:sz w:val="17"/>
                <w:szCs w:val="24"/>
                <w:lang w:val="fr-FR"/>
              </w:rPr>
            </w:pPr>
          </w:p>
        </w:tc>
      </w:tr>
      <w:tr w:rsidR="00C62284" w:rsidRPr="00C62284" w:rsidTr="00C62284">
        <w:tblPrEx>
          <w:tblCellMar>
            <w:top w:w="0" w:type="dxa"/>
            <w:bottom w:w="0" w:type="dxa"/>
          </w:tblCellMar>
        </w:tblPrEx>
        <w:tc>
          <w:tcPr>
            <w:tcW w:w="2758" w:type="dxa"/>
            <w:shd w:val="clear" w:color="auto" w:fill="auto"/>
            <w:vAlign w:val="bottom"/>
          </w:tcPr>
          <w:p w:rsidR="00C62284" w:rsidRPr="00C62284" w:rsidRDefault="00C62284" w:rsidP="00C62284">
            <w:pPr>
              <w:tabs>
                <w:tab w:val="left" w:pos="288"/>
                <w:tab w:val="left" w:pos="576"/>
                <w:tab w:val="left" w:pos="864"/>
                <w:tab w:val="left" w:pos="1152"/>
              </w:tabs>
              <w:spacing w:before="40" w:after="40" w:line="210" w:lineRule="exact"/>
              <w:ind w:right="40"/>
              <w:rPr>
                <w:kern w:val="0"/>
                <w:sz w:val="17"/>
              </w:rPr>
            </w:pPr>
            <w:r w:rsidRPr="00C62284">
              <w:rPr>
                <w:kern w:val="0"/>
                <w:sz w:val="17"/>
              </w:rPr>
              <w:t>A domicilio</w:t>
            </w:r>
          </w:p>
        </w:tc>
        <w:tc>
          <w:tcPr>
            <w:tcW w:w="2122" w:type="dxa"/>
            <w:shd w:val="clear" w:color="auto" w:fill="auto"/>
            <w:vAlign w:val="bottom"/>
          </w:tcPr>
          <w:p w:rsidR="00C62284" w:rsidRPr="00C62284" w:rsidRDefault="00C62284" w:rsidP="00C62284">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C62284">
              <w:rPr>
                <w:spacing w:val="4"/>
                <w:w w:val="103"/>
                <w:sz w:val="17"/>
                <w:szCs w:val="24"/>
                <w:lang w:val="fr-FR"/>
              </w:rPr>
              <w:t>1 096</w:t>
            </w:r>
          </w:p>
        </w:tc>
        <w:tc>
          <w:tcPr>
            <w:tcW w:w="2440" w:type="dxa"/>
            <w:shd w:val="clear" w:color="auto" w:fill="auto"/>
            <w:vAlign w:val="bottom"/>
          </w:tcPr>
          <w:p w:rsidR="00C62284" w:rsidRPr="00C62284" w:rsidRDefault="00C62284" w:rsidP="00C62284">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C62284">
              <w:rPr>
                <w:spacing w:val="4"/>
                <w:w w:val="103"/>
                <w:sz w:val="17"/>
                <w:szCs w:val="24"/>
                <w:lang w:val="fr-FR"/>
              </w:rPr>
              <w:t>3,2</w:t>
            </w:r>
          </w:p>
        </w:tc>
      </w:tr>
      <w:tr w:rsidR="00C62284" w:rsidRPr="00C62284" w:rsidTr="00C62284">
        <w:tblPrEx>
          <w:tblCellMar>
            <w:top w:w="0" w:type="dxa"/>
            <w:bottom w:w="0" w:type="dxa"/>
          </w:tblCellMar>
        </w:tblPrEx>
        <w:tc>
          <w:tcPr>
            <w:tcW w:w="2758" w:type="dxa"/>
            <w:shd w:val="clear" w:color="auto" w:fill="auto"/>
            <w:vAlign w:val="bottom"/>
          </w:tcPr>
          <w:p w:rsidR="00C62284" w:rsidRPr="00C62284" w:rsidRDefault="00C62284" w:rsidP="00C62284">
            <w:pPr>
              <w:tabs>
                <w:tab w:val="left" w:pos="288"/>
                <w:tab w:val="left" w:pos="576"/>
                <w:tab w:val="left" w:pos="864"/>
                <w:tab w:val="left" w:pos="1152"/>
              </w:tabs>
              <w:spacing w:before="40" w:after="40" w:line="210" w:lineRule="exact"/>
              <w:ind w:right="40"/>
              <w:rPr>
                <w:kern w:val="0"/>
                <w:sz w:val="17"/>
              </w:rPr>
            </w:pPr>
            <w:r w:rsidRPr="00C62284">
              <w:rPr>
                <w:kern w:val="0"/>
                <w:sz w:val="17"/>
              </w:rPr>
              <w:t>En establecimientos públicos</w:t>
            </w:r>
          </w:p>
        </w:tc>
        <w:tc>
          <w:tcPr>
            <w:tcW w:w="2122" w:type="dxa"/>
            <w:shd w:val="clear" w:color="auto" w:fill="auto"/>
            <w:vAlign w:val="bottom"/>
          </w:tcPr>
          <w:p w:rsidR="00C62284" w:rsidRPr="00C62284" w:rsidRDefault="00C62284" w:rsidP="00C62284">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C62284">
              <w:rPr>
                <w:spacing w:val="4"/>
                <w:w w:val="103"/>
                <w:sz w:val="17"/>
                <w:szCs w:val="24"/>
                <w:lang w:val="fr-FR"/>
              </w:rPr>
              <w:t>28 144</w:t>
            </w:r>
          </w:p>
        </w:tc>
        <w:tc>
          <w:tcPr>
            <w:tcW w:w="2440" w:type="dxa"/>
            <w:shd w:val="clear" w:color="auto" w:fill="auto"/>
            <w:vAlign w:val="bottom"/>
          </w:tcPr>
          <w:p w:rsidR="00C62284" w:rsidRPr="00C62284" w:rsidRDefault="00C62284" w:rsidP="00C62284">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C62284">
              <w:rPr>
                <w:spacing w:val="4"/>
                <w:w w:val="103"/>
                <w:sz w:val="17"/>
                <w:szCs w:val="24"/>
                <w:lang w:val="fr-FR"/>
              </w:rPr>
              <w:t>82,4</w:t>
            </w:r>
          </w:p>
        </w:tc>
      </w:tr>
      <w:tr w:rsidR="00C62284" w:rsidRPr="00C62284" w:rsidTr="00C62284">
        <w:tblPrEx>
          <w:tblCellMar>
            <w:top w:w="0" w:type="dxa"/>
            <w:bottom w:w="0" w:type="dxa"/>
          </w:tblCellMar>
        </w:tblPrEx>
        <w:tc>
          <w:tcPr>
            <w:tcW w:w="2758" w:type="dxa"/>
            <w:shd w:val="clear" w:color="auto" w:fill="auto"/>
            <w:vAlign w:val="bottom"/>
          </w:tcPr>
          <w:p w:rsidR="00C62284" w:rsidRPr="00C62284" w:rsidRDefault="00C62284" w:rsidP="00C62284">
            <w:pPr>
              <w:tabs>
                <w:tab w:val="left" w:pos="288"/>
                <w:tab w:val="left" w:pos="576"/>
                <w:tab w:val="left" w:pos="864"/>
                <w:tab w:val="left" w:pos="1152"/>
              </w:tabs>
              <w:spacing w:before="40" w:after="40" w:line="210" w:lineRule="exact"/>
              <w:ind w:right="40"/>
              <w:rPr>
                <w:kern w:val="0"/>
                <w:sz w:val="17"/>
              </w:rPr>
            </w:pPr>
            <w:r w:rsidRPr="00C62284">
              <w:rPr>
                <w:kern w:val="0"/>
                <w:sz w:val="17"/>
              </w:rPr>
              <w:t>En establecimientos semipúblicos</w:t>
            </w:r>
          </w:p>
        </w:tc>
        <w:tc>
          <w:tcPr>
            <w:tcW w:w="2122" w:type="dxa"/>
            <w:shd w:val="clear" w:color="auto" w:fill="auto"/>
            <w:vAlign w:val="bottom"/>
          </w:tcPr>
          <w:p w:rsidR="00C62284" w:rsidRPr="00C62284" w:rsidRDefault="00C62284" w:rsidP="00C62284">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C62284">
              <w:rPr>
                <w:i w:val="0"/>
                <w:spacing w:val="4"/>
                <w:kern w:val="0"/>
                <w:sz w:val="17"/>
                <w:szCs w:val="24"/>
                <w:lang w:val="fr-FR"/>
              </w:rPr>
              <w:t>1 426</w:t>
            </w:r>
          </w:p>
        </w:tc>
        <w:tc>
          <w:tcPr>
            <w:tcW w:w="2440" w:type="dxa"/>
            <w:shd w:val="clear" w:color="auto" w:fill="auto"/>
            <w:vAlign w:val="bottom"/>
          </w:tcPr>
          <w:p w:rsidR="00C62284" w:rsidRPr="00C62284" w:rsidRDefault="00C62284" w:rsidP="00C62284">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C62284">
              <w:rPr>
                <w:i w:val="0"/>
                <w:spacing w:val="4"/>
                <w:kern w:val="0"/>
                <w:sz w:val="17"/>
                <w:szCs w:val="24"/>
                <w:lang w:val="fr-FR"/>
              </w:rPr>
              <w:t>4,2</w:t>
            </w:r>
          </w:p>
        </w:tc>
      </w:tr>
      <w:tr w:rsidR="00C62284" w:rsidRPr="00C62284" w:rsidTr="00C62284">
        <w:tblPrEx>
          <w:tblCellMar>
            <w:top w:w="0" w:type="dxa"/>
            <w:bottom w:w="0" w:type="dxa"/>
          </w:tblCellMar>
        </w:tblPrEx>
        <w:tc>
          <w:tcPr>
            <w:tcW w:w="2758" w:type="dxa"/>
            <w:tcBorders>
              <w:bottom w:val="single" w:sz="4" w:space="0" w:color="auto"/>
            </w:tcBorders>
            <w:shd w:val="clear" w:color="auto" w:fill="auto"/>
            <w:vAlign w:val="bottom"/>
          </w:tcPr>
          <w:p w:rsidR="00C62284" w:rsidRPr="00C62284" w:rsidRDefault="00C62284" w:rsidP="00C62284">
            <w:pPr>
              <w:tabs>
                <w:tab w:val="left" w:pos="288"/>
                <w:tab w:val="left" w:pos="576"/>
                <w:tab w:val="left" w:pos="864"/>
                <w:tab w:val="left" w:pos="1152"/>
              </w:tabs>
              <w:spacing w:before="40" w:after="81" w:line="210" w:lineRule="exact"/>
              <w:ind w:right="40"/>
              <w:rPr>
                <w:kern w:val="0"/>
                <w:sz w:val="17"/>
              </w:rPr>
            </w:pPr>
            <w:r w:rsidRPr="00C62284">
              <w:rPr>
                <w:kern w:val="0"/>
                <w:sz w:val="17"/>
              </w:rPr>
              <w:t>En establecimientos privados</w:t>
            </w:r>
          </w:p>
        </w:tc>
        <w:tc>
          <w:tcPr>
            <w:tcW w:w="2122" w:type="dxa"/>
            <w:tcBorders>
              <w:bottom w:val="single" w:sz="4" w:space="0" w:color="auto"/>
            </w:tcBorders>
            <w:shd w:val="clear" w:color="auto" w:fill="auto"/>
            <w:vAlign w:val="bottom"/>
          </w:tcPr>
          <w:p w:rsidR="00C62284" w:rsidRPr="00C62284" w:rsidRDefault="00C62284" w:rsidP="00C62284">
            <w:pPr>
              <w:pStyle w:val="H4"/>
              <w:tabs>
                <w:tab w:val="left" w:pos="288"/>
                <w:tab w:val="left" w:pos="576"/>
                <w:tab w:val="left" w:pos="864"/>
                <w:tab w:val="left" w:pos="1152"/>
              </w:tabs>
              <w:spacing w:before="40" w:after="81" w:line="210" w:lineRule="exact"/>
              <w:ind w:left="113" w:right="40"/>
              <w:jc w:val="right"/>
              <w:rPr>
                <w:i w:val="0"/>
                <w:spacing w:val="4"/>
                <w:kern w:val="0"/>
                <w:sz w:val="17"/>
                <w:szCs w:val="24"/>
                <w:lang w:val="fr-FR"/>
              </w:rPr>
            </w:pPr>
            <w:r w:rsidRPr="00C62284">
              <w:rPr>
                <w:i w:val="0"/>
                <w:spacing w:val="4"/>
                <w:kern w:val="0"/>
                <w:sz w:val="17"/>
                <w:szCs w:val="24"/>
                <w:lang w:val="fr-FR"/>
              </w:rPr>
              <w:t>3 496</w:t>
            </w:r>
          </w:p>
        </w:tc>
        <w:tc>
          <w:tcPr>
            <w:tcW w:w="2440" w:type="dxa"/>
            <w:tcBorders>
              <w:bottom w:val="single" w:sz="4" w:space="0" w:color="auto"/>
            </w:tcBorders>
            <w:shd w:val="clear" w:color="auto" w:fill="auto"/>
            <w:vAlign w:val="bottom"/>
          </w:tcPr>
          <w:p w:rsidR="00C62284" w:rsidRPr="00C62284" w:rsidRDefault="00C62284" w:rsidP="00C62284">
            <w:pPr>
              <w:pStyle w:val="H4"/>
              <w:tabs>
                <w:tab w:val="left" w:pos="288"/>
                <w:tab w:val="left" w:pos="576"/>
                <w:tab w:val="left" w:pos="864"/>
                <w:tab w:val="left" w:pos="1152"/>
              </w:tabs>
              <w:spacing w:before="40" w:after="81" w:line="210" w:lineRule="exact"/>
              <w:ind w:left="113" w:right="40"/>
              <w:jc w:val="right"/>
              <w:rPr>
                <w:i w:val="0"/>
                <w:spacing w:val="4"/>
                <w:kern w:val="0"/>
                <w:sz w:val="17"/>
                <w:szCs w:val="24"/>
                <w:lang w:val="fr-FR"/>
              </w:rPr>
            </w:pPr>
            <w:r w:rsidRPr="00C62284">
              <w:rPr>
                <w:i w:val="0"/>
                <w:spacing w:val="4"/>
                <w:kern w:val="0"/>
                <w:sz w:val="17"/>
                <w:szCs w:val="24"/>
                <w:lang w:val="fr-FR"/>
              </w:rPr>
              <w:t>10,2</w:t>
            </w:r>
          </w:p>
        </w:tc>
      </w:tr>
      <w:tr w:rsidR="00C62284" w:rsidRPr="00C62284" w:rsidTr="00C62284">
        <w:tblPrEx>
          <w:tblCellMar>
            <w:top w:w="0" w:type="dxa"/>
            <w:bottom w:w="0" w:type="dxa"/>
          </w:tblCellMar>
        </w:tblPrEx>
        <w:tc>
          <w:tcPr>
            <w:tcW w:w="2758" w:type="dxa"/>
            <w:tcBorders>
              <w:top w:val="single" w:sz="4" w:space="0" w:color="auto"/>
              <w:bottom w:val="single" w:sz="12" w:space="0" w:color="auto"/>
            </w:tcBorders>
            <w:shd w:val="clear" w:color="auto" w:fill="auto"/>
            <w:vAlign w:val="bottom"/>
          </w:tcPr>
          <w:p w:rsidR="00C62284" w:rsidRPr="00C62284" w:rsidRDefault="00C62284" w:rsidP="00C62284">
            <w:pPr>
              <w:tabs>
                <w:tab w:val="left" w:pos="288"/>
                <w:tab w:val="left" w:pos="576"/>
                <w:tab w:val="left" w:pos="864"/>
                <w:tab w:val="left" w:pos="1152"/>
              </w:tabs>
              <w:spacing w:before="81" w:after="81" w:line="210" w:lineRule="exact"/>
              <w:ind w:right="40"/>
              <w:rPr>
                <w:b/>
                <w:kern w:val="0"/>
                <w:sz w:val="17"/>
              </w:rPr>
            </w:pPr>
            <w:r w:rsidRPr="00C62284">
              <w:rPr>
                <w:b/>
                <w:kern w:val="0"/>
                <w:sz w:val="17"/>
              </w:rPr>
              <w:tab/>
              <w:t>Total</w:t>
            </w:r>
          </w:p>
        </w:tc>
        <w:tc>
          <w:tcPr>
            <w:tcW w:w="2122" w:type="dxa"/>
            <w:tcBorders>
              <w:top w:val="single" w:sz="4" w:space="0" w:color="auto"/>
              <w:bottom w:val="single" w:sz="12" w:space="0" w:color="auto"/>
            </w:tcBorders>
            <w:shd w:val="clear" w:color="auto" w:fill="auto"/>
            <w:vAlign w:val="bottom"/>
          </w:tcPr>
          <w:p w:rsidR="00C62284" w:rsidRPr="00C62284" w:rsidRDefault="00C62284" w:rsidP="00C62284">
            <w:pPr>
              <w:pStyle w:val="H4"/>
              <w:tabs>
                <w:tab w:val="left" w:pos="288"/>
                <w:tab w:val="left" w:pos="576"/>
                <w:tab w:val="left" w:pos="864"/>
                <w:tab w:val="left" w:pos="1152"/>
              </w:tabs>
              <w:spacing w:before="81" w:after="81" w:line="210" w:lineRule="exact"/>
              <w:ind w:left="113" w:right="40"/>
              <w:jc w:val="right"/>
              <w:rPr>
                <w:b/>
                <w:i w:val="0"/>
                <w:spacing w:val="4"/>
                <w:kern w:val="0"/>
                <w:sz w:val="17"/>
                <w:szCs w:val="24"/>
                <w:lang w:val="fr-FR"/>
              </w:rPr>
            </w:pPr>
            <w:r w:rsidRPr="00C62284">
              <w:rPr>
                <w:b/>
                <w:i w:val="0"/>
                <w:spacing w:val="4"/>
                <w:kern w:val="0"/>
                <w:sz w:val="17"/>
                <w:szCs w:val="24"/>
                <w:lang w:val="fr-FR"/>
              </w:rPr>
              <w:t>34 162</w:t>
            </w:r>
          </w:p>
        </w:tc>
        <w:tc>
          <w:tcPr>
            <w:tcW w:w="2440" w:type="dxa"/>
            <w:tcBorders>
              <w:top w:val="single" w:sz="4" w:space="0" w:color="auto"/>
              <w:bottom w:val="single" w:sz="12" w:space="0" w:color="auto"/>
            </w:tcBorders>
            <w:shd w:val="clear" w:color="auto" w:fill="auto"/>
            <w:vAlign w:val="bottom"/>
          </w:tcPr>
          <w:p w:rsidR="00C62284" w:rsidRPr="00C62284" w:rsidRDefault="00C62284" w:rsidP="00C62284">
            <w:pPr>
              <w:pStyle w:val="H4"/>
              <w:tabs>
                <w:tab w:val="left" w:pos="288"/>
                <w:tab w:val="left" w:pos="576"/>
                <w:tab w:val="left" w:pos="864"/>
                <w:tab w:val="left" w:pos="1152"/>
              </w:tabs>
              <w:spacing w:before="81" w:after="81" w:line="210" w:lineRule="exact"/>
              <w:ind w:left="113" w:right="40"/>
              <w:jc w:val="right"/>
              <w:rPr>
                <w:b/>
                <w:i w:val="0"/>
                <w:spacing w:val="4"/>
                <w:kern w:val="0"/>
                <w:sz w:val="17"/>
                <w:szCs w:val="24"/>
                <w:lang w:val="fr-FR"/>
              </w:rPr>
            </w:pPr>
            <w:r w:rsidRPr="00C62284">
              <w:rPr>
                <w:b/>
                <w:i w:val="0"/>
                <w:spacing w:val="4"/>
                <w:kern w:val="0"/>
                <w:sz w:val="17"/>
                <w:szCs w:val="24"/>
                <w:lang w:val="fr-FR"/>
              </w:rPr>
              <w:t>100,0</w:t>
            </w:r>
          </w:p>
        </w:tc>
      </w:tr>
    </w:tbl>
    <w:p w:rsidR="00C62284" w:rsidRPr="00C62284" w:rsidRDefault="00C62284" w:rsidP="00C62284">
      <w:pPr>
        <w:pStyle w:val="SingleTxt"/>
        <w:spacing w:after="0" w:line="120" w:lineRule="exact"/>
        <w:rPr>
          <w:sz w:val="10"/>
        </w:rPr>
      </w:pPr>
    </w:p>
    <w:p w:rsidR="008445B3" w:rsidRPr="00C62284" w:rsidRDefault="00C62284" w:rsidP="00C622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jc w:val="left"/>
        <w:rPr>
          <w:sz w:val="17"/>
          <w:szCs w:val="17"/>
        </w:rPr>
      </w:pPr>
      <w:r w:rsidRPr="00C62284">
        <w:rPr>
          <w:i/>
          <w:sz w:val="17"/>
          <w:szCs w:val="17"/>
        </w:rPr>
        <w:t>Fuente</w:t>
      </w:r>
      <w:r w:rsidRPr="00C62284">
        <w:rPr>
          <w:sz w:val="17"/>
          <w:szCs w:val="17"/>
        </w:rPr>
        <w:t>: Estudio de la disponibilidad y la calidad de la atención obstétrica de urgencia en Gabón. Ministerio de Salud Pública, FNUAP, diciembre de 2003.</w:t>
      </w:r>
    </w:p>
    <w:p w:rsidR="00C62284" w:rsidRPr="00C62284" w:rsidRDefault="00C62284" w:rsidP="00C62284">
      <w:pPr>
        <w:pStyle w:val="SingleTxt"/>
        <w:spacing w:after="0" w:line="120" w:lineRule="exact"/>
        <w:rPr>
          <w:sz w:val="10"/>
        </w:rPr>
      </w:pPr>
    </w:p>
    <w:p w:rsidR="00C62284" w:rsidRPr="00C62284" w:rsidRDefault="00C62284" w:rsidP="00C62284">
      <w:pPr>
        <w:pStyle w:val="SingleTxt"/>
        <w:spacing w:after="0" w:line="120" w:lineRule="exact"/>
        <w:rPr>
          <w:sz w:val="10"/>
        </w:rPr>
      </w:pPr>
    </w:p>
    <w:p w:rsidR="00C62284" w:rsidRPr="00C62284" w:rsidRDefault="00C62284" w:rsidP="00C62284">
      <w:pPr>
        <w:pStyle w:val="SingleTxt"/>
        <w:spacing w:after="0" w:line="120" w:lineRule="exact"/>
        <w:rPr>
          <w:sz w:val="10"/>
        </w:rPr>
      </w:pPr>
    </w:p>
    <w:p w:rsidR="00CF1834" w:rsidRDefault="00CF1834" w:rsidP="00CF1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Recursos de personal calificado</w:t>
      </w:r>
    </w:p>
    <w:p w:rsidR="00CF1834" w:rsidRPr="00CF1834" w:rsidRDefault="00CF1834" w:rsidP="00CF1834">
      <w:pPr>
        <w:pStyle w:val="SingleTxt"/>
        <w:spacing w:after="0" w:line="120" w:lineRule="exact"/>
        <w:rPr>
          <w:sz w:val="10"/>
        </w:rPr>
      </w:pPr>
    </w:p>
    <w:p w:rsidR="00CF1834" w:rsidRDefault="00CF1834" w:rsidP="00CF1834">
      <w:pPr>
        <w:pStyle w:val="SingleTxt"/>
      </w:pPr>
      <w:r>
        <w:t>111.</w:t>
      </w:r>
      <w:r>
        <w:tab/>
        <w:t>En general, la gran mayoría de las mujeres (más del 87%) aprovechan la asistencia de personal formado en partos.</w:t>
      </w:r>
    </w:p>
    <w:p w:rsidR="00CF1834" w:rsidRPr="00CF1834" w:rsidRDefault="00CF1834" w:rsidP="00CF1834">
      <w:pPr>
        <w:pStyle w:val="SingleTxt"/>
        <w:spacing w:after="0" w:line="120" w:lineRule="exact"/>
        <w:rPr>
          <w:sz w:val="10"/>
        </w:rPr>
      </w:pPr>
    </w:p>
    <w:p w:rsidR="00C62284" w:rsidRDefault="00CF1834" w:rsidP="00CF1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F1834">
        <w:rPr>
          <w:b w:val="0"/>
        </w:rPr>
        <w:t>Cuadro 14</w:t>
      </w:r>
      <w:r>
        <w:br/>
        <w:t>Tasa de partos efectuados por personal médico</w:t>
      </w:r>
    </w:p>
    <w:p w:rsidR="00CF1834" w:rsidRPr="00CF1834" w:rsidRDefault="00CF1834" w:rsidP="00CF1834">
      <w:pPr>
        <w:pStyle w:val="SingleTxt"/>
        <w:spacing w:after="0" w:line="120" w:lineRule="exact"/>
        <w:rPr>
          <w:sz w:val="10"/>
        </w:rPr>
      </w:pPr>
    </w:p>
    <w:p w:rsidR="00CF1834" w:rsidRPr="00CF1834" w:rsidRDefault="00CF1834" w:rsidP="00CF1834">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F1691C" w:rsidRPr="00F1691C" w:rsidTr="00F1691C">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F1691C" w:rsidRPr="00F1691C" w:rsidRDefault="00F1691C" w:rsidP="00F1691C">
            <w:pPr>
              <w:widowControl w:val="0"/>
              <w:autoSpaceDE w:val="0"/>
              <w:autoSpaceDN w:val="0"/>
              <w:adjustRightInd w:val="0"/>
              <w:spacing w:before="80" w:after="80" w:line="160" w:lineRule="exact"/>
              <w:ind w:right="40"/>
              <w:rPr>
                <w:i/>
                <w:kern w:val="0"/>
                <w:sz w:val="14"/>
                <w:szCs w:val="24"/>
              </w:rPr>
            </w:pPr>
            <w:r w:rsidRPr="00F1691C">
              <w:rPr>
                <w:i/>
                <w:iCs/>
                <w:kern w:val="0"/>
                <w:sz w:val="14"/>
                <w:szCs w:val="24"/>
              </w:rPr>
              <w:t>Personal médico</w:t>
            </w:r>
          </w:p>
        </w:tc>
        <w:tc>
          <w:tcPr>
            <w:tcW w:w="3660" w:type="dxa"/>
            <w:tcBorders>
              <w:top w:val="single" w:sz="4" w:space="0" w:color="auto"/>
              <w:bottom w:val="single" w:sz="12" w:space="0" w:color="auto"/>
            </w:tcBorders>
            <w:shd w:val="clear" w:color="auto" w:fill="auto"/>
            <w:vAlign w:val="bottom"/>
          </w:tcPr>
          <w:p w:rsidR="00F1691C" w:rsidRPr="00F1691C" w:rsidRDefault="00F1691C" w:rsidP="00F1691C">
            <w:pPr>
              <w:widowControl w:val="0"/>
              <w:autoSpaceDE w:val="0"/>
              <w:autoSpaceDN w:val="0"/>
              <w:adjustRightInd w:val="0"/>
              <w:spacing w:before="80" w:after="80" w:line="160" w:lineRule="exact"/>
              <w:ind w:right="40"/>
              <w:jc w:val="right"/>
              <w:rPr>
                <w:i/>
                <w:kern w:val="0"/>
                <w:sz w:val="14"/>
                <w:szCs w:val="24"/>
              </w:rPr>
            </w:pPr>
            <w:r w:rsidRPr="00F1691C">
              <w:rPr>
                <w:i/>
                <w:iCs/>
                <w:kern w:val="0"/>
                <w:sz w:val="14"/>
                <w:szCs w:val="24"/>
              </w:rPr>
              <w:t>Porcentaje</w:t>
            </w:r>
          </w:p>
        </w:tc>
      </w:tr>
      <w:tr w:rsidR="00F1691C" w:rsidRPr="00F1691C" w:rsidTr="00F1691C">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p>
        </w:tc>
        <w:tc>
          <w:tcPr>
            <w:tcW w:w="3660" w:type="dxa"/>
            <w:tcBorders>
              <w:top w:val="single" w:sz="12" w:space="0" w:color="auto"/>
            </w:tcBorders>
            <w:shd w:val="clear" w:color="auto" w:fill="auto"/>
            <w:vAlign w:val="bottom"/>
          </w:tcPr>
          <w:p w:rsidR="00F1691C" w:rsidRPr="00F1691C" w:rsidRDefault="00F1691C" w:rsidP="00F1691C">
            <w:pPr>
              <w:pStyle w:val="SingleTxtG"/>
              <w:spacing w:before="40" w:after="40" w:line="210" w:lineRule="exact"/>
              <w:ind w:left="113" w:right="40"/>
              <w:jc w:val="right"/>
              <w:rPr>
                <w:spacing w:val="4"/>
                <w:w w:val="103"/>
                <w:sz w:val="17"/>
                <w:szCs w:val="24"/>
                <w:lang w:val="fr-FR"/>
              </w:rPr>
            </w:pP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Médicos</w:t>
            </w:r>
          </w:p>
        </w:tc>
        <w:tc>
          <w:tcPr>
            <w:tcW w:w="3660" w:type="dxa"/>
            <w:shd w:val="clear" w:color="auto" w:fill="auto"/>
            <w:vAlign w:val="bottom"/>
          </w:tcPr>
          <w:p w:rsidR="00F1691C" w:rsidRPr="00F1691C" w:rsidRDefault="00F1691C" w:rsidP="00F1691C">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F1691C">
              <w:rPr>
                <w:spacing w:val="4"/>
                <w:w w:val="103"/>
                <w:sz w:val="17"/>
                <w:szCs w:val="24"/>
                <w:lang w:val="fr-FR"/>
              </w:rPr>
              <w:t>18,5</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Comadronas</w:t>
            </w:r>
          </w:p>
        </w:tc>
        <w:tc>
          <w:tcPr>
            <w:tcW w:w="3660" w:type="dxa"/>
            <w:shd w:val="clear" w:color="auto" w:fill="auto"/>
            <w:vAlign w:val="bottom"/>
          </w:tcPr>
          <w:p w:rsidR="00F1691C" w:rsidRPr="00F1691C" w:rsidRDefault="00F1691C" w:rsidP="00F1691C">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F1691C">
              <w:rPr>
                <w:spacing w:val="4"/>
                <w:w w:val="103"/>
                <w:sz w:val="17"/>
                <w:szCs w:val="24"/>
                <w:lang w:val="fr-FR"/>
              </w:rPr>
              <w:t>64,1</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Enfermeras</w:t>
            </w:r>
          </w:p>
        </w:tc>
        <w:tc>
          <w:tcPr>
            <w:tcW w:w="3660" w:type="dxa"/>
            <w:shd w:val="clear" w:color="auto" w:fill="auto"/>
            <w:vAlign w:val="bottom"/>
          </w:tcPr>
          <w:p w:rsidR="00F1691C" w:rsidRPr="00F1691C" w:rsidRDefault="00F1691C" w:rsidP="00F1691C">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F1691C">
              <w:rPr>
                <w:spacing w:val="4"/>
                <w:w w:val="103"/>
                <w:sz w:val="17"/>
                <w:szCs w:val="24"/>
                <w:lang w:val="fr-FR"/>
              </w:rPr>
              <w:t>2,9</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Matronas/parteras calificadas</w:t>
            </w:r>
          </w:p>
        </w:tc>
        <w:tc>
          <w:tcPr>
            <w:tcW w:w="3660" w:type="dxa"/>
            <w:shd w:val="clear" w:color="auto" w:fill="auto"/>
            <w:vAlign w:val="bottom"/>
          </w:tcPr>
          <w:p w:rsidR="00F1691C" w:rsidRPr="00F1691C" w:rsidRDefault="00F1691C" w:rsidP="00F1691C">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F1691C">
              <w:rPr>
                <w:i w:val="0"/>
                <w:spacing w:val="4"/>
                <w:kern w:val="0"/>
                <w:sz w:val="17"/>
                <w:szCs w:val="24"/>
                <w:lang w:val="fr-FR"/>
              </w:rPr>
              <w:t>1,9</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Conjunto de personal calificado</w:t>
            </w:r>
          </w:p>
        </w:tc>
        <w:tc>
          <w:tcPr>
            <w:tcW w:w="3660" w:type="dxa"/>
            <w:shd w:val="clear" w:color="auto" w:fill="auto"/>
            <w:vAlign w:val="bottom"/>
          </w:tcPr>
          <w:p w:rsidR="00F1691C" w:rsidRPr="00F1691C" w:rsidRDefault="00F1691C" w:rsidP="00F1691C">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F1691C">
              <w:rPr>
                <w:i w:val="0"/>
                <w:spacing w:val="4"/>
                <w:kern w:val="0"/>
                <w:sz w:val="17"/>
                <w:szCs w:val="24"/>
                <w:lang w:val="fr-FR"/>
              </w:rPr>
              <w:t>87,3</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Ayudantes de parto tradicionales</w:t>
            </w:r>
          </w:p>
        </w:tc>
        <w:tc>
          <w:tcPr>
            <w:tcW w:w="3660" w:type="dxa"/>
            <w:shd w:val="clear" w:color="auto" w:fill="auto"/>
            <w:vAlign w:val="bottom"/>
          </w:tcPr>
          <w:p w:rsidR="00F1691C" w:rsidRPr="00F1691C" w:rsidRDefault="00F1691C" w:rsidP="00F1691C">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F1691C">
              <w:rPr>
                <w:i w:val="0"/>
                <w:spacing w:val="4"/>
                <w:kern w:val="0"/>
                <w:sz w:val="17"/>
                <w:szCs w:val="24"/>
                <w:lang w:val="fr-FR"/>
              </w:rPr>
              <w:t>4,2</w:t>
            </w:r>
          </w:p>
        </w:tc>
      </w:tr>
      <w:tr w:rsidR="00F1691C" w:rsidRPr="00F1691C" w:rsidTr="00F1691C">
        <w:tblPrEx>
          <w:tblCellMar>
            <w:top w:w="0" w:type="dxa"/>
            <w:bottom w:w="0" w:type="dxa"/>
          </w:tblCellMar>
        </w:tblPrEx>
        <w:tc>
          <w:tcPr>
            <w:tcW w:w="3660" w:type="dxa"/>
            <w:shd w:val="clear" w:color="auto" w:fill="auto"/>
            <w:vAlign w:val="bottom"/>
          </w:tcPr>
          <w:p w:rsidR="00F1691C" w:rsidRPr="00F1691C" w:rsidRDefault="00F1691C" w:rsidP="00F1691C">
            <w:pPr>
              <w:tabs>
                <w:tab w:val="left" w:pos="288"/>
                <w:tab w:val="left" w:pos="576"/>
                <w:tab w:val="left" w:pos="864"/>
                <w:tab w:val="left" w:pos="1152"/>
              </w:tabs>
              <w:spacing w:before="40" w:after="40" w:line="210" w:lineRule="exact"/>
              <w:ind w:right="40"/>
              <w:rPr>
                <w:kern w:val="0"/>
                <w:sz w:val="17"/>
              </w:rPr>
            </w:pPr>
            <w:r w:rsidRPr="00F1691C">
              <w:rPr>
                <w:kern w:val="0"/>
                <w:sz w:val="17"/>
              </w:rPr>
              <w:t>Padres/otros</w:t>
            </w:r>
          </w:p>
        </w:tc>
        <w:tc>
          <w:tcPr>
            <w:tcW w:w="3660" w:type="dxa"/>
            <w:shd w:val="clear" w:color="auto" w:fill="auto"/>
            <w:vAlign w:val="bottom"/>
          </w:tcPr>
          <w:p w:rsidR="00F1691C" w:rsidRPr="00F1691C" w:rsidRDefault="00F1691C" w:rsidP="00F1691C">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F1691C">
              <w:rPr>
                <w:i w:val="0"/>
                <w:spacing w:val="4"/>
                <w:kern w:val="0"/>
                <w:sz w:val="17"/>
                <w:szCs w:val="24"/>
                <w:lang w:val="fr-FR"/>
              </w:rPr>
              <w:t>7</w:t>
            </w:r>
          </w:p>
        </w:tc>
      </w:tr>
      <w:tr w:rsidR="00F1691C" w:rsidRPr="00F1691C" w:rsidTr="00F1691C">
        <w:tblPrEx>
          <w:tblCellMar>
            <w:top w:w="0" w:type="dxa"/>
            <w:bottom w:w="0" w:type="dxa"/>
          </w:tblCellMar>
        </w:tblPrEx>
        <w:tc>
          <w:tcPr>
            <w:tcW w:w="3660" w:type="dxa"/>
            <w:tcBorders>
              <w:bottom w:val="single" w:sz="12" w:space="0" w:color="auto"/>
            </w:tcBorders>
            <w:shd w:val="clear" w:color="auto" w:fill="auto"/>
            <w:vAlign w:val="bottom"/>
          </w:tcPr>
          <w:p w:rsidR="00F1691C" w:rsidRPr="00F1691C" w:rsidRDefault="00F1691C" w:rsidP="00F1691C">
            <w:pPr>
              <w:tabs>
                <w:tab w:val="left" w:pos="288"/>
                <w:tab w:val="left" w:pos="576"/>
                <w:tab w:val="left" w:pos="864"/>
                <w:tab w:val="left" w:pos="1152"/>
              </w:tabs>
              <w:spacing w:before="40" w:after="80" w:line="210" w:lineRule="exact"/>
              <w:ind w:right="43"/>
              <w:rPr>
                <w:kern w:val="0"/>
                <w:sz w:val="17"/>
              </w:rPr>
            </w:pPr>
            <w:r w:rsidRPr="00F1691C">
              <w:rPr>
                <w:kern w:val="0"/>
                <w:sz w:val="17"/>
              </w:rPr>
              <w:t>Nadie</w:t>
            </w:r>
          </w:p>
        </w:tc>
        <w:tc>
          <w:tcPr>
            <w:tcW w:w="3660" w:type="dxa"/>
            <w:tcBorders>
              <w:bottom w:val="single" w:sz="12" w:space="0" w:color="auto"/>
            </w:tcBorders>
            <w:shd w:val="clear" w:color="auto" w:fill="auto"/>
            <w:vAlign w:val="bottom"/>
          </w:tcPr>
          <w:p w:rsidR="00F1691C" w:rsidRPr="00F1691C" w:rsidRDefault="00F1691C" w:rsidP="00F1691C">
            <w:pPr>
              <w:pStyle w:val="H4"/>
              <w:tabs>
                <w:tab w:val="left" w:pos="288"/>
                <w:tab w:val="left" w:pos="576"/>
                <w:tab w:val="left" w:pos="864"/>
                <w:tab w:val="left" w:pos="1152"/>
              </w:tabs>
              <w:spacing w:before="40" w:after="80" w:line="210" w:lineRule="exact"/>
              <w:ind w:left="113" w:right="43"/>
              <w:jc w:val="right"/>
              <w:rPr>
                <w:i w:val="0"/>
                <w:spacing w:val="4"/>
                <w:kern w:val="0"/>
                <w:sz w:val="17"/>
                <w:szCs w:val="24"/>
                <w:lang w:val="fr-FR"/>
              </w:rPr>
            </w:pPr>
            <w:r w:rsidRPr="00F1691C">
              <w:rPr>
                <w:i w:val="0"/>
                <w:spacing w:val="4"/>
                <w:kern w:val="0"/>
                <w:sz w:val="17"/>
                <w:szCs w:val="24"/>
                <w:lang w:val="fr-FR"/>
              </w:rPr>
              <w:t>1,5</w:t>
            </w:r>
          </w:p>
        </w:tc>
      </w:tr>
    </w:tbl>
    <w:p w:rsidR="00F1691C" w:rsidRPr="00F1691C" w:rsidRDefault="00F1691C" w:rsidP="00F1691C">
      <w:pPr>
        <w:pStyle w:val="SingleTxt"/>
        <w:suppressAutoHyphens/>
        <w:spacing w:after="0" w:line="120" w:lineRule="exact"/>
        <w:rPr>
          <w:sz w:val="10"/>
        </w:rPr>
      </w:pPr>
    </w:p>
    <w:p w:rsidR="00CF1834" w:rsidRPr="00F1691C" w:rsidRDefault="00F1691C" w:rsidP="00F169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48" w:hanging="288"/>
        <w:rPr>
          <w:sz w:val="17"/>
          <w:szCs w:val="17"/>
        </w:rPr>
      </w:pPr>
      <w:r w:rsidRPr="00F1691C">
        <w:rPr>
          <w:i/>
          <w:sz w:val="17"/>
          <w:szCs w:val="17"/>
        </w:rPr>
        <w:t>Fuente</w:t>
      </w:r>
      <w:r w:rsidRPr="00F1691C">
        <w:rPr>
          <w:sz w:val="17"/>
          <w:szCs w:val="17"/>
        </w:rPr>
        <w:t>: EDS (encuesta demográfica y de la salud) 2000.</w:t>
      </w:r>
    </w:p>
    <w:p w:rsidR="00F1691C" w:rsidRPr="00F1691C" w:rsidRDefault="00F1691C" w:rsidP="00F1691C">
      <w:pPr>
        <w:pStyle w:val="SingleTxt"/>
        <w:spacing w:after="0" w:line="120" w:lineRule="exact"/>
        <w:rPr>
          <w:sz w:val="10"/>
        </w:rPr>
      </w:pPr>
    </w:p>
    <w:p w:rsidR="00F1691C" w:rsidRPr="00F1691C" w:rsidRDefault="00F1691C" w:rsidP="00F1691C">
      <w:pPr>
        <w:pStyle w:val="SingleTxt"/>
        <w:spacing w:after="0" w:line="120" w:lineRule="exact"/>
        <w:rPr>
          <w:sz w:val="10"/>
        </w:rPr>
      </w:pPr>
    </w:p>
    <w:p w:rsidR="00F1691C" w:rsidRPr="00F1691C" w:rsidRDefault="00F1691C" w:rsidP="00F1691C">
      <w:pPr>
        <w:pStyle w:val="SingleTxt"/>
        <w:spacing w:after="0" w:line="120" w:lineRule="exact"/>
        <w:rPr>
          <w:sz w:val="10"/>
        </w:rPr>
      </w:pPr>
    </w:p>
    <w:p w:rsidR="00F1691C" w:rsidRDefault="005C09FD" w:rsidP="00F1691C">
      <w:pPr>
        <w:pStyle w:val="SingleTxt"/>
      </w:pPr>
      <w:r>
        <w:t>112.</w:t>
      </w:r>
      <w:r>
        <w:tab/>
      </w:r>
      <w:r w:rsidR="00F1691C">
        <w:t>Las diferencias se experimentan según el lugar de residencia de que se trate. Las zonas urbanas aprovechan las ventajas de una asistencia a cargo de personal médico.</w:t>
      </w:r>
    </w:p>
    <w:p w:rsidR="00F1691C" w:rsidRPr="00F1691C" w:rsidRDefault="00F1691C" w:rsidP="00F1691C">
      <w:pPr>
        <w:pStyle w:val="SingleTxt"/>
        <w:spacing w:after="0" w:line="120" w:lineRule="exact"/>
        <w:rPr>
          <w:sz w:val="10"/>
        </w:rPr>
      </w:pPr>
    </w:p>
    <w:p w:rsidR="00F1691C" w:rsidRDefault="00F1691C" w:rsidP="00F169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1691C">
        <w:rPr>
          <w:b w:val="0"/>
        </w:rPr>
        <w:t>Cuadro 15</w:t>
      </w:r>
      <w:r>
        <w:br/>
        <w:t>Tasa de partos asistidos por personal calificado según el lugar de residencia</w:t>
      </w:r>
    </w:p>
    <w:p w:rsidR="00F1691C" w:rsidRPr="00F1691C" w:rsidRDefault="00F1691C" w:rsidP="00F1691C">
      <w:pPr>
        <w:pStyle w:val="SingleTxt"/>
        <w:suppressAutoHyphens/>
        <w:spacing w:after="0" w:line="120" w:lineRule="exact"/>
        <w:rPr>
          <w:sz w:val="10"/>
        </w:rPr>
      </w:pPr>
    </w:p>
    <w:p w:rsidR="00F1691C" w:rsidRPr="00F1691C" w:rsidRDefault="00F1691C" w:rsidP="00F1691C">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758"/>
        <w:gridCol w:w="2122"/>
        <w:gridCol w:w="2440"/>
      </w:tblGrid>
      <w:tr w:rsidR="005C09FD" w:rsidRPr="005C09FD" w:rsidTr="005C09FD">
        <w:tblPrEx>
          <w:tblCellMar>
            <w:top w:w="0" w:type="dxa"/>
            <w:bottom w:w="0" w:type="dxa"/>
          </w:tblCellMar>
        </w:tblPrEx>
        <w:trPr>
          <w:tblHeader/>
        </w:trPr>
        <w:tc>
          <w:tcPr>
            <w:tcW w:w="2758" w:type="dxa"/>
            <w:tcBorders>
              <w:top w:val="single" w:sz="4" w:space="0" w:color="auto"/>
              <w:bottom w:val="single" w:sz="12" w:space="0" w:color="auto"/>
            </w:tcBorders>
            <w:shd w:val="clear" w:color="auto" w:fill="auto"/>
            <w:vAlign w:val="bottom"/>
          </w:tcPr>
          <w:p w:rsidR="005C09FD" w:rsidRPr="005C09FD" w:rsidRDefault="005C09FD" w:rsidP="005C09FD">
            <w:pPr>
              <w:tabs>
                <w:tab w:val="left" w:pos="288"/>
                <w:tab w:val="left" w:pos="576"/>
                <w:tab w:val="left" w:pos="864"/>
                <w:tab w:val="left" w:pos="1152"/>
              </w:tabs>
              <w:spacing w:before="80" w:after="80" w:line="160" w:lineRule="exact"/>
              <w:ind w:right="40"/>
              <w:rPr>
                <w:i/>
                <w:kern w:val="0"/>
                <w:sz w:val="14"/>
              </w:rPr>
            </w:pPr>
            <w:r w:rsidRPr="005C09FD">
              <w:rPr>
                <w:i/>
                <w:iCs/>
                <w:kern w:val="0"/>
                <w:sz w:val="14"/>
                <w:szCs w:val="24"/>
              </w:rPr>
              <w:t>Personal médico</w:t>
            </w:r>
          </w:p>
        </w:tc>
        <w:tc>
          <w:tcPr>
            <w:tcW w:w="2122" w:type="dxa"/>
            <w:tcBorders>
              <w:top w:val="single" w:sz="4" w:space="0" w:color="auto"/>
              <w:bottom w:val="single" w:sz="12" w:space="0" w:color="auto"/>
            </w:tcBorders>
            <w:shd w:val="clear" w:color="auto" w:fill="auto"/>
            <w:vAlign w:val="bottom"/>
          </w:tcPr>
          <w:p w:rsidR="005C09FD" w:rsidRPr="005C09FD" w:rsidRDefault="005C09FD" w:rsidP="005C09FD">
            <w:pPr>
              <w:tabs>
                <w:tab w:val="left" w:pos="288"/>
                <w:tab w:val="left" w:pos="576"/>
                <w:tab w:val="left" w:pos="864"/>
                <w:tab w:val="left" w:pos="1152"/>
              </w:tabs>
              <w:spacing w:before="80" w:after="80" w:line="160" w:lineRule="exact"/>
              <w:ind w:right="40"/>
              <w:jc w:val="right"/>
              <w:rPr>
                <w:i/>
                <w:kern w:val="0"/>
                <w:sz w:val="14"/>
              </w:rPr>
            </w:pPr>
            <w:r w:rsidRPr="005C09FD">
              <w:rPr>
                <w:i/>
                <w:kern w:val="0"/>
                <w:sz w:val="14"/>
              </w:rPr>
              <w:t>Zona urbana</w:t>
            </w:r>
          </w:p>
        </w:tc>
        <w:tc>
          <w:tcPr>
            <w:tcW w:w="2440" w:type="dxa"/>
            <w:tcBorders>
              <w:top w:val="single" w:sz="4" w:space="0" w:color="auto"/>
              <w:bottom w:val="single" w:sz="12" w:space="0" w:color="auto"/>
            </w:tcBorders>
            <w:shd w:val="clear" w:color="auto" w:fill="auto"/>
            <w:vAlign w:val="bottom"/>
          </w:tcPr>
          <w:p w:rsidR="005C09FD" w:rsidRPr="005C09FD" w:rsidRDefault="005C09FD" w:rsidP="005C09FD">
            <w:pPr>
              <w:tabs>
                <w:tab w:val="left" w:pos="288"/>
                <w:tab w:val="left" w:pos="576"/>
                <w:tab w:val="left" w:pos="864"/>
                <w:tab w:val="left" w:pos="1152"/>
              </w:tabs>
              <w:spacing w:before="80" w:after="80" w:line="160" w:lineRule="exact"/>
              <w:ind w:right="40"/>
              <w:jc w:val="right"/>
              <w:rPr>
                <w:i/>
                <w:kern w:val="0"/>
                <w:sz w:val="14"/>
              </w:rPr>
            </w:pPr>
            <w:r w:rsidRPr="005C09FD">
              <w:rPr>
                <w:i/>
                <w:kern w:val="0"/>
                <w:sz w:val="14"/>
              </w:rPr>
              <w:t>Zona rural</w:t>
            </w:r>
          </w:p>
        </w:tc>
      </w:tr>
      <w:tr w:rsidR="005C09FD" w:rsidRPr="005C09FD" w:rsidTr="005C09FD">
        <w:tblPrEx>
          <w:tblCellMar>
            <w:top w:w="0" w:type="dxa"/>
            <w:bottom w:w="0" w:type="dxa"/>
          </w:tblCellMar>
        </w:tblPrEx>
        <w:trPr>
          <w:trHeight w:hRule="exact" w:val="115"/>
          <w:tblHeader/>
        </w:trPr>
        <w:tc>
          <w:tcPr>
            <w:tcW w:w="2758" w:type="dxa"/>
            <w:tcBorders>
              <w:top w:val="single" w:sz="12" w:space="0" w:color="auto"/>
            </w:tcBorders>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p>
        </w:tc>
        <w:tc>
          <w:tcPr>
            <w:tcW w:w="2122" w:type="dxa"/>
            <w:tcBorders>
              <w:top w:val="single" w:sz="12" w:space="0" w:color="auto"/>
            </w:tcBorders>
            <w:shd w:val="clear" w:color="auto" w:fill="auto"/>
            <w:vAlign w:val="bottom"/>
          </w:tcPr>
          <w:p w:rsidR="005C09FD" w:rsidRPr="005C09FD" w:rsidRDefault="005C09FD" w:rsidP="005C09FD">
            <w:pPr>
              <w:pStyle w:val="DTpara"/>
              <w:keepNext/>
              <w:numPr>
                <w:ilvl w:val="0"/>
                <w:numId w:val="0"/>
              </w:numPr>
              <w:spacing w:before="40" w:after="40" w:line="210" w:lineRule="exact"/>
              <w:ind w:left="164" w:right="40"/>
              <w:jc w:val="right"/>
              <w:rPr>
                <w:spacing w:val="4"/>
                <w:w w:val="103"/>
                <w:sz w:val="17"/>
                <w:szCs w:val="24"/>
                <w:lang w:val="fr-FR"/>
              </w:rPr>
            </w:pPr>
          </w:p>
        </w:tc>
        <w:tc>
          <w:tcPr>
            <w:tcW w:w="2440" w:type="dxa"/>
            <w:tcBorders>
              <w:top w:val="single" w:sz="12" w:space="0" w:color="auto"/>
            </w:tcBorders>
            <w:shd w:val="clear" w:color="auto" w:fill="auto"/>
            <w:vAlign w:val="bottom"/>
          </w:tcPr>
          <w:p w:rsidR="005C09FD" w:rsidRPr="005C09FD" w:rsidRDefault="005C09FD" w:rsidP="005C09FD">
            <w:pPr>
              <w:pStyle w:val="DTpara"/>
              <w:keepNext/>
              <w:numPr>
                <w:ilvl w:val="0"/>
                <w:numId w:val="0"/>
              </w:numPr>
              <w:spacing w:before="40" w:after="40" w:line="210" w:lineRule="exact"/>
              <w:ind w:left="164" w:right="40"/>
              <w:jc w:val="right"/>
              <w:rPr>
                <w:spacing w:val="4"/>
                <w:w w:val="103"/>
                <w:sz w:val="17"/>
                <w:szCs w:val="24"/>
                <w:lang w:val="fr-FR"/>
              </w:rPr>
            </w:pP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Médicos</w:t>
            </w:r>
          </w:p>
        </w:tc>
        <w:tc>
          <w:tcPr>
            <w:tcW w:w="2122"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C09FD">
              <w:rPr>
                <w:spacing w:val="4"/>
                <w:w w:val="103"/>
                <w:sz w:val="17"/>
                <w:szCs w:val="24"/>
                <w:lang w:val="fr-FR"/>
              </w:rPr>
              <w:t>22,6</w:t>
            </w:r>
          </w:p>
        </w:tc>
        <w:tc>
          <w:tcPr>
            <w:tcW w:w="2440"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5C09FD">
              <w:rPr>
                <w:spacing w:val="4"/>
                <w:w w:val="103"/>
                <w:sz w:val="17"/>
                <w:szCs w:val="24"/>
                <w:lang w:val="fr-FR"/>
              </w:rPr>
              <w:t>7</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Comadronas</w:t>
            </w:r>
          </w:p>
        </w:tc>
        <w:tc>
          <w:tcPr>
            <w:tcW w:w="2122"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5C09FD">
              <w:rPr>
                <w:spacing w:val="4"/>
                <w:w w:val="103"/>
                <w:sz w:val="17"/>
                <w:szCs w:val="24"/>
                <w:lang w:val="fr-FR"/>
              </w:rPr>
              <w:t>67</w:t>
            </w:r>
          </w:p>
        </w:tc>
        <w:tc>
          <w:tcPr>
            <w:tcW w:w="2440"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5C09FD">
              <w:rPr>
                <w:spacing w:val="4"/>
                <w:w w:val="103"/>
                <w:sz w:val="17"/>
                <w:szCs w:val="24"/>
                <w:lang w:val="fr-FR"/>
              </w:rPr>
              <w:t>56,1</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Enfermeras</w:t>
            </w:r>
          </w:p>
        </w:tc>
        <w:tc>
          <w:tcPr>
            <w:tcW w:w="2122"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5C09FD">
              <w:rPr>
                <w:spacing w:val="4"/>
                <w:w w:val="103"/>
                <w:sz w:val="17"/>
                <w:szCs w:val="24"/>
                <w:lang w:val="fr-FR"/>
              </w:rPr>
              <w:t>2,4</w:t>
            </w:r>
          </w:p>
        </w:tc>
        <w:tc>
          <w:tcPr>
            <w:tcW w:w="2440" w:type="dxa"/>
            <w:shd w:val="clear" w:color="auto" w:fill="auto"/>
            <w:vAlign w:val="bottom"/>
          </w:tcPr>
          <w:p w:rsidR="005C09FD" w:rsidRPr="005C09FD" w:rsidRDefault="005C09FD" w:rsidP="005C09FD">
            <w:pPr>
              <w:pStyle w:val="DTpara"/>
              <w:keepNext/>
              <w:numPr>
                <w:ilvl w:val="0"/>
                <w:numId w:val="0"/>
              </w:numPr>
              <w:tabs>
                <w:tab w:val="left" w:pos="288"/>
                <w:tab w:val="left" w:pos="576"/>
                <w:tab w:val="left" w:pos="864"/>
                <w:tab w:val="left" w:pos="1152"/>
              </w:tabs>
              <w:spacing w:before="40" w:after="40" w:line="210" w:lineRule="exact"/>
              <w:ind w:left="-247" w:right="40"/>
              <w:jc w:val="right"/>
              <w:rPr>
                <w:spacing w:val="4"/>
                <w:w w:val="103"/>
                <w:sz w:val="17"/>
                <w:szCs w:val="24"/>
                <w:lang w:val="fr-FR"/>
              </w:rPr>
            </w:pPr>
            <w:r w:rsidRPr="005C09FD">
              <w:rPr>
                <w:spacing w:val="4"/>
                <w:w w:val="103"/>
                <w:sz w:val="17"/>
                <w:szCs w:val="24"/>
                <w:lang w:val="fr-FR"/>
              </w:rPr>
              <w:t>4,3</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Matronas/parteras calificadas</w:t>
            </w:r>
          </w:p>
        </w:tc>
        <w:tc>
          <w:tcPr>
            <w:tcW w:w="2122"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1,3</w:t>
            </w:r>
          </w:p>
        </w:tc>
        <w:tc>
          <w:tcPr>
            <w:tcW w:w="2440"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3,5</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Conjunto de personal calificado</w:t>
            </w:r>
          </w:p>
        </w:tc>
        <w:tc>
          <w:tcPr>
            <w:tcW w:w="2122"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93,3</w:t>
            </w:r>
          </w:p>
        </w:tc>
        <w:tc>
          <w:tcPr>
            <w:tcW w:w="2440"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70,9</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Ayudantes de parto tradicionales</w:t>
            </w:r>
          </w:p>
        </w:tc>
        <w:tc>
          <w:tcPr>
            <w:tcW w:w="2122"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0,8</w:t>
            </w:r>
          </w:p>
        </w:tc>
        <w:tc>
          <w:tcPr>
            <w:tcW w:w="2440"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13,7</w:t>
            </w:r>
          </w:p>
        </w:tc>
      </w:tr>
      <w:tr w:rsidR="005C09FD" w:rsidRPr="005C09FD" w:rsidTr="005C09FD">
        <w:tblPrEx>
          <w:tblCellMar>
            <w:top w:w="0" w:type="dxa"/>
            <w:bottom w:w="0" w:type="dxa"/>
          </w:tblCellMar>
        </w:tblPrEx>
        <w:tc>
          <w:tcPr>
            <w:tcW w:w="2758" w:type="dxa"/>
            <w:shd w:val="clear" w:color="auto" w:fill="auto"/>
            <w:vAlign w:val="bottom"/>
          </w:tcPr>
          <w:p w:rsidR="005C09FD" w:rsidRPr="005C09FD" w:rsidRDefault="005C09FD" w:rsidP="005C09FD">
            <w:pPr>
              <w:tabs>
                <w:tab w:val="left" w:pos="288"/>
                <w:tab w:val="left" w:pos="576"/>
                <w:tab w:val="left" w:pos="864"/>
                <w:tab w:val="left" w:pos="1152"/>
              </w:tabs>
              <w:spacing w:before="40" w:after="40" w:line="210" w:lineRule="exact"/>
              <w:ind w:right="40"/>
              <w:rPr>
                <w:kern w:val="0"/>
                <w:sz w:val="17"/>
              </w:rPr>
            </w:pPr>
            <w:r w:rsidRPr="005C09FD">
              <w:rPr>
                <w:kern w:val="0"/>
                <w:sz w:val="17"/>
              </w:rPr>
              <w:t>Padres/otros</w:t>
            </w:r>
          </w:p>
        </w:tc>
        <w:tc>
          <w:tcPr>
            <w:tcW w:w="2122"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4,9</w:t>
            </w:r>
          </w:p>
        </w:tc>
        <w:tc>
          <w:tcPr>
            <w:tcW w:w="2440" w:type="dxa"/>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40" w:line="210" w:lineRule="exact"/>
              <w:ind w:left="113" w:right="40"/>
              <w:jc w:val="right"/>
              <w:rPr>
                <w:kern w:val="0"/>
                <w:sz w:val="17"/>
                <w:szCs w:val="24"/>
                <w:lang w:val="fr-FR"/>
              </w:rPr>
            </w:pPr>
            <w:r w:rsidRPr="005C09FD">
              <w:rPr>
                <w:kern w:val="0"/>
                <w:sz w:val="17"/>
                <w:szCs w:val="24"/>
                <w:lang w:val="fr-FR"/>
              </w:rPr>
              <w:t>12,8</w:t>
            </w:r>
          </w:p>
        </w:tc>
      </w:tr>
      <w:tr w:rsidR="005C09FD" w:rsidRPr="005C09FD" w:rsidTr="005C09FD">
        <w:tblPrEx>
          <w:tblCellMar>
            <w:top w:w="0" w:type="dxa"/>
            <w:bottom w:w="0" w:type="dxa"/>
          </w:tblCellMar>
        </w:tblPrEx>
        <w:tc>
          <w:tcPr>
            <w:tcW w:w="2758" w:type="dxa"/>
            <w:tcBorders>
              <w:bottom w:val="single" w:sz="12" w:space="0" w:color="auto"/>
            </w:tcBorders>
            <w:shd w:val="clear" w:color="auto" w:fill="auto"/>
            <w:vAlign w:val="bottom"/>
          </w:tcPr>
          <w:p w:rsidR="005C09FD" w:rsidRPr="005C09FD" w:rsidRDefault="005C09FD" w:rsidP="005C09FD">
            <w:pPr>
              <w:tabs>
                <w:tab w:val="left" w:pos="288"/>
                <w:tab w:val="left" w:pos="576"/>
                <w:tab w:val="left" w:pos="864"/>
                <w:tab w:val="left" w:pos="1152"/>
              </w:tabs>
              <w:spacing w:before="40" w:after="80" w:line="210" w:lineRule="exact"/>
              <w:ind w:right="43"/>
              <w:rPr>
                <w:kern w:val="0"/>
                <w:sz w:val="17"/>
              </w:rPr>
            </w:pPr>
            <w:r w:rsidRPr="005C09FD">
              <w:rPr>
                <w:kern w:val="0"/>
                <w:sz w:val="17"/>
              </w:rPr>
              <w:t>Nadie</w:t>
            </w:r>
          </w:p>
        </w:tc>
        <w:tc>
          <w:tcPr>
            <w:tcW w:w="2122" w:type="dxa"/>
            <w:tcBorders>
              <w:bottom w:val="single" w:sz="12" w:space="0" w:color="auto"/>
            </w:tcBorders>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80" w:line="210" w:lineRule="exact"/>
              <w:ind w:left="113" w:right="43"/>
              <w:jc w:val="right"/>
              <w:rPr>
                <w:kern w:val="0"/>
                <w:sz w:val="17"/>
                <w:szCs w:val="24"/>
                <w:lang w:val="fr-FR"/>
              </w:rPr>
            </w:pPr>
            <w:r w:rsidRPr="005C09FD">
              <w:rPr>
                <w:kern w:val="0"/>
                <w:sz w:val="17"/>
                <w:szCs w:val="24"/>
                <w:lang w:val="fr-FR"/>
              </w:rPr>
              <w:t>1,1</w:t>
            </w:r>
          </w:p>
        </w:tc>
        <w:tc>
          <w:tcPr>
            <w:tcW w:w="2440" w:type="dxa"/>
            <w:tcBorders>
              <w:bottom w:val="single" w:sz="12" w:space="0" w:color="auto"/>
            </w:tcBorders>
            <w:shd w:val="clear" w:color="auto" w:fill="auto"/>
            <w:vAlign w:val="bottom"/>
          </w:tcPr>
          <w:p w:rsidR="005C09FD" w:rsidRPr="005C09FD" w:rsidRDefault="005C09FD" w:rsidP="005C09FD">
            <w:pPr>
              <w:pStyle w:val="NormalSchedule"/>
              <w:keepNext/>
              <w:tabs>
                <w:tab w:val="left" w:pos="288"/>
                <w:tab w:val="left" w:pos="576"/>
                <w:tab w:val="left" w:pos="864"/>
                <w:tab w:val="left" w:pos="1152"/>
              </w:tabs>
              <w:spacing w:before="40" w:after="80" w:line="210" w:lineRule="exact"/>
              <w:ind w:left="113" w:right="43"/>
              <w:jc w:val="right"/>
              <w:rPr>
                <w:kern w:val="0"/>
                <w:sz w:val="17"/>
                <w:szCs w:val="24"/>
                <w:lang w:val="fr-FR"/>
              </w:rPr>
            </w:pPr>
            <w:r w:rsidRPr="005C09FD">
              <w:rPr>
                <w:kern w:val="0"/>
                <w:sz w:val="17"/>
                <w:szCs w:val="24"/>
                <w:lang w:val="fr-FR"/>
              </w:rPr>
              <w:t>2,6</w:t>
            </w:r>
          </w:p>
        </w:tc>
      </w:tr>
    </w:tbl>
    <w:p w:rsidR="005C09FD" w:rsidRPr="005C09FD" w:rsidRDefault="005C09FD" w:rsidP="005C09FD">
      <w:pPr>
        <w:pStyle w:val="SingleTxt"/>
        <w:spacing w:after="0" w:line="120" w:lineRule="exact"/>
        <w:rPr>
          <w:sz w:val="10"/>
        </w:rPr>
      </w:pPr>
    </w:p>
    <w:p w:rsidR="005C09FD" w:rsidRPr="005C09FD" w:rsidRDefault="005C09FD" w:rsidP="005C09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48" w:hanging="288"/>
        <w:rPr>
          <w:sz w:val="17"/>
          <w:szCs w:val="17"/>
        </w:rPr>
      </w:pPr>
      <w:r w:rsidRPr="005C09FD">
        <w:rPr>
          <w:i/>
          <w:sz w:val="17"/>
          <w:szCs w:val="17"/>
        </w:rPr>
        <w:t>Fuente</w:t>
      </w:r>
      <w:r w:rsidRPr="005C09FD">
        <w:rPr>
          <w:sz w:val="17"/>
          <w:szCs w:val="17"/>
        </w:rPr>
        <w:t>: EDS (estudio demográfico de la salud) 2000.</w:t>
      </w:r>
    </w:p>
    <w:p w:rsidR="005C09FD" w:rsidRPr="005C09FD" w:rsidRDefault="005C09FD" w:rsidP="005C09FD">
      <w:pPr>
        <w:pStyle w:val="SingleTxt"/>
        <w:spacing w:after="0" w:line="120" w:lineRule="exact"/>
        <w:rPr>
          <w:sz w:val="10"/>
        </w:rPr>
      </w:pPr>
    </w:p>
    <w:p w:rsidR="005C09FD" w:rsidRPr="005C09FD" w:rsidRDefault="005C09FD" w:rsidP="005C09FD">
      <w:pPr>
        <w:pStyle w:val="SingleTxt"/>
        <w:spacing w:after="0" w:line="120" w:lineRule="exact"/>
        <w:rPr>
          <w:sz w:val="10"/>
        </w:rPr>
      </w:pPr>
    </w:p>
    <w:p w:rsidR="005C09FD" w:rsidRPr="005C09FD" w:rsidRDefault="005C09FD" w:rsidP="005C09FD">
      <w:pPr>
        <w:pStyle w:val="SingleTxt"/>
        <w:spacing w:after="0" w:line="120" w:lineRule="exact"/>
        <w:rPr>
          <w:sz w:val="10"/>
        </w:rPr>
      </w:pPr>
    </w:p>
    <w:p w:rsidR="005C09FD" w:rsidRDefault="005C09FD" w:rsidP="005C09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Mortalidad infantil</w:t>
      </w:r>
    </w:p>
    <w:p w:rsidR="005C09FD" w:rsidRPr="005C09FD" w:rsidRDefault="005C09FD" w:rsidP="005C09FD">
      <w:pPr>
        <w:pStyle w:val="SingleTxt"/>
        <w:spacing w:after="0" w:line="120" w:lineRule="exact"/>
        <w:rPr>
          <w:sz w:val="10"/>
        </w:rPr>
      </w:pPr>
    </w:p>
    <w:p w:rsidR="009B107B" w:rsidRDefault="005C09FD" w:rsidP="005C09FD">
      <w:pPr>
        <w:pStyle w:val="SingleTxt"/>
      </w:pPr>
      <w:r>
        <w:t>113.</w:t>
      </w:r>
      <w:r>
        <w:tab/>
        <w:t>La tasa de mortalidad infanto-juvenil se ha estimó en 91/1000 en 2007, la tasa de mortalidad infantil en 61/1000 en 2007 y la tasa de mortalidad neonatal en 31/1000 en 2004. El 41% de los niños con fiebre recibieron medicamentos contra la malaria (OMS); en 2008, el 55% de los niños dormían en mosquiteros impregnados, en relación con el 18% en 2006.</w:t>
      </w:r>
    </w:p>
    <w:p w:rsidR="005C09FD" w:rsidRPr="005C09FD" w:rsidRDefault="005C09FD" w:rsidP="005C09FD">
      <w:pPr>
        <w:pStyle w:val="SingleTxt"/>
        <w:suppressAutoHyphens/>
        <w:spacing w:after="0" w:line="120" w:lineRule="exact"/>
        <w:rPr>
          <w:sz w:val="10"/>
        </w:rPr>
      </w:pPr>
    </w:p>
    <w:p w:rsidR="005C09FD" w:rsidRDefault="005C09FD" w:rsidP="005C09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Consultas prenatales (CPN)</w:t>
      </w:r>
    </w:p>
    <w:p w:rsidR="005C09FD" w:rsidRPr="005C09FD" w:rsidRDefault="005C09FD" w:rsidP="005C09FD">
      <w:pPr>
        <w:pStyle w:val="SingleTxt"/>
        <w:spacing w:after="0" w:line="120" w:lineRule="exact"/>
        <w:rPr>
          <w:sz w:val="10"/>
        </w:rPr>
      </w:pPr>
    </w:p>
    <w:p w:rsidR="005C09FD" w:rsidRDefault="005C09FD" w:rsidP="005C09FD">
      <w:pPr>
        <w:pStyle w:val="SingleTxt"/>
      </w:pPr>
      <w:r>
        <w:t>114.</w:t>
      </w:r>
      <w:r>
        <w:tab/>
        <w:t>La tasa de cobertura de la atención prenatal es del 91%, la tasa de partos es del 87% según el EGEP (Estudio General de evaluación de la Pobreza) 2005; el 20% de los establecimientos en que se realizan los partos se ajustan a las normas SONU (atención obstétrica y neonatal de urgencia).</w:t>
      </w:r>
    </w:p>
    <w:p w:rsidR="005C09FD" w:rsidRPr="005C09FD" w:rsidRDefault="005C09FD" w:rsidP="005C09FD">
      <w:pPr>
        <w:pStyle w:val="SingleTxt"/>
        <w:spacing w:after="0" w:line="120" w:lineRule="exact"/>
        <w:rPr>
          <w:sz w:val="10"/>
        </w:rPr>
      </w:pPr>
    </w:p>
    <w:p w:rsidR="005C09FD" w:rsidRDefault="005C09FD" w:rsidP="005C09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Mortalidad materna</w:t>
      </w:r>
    </w:p>
    <w:p w:rsidR="005C09FD" w:rsidRPr="005C09FD" w:rsidRDefault="005C09FD" w:rsidP="005C09FD">
      <w:pPr>
        <w:pStyle w:val="SingleTxt"/>
        <w:spacing w:after="0" w:line="120" w:lineRule="exact"/>
        <w:rPr>
          <w:sz w:val="10"/>
        </w:rPr>
      </w:pPr>
    </w:p>
    <w:p w:rsidR="005C09FD" w:rsidRDefault="005C09FD" w:rsidP="005C09FD">
      <w:pPr>
        <w:pStyle w:val="SingleTxt"/>
      </w:pPr>
      <w:r>
        <w:t>115.</w:t>
      </w:r>
      <w:r>
        <w:tab/>
        <w:t>La tasa de mortalidad materna es de 519 por 100.000 nacidos vivos y se mantiene muy elevada. Las causas principales son, en primer lugar, las complicaciones vinculadas al aborto y, seguidamente, el trabajo de parto prolongado.</w:t>
      </w:r>
    </w:p>
    <w:p w:rsidR="005C09FD" w:rsidRPr="005C09FD" w:rsidRDefault="005C09FD" w:rsidP="005C09FD">
      <w:pPr>
        <w:pStyle w:val="SingleTxt"/>
        <w:spacing w:after="0" w:line="120" w:lineRule="exact"/>
        <w:rPr>
          <w:sz w:val="10"/>
        </w:rPr>
      </w:pPr>
    </w:p>
    <w:p w:rsidR="00F1691C" w:rsidRDefault="005C09FD" w:rsidP="005C0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C09FD">
        <w:rPr>
          <w:b w:val="0"/>
        </w:rPr>
        <w:t>Cuadro 16</w:t>
      </w:r>
      <w:r>
        <w:br/>
        <w:t>Tasa de muertes maternas, según el lugar de residencia</w:t>
      </w:r>
    </w:p>
    <w:p w:rsidR="005C09FD" w:rsidRPr="005C09FD" w:rsidRDefault="005C09FD" w:rsidP="005C09FD">
      <w:pPr>
        <w:pStyle w:val="SingleTxt"/>
        <w:suppressAutoHyphens/>
        <w:spacing w:after="0" w:line="120" w:lineRule="exact"/>
        <w:rPr>
          <w:sz w:val="10"/>
        </w:rPr>
      </w:pPr>
    </w:p>
    <w:p w:rsidR="005C09FD" w:rsidRPr="005C09FD" w:rsidRDefault="005C09FD" w:rsidP="005C09FD">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3A03F3" w:rsidRPr="003A03F3" w:rsidTr="003A03F3">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3A03F3" w:rsidRPr="003A03F3" w:rsidRDefault="003A03F3" w:rsidP="003A03F3">
            <w:pPr>
              <w:widowControl w:val="0"/>
              <w:autoSpaceDE w:val="0"/>
              <w:autoSpaceDN w:val="0"/>
              <w:adjustRightInd w:val="0"/>
              <w:spacing w:before="80" w:after="80" w:line="160" w:lineRule="exact"/>
              <w:ind w:right="40"/>
              <w:rPr>
                <w:i/>
                <w:kern w:val="0"/>
                <w:sz w:val="14"/>
                <w:szCs w:val="24"/>
              </w:rPr>
            </w:pPr>
            <w:r w:rsidRPr="003A03F3">
              <w:rPr>
                <w:i/>
                <w:iCs/>
                <w:kern w:val="0"/>
                <w:sz w:val="14"/>
                <w:szCs w:val="24"/>
              </w:rPr>
              <w:t>Principales causas de muerte</w:t>
            </w:r>
          </w:p>
        </w:tc>
        <w:tc>
          <w:tcPr>
            <w:tcW w:w="3660" w:type="dxa"/>
            <w:tcBorders>
              <w:top w:val="single" w:sz="4" w:space="0" w:color="auto"/>
              <w:bottom w:val="single" w:sz="12" w:space="0" w:color="auto"/>
            </w:tcBorders>
            <w:shd w:val="clear" w:color="auto" w:fill="auto"/>
            <w:vAlign w:val="bottom"/>
          </w:tcPr>
          <w:p w:rsidR="003A03F3" w:rsidRPr="003A03F3" w:rsidRDefault="003A03F3" w:rsidP="003A03F3">
            <w:pPr>
              <w:widowControl w:val="0"/>
              <w:autoSpaceDE w:val="0"/>
              <w:autoSpaceDN w:val="0"/>
              <w:adjustRightInd w:val="0"/>
              <w:spacing w:before="80" w:after="80" w:line="160" w:lineRule="exact"/>
              <w:ind w:right="40"/>
              <w:jc w:val="right"/>
              <w:rPr>
                <w:i/>
                <w:kern w:val="0"/>
                <w:sz w:val="14"/>
                <w:szCs w:val="24"/>
              </w:rPr>
            </w:pPr>
            <w:r w:rsidRPr="003A03F3">
              <w:rPr>
                <w:i/>
                <w:iCs/>
                <w:kern w:val="0"/>
                <w:sz w:val="14"/>
                <w:szCs w:val="24"/>
              </w:rPr>
              <w:t>Porcentaje</w:t>
            </w:r>
          </w:p>
        </w:tc>
      </w:tr>
      <w:tr w:rsidR="003A03F3" w:rsidRPr="003A03F3" w:rsidTr="003A03F3">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3A03F3" w:rsidRPr="003A03F3" w:rsidRDefault="003A03F3" w:rsidP="003A03F3">
            <w:pPr>
              <w:tabs>
                <w:tab w:val="left" w:pos="288"/>
                <w:tab w:val="left" w:pos="576"/>
                <w:tab w:val="left" w:pos="864"/>
                <w:tab w:val="left" w:pos="1152"/>
              </w:tabs>
              <w:spacing w:before="40" w:after="40" w:line="210" w:lineRule="exact"/>
              <w:ind w:right="40"/>
              <w:rPr>
                <w:kern w:val="0"/>
                <w:sz w:val="17"/>
              </w:rPr>
            </w:pPr>
          </w:p>
        </w:tc>
        <w:tc>
          <w:tcPr>
            <w:tcW w:w="3660" w:type="dxa"/>
            <w:tcBorders>
              <w:top w:val="single" w:sz="12" w:space="0" w:color="auto"/>
            </w:tcBorders>
            <w:shd w:val="clear" w:color="auto" w:fill="auto"/>
            <w:vAlign w:val="bottom"/>
          </w:tcPr>
          <w:p w:rsidR="003A03F3" w:rsidRPr="003A03F3" w:rsidRDefault="003A03F3" w:rsidP="003A03F3">
            <w:pPr>
              <w:pStyle w:val="SingleTxtG"/>
              <w:spacing w:before="40" w:after="40" w:line="210" w:lineRule="exact"/>
              <w:ind w:left="113" w:right="40"/>
              <w:jc w:val="right"/>
              <w:rPr>
                <w:spacing w:val="4"/>
                <w:w w:val="103"/>
                <w:sz w:val="17"/>
                <w:szCs w:val="24"/>
                <w:lang w:val="fr-FR"/>
              </w:rPr>
            </w:pPr>
          </w:p>
        </w:tc>
      </w:tr>
      <w:tr w:rsidR="003A03F3" w:rsidRPr="003A03F3" w:rsidTr="003A03F3">
        <w:tblPrEx>
          <w:tblCellMar>
            <w:top w:w="0" w:type="dxa"/>
            <w:bottom w:w="0" w:type="dxa"/>
          </w:tblCellMar>
        </w:tblPrEx>
        <w:tc>
          <w:tcPr>
            <w:tcW w:w="3660" w:type="dxa"/>
            <w:shd w:val="clear" w:color="auto" w:fill="auto"/>
            <w:vAlign w:val="bottom"/>
          </w:tcPr>
          <w:p w:rsidR="003A03F3" w:rsidRPr="003A03F3" w:rsidRDefault="003A03F3" w:rsidP="003A03F3">
            <w:pPr>
              <w:tabs>
                <w:tab w:val="left" w:pos="288"/>
                <w:tab w:val="left" w:pos="576"/>
                <w:tab w:val="left" w:pos="864"/>
                <w:tab w:val="left" w:pos="1152"/>
              </w:tabs>
              <w:spacing w:before="40" w:after="40" w:line="210" w:lineRule="exact"/>
              <w:ind w:right="40"/>
              <w:rPr>
                <w:kern w:val="0"/>
                <w:sz w:val="17"/>
              </w:rPr>
            </w:pPr>
            <w:r w:rsidRPr="003A03F3">
              <w:rPr>
                <w:kern w:val="0"/>
                <w:sz w:val="17"/>
              </w:rPr>
              <w:t>Complicaciones en el aborto</w:t>
            </w:r>
          </w:p>
        </w:tc>
        <w:tc>
          <w:tcPr>
            <w:tcW w:w="3660" w:type="dxa"/>
            <w:shd w:val="clear" w:color="auto" w:fill="auto"/>
            <w:vAlign w:val="bottom"/>
          </w:tcPr>
          <w:p w:rsidR="003A03F3" w:rsidRPr="003A03F3" w:rsidRDefault="003A03F3" w:rsidP="003A03F3">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fr-FR"/>
              </w:rPr>
            </w:pPr>
            <w:r w:rsidRPr="003A03F3">
              <w:rPr>
                <w:spacing w:val="4"/>
                <w:w w:val="103"/>
                <w:sz w:val="17"/>
                <w:szCs w:val="24"/>
                <w:lang w:val="fr-FR"/>
              </w:rPr>
              <w:t>28,8</w:t>
            </w:r>
          </w:p>
        </w:tc>
      </w:tr>
      <w:tr w:rsidR="003A03F3" w:rsidRPr="003A03F3" w:rsidTr="003A03F3">
        <w:tblPrEx>
          <w:tblCellMar>
            <w:top w:w="0" w:type="dxa"/>
            <w:bottom w:w="0" w:type="dxa"/>
          </w:tblCellMar>
        </w:tblPrEx>
        <w:tc>
          <w:tcPr>
            <w:tcW w:w="3660" w:type="dxa"/>
            <w:shd w:val="clear" w:color="auto" w:fill="auto"/>
            <w:vAlign w:val="bottom"/>
          </w:tcPr>
          <w:p w:rsidR="003A03F3" w:rsidRPr="003A03F3" w:rsidRDefault="003A03F3" w:rsidP="003A03F3">
            <w:pPr>
              <w:tabs>
                <w:tab w:val="left" w:pos="288"/>
                <w:tab w:val="left" w:pos="576"/>
                <w:tab w:val="left" w:pos="864"/>
                <w:tab w:val="left" w:pos="1152"/>
              </w:tabs>
              <w:spacing w:before="40" w:after="40" w:line="210" w:lineRule="exact"/>
              <w:ind w:right="40"/>
              <w:rPr>
                <w:kern w:val="0"/>
                <w:sz w:val="17"/>
              </w:rPr>
            </w:pPr>
            <w:r w:rsidRPr="003A03F3">
              <w:rPr>
                <w:kern w:val="0"/>
                <w:sz w:val="17"/>
              </w:rPr>
              <w:t>Hemorragia durante el parto</w:t>
            </w:r>
          </w:p>
        </w:tc>
        <w:tc>
          <w:tcPr>
            <w:tcW w:w="3660" w:type="dxa"/>
            <w:shd w:val="clear" w:color="auto" w:fill="auto"/>
            <w:vAlign w:val="bottom"/>
          </w:tcPr>
          <w:p w:rsidR="003A03F3" w:rsidRPr="003A03F3" w:rsidRDefault="003A03F3" w:rsidP="003A03F3">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3A03F3">
              <w:rPr>
                <w:i w:val="0"/>
                <w:spacing w:val="4"/>
                <w:kern w:val="0"/>
                <w:sz w:val="17"/>
                <w:szCs w:val="24"/>
                <w:lang w:val="fr-FR"/>
              </w:rPr>
              <w:t>22,7</w:t>
            </w:r>
          </w:p>
        </w:tc>
      </w:tr>
      <w:tr w:rsidR="003A03F3" w:rsidRPr="003A03F3" w:rsidTr="003A03F3">
        <w:tblPrEx>
          <w:tblCellMar>
            <w:top w:w="0" w:type="dxa"/>
            <w:bottom w:w="0" w:type="dxa"/>
          </w:tblCellMar>
        </w:tblPrEx>
        <w:tc>
          <w:tcPr>
            <w:tcW w:w="3660" w:type="dxa"/>
            <w:shd w:val="clear" w:color="auto" w:fill="auto"/>
            <w:vAlign w:val="bottom"/>
          </w:tcPr>
          <w:p w:rsidR="003A03F3" w:rsidRPr="003A03F3" w:rsidRDefault="003A03F3" w:rsidP="003A03F3">
            <w:pPr>
              <w:tabs>
                <w:tab w:val="left" w:pos="288"/>
                <w:tab w:val="left" w:pos="576"/>
                <w:tab w:val="left" w:pos="864"/>
                <w:tab w:val="left" w:pos="1152"/>
              </w:tabs>
              <w:spacing w:before="40" w:after="40" w:line="210" w:lineRule="exact"/>
              <w:ind w:right="40"/>
              <w:rPr>
                <w:kern w:val="0"/>
                <w:sz w:val="17"/>
              </w:rPr>
            </w:pPr>
            <w:r w:rsidRPr="003A03F3">
              <w:rPr>
                <w:kern w:val="0"/>
                <w:sz w:val="17"/>
              </w:rPr>
              <w:t>Trabajo de parto prolongado o distocia</w:t>
            </w:r>
          </w:p>
        </w:tc>
        <w:tc>
          <w:tcPr>
            <w:tcW w:w="3660" w:type="dxa"/>
            <w:shd w:val="clear" w:color="auto" w:fill="auto"/>
            <w:vAlign w:val="bottom"/>
          </w:tcPr>
          <w:p w:rsidR="003A03F3" w:rsidRPr="003A03F3" w:rsidRDefault="003A03F3" w:rsidP="003A03F3">
            <w:pPr>
              <w:pStyle w:val="H4"/>
              <w:tabs>
                <w:tab w:val="left" w:pos="288"/>
                <w:tab w:val="left" w:pos="576"/>
                <w:tab w:val="left" w:pos="864"/>
                <w:tab w:val="left" w:pos="1152"/>
              </w:tabs>
              <w:spacing w:before="40" w:after="40" w:line="210" w:lineRule="exact"/>
              <w:ind w:left="113" w:right="40"/>
              <w:jc w:val="right"/>
              <w:rPr>
                <w:i w:val="0"/>
                <w:spacing w:val="4"/>
                <w:kern w:val="0"/>
                <w:sz w:val="17"/>
                <w:szCs w:val="24"/>
                <w:lang w:val="fr-FR"/>
              </w:rPr>
            </w:pPr>
            <w:r w:rsidRPr="003A03F3">
              <w:rPr>
                <w:i w:val="0"/>
                <w:spacing w:val="4"/>
                <w:kern w:val="0"/>
                <w:sz w:val="17"/>
                <w:szCs w:val="24"/>
                <w:lang w:val="fr-FR"/>
              </w:rPr>
              <w:t>25,8</w:t>
            </w:r>
          </w:p>
        </w:tc>
      </w:tr>
      <w:tr w:rsidR="003A03F3" w:rsidRPr="003A03F3" w:rsidTr="003A03F3">
        <w:tblPrEx>
          <w:tblCellMar>
            <w:top w:w="0" w:type="dxa"/>
            <w:bottom w:w="0" w:type="dxa"/>
          </w:tblCellMar>
        </w:tblPrEx>
        <w:tc>
          <w:tcPr>
            <w:tcW w:w="3660" w:type="dxa"/>
            <w:tcBorders>
              <w:bottom w:val="single" w:sz="12" w:space="0" w:color="auto"/>
            </w:tcBorders>
            <w:shd w:val="clear" w:color="auto" w:fill="auto"/>
            <w:vAlign w:val="bottom"/>
          </w:tcPr>
          <w:p w:rsidR="003A03F3" w:rsidRPr="003A03F3" w:rsidRDefault="003A03F3" w:rsidP="003A03F3">
            <w:pPr>
              <w:tabs>
                <w:tab w:val="left" w:pos="288"/>
                <w:tab w:val="left" w:pos="576"/>
                <w:tab w:val="left" w:pos="864"/>
                <w:tab w:val="left" w:pos="1152"/>
              </w:tabs>
              <w:spacing w:before="40" w:after="80" w:line="210" w:lineRule="exact"/>
              <w:ind w:right="43"/>
              <w:rPr>
                <w:kern w:val="0"/>
                <w:sz w:val="17"/>
              </w:rPr>
            </w:pPr>
            <w:r w:rsidRPr="003A03F3">
              <w:rPr>
                <w:kern w:val="0"/>
                <w:sz w:val="17"/>
              </w:rPr>
              <w:t>Otras</w:t>
            </w:r>
          </w:p>
        </w:tc>
        <w:tc>
          <w:tcPr>
            <w:tcW w:w="3660" w:type="dxa"/>
            <w:tcBorders>
              <w:bottom w:val="single" w:sz="12" w:space="0" w:color="auto"/>
            </w:tcBorders>
            <w:shd w:val="clear" w:color="auto" w:fill="auto"/>
            <w:vAlign w:val="bottom"/>
          </w:tcPr>
          <w:p w:rsidR="003A03F3" w:rsidRPr="003A03F3" w:rsidRDefault="003A03F3" w:rsidP="003A03F3">
            <w:pPr>
              <w:pStyle w:val="H4"/>
              <w:tabs>
                <w:tab w:val="left" w:pos="288"/>
                <w:tab w:val="left" w:pos="576"/>
                <w:tab w:val="left" w:pos="864"/>
                <w:tab w:val="left" w:pos="1152"/>
              </w:tabs>
              <w:spacing w:before="40" w:after="80" w:line="210" w:lineRule="exact"/>
              <w:ind w:left="113" w:right="43"/>
              <w:jc w:val="right"/>
              <w:rPr>
                <w:i w:val="0"/>
                <w:spacing w:val="4"/>
                <w:kern w:val="0"/>
                <w:sz w:val="17"/>
                <w:szCs w:val="24"/>
                <w:lang w:val="fr-FR"/>
              </w:rPr>
            </w:pPr>
            <w:r w:rsidRPr="003A03F3">
              <w:rPr>
                <w:i w:val="0"/>
                <w:spacing w:val="4"/>
                <w:kern w:val="0"/>
                <w:sz w:val="17"/>
                <w:szCs w:val="24"/>
                <w:lang w:val="fr-FR"/>
              </w:rPr>
              <w:t>22,7</w:t>
            </w:r>
          </w:p>
        </w:tc>
      </w:tr>
    </w:tbl>
    <w:p w:rsidR="003A03F3" w:rsidRPr="003A03F3" w:rsidRDefault="003A03F3" w:rsidP="003A03F3">
      <w:pPr>
        <w:pStyle w:val="SingleTxt"/>
        <w:spacing w:after="0" w:line="120" w:lineRule="exact"/>
        <w:rPr>
          <w:sz w:val="10"/>
        </w:rPr>
      </w:pPr>
    </w:p>
    <w:p w:rsidR="003A03F3" w:rsidRPr="003A03F3" w:rsidRDefault="003A03F3" w:rsidP="003A0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jc w:val="left"/>
        <w:rPr>
          <w:sz w:val="17"/>
          <w:szCs w:val="17"/>
        </w:rPr>
      </w:pPr>
      <w:r w:rsidRPr="003A03F3">
        <w:rPr>
          <w:i/>
          <w:sz w:val="17"/>
          <w:szCs w:val="17"/>
        </w:rPr>
        <w:t>Fuente</w:t>
      </w:r>
      <w:r w:rsidRPr="003A03F3">
        <w:rPr>
          <w:sz w:val="17"/>
          <w:szCs w:val="17"/>
        </w:rPr>
        <w:t>: EDS (Estudio demográfico de la salud) 2000.</w:t>
      </w:r>
    </w:p>
    <w:p w:rsidR="003A03F3" w:rsidRPr="003A03F3" w:rsidRDefault="003A03F3" w:rsidP="003A03F3">
      <w:pPr>
        <w:pStyle w:val="SingleTxt"/>
        <w:spacing w:after="0" w:line="120" w:lineRule="exact"/>
        <w:rPr>
          <w:sz w:val="10"/>
        </w:rPr>
      </w:pPr>
    </w:p>
    <w:p w:rsidR="003A03F3" w:rsidRPr="003A03F3" w:rsidRDefault="003A03F3" w:rsidP="003A03F3">
      <w:pPr>
        <w:pStyle w:val="SingleTxt"/>
        <w:spacing w:after="0" w:line="120" w:lineRule="exact"/>
        <w:rPr>
          <w:sz w:val="10"/>
        </w:rPr>
      </w:pPr>
    </w:p>
    <w:p w:rsidR="003A03F3" w:rsidRDefault="003A03F3" w:rsidP="003A0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Planificación</w:t>
      </w:r>
    </w:p>
    <w:p w:rsidR="003A03F3" w:rsidRPr="003A03F3" w:rsidRDefault="003A03F3" w:rsidP="003A03F3">
      <w:pPr>
        <w:pStyle w:val="SingleTxt"/>
        <w:spacing w:after="0" w:line="120" w:lineRule="exact"/>
        <w:rPr>
          <w:sz w:val="10"/>
        </w:rPr>
      </w:pPr>
    </w:p>
    <w:p w:rsidR="003A03F3" w:rsidRDefault="003A03F3" w:rsidP="003A03F3">
      <w:pPr>
        <w:pStyle w:val="SingleTxt"/>
      </w:pPr>
      <w:r>
        <w:t>116.</w:t>
      </w:r>
      <w:r>
        <w:tab/>
        <w:t>La proporción de mujeres que utilizan anticonceptivos está entre 0 y 25%.</w:t>
      </w:r>
    </w:p>
    <w:p w:rsidR="003A03F3" w:rsidRPr="003A03F3" w:rsidRDefault="003A03F3" w:rsidP="003A03F3">
      <w:pPr>
        <w:pStyle w:val="SingleTxt"/>
        <w:spacing w:after="0" w:line="120" w:lineRule="exact"/>
        <w:rPr>
          <w:sz w:val="10"/>
        </w:rPr>
      </w:pPr>
    </w:p>
    <w:p w:rsidR="003A03F3" w:rsidRDefault="003A03F3" w:rsidP="003A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y el VIH/SIDA</w:t>
      </w:r>
    </w:p>
    <w:p w:rsidR="003A03F3" w:rsidRPr="003A03F3" w:rsidRDefault="003A03F3" w:rsidP="003A03F3">
      <w:pPr>
        <w:pStyle w:val="SingleTxt"/>
        <w:spacing w:after="0" w:line="120" w:lineRule="exact"/>
        <w:rPr>
          <w:sz w:val="10"/>
        </w:rPr>
      </w:pPr>
    </w:p>
    <w:p w:rsidR="003A03F3" w:rsidRDefault="003A03F3" w:rsidP="003A03F3">
      <w:pPr>
        <w:pStyle w:val="SingleTxt"/>
      </w:pPr>
      <w:r>
        <w:t>117.</w:t>
      </w:r>
      <w:r>
        <w:tab/>
        <w:t>Sesenta y cinco establecimientos de salud que realizan consultas prenatales ofrecen también servicios de prevención de la transmisión de la madre al niño.</w:t>
      </w:r>
    </w:p>
    <w:p w:rsidR="003A03F3" w:rsidRDefault="003A03F3" w:rsidP="003A03F3">
      <w:pPr>
        <w:pStyle w:val="SingleTxt"/>
      </w:pPr>
      <w:r>
        <w:t>118.</w:t>
      </w:r>
      <w:r>
        <w:tab/>
        <w:t>El 70% de las mujeres embarazadas examinadas en consultas prenatales han realizado el examen de diagnóstico. El 77% de ellas tienen sus resultados; el 8,1% fueron seropositivas, el 61% recibieron tratamiento antirretroviral. Cabe señalar que examen y el tratamiento antirretroviral son gratuitos. Se efectúa el seguimiento del 27% de los niños.</w:t>
      </w:r>
    </w:p>
    <w:p w:rsidR="003A03F3" w:rsidRDefault="003A03F3" w:rsidP="003A03F3">
      <w:pPr>
        <w:pStyle w:val="SingleTxt"/>
      </w:pPr>
      <w:r>
        <w:t>119.</w:t>
      </w:r>
      <w:r>
        <w:tab/>
        <w:t>Los huérfanos y los afectados por el VIH reciben apoyo escolar (8,1%) y apoyo en materia de nutrición (1,5%).</w:t>
      </w:r>
    </w:p>
    <w:p w:rsidR="003A03F3" w:rsidRPr="003A03F3" w:rsidRDefault="003A03F3" w:rsidP="003A03F3">
      <w:pPr>
        <w:pStyle w:val="SingleTxt"/>
        <w:spacing w:after="0" w:line="120" w:lineRule="exact"/>
        <w:rPr>
          <w:sz w:val="10"/>
        </w:rPr>
      </w:pPr>
    </w:p>
    <w:p w:rsidR="003A03F3" w:rsidRPr="003A03F3" w:rsidRDefault="003A03F3" w:rsidP="003A03F3">
      <w:pPr>
        <w:pStyle w:val="SingleTxt"/>
        <w:spacing w:after="0" w:line="120" w:lineRule="exact"/>
        <w:rPr>
          <w:sz w:val="10"/>
        </w:rPr>
      </w:pPr>
    </w:p>
    <w:p w:rsidR="00F1691C" w:rsidRDefault="003A03F3" w:rsidP="003A0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 de la convención: Ventajas sociales</w:t>
      </w:r>
    </w:p>
    <w:p w:rsidR="003A03F3" w:rsidRPr="003A03F3" w:rsidRDefault="003A03F3" w:rsidP="003A03F3">
      <w:pPr>
        <w:pStyle w:val="SingleTxt"/>
        <w:spacing w:after="0" w:line="120" w:lineRule="exact"/>
        <w:rPr>
          <w:sz w:val="10"/>
        </w:rPr>
      </w:pPr>
    </w:p>
    <w:p w:rsidR="003A03F3" w:rsidRPr="003A03F3" w:rsidRDefault="003A03F3" w:rsidP="003A03F3">
      <w:pPr>
        <w:pStyle w:val="SingleTxt"/>
        <w:spacing w:after="0" w:line="120" w:lineRule="exact"/>
        <w:rPr>
          <w:sz w:val="10"/>
        </w:rPr>
      </w:pPr>
    </w:p>
    <w:p w:rsidR="003A03F3" w:rsidRDefault="001C32AD" w:rsidP="003A03F3">
      <w:pPr>
        <w:pStyle w:val="SingleTxt"/>
      </w:pPr>
      <w:r>
        <w:t>120.</w:t>
      </w:r>
      <w:r>
        <w:tab/>
      </w:r>
      <w:r w:rsidR="003A03F3">
        <w:t>En Gabón, las funcionarias tienen derecho a todas las ventajas sociales previstas en los estatutos de la función pública y de los funcionarios: sueldos, asignaciones familiares, asignaciones de regreso a la escuela, atención en los establecimientos de salud pública en caso de enfermedades que sufran ellas mismas, sus niños o sus esposos.</w:t>
      </w:r>
    </w:p>
    <w:p w:rsidR="003A03F3" w:rsidRDefault="001C32AD" w:rsidP="003A03F3">
      <w:pPr>
        <w:pStyle w:val="SingleTxt"/>
      </w:pPr>
      <w:r>
        <w:t>121.</w:t>
      </w:r>
      <w:r>
        <w:tab/>
      </w:r>
      <w:r w:rsidR="003A03F3">
        <w:t>En caso de defunción del cónyuge funcionario, la mujer casada, empleada o funcionaria o ama de casa recibe la pensión del cónyuge superviviente. Las mujeres empleadas en el sector privado o estatal por contrata o que sean indigentes declaradas reciben prestaciones de los organismos de seguridad nacional que son la Caja nacional de seguridad social y la Caja nacional de seguros médicos y de garantías sociales. Hay también algunas que ejercen profesiones liberales y que están afiliadas a esos organismos.</w:t>
      </w:r>
    </w:p>
    <w:p w:rsidR="003A03F3" w:rsidRDefault="001C32AD" w:rsidP="003A03F3">
      <w:pPr>
        <w:pStyle w:val="SingleTxt"/>
      </w:pPr>
      <w:r>
        <w:t>122.</w:t>
      </w:r>
      <w:r>
        <w:tab/>
      </w:r>
      <w:r w:rsidR="003A03F3">
        <w:t>En cuanto a los préstamos bancarios, los préstamos hipotecarios y otras formas de créditos financieros, las mujeres reciben, mientras cumplan las condiciones jurídicas además de algunas condiciones suplementarias mientras se encuentren en comunidad de bienes y tengan a su disposición una cuenta conjunta (a los fines de información del marido y no autorización, ya que, según el artículo 262 del Código Civil, la mujer es libre de disponer de su sueldo y puede abrir una cuenta corriente en su propio nombre si ejerce una profesión o tiene la administración y el disfrute de sus bienes personales).</w:t>
      </w:r>
    </w:p>
    <w:p w:rsidR="003A03F3" w:rsidRDefault="001C32AD" w:rsidP="003A03F3">
      <w:pPr>
        <w:pStyle w:val="SingleTxt"/>
      </w:pPr>
      <w:r>
        <w:t>123.</w:t>
      </w:r>
      <w:r>
        <w:tab/>
      </w:r>
      <w:r w:rsidR="003A03F3">
        <w:t>En lo que se refiere a las actividades recreativas, los deportes y la vida cultural, estos están garantizados para las mujeres en el párrafo 3 del artículo 1 y el artículo 18 de la Constitución. Muchas mujeres participan en actividades deportivas y han obtenido trofeos.</w:t>
      </w:r>
    </w:p>
    <w:p w:rsidR="003A03F3" w:rsidRDefault="001C32AD" w:rsidP="003A03F3">
      <w:pPr>
        <w:pStyle w:val="SingleTxt"/>
      </w:pPr>
      <w:r>
        <w:t>124.</w:t>
      </w:r>
      <w:r>
        <w:tab/>
      </w:r>
      <w:r w:rsidR="003A03F3">
        <w:t>En cuanto a otras ventajas sociales, cabe señalar:</w:t>
      </w:r>
    </w:p>
    <w:p w:rsidR="003A03F3" w:rsidRDefault="001C32AD" w:rsidP="001C32AD">
      <w:pPr>
        <w:pStyle w:val="SingleTxt"/>
        <w:tabs>
          <w:tab w:val="right" w:pos="1685"/>
        </w:tabs>
        <w:ind w:left="1742" w:hanging="475"/>
      </w:pPr>
      <w:r>
        <w:tab/>
        <w:t>•</w:t>
      </w:r>
      <w:r>
        <w:tab/>
      </w:r>
      <w:r w:rsidR="003A03F3">
        <w:t>La culminación del proyecto piloto de otorgamiento de microcréditos a las mujeres en la provincia de Nyanga para asegurar su autonomía, que se ha extendido a las provincias de Haute-Ogooué y de Woleu Ntem;</w:t>
      </w:r>
    </w:p>
    <w:p w:rsidR="003A03F3" w:rsidRDefault="001C32AD" w:rsidP="001C32AD">
      <w:pPr>
        <w:pStyle w:val="SingleTxt"/>
        <w:tabs>
          <w:tab w:val="right" w:pos="1685"/>
        </w:tabs>
        <w:ind w:left="1742" w:hanging="475"/>
      </w:pPr>
      <w:r>
        <w:tab/>
        <w:t>•</w:t>
      </w:r>
      <w:r>
        <w:tab/>
      </w:r>
      <w:r w:rsidR="003A03F3">
        <w:t>La estructuración de asociaciones de micro finanzas en vista de la creación de un banco para ayudar a las mujeres que no pueden acceder a créditos en los bancos privados. Se han establecido cuatro establecimientos de micro finanzas certificados por el Ministerio de Economía y Finanzas con el acuerdo de la Comisión Bancaria de África Central (COBAC). Dos están dirigidas por mujeres en forma de mutual (de tipo asociación). Cabe destacar que son las propias mujeres las que mejores pagan sus deudas.</w:t>
      </w:r>
    </w:p>
    <w:p w:rsidR="001C32AD" w:rsidRPr="001C32AD" w:rsidRDefault="001C32AD" w:rsidP="001C32AD">
      <w:pPr>
        <w:pStyle w:val="SingleTxt"/>
        <w:spacing w:after="0" w:line="120" w:lineRule="exact"/>
        <w:rPr>
          <w:sz w:val="10"/>
        </w:rPr>
      </w:pPr>
    </w:p>
    <w:p w:rsidR="001C32AD" w:rsidRPr="001C32AD" w:rsidRDefault="001C32AD" w:rsidP="001C32AD">
      <w:pPr>
        <w:pStyle w:val="SingleTxt"/>
        <w:spacing w:after="0" w:line="120" w:lineRule="exact"/>
        <w:rPr>
          <w:sz w:val="10"/>
        </w:rPr>
      </w:pPr>
    </w:p>
    <w:p w:rsidR="003A03F3" w:rsidRDefault="001C32AD" w:rsidP="001C3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r>
      <w:r w:rsidR="003A03F3">
        <w:t>Artículo 14 de la Constitución: Problemas particulares de las mujeres en las zonas rurales</w:t>
      </w:r>
    </w:p>
    <w:p w:rsidR="001C32AD" w:rsidRPr="001C32AD" w:rsidRDefault="001C32AD" w:rsidP="001C32AD">
      <w:pPr>
        <w:pStyle w:val="SingleTxt"/>
        <w:spacing w:after="0" w:line="120" w:lineRule="exact"/>
        <w:rPr>
          <w:sz w:val="10"/>
        </w:rPr>
      </w:pPr>
    </w:p>
    <w:p w:rsidR="001C32AD" w:rsidRPr="001C32AD" w:rsidRDefault="001C32AD" w:rsidP="001C32AD">
      <w:pPr>
        <w:pStyle w:val="SingleTxt"/>
        <w:spacing w:after="0" w:line="120" w:lineRule="exact"/>
        <w:rPr>
          <w:sz w:val="10"/>
        </w:rPr>
      </w:pPr>
    </w:p>
    <w:p w:rsidR="003A03F3" w:rsidRDefault="001C32AD" w:rsidP="001C32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03F3">
        <w:t xml:space="preserve">Inquietud </w:t>
      </w:r>
      <w:r w:rsidR="00675743">
        <w:t xml:space="preserve">Nº </w:t>
      </w:r>
      <w:r w:rsidR="003A03F3">
        <w:t xml:space="preserve">38 y recomendación </w:t>
      </w:r>
      <w:r w:rsidR="00675743">
        <w:t xml:space="preserve">Nº </w:t>
      </w:r>
      <w:r w:rsidR="003A03F3">
        <w:t>39 del Comité</w:t>
      </w:r>
    </w:p>
    <w:p w:rsidR="001C32AD" w:rsidRPr="001C32AD" w:rsidRDefault="001C32AD" w:rsidP="001C32AD">
      <w:pPr>
        <w:pStyle w:val="SingleTxt"/>
        <w:spacing w:after="0" w:line="120" w:lineRule="exact"/>
        <w:rPr>
          <w:sz w:val="10"/>
        </w:rPr>
      </w:pPr>
    </w:p>
    <w:p w:rsidR="003A03F3" w:rsidRDefault="001C32AD" w:rsidP="003A03F3">
      <w:pPr>
        <w:pStyle w:val="SingleTxt"/>
      </w:pPr>
      <w:r>
        <w:t>125.</w:t>
      </w:r>
      <w:r>
        <w:tab/>
      </w:r>
      <w:r w:rsidR="003A03F3">
        <w:t>Esta inquietud se refiere a la situación de las mujeres que viven en zonas rurales, en razón de su aislamiento demográfico y del hecho de que no tienen acceso a una alimentación adecuada y a condiciones de higiene aceptables; tampoco tienen servicios de atención de la salud, o posibilidades de educación y de realizar otras actividades que producen ingresos. El Comité lamenta la falta de información estadística sobre las mujeres rurales y autóctonas.</w:t>
      </w:r>
    </w:p>
    <w:p w:rsidR="003A03F3" w:rsidRDefault="001C32AD" w:rsidP="003A03F3">
      <w:pPr>
        <w:pStyle w:val="SingleTxt"/>
      </w:pPr>
      <w:r>
        <w:t>126.</w:t>
      </w:r>
      <w:r>
        <w:tab/>
      </w:r>
      <w:r w:rsidR="003A03F3">
        <w:t>El Comité pide a Gabón que adopte, con carácter prioritario, las medidas necesarias para satisfacer estas necesidades. Invita al Estado de Gabón a que solicite, según se necesite, la asistencia de organismos competentes de las Naciones Unidas para mejorar el nivel de vida de las mujeres rurales.</w:t>
      </w:r>
    </w:p>
    <w:p w:rsidR="001C32AD" w:rsidRPr="001C32AD" w:rsidRDefault="001C32AD" w:rsidP="001C32AD">
      <w:pPr>
        <w:pStyle w:val="SingleTxt"/>
        <w:spacing w:after="0" w:line="120" w:lineRule="exact"/>
        <w:rPr>
          <w:sz w:val="10"/>
        </w:rPr>
      </w:pPr>
    </w:p>
    <w:p w:rsidR="003A03F3" w:rsidRDefault="001C32AD" w:rsidP="001C32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03F3">
        <w:t>Medidas adoptadas</w:t>
      </w:r>
    </w:p>
    <w:p w:rsidR="001C32AD" w:rsidRPr="001C32AD" w:rsidRDefault="001C32AD" w:rsidP="001C32AD">
      <w:pPr>
        <w:pStyle w:val="SingleTxt"/>
        <w:spacing w:after="0" w:line="120" w:lineRule="exact"/>
        <w:rPr>
          <w:sz w:val="10"/>
        </w:rPr>
      </w:pPr>
    </w:p>
    <w:p w:rsidR="003A03F3" w:rsidRDefault="001C32AD" w:rsidP="003A03F3">
      <w:pPr>
        <w:pStyle w:val="SingleTxt"/>
      </w:pPr>
      <w:r>
        <w:t>127.</w:t>
      </w:r>
      <w:r>
        <w:tab/>
      </w:r>
      <w:r w:rsidR="003A03F3">
        <w:t>El Ministerio de la Familia y de la Promoción de la Mujer presta atención permanente a la situación de las mujeres rurales que, en razón de su alejamiento geográfico, no reciben siempre ciertos servicios esenciales.</w:t>
      </w:r>
    </w:p>
    <w:p w:rsidR="003A03F3" w:rsidRDefault="001C32AD" w:rsidP="003A03F3">
      <w:pPr>
        <w:pStyle w:val="SingleTxt"/>
      </w:pPr>
      <w:r>
        <w:t>128.</w:t>
      </w:r>
      <w:r>
        <w:tab/>
      </w:r>
      <w:r w:rsidR="003A03F3">
        <w:t>A fin de poder iniciar y poner en práctica un plan de acción en favor de las mujeres rurales, el departamento ha encargado una encuesta nacional sobre "las necesidades socioeconómicas de las mujeres rurales" con el apoyo del Fondo de Población de las Naciones Unidas. Los resultados de este estudio permitirán, por una parte, establecer una base de datos específicos y, por otra parte, iniciar proyectos de desarrollo en su favor.</w:t>
      </w:r>
    </w:p>
    <w:p w:rsidR="003A03F3" w:rsidRDefault="001C32AD" w:rsidP="003A03F3">
      <w:pPr>
        <w:pStyle w:val="SingleTxt"/>
      </w:pPr>
      <w:r>
        <w:t>129.</w:t>
      </w:r>
      <w:r>
        <w:tab/>
      </w:r>
      <w:r w:rsidR="003A03F3">
        <w:t>El Ministerio ha creado también casillas comunitarias en zonas rurales donde educadoras ofrecen charlas a las mujeres rurales sobre higiene (en el entorno y en el cuerpo), nutrición y VIH/SIDA. También se imparten cursos de alfabetización en función del nivel de competencia de las educadoras comunitarias.</w:t>
      </w:r>
    </w:p>
    <w:p w:rsidR="003A03F3" w:rsidRDefault="001C32AD" w:rsidP="003A03F3">
      <w:pPr>
        <w:pStyle w:val="SingleTxt"/>
      </w:pPr>
      <w:r>
        <w:t>130.</w:t>
      </w:r>
      <w:r>
        <w:tab/>
      </w:r>
      <w:r w:rsidR="003A03F3">
        <w:t>Para fortalecer el poder económico de la mujer rural, se han iniciado dos proyectos, uno en 1997 y el segundo desde 2003. Se trata de lo siguiente:</w:t>
      </w:r>
    </w:p>
    <w:p w:rsidR="003A03F3" w:rsidRDefault="001C32AD" w:rsidP="001C32AD">
      <w:pPr>
        <w:pStyle w:val="SingleTxt"/>
        <w:tabs>
          <w:tab w:val="right" w:pos="1685"/>
        </w:tabs>
        <w:ind w:left="1742" w:hanging="475"/>
      </w:pPr>
      <w:r>
        <w:tab/>
        <w:t>•</w:t>
      </w:r>
      <w:r>
        <w:tab/>
      </w:r>
      <w:r w:rsidR="003A03F3">
        <w:t>El Gran Premio del Presidente de la República para la promoción de las actividades socioeconómicas de la mujer, que consiste en alentar a las mujeres a realizar actividades como la pesca, la agricultura, la artesanía y otras. El premio ha sido institucionalizado y el Ministerio de la Familia y de la Promoción de la Mujer se encarga de recoger los expedientes de los candidatos cada año según la actividad escogida en todas las provincias. Selecciona luego los mejores expedientes que son aprobados para recibir sus premios;</w:t>
      </w:r>
    </w:p>
    <w:p w:rsidR="003A03F3" w:rsidRDefault="001C32AD" w:rsidP="001C32AD">
      <w:pPr>
        <w:pStyle w:val="SingleTxt"/>
        <w:tabs>
          <w:tab w:val="right" w:pos="1685"/>
        </w:tabs>
        <w:ind w:left="1742" w:hanging="475"/>
      </w:pPr>
      <w:r>
        <w:tab/>
        <w:t>•</w:t>
      </w:r>
      <w:r>
        <w:tab/>
      </w:r>
      <w:r w:rsidR="003A03F3">
        <w:t>El Proyecto de apoyo al desarrollo del micro crédito en Gabón (PADMG). Este proyecto, ejecutado en asociación con el Programa de las Naciones Unidas para el Desarrollo tiene por objetivo general reducir la pobreza y mejorar las condiciones de vida de las poblaciones femeninas que viven en zonas rurales y suburbanas. En ese marco, se ha mantenido la micro financiación, uno de los instrumentos para combatir la pobreza, aumentando el acceso a las mujeres rurales, a través de la realización y/o el desarrollo de actividades que generan ingresos.</w:t>
      </w:r>
    </w:p>
    <w:p w:rsidR="003A03F3" w:rsidRDefault="001C32AD" w:rsidP="003A03F3">
      <w:pPr>
        <w:pStyle w:val="SingleTxt"/>
      </w:pPr>
      <w:r>
        <w:t>131.</w:t>
      </w:r>
      <w:r>
        <w:tab/>
      </w:r>
      <w:r w:rsidR="003A03F3">
        <w:t>La forma en que funciona es la siguiente:</w:t>
      </w:r>
    </w:p>
    <w:p w:rsidR="003A03F3" w:rsidRDefault="001C32AD" w:rsidP="001C32AD">
      <w:pPr>
        <w:pStyle w:val="SingleTxt"/>
        <w:tabs>
          <w:tab w:val="right" w:pos="1685"/>
        </w:tabs>
        <w:ind w:left="1742" w:hanging="475"/>
      </w:pPr>
      <w:r>
        <w:tab/>
        <w:t>•</w:t>
      </w:r>
      <w:r>
        <w:tab/>
      </w:r>
      <w:r w:rsidR="003A03F3">
        <w:t>Identificación de las organizaciones de mujeres;</w:t>
      </w:r>
    </w:p>
    <w:p w:rsidR="003A03F3" w:rsidRDefault="001C32AD" w:rsidP="001C32AD">
      <w:pPr>
        <w:pStyle w:val="SingleTxt"/>
        <w:tabs>
          <w:tab w:val="right" w:pos="1685"/>
        </w:tabs>
        <w:ind w:left="1742" w:hanging="475"/>
      </w:pPr>
      <w:r>
        <w:tab/>
        <w:t>•</w:t>
      </w:r>
      <w:r>
        <w:tab/>
      </w:r>
      <w:r w:rsidR="003A03F3">
        <w:t>Apoyo a la estructuración;</w:t>
      </w:r>
    </w:p>
    <w:p w:rsidR="003A03F3" w:rsidRDefault="001C32AD" w:rsidP="001C32AD">
      <w:pPr>
        <w:pStyle w:val="SingleTxt"/>
        <w:tabs>
          <w:tab w:val="right" w:pos="1685"/>
        </w:tabs>
        <w:ind w:left="1742" w:hanging="475"/>
      </w:pPr>
      <w:r>
        <w:tab/>
        <w:t>•</w:t>
      </w:r>
      <w:r>
        <w:tab/>
      </w:r>
      <w:r w:rsidR="003A03F3">
        <w:t>Elaboración del proyecto;</w:t>
      </w:r>
    </w:p>
    <w:p w:rsidR="003A03F3" w:rsidRDefault="001C32AD" w:rsidP="001C32AD">
      <w:pPr>
        <w:pStyle w:val="SingleTxt"/>
        <w:tabs>
          <w:tab w:val="right" w:pos="1685"/>
        </w:tabs>
        <w:ind w:left="1742" w:hanging="475"/>
      </w:pPr>
      <w:r>
        <w:tab/>
        <w:t>•</w:t>
      </w:r>
      <w:r>
        <w:tab/>
      </w:r>
      <w:r w:rsidR="003A03F3">
        <w:t>Financiación del proyecto.</w:t>
      </w:r>
    </w:p>
    <w:p w:rsidR="003A03F3" w:rsidRDefault="001C32AD" w:rsidP="003A03F3">
      <w:pPr>
        <w:pStyle w:val="SingleTxt"/>
      </w:pPr>
      <w:r>
        <w:t>132.</w:t>
      </w:r>
      <w:r>
        <w:tab/>
      </w:r>
      <w:r w:rsidR="003A03F3">
        <w:t>El monto de los préstamos varía entre 100.000 francos y 2,5 millones de francos CFA para los préstamos individuales y entre 100.000 francos y 5 millones de francos CFA para los proyectos colectivos o comunitarios.</w:t>
      </w:r>
    </w:p>
    <w:p w:rsidR="003A03F3" w:rsidRDefault="001C32AD" w:rsidP="003A03F3">
      <w:pPr>
        <w:pStyle w:val="SingleTxt"/>
      </w:pPr>
      <w:r>
        <w:t>133.</w:t>
      </w:r>
      <w:r>
        <w:tab/>
      </w:r>
      <w:r w:rsidR="003A03F3">
        <w:t>La tasa de interés que se aplica es la más baja del mercado financiero de Libreville, 4% anual, y las modalidades de rembolso se determinan en función de la naturaleza de la actividad.</w:t>
      </w:r>
    </w:p>
    <w:p w:rsidR="003A03F3" w:rsidRDefault="001C32AD" w:rsidP="003A03F3">
      <w:pPr>
        <w:pStyle w:val="SingleTxt"/>
      </w:pPr>
      <w:r>
        <w:t>134.</w:t>
      </w:r>
      <w:r>
        <w:tab/>
      </w:r>
      <w:r w:rsidR="003A03F3">
        <w:t>Las esferas de financiación son: la agricultura, la ganadería, la piscicultura, la elaboración de alimentos, la pesca, el artesanado, el pequeño comercio, la costura, la peluquería y los servicios.</w:t>
      </w:r>
    </w:p>
    <w:p w:rsidR="003A03F3" w:rsidRDefault="001C32AD" w:rsidP="003A03F3">
      <w:pPr>
        <w:pStyle w:val="SingleTxt"/>
      </w:pPr>
      <w:r>
        <w:t>135.</w:t>
      </w:r>
      <w:r>
        <w:tab/>
      </w:r>
      <w:r w:rsidR="003A03F3">
        <w:t>Actualmente, el proyecto abarca cuatro provincias (Nyanga, Haut-Ogooué, Wolen Ntem, Estuaire) y se ampliará progresivamente para abarcar a otras cinco.</w:t>
      </w:r>
    </w:p>
    <w:p w:rsidR="003A03F3" w:rsidRDefault="001C32AD" w:rsidP="003A03F3">
      <w:pPr>
        <w:pStyle w:val="SingleTxt"/>
      </w:pPr>
      <w:r>
        <w:t>136.</w:t>
      </w:r>
      <w:r>
        <w:tab/>
      </w:r>
      <w:r w:rsidR="003A03F3">
        <w:t>Además del fortalecimiento de las capacidades financieras, el proyecto procura dar a las mujeres rurales un mínimo de formación en gestión asociativa, identificación y seguimiento de un proyecto, contabilidad simplificada, gestión de un micro crédito. En total ya se ha formado a 785 mujeres.</w:t>
      </w:r>
    </w:p>
    <w:p w:rsidR="003A03F3" w:rsidRDefault="003A03F3" w:rsidP="003A03F3">
      <w:pPr>
        <w:pStyle w:val="SingleTxt"/>
      </w:pPr>
      <w:r>
        <w:t>137.</w:t>
      </w:r>
      <w:r>
        <w:tab/>
        <w:t>El cuadro que sigue indica el número de proyectos financiados desde 2006</w:t>
      </w:r>
    </w:p>
    <w:p w:rsidR="003A03F3" w:rsidRPr="003A03F3" w:rsidRDefault="003A03F3" w:rsidP="003A03F3">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tblPr>
      <w:tblGrid>
        <w:gridCol w:w="1226"/>
        <w:gridCol w:w="1226"/>
        <w:gridCol w:w="1226"/>
        <w:gridCol w:w="1226"/>
        <w:gridCol w:w="1226"/>
        <w:gridCol w:w="1226"/>
        <w:gridCol w:w="1226"/>
      </w:tblGrid>
      <w:tr w:rsidR="001C32AD" w:rsidRPr="001C32AD" w:rsidTr="001C32AD">
        <w:tblPrEx>
          <w:tblCellMar>
            <w:top w:w="0" w:type="dxa"/>
            <w:bottom w:w="0" w:type="dxa"/>
          </w:tblCellMar>
        </w:tblPrEx>
        <w:trPr>
          <w:tblHeader/>
        </w:trPr>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rPr>
                <w:i/>
                <w:kern w:val="0"/>
                <w:sz w:val="14"/>
                <w:szCs w:val="24"/>
              </w:rPr>
            </w:pPr>
            <w:r w:rsidRPr="001C32AD">
              <w:rPr>
                <w:i/>
                <w:iCs/>
                <w:kern w:val="0"/>
                <w:sz w:val="14"/>
                <w:szCs w:val="24"/>
              </w:rPr>
              <w:t>Etapa</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Monto</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Número de asociaciones financiadas</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Proyectos colectivos</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Proyectos individuales</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Número de proyectos financiados</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widowControl w:val="0"/>
              <w:autoSpaceDE w:val="0"/>
              <w:autoSpaceDN w:val="0"/>
              <w:adjustRightInd w:val="0"/>
              <w:spacing w:before="80" w:after="80" w:line="160" w:lineRule="exact"/>
              <w:ind w:right="40"/>
              <w:jc w:val="right"/>
              <w:rPr>
                <w:i/>
                <w:kern w:val="0"/>
                <w:sz w:val="14"/>
                <w:szCs w:val="24"/>
              </w:rPr>
            </w:pPr>
            <w:r w:rsidRPr="001C32AD">
              <w:rPr>
                <w:i/>
                <w:iCs/>
                <w:kern w:val="0"/>
                <w:sz w:val="14"/>
                <w:szCs w:val="24"/>
              </w:rPr>
              <w:t>Número de beneficiarios</w:t>
            </w:r>
          </w:p>
        </w:tc>
      </w:tr>
      <w:tr w:rsidR="001C32AD" w:rsidRPr="001C32AD" w:rsidTr="001C32AD">
        <w:tblPrEx>
          <w:tblCellMar>
            <w:top w:w="0" w:type="dxa"/>
            <w:bottom w:w="0" w:type="dxa"/>
          </w:tblCellMar>
        </w:tblPrEx>
        <w:trPr>
          <w:trHeight w:hRule="exact" w:val="115"/>
          <w:tblHeader/>
        </w:trPr>
        <w:tc>
          <w:tcPr>
            <w:tcW w:w="1226" w:type="dxa"/>
            <w:tcBorders>
              <w:top w:val="single" w:sz="12" w:space="0" w:color="auto"/>
            </w:tcBorders>
            <w:shd w:val="clear" w:color="auto" w:fill="auto"/>
            <w:vAlign w:val="bottom"/>
          </w:tcPr>
          <w:p w:rsidR="001C32AD" w:rsidRPr="001C32AD" w:rsidRDefault="001C32AD" w:rsidP="001C32AD">
            <w:pPr>
              <w:tabs>
                <w:tab w:val="left" w:pos="288"/>
                <w:tab w:val="left" w:pos="576"/>
                <w:tab w:val="left" w:pos="864"/>
                <w:tab w:val="left" w:pos="1152"/>
              </w:tabs>
              <w:spacing w:before="40" w:after="40" w:line="210" w:lineRule="exact"/>
              <w:ind w:right="40"/>
              <w:rPr>
                <w:kern w:val="0"/>
                <w:sz w:val="17"/>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c>
          <w:tcPr>
            <w:tcW w:w="1226" w:type="dxa"/>
            <w:tcBorders>
              <w:top w:val="single" w:sz="12" w:space="0" w:color="auto"/>
            </w:tcBorders>
            <w:shd w:val="clear" w:color="auto" w:fill="auto"/>
            <w:vAlign w:val="bottom"/>
          </w:tcPr>
          <w:p w:rsidR="001C32AD" w:rsidRPr="001C32AD" w:rsidRDefault="001C32AD" w:rsidP="001C32AD">
            <w:pPr>
              <w:pStyle w:val="DTpara"/>
              <w:numPr>
                <w:ilvl w:val="0"/>
                <w:numId w:val="0"/>
              </w:numPr>
              <w:spacing w:before="40" w:after="40" w:line="210" w:lineRule="exact"/>
              <w:ind w:left="164" w:right="40"/>
              <w:jc w:val="right"/>
              <w:rPr>
                <w:spacing w:val="4"/>
                <w:w w:val="103"/>
                <w:sz w:val="17"/>
                <w:szCs w:val="24"/>
                <w:lang w:val="fr-FR"/>
              </w:rPr>
            </w:pPr>
          </w:p>
        </w:tc>
      </w:tr>
      <w:tr w:rsidR="001C32AD" w:rsidRPr="001C32AD" w:rsidTr="001C32AD">
        <w:tblPrEx>
          <w:tblCellMar>
            <w:top w:w="0" w:type="dxa"/>
            <w:bottom w:w="0" w:type="dxa"/>
          </w:tblCellMar>
        </w:tblPrEx>
        <w:tc>
          <w:tcPr>
            <w:tcW w:w="1226" w:type="dxa"/>
            <w:shd w:val="clear" w:color="auto" w:fill="auto"/>
            <w:vAlign w:val="bottom"/>
          </w:tcPr>
          <w:p w:rsidR="001C32AD" w:rsidRPr="001C32AD" w:rsidRDefault="001C32AD" w:rsidP="001C32AD">
            <w:pPr>
              <w:tabs>
                <w:tab w:val="left" w:pos="288"/>
                <w:tab w:val="left" w:pos="576"/>
                <w:tab w:val="left" w:pos="864"/>
                <w:tab w:val="left" w:pos="1152"/>
              </w:tabs>
              <w:spacing w:before="40" w:after="40" w:line="210" w:lineRule="exact"/>
              <w:ind w:right="40"/>
              <w:rPr>
                <w:kern w:val="0"/>
                <w:sz w:val="17"/>
              </w:rPr>
            </w:pPr>
            <w:r w:rsidRPr="001C32AD">
              <w:rPr>
                <w:kern w:val="0"/>
                <w:sz w:val="17"/>
              </w:rPr>
              <w:t>1</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34 374 896</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9</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5</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26</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31</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77</w:t>
            </w:r>
          </w:p>
        </w:tc>
      </w:tr>
      <w:tr w:rsidR="001C32AD" w:rsidRPr="001C32AD" w:rsidTr="001C32AD">
        <w:tblPrEx>
          <w:tblCellMar>
            <w:top w:w="0" w:type="dxa"/>
            <w:bottom w:w="0" w:type="dxa"/>
          </w:tblCellMar>
        </w:tblPrEx>
        <w:tc>
          <w:tcPr>
            <w:tcW w:w="1226" w:type="dxa"/>
            <w:shd w:val="clear" w:color="auto" w:fill="auto"/>
            <w:vAlign w:val="bottom"/>
          </w:tcPr>
          <w:p w:rsidR="001C32AD" w:rsidRPr="001C32AD" w:rsidRDefault="001C32AD" w:rsidP="001C32AD">
            <w:pPr>
              <w:tabs>
                <w:tab w:val="left" w:pos="288"/>
                <w:tab w:val="left" w:pos="576"/>
                <w:tab w:val="left" w:pos="864"/>
                <w:tab w:val="left" w:pos="1152"/>
              </w:tabs>
              <w:spacing w:before="40" w:after="40" w:line="210" w:lineRule="exact"/>
              <w:ind w:right="40"/>
              <w:rPr>
                <w:kern w:val="0"/>
                <w:sz w:val="17"/>
              </w:rPr>
            </w:pPr>
            <w:r w:rsidRPr="001C32AD">
              <w:rPr>
                <w:kern w:val="0"/>
                <w:sz w:val="17"/>
              </w:rPr>
              <w:t>2</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16 766 263</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9</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4</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26</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30</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64</w:t>
            </w:r>
          </w:p>
        </w:tc>
      </w:tr>
      <w:tr w:rsidR="001C32AD" w:rsidRPr="001C32AD" w:rsidTr="001C32AD">
        <w:tblPrEx>
          <w:tblCellMar>
            <w:top w:w="0" w:type="dxa"/>
            <w:bottom w:w="0" w:type="dxa"/>
          </w:tblCellMar>
        </w:tblPrEx>
        <w:tc>
          <w:tcPr>
            <w:tcW w:w="1226" w:type="dxa"/>
            <w:shd w:val="clear" w:color="auto" w:fill="auto"/>
            <w:vAlign w:val="bottom"/>
          </w:tcPr>
          <w:p w:rsidR="001C32AD" w:rsidRPr="001C32AD" w:rsidRDefault="001C32AD" w:rsidP="001C32AD">
            <w:pPr>
              <w:tabs>
                <w:tab w:val="left" w:pos="288"/>
                <w:tab w:val="left" w:pos="576"/>
                <w:tab w:val="left" w:pos="864"/>
                <w:tab w:val="left" w:pos="1152"/>
              </w:tabs>
              <w:spacing w:before="40" w:after="40" w:line="210" w:lineRule="exact"/>
              <w:ind w:right="40"/>
              <w:rPr>
                <w:kern w:val="0"/>
                <w:sz w:val="17"/>
              </w:rPr>
            </w:pPr>
            <w:r w:rsidRPr="001C32AD">
              <w:rPr>
                <w:kern w:val="0"/>
                <w:sz w:val="17"/>
              </w:rPr>
              <w:t>3</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39 725 138</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20</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20</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54</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65</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253</w:t>
            </w:r>
          </w:p>
        </w:tc>
      </w:tr>
      <w:tr w:rsidR="001C32AD" w:rsidRPr="001C32AD" w:rsidTr="001C32AD">
        <w:tblPrEx>
          <w:tblCellMar>
            <w:top w:w="0" w:type="dxa"/>
            <w:bottom w:w="0" w:type="dxa"/>
          </w:tblCellMar>
        </w:tblPrEx>
        <w:tc>
          <w:tcPr>
            <w:tcW w:w="1226" w:type="dxa"/>
            <w:shd w:val="clear" w:color="auto" w:fill="auto"/>
            <w:vAlign w:val="bottom"/>
          </w:tcPr>
          <w:p w:rsidR="001C32AD" w:rsidRPr="001C32AD" w:rsidRDefault="001C32AD" w:rsidP="001C32AD">
            <w:pPr>
              <w:tabs>
                <w:tab w:val="left" w:pos="288"/>
                <w:tab w:val="left" w:pos="576"/>
                <w:tab w:val="left" w:pos="864"/>
                <w:tab w:val="left" w:pos="1152"/>
              </w:tabs>
              <w:spacing w:before="40" w:after="40" w:line="210" w:lineRule="exact"/>
              <w:ind w:right="40"/>
              <w:rPr>
                <w:kern w:val="0"/>
                <w:sz w:val="17"/>
              </w:rPr>
            </w:pPr>
            <w:r w:rsidRPr="001C32AD">
              <w:rPr>
                <w:kern w:val="0"/>
                <w:sz w:val="17"/>
              </w:rPr>
              <w:t>4</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15 000 000</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15</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15</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15</w:t>
            </w:r>
          </w:p>
        </w:tc>
        <w:tc>
          <w:tcPr>
            <w:tcW w:w="1226" w:type="dxa"/>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40" w:line="210" w:lineRule="exact"/>
              <w:ind w:left="164" w:right="40"/>
              <w:jc w:val="right"/>
              <w:rPr>
                <w:spacing w:val="4"/>
                <w:w w:val="103"/>
                <w:sz w:val="17"/>
                <w:szCs w:val="24"/>
                <w:lang w:val="fr-FR"/>
              </w:rPr>
            </w:pPr>
            <w:r w:rsidRPr="001C32AD">
              <w:rPr>
                <w:spacing w:val="4"/>
                <w:w w:val="103"/>
                <w:sz w:val="17"/>
                <w:szCs w:val="24"/>
                <w:lang w:val="fr-FR"/>
              </w:rPr>
              <w:t>126</w:t>
            </w:r>
          </w:p>
        </w:tc>
      </w:tr>
      <w:tr w:rsidR="001C32AD" w:rsidRPr="001C32AD" w:rsidTr="001C32AD">
        <w:tblPrEx>
          <w:tblCellMar>
            <w:top w:w="0" w:type="dxa"/>
            <w:bottom w:w="0" w:type="dxa"/>
          </w:tblCellMar>
        </w:tblPrEx>
        <w:tc>
          <w:tcPr>
            <w:tcW w:w="1226" w:type="dxa"/>
            <w:tcBorders>
              <w:bottom w:val="single" w:sz="4" w:space="0" w:color="auto"/>
            </w:tcBorders>
            <w:shd w:val="clear" w:color="auto" w:fill="auto"/>
            <w:vAlign w:val="bottom"/>
          </w:tcPr>
          <w:p w:rsidR="001C32AD" w:rsidRPr="001C32AD" w:rsidRDefault="001C32AD" w:rsidP="001C32AD">
            <w:pPr>
              <w:tabs>
                <w:tab w:val="left" w:pos="288"/>
                <w:tab w:val="left" w:pos="576"/>
                <w:tab w:val="left" w:pos="864"/>
                <w:tab w:val="left" w:pos="1152"/>
              </w:tabs>
              <w:spacing w:before="40" w:after="81" w:line="210" w:lineRule="exact"/>
              <w:ind w:right="40"/>
              <w:rPr>
                <w:kern w:val="0"/>
                <w:sz w:val="17"/>
              </w:rPr>
            </w:pPr>
            <w:r w:rsidRPr="001C32AD">
              <w:rPr>
                <w:kern w:val="0"/>
                <w:sz w:val="17"/>
              </w:rPr>
              <w:t>5</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195 000 000</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52</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47</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16</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63</w:t>
            </w:r>
          </w:p>
        </w:tc>
        <w:tc>
          <w:tcPr>
            <w:tcW w:w="1226" w:type="dxa"/>
            <w:tcBorders>
              <w:bottom w:val="single" w:sz="4"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40" w:after="81" w:line="210" w:lineRule="exact"/>
              <w:ind w:left="164" w:right="40"/>
              <w:jc w:val="right"/>
              <w:rPr>
                <w:spacing w:val="4"/>
                <w:w w:val="103"/>
                <w:sz w:val="17"/>
                <w:szCs w:val="24"/>
                <w:lang w:val="fr-FR"/>
              </w:rPr>
            </w:pPr>
            <w:r w:rsidRPr="001C32AD">
              <w:rPr>
                <w:spacing w:val="4"/>
                <w:w w:val="103"/>
                <w:sz w:val="17"/>
                <w:szCs w:val="24"/>
                <w:lang w:val="fr-FR"/>
              </w:rPr>
              <w:t>265</w:t>
            </w:r>
          </w:p>
        </w:tc>
      </w:tr>
      <w:tr w:rsidR="001C32AD" w:rsidRPr="001C32AD" w:rsidTr="001C32AD">
        <w:tblPrEx>
          <w:tblCellMar>
            <w:top w:w="0" w:type="dxa"/>
            <w:bottom w:w="0" w:type="dxa"/>
          </w:tblCellMar>
        </w:tblPrEx>
        <w:tc>
          <w:tcPr>
            <w:tcW w:w="1226" w:type="dxa"/>
            <w:tcBorders>
              <w:top w:val="single" w:sz="4" w:space="0" w:color="auto"/>
              <w:bottom w:val="single" w:sz="12" w:space="0" w:color="auto"/>
            </w:tcBorders>
            <w:shd w:val="clear" w:color="auto" w:fill="auto"/>
            <w:vAlign w:val="bottom"/>
          </w:tcPr>
          <w:p w:rsidR="001C32AD" w:rsidRPr="001C32AD" w:rsidRDefault="001C32AD" w:rsidP="001C32AD">
            <w:pPr>
              <w:tabs>
                <w:tab w:val="left" w:pos="288"/>
                <w:tab w:val="left" w:pos="576"/>
                <w:tab w:val="left" w:pos="864"/>
                <w:tab w:val="left" w:pos="1152"/>
              </w:tabs>
              <w:spacing w:before="81" w:after="81" w:line="210" w:lineRule="exact"/>
              <w:ind w:right="40"/>
              <w:rPr>
                <w:b/>
                <w:kern w:val="0"/>
                <w:sz w:val="17"/>
              </w:rPr>
            </w:pPr>
            <w:r w:rsidRPr="001C32AD">
              <w:rPr>
                <w:b/>
                <w:kern w:val="0"/>
                <w:sz w:val="17"/>
              </w:rPr>
              <w:tab/>
              <w:t>Total</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1C32AD">
              <w:rPr>
                <w:b/>
                <w:spacing w:val="4"/>
                <w:w w:val="103"/>
                <w:sz w:val="17"/>
                <w:szCs w:val="24"/>
                <w:lang w:val="fr-FR"/>
              </w:rPr>
              <w:t>300 866 298</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DTpara"/>
              <w:numPr>
                <w:ilvl w:val="0"/>
                <w:numId w:val="0"/>
              </w:numPr>
              <w:tabs>
                <w:tab w:val="left" w:pos="288"/>
                <w:tab w:val="left" w:pos="576"/>
                <w:tab w:val="left" w:pos="864"/>
                <w:tab w:val="left" w:pos="1152"/>
              </w:tabs>
              <w:spacing w:before="81" w:after="81" w:line="210" w:lineRule="exact"/>
              <w:ind w:left="164" w:right="40"/>
              <w:jc w:val="right"/>
              <w:rPr>
                <w:b/>
                <w:spacing w:val="4"/>
                <w:w w:val="103"/>
                <w:sz w:val="17"/>
                <w:szCs w:val="24"/>
                <w:lang w:val="fr-FR"/>
              </w:rPr>
            </w:pPr>
            <w:r w:rsidRPr="001C32AD">
              <w:rPr>
                <w:b/>
                <w:spacing w:val="4"/>
                <w:w w:val="103"/>
                <w:sz w:val="17"/>
                <w:szCs w:val="24"/>
                <w:lang w:val="fr-FR"/>
              </w:rPr>
              <w:t>95</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C32AD">
              <w:rPr>
                <w:b/>
                <w:kern w:val="0"/>
                <w:sz w:val="17"/>
                <w:szCs w:val="24"/>
                <w:lang w:val="fr-FR"/>
              </w:rPr>
              <w:t>91</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C32AD">
              <w:rPr>
                <w:b/>
                <w:kern w:val="0"/>
                <w:sz w:val="17"/>
                <w:szCs w:val="24"/>
                <w:lang w:val="fr-FR"/>
              </w:rPr>
              <w:t>122</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C32AD">
              <w:rPr>
                <w:b/>
                <w:kern w:val="0"/>
                <w:sz w:val="17"/>
                <w:szCs w:val="24"/>
                <w:lang w:val="fr-FR"/>
              </w:rPr>
              <w:t>204</w:t>
            </w:r>
          </w:p>
        </w:tc>
        <w:tc>
          <w:tcPr>
            <w:tcW w:w="1226" w:type="dxa"/>
            <w:tcBorders>
              <w:top w:val="single" w:sz="4" w:space="0" w:color="auto"/>
              <w:bottom w:val="single" w:sz="12" w:space="0" w:color="auto"/>
            </w:tcBorders>
            <w:shd w:val="clear" w:color="auto" w:fill="auto"/>
            <w:vAlign w:val="bottom"/>
          </w:tcPr>
          <w:p w:rsidR="001C32AD" w:rsidRPr="001C32AD" w:rsidRDefault="001C32AD" w:rsidP="001C32AD">
            <w:pPr>
              <w:pStyle w:val="NormalSchedule"/>
              <w:tabs>
                <w:tab w:val="left" w:pos="288"/>
                <w:tab w:val="left" w:pos="576"/>
                <w:tab w:val="left" w:pos="864"/>
                <w:tab w:val="left" w:pos="1152"/>
              </w:tabs>
              <w:spacing w:before="81" w:after="81" w:line="210" w:lineRule="exact"/>
              <w:ind w:left="113" w:right="40"/>
              <w:jc w:val="right"/>
              <w:rPr>
                <w:b/>
                <w:kern w:val="0"/>
                <w:sz w:val="17"/>
                <w:szCs w:val="24"/>
                <w:lang w:val="fr-FR"/>
              </w:rPr>
            </w:pPr>
            <w:r w:rsidRPr="001C32AD">
              <w:rPr>
                <w:b/>
                <w:kern w:val="0"/>
                <w:sz w:val="17"/>
                <w:szCs w:val="24"/>
                <w:lang w:val="fr-FR"/>
              </w:rPr>
              <w:t>785</w:t>
            </w:r>
          </w:p>
        </w:tc>
      </w:tr>
    </w:tbl>
    <w:p w:rsidR="001C32AD" w:rsidRPr="001C32AD" w:rsidRDefault="001C32AD" w:rsidP="001C32AD">
      <w:pPr>
        <w:pStyle w:val="SingleTxt"/>
        <w:suppressAutoHyphens/>
        <w:spacing w:after="0" w:line="120" w:lineRule="exact"/>
        <w:rPr>
          <w:sz w:val="10"/>
        </w:rPr>
      </w:pPr>
    </w:p>
    <w:p w:rsidR="001C32AD" w:rsidRPr="001C32AD" w:rsidRDefault="001C32AD" w:rsidP="001C32AD">
      <w:pPr>
        <w:pStyle w:val="SingleTxt"/>
        <w:suppressAutoHyphens/>
        <w:spacing w:after="0" w:line="120" w:lineRule="exact"/>
        <w:rPr>
          <w:sz w:val="10"/>
        </w:rPr>
      </w:pPr>
    </w:p>
    <w:p w:rsidR="001C32AD" w:rsidRPr="001C32AD" w:rsidRDefault="001C32AD" w:rsidP="001C32AD">
      <w:pPr>
        <w:pStyle w:val="SingleTxt"/>
        <w:suppressAutoHyphens/>
        <w:spacing w:after="0" w:line="120" w:lineRule="exact"/>
        <w:rPr>
          <w:sz w:val="10"/>
        </w:rPr>
      </w:pPr>
    </w:p>
    <w:p w:rsidR="001C32AD" w:rsidRPr="001C32AD" w:rsidRDefault="003D0945" w:rsidP="003D09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tab/>
      </w:r>
      <w:r>
        <w:tab/>
      </w:r>
      <w:r w:rsidR="001C32AD" w:rsidRPr="001C32AD">
        <w:t>Artículo 15 de la Convención: Igualdad en materia de derechos civiles</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spacing w:after="0" w:line="120" w:lineRule="exact"/>
        <w:rPr>
          <w:sz w:val="10"/>
        </w:rPr>
      </w:pPr>
    </w:p>
    <w:p w:rsidR="001C32AD" w:rsidRPr="001C32AD" w:rsidRDefault="003D0945" w:rsidP="001C32AD">
      <w:pPr>
        <w:pStyle w:val="SingleTxt"/>
        <w:suppressAutoHyphens/>
      </w:pPr>
      <w:r>
        <w:t>138.</w:t>
      </w:r>
      <w:r>
        <w:tab/>
      </w:r>
      <w:r w:rsidR="001C32AD" w:rsidRPr="001C32AD">
        <w:t>En Gabón, el Código Civil garantiza la capacidad jurídica y el ejercicio de esta última para los ciudadanos de los dos sexos: concertación de contratos, administración de bienes y la misma consideración en todas las etapas del procedimiento judicial.</w:t>
      </w:r>
    </w:p>
    <w:p w:rsidR="001C32AD" w:rsidRPr="001C32AD" w:rsidRDefault="003D0945" w:rsidP="001C32AD">
      <w:pPr>
        <w:pStyle w:val="SingleTxt"/>
        <w:suppressAutoHyphens/>
      </w:pPr>
      <w:r>
        <w:t>139.</w:t>
      </w:r>
      <w:r>
        <w:tab/>
      </w:r>
      <w:r w:rsidR="001C32AD" w:rsidRPr="001C32AD">
        <w:t>En cuanto a la libertad de ir y venir en el interior de la República de Gabón, de salir y de regresar, esto está garantizado a todos los ciudadanos a reserva de las cuestiones de orden público de conformidad con las disposiciones del artículo 1 del título preliminar, párrafo 3 de la Constitución.</w:t>
      </w:r>
    </w:p>
    <w:p w:rsidR="001C32AD" w:rsidRPr="001C32AD" w:rsidRDefault="003D0945" w:rsidP="001C32AD">
      <w:pPr>
        <w:pStyle w:val="SingleTxt"/>
        <w:suppressAutoHyphens/>
      </w:pPr>
      <w:r>
        <w:t>140.</w:t>
      </w:r>
      <w:r>
        <w:tab/>
      </w:r>
      <w:r w:rsidR="001C32AD" w:rsidRPr="001C32AD">
        <w:t>Ahora bien, cabe destacar que respecto de la conclusión de contratos y la administración de bienes, si los cónyuges están casados con arreglo al régimen de la comunidad, el marido es el primer administrador de la comunidad y su esposa la suplente. Si el marido se encuentra incapacitado para cumplir esa función (ausencia, detención, larga enfermedad, privación del ejercicio de los derechos civiles por una jurisdicción), la mujer lo remplaza automáticamente.</w:t>
      </w:r>
    </w:p>
    <w:p w:rsidR="001C32AD" w:rsidRPr="001C32AD" w:rsidRDefault="001C32AD" w:rsidP="001C32AD">
      <w:pPr>
        <w:pStyle w:val="SingleTxt"/>
        <w:suppressAutoHyphens/>
      </w:pPr>
      <w:r w:rsidRPr="001C32AD">
        <w:t>141.</w:t>
      </w:r>
      <w:r w:rsidR="003D0945">
        <w:tab/>
      </w:r>
      <w:r w:rsidRPr="001C32AD">
        <w:t>En todos los regímenes, la elección de la residencia pertenece al marido; ahora bien, si esa residencia plantea peligros de orden físico o moral para la familia, la mujer solicita al tribunal la autorización para elegir otra residencia (artículo 254 del Código Civil).</w:t>
      </w:r>
    </w:p>
    <w:p w:rsidR="001C32AD" w:rsidRPr="001C32AD" w:rsidRDefault="001C32AD" w:rsidP="001C32AD">
      <w:pPr>
        <w:pStyle w:val="SingleTxt"/>
        <w:suppressAutoHyphens/>
      </w:pPr>
      <w:r w:rsidRPr="001C32AD">
        <w:t>142.</w:t>
      </w:r>
      <w:r w:rsidR="003D0945">
        <w:tab/>
      </w:r>
      <w:r w:rsidRPr="001C32AD">
        <w:t>En lo que hace a la libertad de circulación, la oficina del Comisionado de la documentación exige una autorización del esposo cuando la mujer casada desea salir del territorio nacional. Ningún texto contiene esa disposición. La frase “salvo cuestión de orden público” es objeto de una interpretación perjudicial ya que, sobre esa base, se pide a la mujer casada una autorización de salir de parte de su esposo; este último no requiere la misma condición.</w:t>
      </w:r>
    </w:p>
    <w:p w:rsidR="001C32AD" w:rsidRPr="001C32AD" w:rsidRDefault="003D0945" w:rsidP="001C32AD">
      <w:pPr>
        <w:pStyle w:val="SingleTxt"/>
        <w:suppressAutoHyphens/>
      </w:pPr>
      <w:r>
        <w:t>143.</w:t>
      </w:r>
      <w:r>
        <w:tab/>
      </w:r>
      <w:r w:rsidR="001C32AD" w:rsidRPr="001C32AD">
        <w:t>La Asociación de Mujeres Juristas ha presentado una solicitud a ese respecto, que sigue sin ser respondida.</w:t>
      </w:r>
    </w:p>
    <w:p w:rsidR="001C32AD" w:rsidRPr="001C32AD" w:rsidRDefault="003D0945" w:rsidP="001C32AD">
      <w:pPr>
        <w:pStyle w:val="SingleTxt"/>
        <w:suppressAutoHyphens/>
      </w:pPr>
      <w:r>
        <w:t>144.</w:t>
      </w:r>
      <w:r>
        <w:tab/>
      </w:r>
      <w:r w:rsidR="001C32AD" w:rsidRPr="001C32AD">
        <w:t>No obstante, si se trata del ejercicio de sus funciones, no se exige esa autorización.</w:t>
      </w:r>
    </w:p>
    <w:p w:rsidR="001C32AD" w:rsidRPr="001C32AD" w:rsidRDefault="003D0945" w:rsidP="001C32AD">
      <w:pPr>
        <w:pStyle w:val="SingleTxt"/>
        <w:suppressAutoHyphens/>
      </w:pPr>
      <w:r>
        <w:t>145.</w:t>
      </w:r>
      <w:r>
        <w:tab/>
      </w:r>
      <w:r w:rsidR="001C32AD" w:rsidRPr="001C32AD">
        <w:t>En cuanto a los bancos, se observa una mejora neta de la interpretación del párrafo 2 del artículo 257 del Código Civil sobre la palabra “notificación”. El otorgamiento de créditos bancarios se realiza normalmente. En los regímenes separatistas, esa notificación no se exige en la medida en que en ese tipo de régimen, cada cónyuge administra sus bienes.</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spacing w:after="0" w:line="120" w:lineRule="exact"/>
        <w:rPr>
          <w:sz w:val="10"/>
        </w:rPr>
      </w:pPr>
    </w:p>
    <w:p w:rsidR="001C32AD" w:rsidRPr="001C32AD" w:rsidRDefault="003D0945" w:rsidP="003D09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04" w:hanging="1267"/>
      </w:pPr>
      <w:r>
        <w:tab/>
      </w:r>
      <w:r>
        <w:tab/>
      </w:r>
      <w:r w:rsidR="001C32AD" w:rsidRPr="001C32AD">
        <w:t>Artículo 16 de la Convención: Eliminación de la discriminación en lo relativo al matrimonio</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spacing w:after="0" w:line="120" w:lineRule="exact"/>
        <w:rPr>
          <w:sz w:val="10"/>
        </w:rPr>
      </w:pPr>
    </w:p>
    <w:p w:rsidR="001C32AD" w:rsidRPr="001C32AD" w:rsidRDefault="003D0945" w:rsidP="003D09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32AD" w:rsidRPr="001C32AD">
        <w:t xml:space="preserve">Inquietud </w:t>
      </w:r>
      <w:r w:rsidRPr="001C32AD">
        <w:t xml:space="preserve">Nº </w:t>
      </w:r>
      <w:r w:rsidR="001C32AD" w:rsidRPr="001C32AD">
        <w:t xml:space="preserve">22 y recomendación </w:t>
      </w:r>
      <w:r w:rsidRPr="001C32AD">
        <w:t xml:space="preserve">Nº </w:t>
      </w:r>
      <w:r w:rsidR="001C32AD" w:rsidRPr="001C32AD">
        <w:t>23 del Comité</w:t>
      </w:r>
    </w:p>
    <w:p w:rsidR="003D0945" w:rsidRPr="003D0945" w:rsidRDefault="003D0945" w:rsidP="003D0945">
      <w:pPr>
        <w:pStyle w:val="SingleTxt"/>
        <w:suppressAutoHyphens/>
        <w:spacing w:after="0" w:line="120" w:lineRule="exact"/>
        <w:rPr>
          <w:sz w:val="10"/>
        </w:rPr>
      </w:pPr>
    </w:p>
    <w:p w:rsidR="001C32AD" w:rsidRPr="001C32AD" w:rsidRDefault="003D0945" w:rsidP="001C32AD">
      <w:pPr>
        <w:pStyle w:val="SingleTxt"/>
        <w:suppressAutoHyphens/>
      </w:pPr>
      <w:r>
        <w:t>146.</w:t>
      </w:r>
      <w:r>
        <w:tab/>
      </w:r>
      <w:r w:rsidR="001C32AD" w:rsidRPr="001C32AD">
        <w:t xml:space="preserve">La inquietud </w:t>
      </w:r>
      <w:r w:rsidRPr="001C32AD">
        <w:t xml:space="preserve">Nº </w:t>
      </w:r>
      <w:r w:rsidR="001C32AD" w:rsidRPr="001C32AD">
        <w:t>22 se refiere a la persistencia, en el Código Civil y en el Código Penal, de las disposiciones jurídicas discriminatorias, especialmente las que tratan del matrimonio y de las relaciones familiares, el reconocimiento de la poligamia y la falta de progresos constatada en la codificación de las leyes discriminatorias a pesar de los estudios realizados sobre ese asunto.</w:t>
      </w:r>
    </w:p>
    <w:p w:rsidR="001C32AD" w:rsidRPr="001C32AD" w:rsidRDefault="003D0945" w:rsidP="001C32AD">
      <w:pPr>
        <w:pStyle w:val="SingleTxt"/>
        <w:suppressAutoHyphens/>
      </w:pPr>
      <w:r>
        <w:t>147.</w:t>
      </w:r>
      <w:r>
        <w:tab/>
      </w:r>
      <w:r w:rsidR="001C32AD" w:rsidRPr="001C32AD">
        <w:t>El Comité alienta al Estado de Gabón a que acelere el proceso de reforma judicial con miras a eliminar esas disposiciones discriminatorias para conformarlas a las disposiciones de los artículos 2 y 16 de la Convención y la recomendación general nº 21 del Comité, relativas a la igualdad en el matrimonio y las relaciones familiares, y a que adopte un programa y un calendario precisos a fin de que pueda comenzar a operar el Comité interministerial encargado de esas reformas. El Estado debe además adoptar medidas complementarias para que se comprenda mejor la importancia que revisten esas reformas para la realización de la igualdad de derecho y de hecho entre hombres y mujeres.</w:t>
      </w:r>
    </w:p>
    <w:p w:rsidR="003D0945" w:rsidRPr="003D0945" w:rsidRDefault="003D0945" w:rsidP="003D0945">
      <w:pPr>
        <w:pStyle w:val="SingleTxt"/>
        <w:suppressAutoHyphens/>
        <w:spacing w:after="0" w:line="120" w:lineRule="exact"/>
        <w:rPr>
          <w:sz w:val="10"/>
        </w:rPr>
      </w:pPr>
    </w:p>
    <w:p w:rsidR="001C32AD" w:rsidRDefault="003D0945" w:rsidP="003D09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32AD" w:rsidRPr="001C32AD">
        <w:t>Medidas adoptadas</w:t>
      </w:r>
    </w:p>
    <w:p w:rsidR="003D0945" w:rsidRPr="003D0945" w:rsidRDefault="003D0945" w:rsidP="003D0945">
      <w:pPr>
        <w:pStyle w:val="SingleTxt"/>
        <w:spacing w:after="0" w:line="120" w:lineRule="exact"/>
        <w:rPr>
          <w:sz w:val="10"/>
        </w:rPr>
      </w:pPr>
    </w:p>
    <w:p w:rsidR="001C32AD" w:rsidRPr="001C32AD" w:rsidRDefault="003D0945" w:rsidP="001C32AD">
      <w:pPr>
        <w:pStyle w:val="SingleTxt"/>
        <w:suppressAutoHyphens/>
      </w:pPr>
      <w:r>
        <w:t>148.</w:t>
      </w:r>
      <w:r>
        <w:tab/>
      </w:r>
      <w:r w:rsidR="001C32AD" w:rsidRPr="001C32AD">
        <w:t>La poligamia es una práctica muy difundida en Gabón ya que afecta a más de una mujer casada de cada cinco (21%). El número de mujeres que tienen por lo menos un esposo aumenta regularmente con la edad; de 18% a los 20 a 24 años, la proporción pasa al 22% entre los 30 a 34 años y llega a un máximo del 33% entre los 45 a 49 años. La práctica esta más difundida en las zonas rurales (26,4%) que en las zonas urbanas (19,5%). A nivel de las provincias, las del norte (25%) y las del sur (28%) se caracterizan por un nivel más elevado que las otras.</w:t>
      </w:r>
    </w:p>
    <w:p w:rsidR="001C32AD" w:rsidRPr="001C32AD" w:rsidRDefault="003D0945" w:rsidP="001C32AD">
      <w:pPr>
        <w:pStyle w:val="SingleTxt"/>
        <w:suppressAutoHyphens/>
      </w:pPr>
      <w:r>
        <w:t>149.</w:t>
      </w:r>
      <w:r>
        <w:tab/>
      </w:r>
      <w:r w:rsidR="001C32AD" w:rsidRPr="001C32AD">
        <w:t>La relación entre la poligamia y el nivel de estudios no es significativa hasta la segunda con esposa. Las mujeres sin instrucción son mucho más numerosas. A medida que aumenta el nivel de instrucción, decrece su número (</w:t>
      </w:r>
      <w:r w:rsidR="001C32AD" w:rsidRPr="001C32AD">
        <w:rPr>
          <w:i/>
          <w:iCs/>
        </w:rPr>
        <w:t>fuente</w:t>
      </w:r>
      <w:r w:rsidR="001C32AD" w:rsidRPr="001C32AD">
        <w:t>: RGPH 1993).</w:t>
      </w:r>
    </w:p>
    <w:p w:rsidR="001C32AD" w:rsidRPr="001C32AD" w:rsidRDefault="001C32AD" w:rsidP="001C32AD">
      <w:pPr>
        <w:pStyle w:val="SingleTxt"/>
        <w:suppressAutoHyphens/>
      </w:pPr>
      <w:r w:rsidRPr="001C32AD">
        <w:t>150.</w:t>
      </w:r>
      <w:r w:rsidR="003D0945">
        <w:tab/>
      </w:r>
      <w:r w:rsidRPr="001C32AD">
        <w:t>Además de las medidas adoptadas por el Ministerio de la Familia y de la Promoción de la Mujer, las asociaciones y las ONG de defensa de los derechos de la mujer en el plano de la concienciación, ya señaladas en relación con el artículo 2 de la Convención y de las inquietudes y recomendaciones nº 18 y 19 del Comité, la alarma por la poligamia ha quedado a cargo de la Red de Derecho, Democracia y Paz (REDDP) del CENAF-Gabón mediante una gran campaña de concienciación por televisión realizada el 16 de noviembre de 2007, seguida de un seminario sobre las ventajas y los inconvenientes de la poligamia y la monogamia en los locales del Senado, el 17 de noviembre de 2007, en presencia de representantes de las dos cámaras del parlamento, en particular los diputados y senadores femeninos, y un público representativo de todas las capas sociales y compuesto de hombres y mujeres. Esa actividad fue sostenida por la Fundación de fortalecimiento de las capacidades de África (ACBF). Se ha publicado el informe. Al que se incorporaron todas las intervenciones del público.</w:t>
      </w:r>
    </w:p>
    <w:p w:rsidR="001C32AD" w:rsidRPr="001C32AD" w:rsidRDefault="003D0945" w:rsidP="001C32AD">
      <w:pPr>
        <w:pStyle w:val="SingleTxt"/>
        <w:suppressAutoHyphens/>
      </w:pPr>
      <w:r>
        <w:t>151.</w:t>
      </w:r>
      <w:r>
        <w:tab/>
      </w:r>
      <w:r w:rsidR="001C32AD" w:rsidRPr="001C32AD">
        <w:t>En efecto, se trata de destacar los textos que consagran la poligamia y la monogamia, la contradicción con la Convención que es una norma superior a las leyes nacionales y la evidente falta de acción de los parlamentarios a este respecto, a pesar de las peticiones y los diversos actos citados a ese respecto. La CENAF-Gabón ha realizado, a tal efecto, una investigación en las alcaldías de Libreville y en el tribunal de primera instancia de dicha ciudad. La elección del régimen de monogamia predomina en gran medida. De manera general, más del 91% de los casamientos celebrados han optado por la monogamia. De todos modos, esa actitud no es uniforme según las edades, ya que la preferencia por la poligamia aumenta con los años. De esta forma, entre los hombres de 45 años y más, se registra un 16% de casamientos polígamos, mientras que para las mujeres esto sucede con las que tienen 35 años o más.</w:t>
      </w:r>
    </w:p>
    <w:p w:rsidR="001C32AD" w:rsidRPr="001C32AD" w:rsidRDefault="003D0945" w:rsidP="001C32AD">
      <w:pPr>
        <w:pStyle w:val="SingleTxt"/>
        <w:suppressAutoHyphens/>
      </w:pPr>
      <w:r>
        <w:t>152.</w:t>
      </w:r>
      <w:r>
        <w:tab/>
      </w:r>
      <w:r w:rsidR="001C32AD" w:rsidRPr="001C32AD">
        <w:t>Durante el mismo seminario, se distribuyó a los participantes el proyecto “Poligamia o monogamia: su elección”. Ese folleto presenta los daños que provoca la poligamia en relación con el problema de la igualdad entre los géneros y su práctica actual, que es diferente a la de los ascendientes.</w:t>
      </w:r>
    </w:p>
    <w:p w:rsidR="001C32AD" w:rsidRPr="001C32AD" w:rsidRDefault="003D0945" w:rsidP="001C32AD">
      <w:pPr>
        <w:pStyle w:val="SingleTxt"/>
        <w:suppressAutoHyphens/>
      </w:pPr>
      <w:r>
        <w:t>153.</w:t>
      </w:r>
      <w:r>
        <w:tab/>
      </w:r>
      <w:r w:rsidR="001C32AD" w:rsidRPr="001C32AD">
        <w:t>A nivel de la Constitución, el pueblo de Gabón, después de haber afirmado su adhesión a los instrumentos jurídicos internacionales que ha ratificado en el párrafo 2 del preámbulo, proclama en el párrafo 3 “su adhesión a sus valores sociales profundos y tradicionales, a su patrimonio cultural, material y espiritual respecto de las libertades, los derechos y los deberes de los ciudadanos”. A pesar de los alegatos presentados al Parlamento y al Gobierno, y de los seminarios de concienciación, foros y otras acciones de la sociedad civil, la parálisis de los legisladores se explica por la adhesión a esa práctica tradicional.</w:t>
      </w:r>
    </w:p>
    <w:p w:rsidR="001C32AD" w:rsidRPr="001C32AD" w:rsidRDefault="003D0945" w:rsidP="001C32AD">
      <w:pPr>
        <w:pStyle w:val="SingleTxt"/>
        <w:suppressAutoHyphens/>
      </w:pPr>
      <w:r>
        <w:t>154.</w:t>
      </w:r>
      <w:r>
        <w:tab/>
      </w:r>
      <w:r w:rsidR="001C32AD" w:rsidRPr="001C32AD">
        <w:t>El matrimonio en la familia, denominado comúnmente casamiento consuetudinario, aunque no tiene ningún efecto jurídico se practica en todo Gabón. Tiene por objeto sobre todo asociar a las familias de los contrayentes al acto solemne que es el matrimonio con vistas entrar en la sociedad aportando su garantía moral, material y hasta espiritual. No hay ningún aspecto discriminatorio, ya que son los futuros esposos los que, después de haber tomado la decisión de unirse, informan a los padres que consagran seguidamente la promesa del matrimonio. Queda entendido que el matrimonio forzado está prohibido (artículos 211 y 212 del Código Civil).</w:t>
      </w:r>
    </w:p>
    <w:p w:rsidR="001C32AD" w:rsidRPr="001C32AD" w:rsidRDefault="003D0945" w:rsidP="001C32AD">
      <w:pPr>
        <w:pStyle w:val="SingleTxt"/>
        <w:suppressAutoHyphens/>
      </w:pPr>
      <w:r>
        <w:t>155.</w:t>
      </w:r>
      <w:r>
        <w:tab/>
      </w:r>
      <w:r w:rsidR="001C32AD" w:rsidRPr="001C32AD">
        <w:t>Actualmente se examina en la Asamblea Nacional un proyecto de texto relativo a la determinación de si es necesario alinear el casamiento consuetudinario con el casamiento celebrado por funcionarios del registro civil, para poner fin a todas las injusticias que sufren las mujeres que se encuentran en esa situación respecto del plan sucesión con sus familias políticas.</w:t>
      </w:r>
    </w:p>
    <w:p w:rsidR="001C32AD" w:rsidRPr="001C32AD" w:rsidRDefault="003D0945" w:rsidP="001C32AD">
      <w:pPr>
        <w:pStyle w:val="SingleTxt"/>
        <w:suppressAutoHyphens/>
      </w:pPr>
      <w:r>
        <w:t>156.</w:t>
      </w:r>
      <w:r>
        <w:tab/>
      </w:r>
      <w:r w:rsidR="001C32AD" w:rsidRPr="001C32AD">
        <w:t>En todo caso, como continuación de los alegatos, cabe señalar que las realidades económicas y las mentalidades actuales del intervalo de edades de las personas en edad de casarse hacen desaparecer la poligamia realmente, ya que la supresión del texto consolidará la situación actual: la multiplicidad de meretrices aun para los hombres casados que han optado por la monogamia.</w:t>
      </w:r>
    </w:p>
    <w:p w:rsidR="001C32AD" w:rsidRPr="001C32AD" w:rsidRDefault="003D0945" w:rsidP="001C32AD">
      <w:pPr>
        <w:pStyle w:val="SingleTxt"/>
        <w:suppressAutoHyphens/>
      </w:pPr>
      <w:r>
        <w:t>157.</w:t>
      </w:r>
      <w:r>
        <w:tab/>
      </w:r>
      <w:r w:rsidR="001C32AD" w:rsidRPr="001C32AD">
        <w:t>En cuanto al mantenimiento en el Código Civil y el Código Penal de las disposiciones jurídicas discriminatorias, las respuestas dadas después del examen del artículo 2 de la Convención son válidas para el artículo 16. No obstante, cabe señalar que todas las disposiciones jurídicas citadas en el informe periódico precedente para asegurar la legalidad de los derechos del hombre y de la mujer se mantienen. De esta forma, se asegura la igualdad:</w:t>
      </w:r>
    </w:p>
    <w:p w:rsidR="001C32AD" w:rsidRPr="001C32AD" w:rsidRDefault="003D0945" w:rsidP="003D0945">
      <w:pPr>
        <w:pStyle w:val="SingleTxt"/>
        <w:tabs>
          <w:tab w:val="right" w:pos="1685"/>
        </w:tabs>
        <w:suppressAutoHyphens/>
        <w:ind w:left="1742" w:hanging="475"/>
      </w:pPr>
      <w:r>
        <w:tab/>
        <w:t>•</w:t>
      </w:r>
      <w:r>
        <w:tab/>
      </w:r>
      <w:r w:rsidR="001C32AD" w:rsidRPr="001C32AD">
        <w:t>Para las relaciones de familia, respecto de las disposiciones del artículo 1 del título preliminar, párrafo 1, apartados 1, 78 y 80 del Código Civil;</w:t>
      </w:r>
    </w:p>
    <w:p w:rsidR="001C32AD" w:rsidRPr="001C32AD" w:rsidRDefault="003D0945" w:rsidP="003D0945">
      <w:pPr>
        <w:pStyle w:val="SingleTxt"/>
        <w:tabs>
          <w:tab w:val="right" w:pos="1685"/>
        </w:tabs>
        <w:suppressAutoHyphens/>
        <w:ind w:left="1742" w:hanging="475"/>
      </w:pPr>
      <w:r>
        <w:tab/>
        <w:t>•</w:t>
      </w:r>
      <w:r>
        <w:tab/>
      </w:r>
      <w:r w:rsidR="001C32AD" w:rsidRPr="001C32AD">
        <w:t>Para los contratos matrimoniales, elegir libremente a su pareja y contraer matrimonio solo con su libre y pleno consentimiento (77, 178 y siguientes del Código Civil);</w:t>
      </w:r>
    </w:p>
    <w:p w:rsidR="001C32AD" w:rsidRPr="001C32AD" w:rsidRDefault="003D0945" w:rsidP="003D0945">
      <w:pPr>
        <w:pStyle w:val="SingleTxt"/>
        <w:tabs>
          <w:tab w:val="right" w:pos="1685"/>
        </w:tabs>
        <w:suppressAutoHyphens/>
        <w:ind w:left="1742" w:hanging="475"/>
      </w:pPr>
      <w:r>
        <w:tab/>
        <w:t>•</w:t>
      </w:r>
      <w:r>
        <w:tab/>
      </w:r>
      <w:r w:rsidR="001C32AD" w:rsidRPr="001C32AD">
        <w:t>Durante el disfrute del casamiento y luego de su disolución, mientras sean esposos y padres cualquiera sea la situación matrimonial (artículos 254 a 296 del Código Civil);</w:t>
      </w:r>
    </w:p>
    <w:p w:rsidR="001C32AD" w:rsidRPr="001C32AD" w:rsidRDefault="003D0945" w:rsidP="003D0945">
      <w:pPr>
        <w:pStyle w:val="SingleTxt"/>
        <w:tabs>
          <w:tab w:val="right" w:pos="1685"/>
        </w:tabs>
        <w:suppressAutoHyphens/>
        <w:ind w:left="1742" w:hanging="475"/>
      </w:pPr>
      <w:r>
        <w:tab/>
        <w:t>•</w:t>
      </w:r>
      <w:r>
        <w:tab/>
      </w:r>
      <w:r w:rsidR="001C32AD" w:rsidRPr="001C32AD">
        <w:t>En el plano de la planificación familiar, la tutela, la curatela, la guarda y la adopción de niños (ley nº 1/2000 de 18 de agosto de 2000, que entre otras medidas liberaliza la anticoncepción, el Código Civil en sus artículos 527 y siguientes relativos a la tutela, los artículos 640 y siguientes en lo que hace a la cautela, los artículos 273, apartados 4, 274, 275 y 294 relativos a la guarda en base al interés superior del niño, y los artículos 449 a 480 en lo que se refiere a la adopción plena y simple);</w:t>
      </w:r>
    </w:p>
    <w:p w:rsidR="001C32AD" w:rsidRPr="001C32AD" w:rsidRDefault="003D0945" w:rsidP="003D0945">
      <w:pPr>
        <w:pStyle w:val="SingleTxt"/>
        <w:tabs>
          <w:tab w:val="right" w:pos="1685"/>
        </w:tabs>
        <w:suppressAutoHyphens/>
        <w:ind w:left="1742" w:hanging="475"/>
      </w:pPr>
      <w:r>
        <w:tab/>
        <w:t>•</w:t>
      </w:r>
      <w:r>
        <w:tab/>
      </w:r>
      <w:r w:rsidR="001C32AD" w:rsidRPr="001C32AD">
        <w:t>Para el acceso a la información y la educación, y los medios necesarios para poder ejercer sus derechos (artículo 1, apartados 1, 4 y 5 de la Constitución);</w:t>
      </w:r>
    </w:p>
    <w:p w:rsidR="001C32AD" w:rsidRPr="001C32AD" w:rsidRDefault="003D0945" w:rsidP="003D0945">
      <w:pPr>
        <w:pStyle w:val="SingleTxt"/>
        <w:tabs>
          <w:tab w:val="right" w:pos="1685"/>
        </w:tabs>
        <w:suppressAutoHyphens/>
        <w:ind w:left="1742" w:hanging="475"/>
      </w:pPr>
      <w:r>
        <w:tab/>
        <w:t>•</w:t>
      </w:r>
      <w:r>
        <w:tab/>
      </w:r>
      <w:r w:rsidR="001C32AD" w:rsidRPr="001C32AD">
        <w:t>A nivel de los derechos personales de los cónyuges, incluida la elección del apellido, de una profesión y de una ocupación (artículos 78, 80, 261 a 263 del Código Civil);</w:t>
      </w:r>
    </w:p>
    <w:p w:rsidR="001C32AD" w:rsidRPr="001C32AD" w:rsidRDefault="003D0945" w:rsidP="003D0945">
      <w:pPr>
        <w:pStyle w:val="SingleTxt"/>
        <w:tabs>
          <w:tab w:val="right" w:pos="1685"/>
        </w:tabs>
        <w:suppressAutoHyphens/>
        <w:ind w:left="1742" w:hanging="475"/>
      </w:pPr>
      <w:r>
        <w:tab/>
        <w:t>•</w:t>
      </w:r>
      <w:r>
        <w:tab/>
      </w:r>
      <w:r w:rsidR="001C32AD" w:rsidRPr="001C32AD">
        <w:t>Para la adquisición, gestión y administración de bienes (artículo 1, apartado 10 de la Constitución, y todas las disposiciones de protección de la pareja en el régimen matrimonial, contenidas en los artículos 305 y siguientes del Código Civil).</w:t>
      </w:r>
    </w:p>
    <w:p w:rsidR="001C32AD" w:rsidRPr="001C32AD" w:rsidRDefault="003D0945" w:rsidP="001C32AD">
      <w:pPr>
        <w:pStyle w:val="SingleTxt"/>
        <w:suppressAutoHyphens/>
      </w:pPr>
      <w:r>
        <w:t>158.</w:t>
      </w:r>
      <w:r>
        <w:tab/>
      </w:r>
      <w:r w:rsidR="001C32AD" w:rsidRPr="001C32AD">
        <w:t xml:space="preserve">La inscripción del matrimonio en un registro oficial está prevista en las disposiciones del artículo 177, apartado 6 </w:t>
      </w:r>
      <w:r w:rsidR="001C32AD" w:rsidRPr="001C32AD">
        <w:rPr>
          <w:i/>
          <w:iCs/>
        </w:rPr>
        <w:t>in fine</w:t>
      </w:r>
      <w:r w:rsidR="001C32AD" w:rsidRPr="001C32AD">
        <w:t>, del Código Civil.</w:t>
      </w:r>
    </w:p>
    <w:p w:rsidR="001C32AD" w:rsidRPr="001C32AD" w:rsidRDefault="003D0945" w:rsidP="001C32AD">
      <w:pPr>
        <w:pStyle w:val="SingleTxt"/>
        <w:suppressAutoHyphens/>
      </w:pPr>
      <w:r>
        <w:t>159.</w:t>
      </w:r>
      <w:r>
        <w:tab/>
      </w:r>
      <w:r w:rsidR="001C32AD" w:rsidRPr="001C32AD">
        <w:t>Los casamientos entre niños no están autorizados en virtud de las disposiciones del artículo 203 del Código Civil y el castigo está asegurado por las disposiciones de los artículos 264 y 265 del Código Penal.</w:t>
      </w:r>
    </w:p>
    <w:p w:rsidR="001C32AD" w:rsidRPr="001C32AD" w:rsidRDefault="003D0945" w:rsidP="001C32AD">
      <w:pPr>
        <w:pStyle w:val="SingleTxt"/>
        <w:suppressAutoHyphens/>
      </w:pPr>
      <w:r>
        <w:t>160.</w:t>
      </w:r>
      <w:r>
        <w:tab/>
      </w:r>
      <w:r w:rsidR="001C32AD" w:rsidRPr="001C32AD">
        <w:t>Respecto del compromiso matrimonial, solamente la ruptura abusiva entraña una indemnización delante del tribunal para uno u otro novio que ha sufrido un perjuicio material y moral a raíz de esa ruptura. El padre y la madre del que ha sufrido un perjuicio pueden también exigir la misma indemnización. También se puede exigir una indemnización a las personas que, teniendo autoridad sobre el novio o la novia, han incitado a romper abusivamente el compromiso de matrimonio. Esas acciones de indemnización se prescriben con una demora de un año a contar del día en que se ha roto el compromiso.</w:t>
      </w:r>
    </w:p>
    <w:p w:rsidR="001C32AD" w:rsidRPr="001C32AD" w:rsidRDefault="003D0945" w:rsidP="001C32AD">
      <w:pPr>
        <w:pStyle w:val="SingleTxt"/>
        <w:suppressAutoHyphens/>
      </w:pPr>
      <w:r>
        <w:t>161.</w:t>
      </w:r>
      <w:r>
        <w:tab/>
      </w:r>
      <w:r w:rsidR="001C32AD" w:rsidRPr="001C32AD">
        <w:t>Por otra parte, se prevé que no se podrá ejercer presión alguna para obligar a contraer matrimonio a la prometida o al prometido que se niegue a ello (98 a 202 del Código Civil).</w:t>
      </w:r>
    </w:p>
    <w:p w:rsidR="001C32AD" w:rsidRPr="001C32AD" w:rsidRDefault="003D0945" w:rsidP="001C32AD">
      <w:pPr>
        <w:pStyle w:val="SingleTxt"/>
        <w:suppressAutoHyphens/>
      </w:pPr>
      <w:r>
        <w:t>162.</w:t>
      </w:r>
      <w:r>
        <w:tab/>
      </w:r>
      <w:r w:rsidR="001C32AD" w:rsidRPr="001C32AD">
        <w:t>En cuanto a la mayoría de edad, Gabón ha ratificado la Convención sobre los Derechos del Niño que fija la mayoría de edad a los 18 años, lo que corresponde a la mayoría para participar en elecciones en Gabón. Ahora bien, la mayoría civil permanece en 21 años, y la edad de emancipación para el matrimonio es de 15 años para la mujer y 18 años para el varón. En las propuestas de modificación de los textos discriminatorios, se ha pedido que la mayoría de edad sea uniforme, sobre todo dado que la Convención sobre los Derechos del Niño es una norma superior al Código Civil.</w:t>
      </w:r>
    </w:p>
    <w:p w:rsidR="001C32AD" w:rsidRPr="001C32AD" w:rsidRDefault="001C32AD" w:rsidP="001C32AD">
      <w:pPr>
        <w:pStyle w:val="SingleTxt"/>
        <w:suppressAutoHyphens/>
        <w:spacing w:after="0" w:line="120" w:lineRule="exact"/>
        <w:rPr>
          <w:sz w:val="10"/>
        </w:rPr>
      </w:pPr>
    </w:p>
    <w:p w:rsidR="001C32AD" w:rsidRDefault="001C32AD" w:rsidP="003D09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C32AD">
        <w:t xml:space="preserve">Respecto de las recomendaciones </w:t>
      </w:r>
      <w:r w:rsidR="003D0945" w:rsidRPr="001C32AD">
        <w:t xml:space="preserve">Nº </w:t>
      </w:r>
      <w:r w:rsidRPr="001C32AD">
        <w:t>40 y 41 del Comité</w:t>
      </w:r>
    </w:p>
    <w:p w:rsidR="001C32AD" w:rsidRPr="001C32AD" w:rsidRDefault="001C32AD" w:rsidP="003D0945">
      <w:pPr>
        <w:pStyle w:val="SingleTxt"/>
        <w:keepNext/>
        <w:keepLines/>
        <w:spacing w:after="0" w:line="120" w:lineRule="exact"/>
        <w:rPr>
          <w:sz w:val="10"/>
        </w:rPr>
      </w:pPr>
    </w:p>
    <w:p w:rsidR="00F1691C" w:rsidRDefault="001C32AD" w:rsidP="003D09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C32AD">
        <w:t xml:space="preserve">Recomendación </w:t>
      </w:r>
      <w:r w:rsidR="003D0945" w:rsidRPr="001C32AD">
        <w:t xml:space="preserve">Nº </w:t>
      </w:r>
      <w:r w:rsidRPr="001C32AD">
        <w:t>40: aplicación integral de la Convención</w:t>
      </w:r>
    </w:p>
    <w:p w:rsidR="001C32AD" w:rsidRPr="001C32AD" w:rsidRDefault="001C32AD" w:rsidP="001C32AD">
      <w:pPr>
        <w:pStyle w:val="SingleTxt"/>
        <w:suppressAutoHyphens/>
        <w:spacing w:after="0" w:line="120" w:lineRule="exact"/>
        <w:rPr>
          <w:sz w:val="10"/>
        </w:rPr>
      </w:pPr>
    </w:p>
    <w:p w:rsidR="003D0945" w:rsidRPr="003D0945" w:rsidRDefault="003D0945" w:rsidP="003D0945">
      <w:pPr>
        <w:pStyle w:val="SingleTxt"/>
        <w:suppressAutoHyphens/>
      </w:pPr>
      <w:r>
        <w:t>163.</w:t>
      </w:r>
      <w:r>
        <w:tab/>
      </w:r>
      <w:r w:rsidRPr="003D0945">
        <w:t>Gabón, a pesar de algunas dificultades estructurales, económicas y socioculturales, con el conjunto de textos jurídicos y actos concretos visibles sobre el terreno, procura aplicar integralmente la Convención. Es un trabajo de largo alcance que requiere, en primer lugar, una revolución de las mentalidades de las poblaciones y de los que adoptan decisiones. Esa revolución, caracterizada por la aceptación integral de las cuestiones de género, requiere una verdadera voluntad política de los entes normativos y abarca a todas las capas sociales que deben comprender la importancia de la igualdad entre los sexos y especialmente la importancia de la mujer como protagonista del desarrollo, y que deberá llevar a la aplicación total y concreta de la Convención.</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D0945">
        <w:t>Recomendación Nº 41: Aprobación de medidas concretas para alentar y facilitar a la sociedad civil la aplicación de la Convención y el seguimiento de las observaciones generales, así como la consulta durante la redacción del informe periódico</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pPr>
      <w:r>
        <w:t>164.</w:t>
      </w:r>
      <w:r>
        <w:tab/>
      </w:r>
      <w:r w:rsidRPr="003D0945">
        <w:t>La legitimación por el Estado de las organizaciones de la sociedad civil, su reconocimiento como asociados para el desarrollo frente a la población y el Estado, y el aval de los asociados internacionales, sus actividades libres en todas las provincias de Gabón y la posibilidad de consultarlos en cada caso de redacción del informe periódico para la aplicación de la Convención, son medidas concretas exigidas por el Comité.</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spacing w:after="0" w:line="120" w:lineRule="exact"/>
        <w:rPr>
          <w:sz w:val="10"/>
        </w:rPr>
      </w:pPr>
    </w:p>
    <w:p w:rsidR="003A03F3" w:rsidRDefault="003D0945" w:rsidP="003D09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tab/>
        <w:t>IV.</w:t>
      </w:r>
      <w:r>
        <w:tab/>
      </w:r>
      <w:r w:rsidRPr="003D0945">
        <w:t>Obstáculos a la plena participación de las mujeres en pie de igualdad con los hombres en la vida política, social, económica y cultural</w:t>
      </w:r>
    </w:p>
    <w:p w:rsidR="003D0945" w:rsidRPr="003D0945" w:rsidRDefault="003D0945" w:rsidP="003D0945">
      <w:pPr>
        <w:pStyle w:val="SingleTxt"/>
        <w:suppressAutoHyphens/>
        <w:spacing w:after="0" w:line="120" w:lineRule="exact"/>
        <w:rPr>
          <w:sz w:val="10"/>
        </w:rPr>
      </w:pPr>
    </w:p>
    <w:p w:rsidR="003D0945" w:rsidRPr="003D0945" w:rsidRDefault="003D0945" w:rsidP="003D0945">
      <w:pPr>
        <w:pStyle w:val="SingleTxt"/>
        <w:suppressAutoHyphens/>
        <w:spacing w:after="0" w:line="120" w:lineRule="exact"/>
        <w:rPr>
          <w:sz w:val="10"/>
        </w:rPr>
      </w:pPr>
    </w:p>
    <w:p w:rsidR="005878F2" w:rsidRPr="005878F2" w:rsidRDefault="005878F2" w:rsidP="005878F2">
      <w:pPr>
        <w:pStyle w:val="SingleTxt"/>
        <w:suppressAutoHyphens/>
      </w:pPr>
      <w:r>
        <w:t>165.</w:t>
      </w:r>
      <w:r>
        <w:tab/>
      </w:r>
      <w:r w:rsidRPr="005878F2">
        <w:t>Esos obstáculos son de distintos órdenes y pueden resumirse de la siguiente manera. A pesar de la voluntad manifestada por el Gobierno actual de promover a la mujer en todos los planos, se tropieza:</w:t>
      </w:r>
    </w:p>
    <w:p w:rsidR="005878F2" w:rsidRPr="005878F2" w:rsidRDefault="005878F2" w:rsidP="005878F2">
      <w:pPr>
        <w:pStyle w:val="SingleTxt"/>
        <w:tabs>
          <w:tab w:val="right" w:pos="1685"/>
        </w:tabs>
        <w:suppressAutoHyphens/>
        <w:ind w:left="1742" w:hanging="475"/>
      </w:pPr>
      <w:r>
        <w:tab/>
        <w:t>•</w:t>
      </w:r>
      <w:r>
        <w:tab/>
      </w:r>
      <w:r w:rsidRPr="005878F2">
        <w:t>Con una legislación híbrida que le reconoce todos sus derechos pero que, al mismo tiempo, parece retirárselos para respetar ciertos valores tradicionales que aniquilan esos derechos;</w:t>
      </w:r>
    </w:p>
    <w:p w:rsidR="005878F2" w:rsidRPr="005878F2" w:rsidRDefault="005878F2" w:rsidP="005878F2">
      <w:pPr>
        <w:pStyle w:val="SingleTxt"/>
        <w:tabs>
          <w:tab w:val="right" w:pos="1685"/>
        </w:tabs>
        <w:suppressAutoHyphens/>
        <w:ind w:left="1742" w:hanging="475"/>
      </w:pPr>
      <w:r>
        <w:tab/>
        <w:t>•</w:t>
      </w:r>
      <w:r>
        <w:tab/>
      </w:r>
      <w:r w:rsidRPr="005878F2">
        <w:t>Con la lentitud de los mecanismos de adopción, derogación o enmienda de ciertos textos discriminatorios descritos desde hace un cierto tiempo;</w:t>
      </w:r>
    </w:p>
    <w:p w:rsidR="005878F2" w:rsidRPr="005878F2" w:rsidRDefault="005878F2" w:rsidP="005878F2">
      <w:pPr>
        <w:pStyle w:val="SingleTxt"/>
        <w:tabs>
          <w:tab w:val="right" w:pos="1685"/>
        </w:tabs>
        <w:suppressAutoHyphens/>
        <w:ind w:left="1742" w:hanging="475"/>
      </w:pPr>
      <w:r>
        <w:tab/>
        <w:t>•</w:t>
      </w:r>
      <w:r>
        <w:tab/>
      </w:r>
      <w:r w:rsidRPr="005878F2">
        <w:t>Con la actitud de ciertos jefes de partidos políticos que desean continuar utilizando a las mujeres en acciones dinámicas sobre el terreno, sin hacerlas participar en las diferentes consultas electorales con el prejuicio de que, en primer lugar, no serán elegidas;</w:t>
      </w:r>
    </w:p>
    <w:p w:rsidR="005878F2" w:rsidRPr="005878F2" w:rsidRDefault="005878F2" w:rsidP="005878F2">
      <w:pPr>
        <w:pStyle w:val="SingleTxt"/>
        <w:tabs>
          <w:tab w:val="right" w:pos="1685"/>
        </w:tabs>
        <w:suppressAutoHyphens/>
        <w:ind w:left="1742" w:hanging="475"/>
      </w:pPr>
      <w:r>
        <w:tab/>
        <w:t>•</w:t>
      </w:r>
      <w:r>
        <w:tab/>
      </w:r>
      <w:r w:rsidRPr="005878F2">
        <w:t>Con los obstáculos socioculturales, siempre presentes a pesar de la concienciación realizada sobre la importancia y el papel de la mujer;</w:t>
      </w:r>
    </w:p>
    <w:p w:rsidR="005878F2" w:rsidRPr="005878F2" w:rsidRDefault="005878F2" w:rsidP="005878F2">
      <w:pPr>
        <w:pStyle w:val="SingleTxt"/>
        <w:tabs>
          <w:tab w:val="right" w:pos="1685"/>
        </w:tabs>
        <w:suppressAutoHyphens/>
        <w:ind w:left="1742" w:hanging="475"/>
      </w:pPr>
      <w:r>
        <w:tab/>
        <w:t>•</w:t>
      </w:r>
      <w:r>
        <w:tab/>
      </w:r>
      <w:r w:rsidRPr="005878F2">
        <w:t>Con la falta de solidaridad entre las mujeres;</w:t>
      </w:r>
    </w:p>
    <w:p w:rsidR="005878F2" w:rsidRPr="005878F2" w:rsidRDefault="005878F2" w:rsidP="005878F2">
      <w:pPr>
        <w:pStyle w:val="SingleTxt"/>
        <w:tabs>
          <w:tab w:val="right" w:pos="1685"/>
        </w:tabs>
        <w:suppressAutoHyphens/>
        <w:ind w:left="1742" w:hanging="475"/>
      </w:pPr>
      <w:r>
        <w:tab/>
        <w:t>•</w:t>
      </w:r>
      <w:r>
        <w:tab/>
      </w:r>
      <w:r w:rsidRPr="005878F2">
        <w:t>Con la resignación de ciertas mujeres que se niegan a reivindicar sus derechos aun cuando tienen razón y que se niegan también a informarse, a pesar de la tarea de concienciación llevada a cabo por la sociedad civil y el propio Estado;</w:t>
      </w:r>
    </w:p>
    <w:p w:rsidR="005878F2" w:rsidRPr="005878F2" w:rsidRDefault="005878F2" w:rsidP="005878F2">
      <w:pPr>
        <w:pStyle w:val="SingleTxt"/>
        <w:tabs>
          <w:tab w:val="right" w:pos="1685"/>
        </w:tabs>
        <w:suppressAutoHyphens/>
        <w:ind w:left="1742" w:hanging="475"/>
      </w:pPr>
      <w:r>
        <w:tab/>
        <w:t>•</w:t>
      </w:r>
      <w:r>
        <w:tab/>
      </w:r>
      <w:r w:rsidRPr="005878F2">
        <w:t>Con el espíritu de comodidad y el deseo de contar permanentemente con asistencia, aun cuando podrían actuar directamente ellas mismas;</w:t>
      </w:r>
    </w:p>
    <w:p w:rsidR="005878F2" w:rsidRPr="005878F2" w:rsidRDefault="005878F2" w:rsidP="005878F2">
      <w:pPr>
        <w:pStyle w:val="SingleTxt"/>
        <w:tabs>
          <w:tab w:val="right" w:pos="1685"/>
        </w:tabs>
        <w:suppressAutoHyphens/>
        <w:ind w:left="1742" w:hanging="475"/>
      </w:pPr>
      <w:r>
        <w:tab/>
        <w:t>•</w:t>
      </w:r>
      <w:r>
        <w:tab/>
      </w:r>
      <w:r w:rsidRPr="005878F2">
        <w:t>Con el egoísmo que entraña la preferencia de los hombres frente a las mujeres en las designaciones para puestos de adopción de decisiones y de dirección, ya sea en las instituciones constitucionales, el Gobierno, la administración central y el sector privado;</w:t>
      </w:r>
    </w:p>
    <w:p w:rsidR="005878F2" w:rsidRPr="005878F2" w:rsidRDefault="005878F2" w:rsidP="005878F2">
      <w:pPr>
        <w:pStyle w:val="SingleTxt"/>
        <w:tabs>
          <w:tab w:val="right" w:pos="1685"/>
        </w:tabs>
        <w:suppressAutoHyphens/>
        <w:ind w:left="1742" w:hanging="475"/>
      </w:pPr>
      <w:r>
        <w:tab/>
        <w:t>•</w:t>
      </w:r>
      <w:r>
        <w:tab/>
      </w:r>
      <w:r w:rsidRPr="005878F2">
        <w:t>Con el problema de la alfabetización, y las rutas disponibles para las mujeres rurales que desean vender sus productos agrícolas y artesanías, así como la expansión de las estructuras sanitarias para lograr un buen estado físico;</w:t>
      </w:r>
    </w:p>
    <w:p w:rsidR="005878F2" w:rsidRPr="005878F2" w:rsidRDefault="005878F2" w:rsidP="005878F2">
      <w:pPr>
        <w:pStyle w:val="SingleTxt"/>
        <w:tabs>
          <w:tab w:val="right" w:pos="1685"/>
        </w:tabs>
        <w:suppressAutoHyphens/>
        <w:ind w:left="1742" w:hanging="475"/>
      </w:pPr>
      <w:r>
        <w:tab/>
        <w:t>•</w:t>
      </w:r>
      <w:r>
        <w:tab/>
      </w:r>
      <w:r w:rsidRPr="005878F2">
        <w:t>Con la ausencia de estructuras económicas estatales en todas las aldeas para que las mujeres rurales puedan conseguir autonomía, lo que bloquea a su vez su reconocido dinamismo.</w:t>
      </w:r>
    </w:p>
    <w:p w:rsidR="005878F2" w:rsidRPr="005878F2" w:rsidRDefault="005878F2" w:rsidP="005878F2">
      <w:pPr>
        <w:pStyle w:val="SingleTxt"/>
        <w:suppressAutoHyphens/>
        <w:spacing w:after="0" w:line="120" w:lineRule="exact"/>
        <w:rPr>
          <w:sz w:val="10"/>
        </w:rPr>
      </w:pPr>
    </w:p>
    <w:p w:rsidR="005878F2" w:rsidRPr="005878F2" w:rsidRDefault="005878F2" w:rsidP="005878F2">
      <w:pPr>
        <w:pStyle w:val="SingleTxt"/>
        <w:suppressAutoHyphens/>
        <w:spacing w:after="0" w:line="120" w:lineRule="exact"/>
        <w:rPr>
          <w:sz w:val="10"/>
        </w:rPr>
      </w:pPr>
    </w:p>
    <w:p w:rsidR="005878F2" w:rsidRPr="005878F2" w:rsidRDefault="005878F2" w:rsidP="005878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5878F2">
        <w:t>V.</w:t>
      </w:r>
      <w:r>
        <w:tab/>
      </w:r>
      <w:r w:rsidRPr="005878F2">
        <w:t>Conclusión</w:t>
      </w:r>
    </w:p>
    <w:p w:rsidR="005878F2" w:rsidRPr="005878F2" w:rsidRDefault="005878F2" w:rsidP="005878F2">
      <w:pPr>
        <w:pStyle w:val="SingleTxt"/>
        <w:suppressAutoHyphens/>
        <w:spacing w:after="0" w:line="120" w:lineRule="exact"/>
        <w:rPr>
          <w:sz w:val="10"/>
        </w:rPr>
      </w:pPr>
    </w:p>
    <w:p w:rsidR="005878F2" w:rsidRPr="005878F2" w:rsidRDefault="005878F2" w:rsidP="005878F2">
      <w:pPr>
        <w:pStyle w:val="SingleTxt"/>
        <w:suppressAutoHyphens/>
        <w:spacing w:after="0" w:line="120" w:lineRule="exact"/>
        <w:rPr>
          <w:sz w:val="10"/>
        </w:rPr>
      </w:pPr>
    </w:p>
    <w:p w:rsidR="005878F2" w:rsidRPr="005878F2" w:rsidRDefault="005878F2" w:rsidP="005878F2">
      <w:pPr>
        <w:pStyle w:val="SingleTxt"/>
        <w:suppressAutoHyphens/>
      </w:pPr>
      <w:r>
        <w:t>166.</w:t>
      </w:r>
      <w:r>
        <w:tab/>
      </w:r>
      <w:r w:rsidRPr="005878F2">
        <w:t>A pesar de esos obstáculos, se puede afirmar que la situación de la mujer gabonesa ha evolucionado. La toma de conciencia de toda la sociedad acerca de la importancia y el papel capital que cumple la mujer como motor de la evolución de una nación, y el despertar de las propias mujeres, con el apoyo de la sociedad civil internacional y nacional, respaldan esa afirmación.</w:t>
      </w:r>
    </w:p>
    <w:p w:rsidR="001C32AD" w:rsidRDefault="005878F2" w:rsidP="005878F2">
      <w:pPr>
        <w:pStyle w:val="SingleTxt"/>
        <w:suppressAutoHyphens/>
      </w:pPr>
      <w:r>
        <w:t>167.</w:t>
      </w:r>
      <w:r>
        <w:tab/>
      </w:r>
      <w:r w:rsidRPr="005878F2">
        <w:t>Cabe señalar el papel que juega el Presidente de la República de Gabón en la promoción de la mujer en todos los ámbitos, y en el reconocimiento y la defensa de sus derechos, mediante el establecimiento de numerosas instituciones que permiten aplicar el plan de acción aprobado para lograr la igualdad y la equidad entre los géneros.</w:t>
      </w:r>
    </w:p>
    <w:p w:rsidR="003A03F3" w:rsidRDefault="003A03F3" w:rsidP="008445B3">
      <w:pPr>
        <w:pStyle w:val="SingleTxt"/>
        <w:suppressAutoHyphens/>
      </w:pPr>
    </w:p>
    <w:p w:rsidR="005878F2" w:rsidRPr="005878F2" w:rsidRDefault="005878F2" w:rsidP="005878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5878F2">
        <w:t>Bibliografía</w:t>
      </w:r>
    </w:p>
    <w:p w:rsidR="005878F2" w:rsidRPr="005878F2" w:rsidRDefault="005878F2" w:rsidP="005878F2">
      <w:pPr>
        <w:pStyle w:val="SingleTxt"/>
        <w:spacing w:after="0" w:line="120" w:lineRule="exact"/>
        <w:rPr>
          <w:sz w:val="10"/>
        </w:rPr>
      </w:pPr>
    </w:p>
    <w:p w:rsidR="005878F2" w:rsidRPr="005878F2" w:rsidRDefault="005878F2" w:rsidP="005878F2">
      <w:pPr>
        <w:pStyle w:val="SingleTxt"/>
        <w:spacing w:after="0" w:line="120" w:lineRule="exact"/>
        <w:rPr>
          <w:sz w:val="10"/>
        </w:rPr>
      </w:pPr>
    </w:p>
    <w:p w:rsidR="005878F2" w:rsidRPr="005878F2" w:rsidRDefault="005878F2" w:rsidP="005878F2">
      <w:pPr>
        <w:pStyle w:val="SingleTxt"/>
        <w:ind w:left="1742" w:hanging="475"/>
        <w:jc w:val="left"/>
      </w:pPr>
      <w:r w:rsidRPr="005878F2">
        <w:t>Constitución</w:t>
      </w:r>
    </w:p>
    <w:p w:rsidR="005878F2" w:rsidRPr="005878F2" w:rsidRDefault="005878F2" w:rsidP="005878F2">
      <w:pPr>
        <w:pStyle w:val="SingleTxt"/>
        <w:ind w:left="1742" w:hanging="475"/>
        <w:jc w:val="left"/>
      </w:pPr>
      <w:r w:rsidRPr="005878F2">
        <w:t>Convención sobre la eliminación de todas las formas de discriminación contra la mujer</w:t>
      </w:r>
    </w:p>
    <w:p w:rsidR="005878F2" w:rsidRPr="005878F2" w:rsidRDefault="005878F2" w:rsidP="005878F2">
      <w:pPr>
        <w:pStyle w:val="SingleTxt"/>
        <w:ind w:left="1742" w:hanging="475"/>
        <w:jc w:val="left"/>
      </w:pPr>
      <w:r w:rsidRPr="005878F2">
        <w:t>Convención sobre los Derechos del Niño</w:t>
      </w:r>
    </w:p>
    <w:p w:rsidR="005878F2" w:rsidRPr="005878F2" w:rsidRDefault="005878F2" w:rsidP="005878F2">
      <w:pPr>
        <w:pStyle w:val="SingleTxt"/>
        <w:ind w:left="1742" w:hanging="475"/>
        <w:jc w:val="left"/>
      </w:pPr>
      <w:r w:rsidRPr="005878F2">
        <w:t>Código Civil, primera y segunda partes</w:t>
      </w:r>
    </w:p>
    <w:p w:rsidR="005878F2" w:rsidRPr="005878F2" w:rsidRDefault="005878F2" w:rsidP="005878F2">
      <w:pPr>
        <w:pStyle w:val="SingleTxt"/>
        <w:ind w:left="1742" w:hanging="475"/>
        <w:jc w:val="left"/>
      </w:pPr>
      <w:r w:rsidRPr="005878F2">
        <w:t>Código Penal</w:t>
      </w:r>
    </w:p>
    <w:p w:rsidR="005878F2" w:rsidRPr="005878F2" w:rsidRDefault="005878F2" w:rsidP="005878F2">
      <w:pPr>
        <w:pStyle w:val="SingleTxt"/>
        <w:ind w:left="1742" w:hanging="475"/>
        <w:jc w:val="left"/>
      </w:pPr>
      <w:r w:rsidRPr="005878F2">
        <w:t>Código del Trabajo</w:t>
      </w:r>
    </w:p>
    <w:p w:rsidR="005878F2" w:rsidRPr="005878F2" w:rsidRDefault="005878F2" w:rsidP="005878F2">
      <w:pPr>
        <w:pStyle w:val="SingleTxt"/>
        <w:ind w:left="1742" w:hanging="475"/>
        <w:jc w:val="left"/>
      </w:pPr>
      <w:r w:rsidRPr="005878F2">
        <w:t>Informe inicial e informes combinados de Gabón sobre la aplicación de la Convención sobre la eliminación de todas las formas de discriminación contra la mujer</w:t>
      </w:r>
    </w:p>
    <w:p w:rsidR="005878F2" w:rsidRPr="005878F2" w:rsidRDefault="005878F2" w:rsidP="005878F2">
      <w:pPr>
        <w:pStyle w:val="SingleTxt"/>
        <w:ind w:left="1742" w:hanging="475"/>
        <w:jc w:val="left"/>
      </w:pPr>
      <w:r w:rsidRPr="005878F2">
        <w:t>Documentos y folletos de divulgación de los Derechos de la mujer, del Observatorio de los Derechos y la Igualdad de la Mujer</w:t>
      </w:r>
    </w:p>
    <w:p w:rsidR="005878F2" w:rsidRPr="005878F2" w:rsidRDefault="005878F2" w:rsidP="005878F2">
      <w:pPr>
        <w:pStyle w:val="SingleTxt"/>
        <w:ind w:left="1742" w:hanging="475"/>
        <w:jc w:val="left"/>
      </w:pPr>
      <w:r w:rsidRPr="005878F2">
        <w:t>Labor de los Ministerios de Salud Pública, de Higiene Pública y de la Familia y de la Promoción de la Mujer</w:t>
      </w:r>
    </w:p>
    <w:p w:rsidR="005878F2" w:rsidRPr="005878F2" w:rsidRDefault="005878F2" w:rsidP="005878F2">
      <w:pPr>
        <w:pStyle w:val="SingleTxt"/>
        <w:ind w:left="1742" w:hanging="475"/>
        <w:jc w:val="left"/>
      </w:pPr>
      <w:r w:rsidRPr="005878F2">
        <w:t>Informe general sobre la aplicación de la política de equidad entre los géneros y la igualdad entre los sexos</w:t>
      </w:r>
    </w:p>
    <w:p w:rsidR="005878F2" w:rsidRPr="005878F2" w:rsidRDefault="005878F2" w:rsidP="005878F2">
      <w:pPr>
        <w:pStyle w:val="SingleTxt"/>
        <w:ind w:left="1742" w:hanging="475"/>
        <w:jc w:val="left"/>
      </w:pPr>
      <w:r w:rsidRPr="005878F2">
        <w:t>Documento de la Sra. Essono, especialista en cuestiones de género</w:t>
      </w:r>
    </w:p>
    <w:p w:rsidR="005878F2" w:rsidRPr="005878F2" w:rsidRDefault="005878F2" w:rsidP="005878F2">
      <w:pPr>
        <w:pStyle w:val="SingleTxt"/>
        <w:ind w:left="1742" w:hanging="475"/>
        <w:jc w:val="left"/>
      </w:pPr>
      <w:r w:rsidRPr="005878F2">
        <w:t>Información sobre los centros de cuestiones de género en los Ministerios</w:t>
      </w:r>
    </w:p>
    <w:p w:rsidR="005878F2" w:rsidRPr="005878F2" w:rsidRDefault="005878F2" w:rsidP="005878F2">
      <w:pPr>
        <w:pStyle w:val="SingleTxt"/>
        <w:ind w:left="1742" w:hanging="475"/>
        <w:jc w:val="left"/>
      </w:pPr>
      <w:r w:rsidRPr="005878F2">
        <w:t>Labor del Comité de seguimiento de la trata de niños</w:t>
      </w:r>
    </w:p>
    <w:p w:rsidR="005878F2" w:rsidRPr="005878F2" w:rsidRDefault="005878F2" w:rsidP="005878F2">
      <w:pPr>
        <w:pStyle w:val="SingleTxt"/>
        <w:ind w:left="1742" w:hanging="475"/>
        <w:jc w:val="left"/>
      </w:pPr>
      <w:r w:rsidRPr="005878F2">
        <w:t>Labor de CENAF-Gabón</w:t>
      </w:r>
    </w:p>
    <w:p w:rsidR="00F1691C" w:rsidRDefault="005878F2" w:rsidP="005878F2">
      <w:pPr>
        <w:pStyle w:val="SingleTxt"/>
        <w:suppressAutoHyphens/>
        <w:ind w:left="1742" w:hanging="475"/>
        <w:jc w:val="left"/>
      </w:pPr>
      <w:r w:rsidRPr="005878F2">
        <w:t>RGPH (censo general de la población y la vivie</w:t>
      </w:r>
      <w:r w:rsidR="00675743">
        <w:t>nda)</w:t>
      </w:r>
    </w:p>
    <w:p w:rsidR="008445B3" w:rsidRPr="008B1DF5" w:rsidRDefault="005878F2" w:rsidP="008445B3">
      <w:pPr>
        <w:pStyle w:val="SingleTxt"/>
        <w:suppressAutoHyphens/>
      </w:pPr>
      <w:r>
        <w:rPr>
          <w:noProof/>
          <w:w w:val="100"/>
          <w:lang w:val="en-US"/>
        </w:rPr>
        <w:pict>
          <v:line id="_x0000_s1027" style="position:absolute;left:0;text-align:left;z-index:2" from="210.2pt,24pt" to="282.2pt,24pt" strokeweight=".25pt"/>
        </w:pict>
      </w:r>
    </w:p>
    <w:sectPr w:rsidR="008445B3" w:rsidRPr="008B1DF5" w:rsidSect="00B92C16">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0T16:21:00Z" w:initials="Start">
    <w:p w:rsidR="00837665" w:rsidRPr="00232EFF" w:rsidRDefault="00837665">
      <w:pPr>
        <w:pStyle w:val="CommentText"/>
        <w:rPr>
          <w:lang w:val="en-US"/>
        </w:rPr>
      </w:pPr>
      <w:r>
        <w:fldChar w:fldCharType="begin"/>
      </w:r>
      <w:r w:rsidRPr="00232EFF">
        <w:rPr>
          <w:rStyle w:val="CommentReference"/>
          <w:lang w:val="en-US"/>
        </w:rPr>
        <w:instrText xml:space="preserve"> </w:instrText>
      </w:r>
      <w:r w:rsidRPr="00232EFF">
        <w:rPr>
          <w:lang w:val="en-US"/>
        </w:rPr>
        <w:instrText>PAGE \# "'Page: '#'</w:instrText>
      </w:r>
      <w:r w:rsidRPr="00232EFF">
        <w:rPr>
          <w:lang w:val="en-US"/>
        </w:rPr>
        <w:br/>
        <w:instrText>'"</w:instrText>
      </w:r>
      <w:r w:rsidRPr="00232EFF">
        <w:rPr>
          <w:rStyle w:val="CommentReference"/>
          <w:lang w:val="en-US"/>
        </w:rPr>
        <w:instrText xml:space="preserve"> </w:instrText>
      </w:r>
      <w:r>
        <w:fldChar w:fldCharType="end"/>
      </w:r>
      <w:r>
        <w:rPr>
          <w:rStyle w:val="CommentReference"/>
        </w:rPr>
        <w:annotationRef/>
      </w:r>
      <w:r w:rsidRPr="00232EFF">
        <w:rPr>
          <w:lang w:val="en-US"/>
        </w:rPr>
        <w:t>&lt;&lt;ODS JOB NO&gt;&gt;N1362156S&lt;&lt;ODS JOB NO&gt;&gt;</w:t>
      </w:r>
    </w:p>
    <w:p w:rsidR="00837665" w:rsidRPr="00232EFF" w:rsidRDefault="00837665">
      <w:pPr>
        <w:pStyle w:val="CommentText"/>
        <w:rPr>
          <w:lang w:val="en-US"/>
        </w:rPr>
      </w:pPr>
      <w:r w:rsidRPr="00232EFF">
        <w:rPr>
          <w:lang w:val="en-US"/>
        </w:rPr>
        <w:t>&lt;&lt;ODS DOC SYMBOL1&gt;&gt;CEDAW/C/GAB/6&lt;&lt;ODS DOC SYMBOL1&gt;&gt;</w:t>
      </w:r>
    </w:p>
    <w:p w:rsidR="00837665" w:rsidRPr="00232EFF" w:rsidRDefault="00837665">
      <w:pPr>
        <w:pStyle w:val="CommentText"/>
        <w:rPr>
          <w:lang w:val="en-US"/>
        </w:rPr>
      </w:pPr>
      <w:r w:rsidRPr="00232EFF">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28" w:rsidRDefault="00C24728">
      <w:r>
        <w:separator/>
      </w:r>
    </w:p>
  </w:endnote>
  <w:endnote w:type="continuationSeparator" w:id="0">
    <w:p w:rsidR="00C24728" w:rsidRDefault="00C24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37665" w:rsidTr="00692535">
      <w:tblPrEx>
        <w:tblCellMar>
          <w:top w:w="0" w:type="dxa"/>
          <w:bottom w:w="0" w:type="dxa"/>
        </w:tblCellMar>
      </w:tblPrEx>
      <w:tc>
        <w:tcPr>
          <w:tcW w:w="5033" w:type="dxa"/>
          <w:shd w:val="clear" w:color="auto" w:fill="auto"/>
        </w:tcPr>
        <w:p w:rsidR="00837665" w:rsidRPr="00692535" w:rsidRDefault="00837665" w:rsidP="00692535">
          <w:pPr>
            <w:pStyle w:val="Footer"/>
            <w:jc w:val="right"/>
            <w:rPr>
              <w:b w:val="0"/>
              <w:w w:val="103"/>
              <w:sz w:val="14"/>
            </w:rPr>
          </w:pPr>
          <w:fldSimple w:instr=" DOCVARIABLE &quot;FooterJN&quot; \* MERGEFORMAT ">
            <w:r w:rsidR="00BF5543">
              <w:rPr>
                <w:b w:val="0"/>
                <w:w w:val="103"/>
                <w:sz w:val="14"/>
              </w:rPr>
              <w:t>13-62156</w:t>
            </w:r>
          </w:fldSimple>
        </w:p>
      </w:tc>
      <w:tc>
        <w:tcPr>
          <w:tcW w:w="5033" w:type="dxa"/>
          <w:shd w:val="clear" w:color="auto" w:fill="auto"/>
        </w:tcPr>
        <w:p w:rsidR="00837665" w:rsidRPr="00675743" w:rsidRDefault="00837665" w:rsidP="00692535">
          <w:pPr>
            <w:pStyle w:val="Footer"/>
            <w:rPr>
              <w:w w:val="103"/>
              <w:lang w:val="es-ES"/>
            </w:rPr>
          </w:pPr>
          <w:r>
            <w:rPr>
              <w:w w:val="103"/>
            </w:rPr>
            <w:fldChar w:fldCharType="begin"/>
          </w:r>
          <w:r>
            <w:rPr>
              <w:w w:val="103"/>
            </w:rPr>
            <w:instrText xml:space="preserve"> PAGE  \* MERGEFORMAT </w:instrText>
          </w:r>
          <w:r>
            <w:rPr>
              <w:w w:val="103"/>
            </w:rPr>
            <w:fldChar w:fldCharType="separate"/>
          </w:r>
          <w:r w:rsidR="0047466D">
            <w:rPr>
              <w:w w:val="103"/>
            </w:rPr>
            <w:t>2</w:t>
          </w:r>
          <w:r>
            <w:rPr>
              <w:w w:val="103"/>
            </w:rPr>
            <w:fldChar w:fldCharType="end"/>
          </w:r>
          <w:r>
            <w:rPr>
              <w:w w:val="103"/>
              <w:lang w:val="es-ES"/>
            </w:rPr>
            <w:t>/</w:t>
          </w:r>
          <w:r>
            <w:rPr>
              <w:rStyle w:val="PageNumber"/>
            </w:rPr>
            <w:fldChar w:fldCharType="begin"/>
          </w:r>
          <w:r>
            <w:rPr>
              <w:rStyle w:val="PageNumber"/>
            </w:rPr>
            <w:instrText xml:space="preserve"> NUMPAGES </w:instrText>
          </w:r>
          <w:r>
            <w:rPr>
              <w:rStyle w:val="PageNumber"/>
            </w:rPr>
            <w:fldChar w:fldCharType="separate"/>
          </w:r>
          <w:r w:rsidR="0047466D">
            <w:rPr>
              <w:rStyle w:val="PageNumber"/>
            </w:rPr>
            <w:t>42</w:t>
          </w:r>
          <w:r>
            <w:rPr>
              <w:rStyle w:val="PageNumber"/>
            </w:rPr>
            <w:fldChar w:fldCharType="end"/>
          </w:r>
        </w:p>
      </w:tc>
    </w:tr>
  </w:tbl>
  <w:p w:rsidR="00837665" w:rsidRPr="00692535" w:rsidRDefault="00837665" w:rsidP="00692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37665" w:rsidTr="00692535">
      <w:tblPrEx>
        <w:tblCellMar>
          <w:top w:w="0" w:type="dxa"/>
          <w:bottom w:w="0" w:type="dxa"/>
        </w:tblCellMar>
      </w:tblPrEx>
      <w:tc>
        <w:tcPr>
          <w:tcW w:w="5033" w:type="dxa"/>
          <w:shd w:val="clear" w:color="auto" w:fill="auto"/>
        </w:tcPr>
        <w:p w:rsidR="00837665" w:rsidRPr="00692535" w:rsidRDefault="00837665" w:rsidP="00692535">
          <w:pPr>
            <w:pStyle w:val="Footer"/>
            <w:jc w:val="right"/>
            <w:rPr>
              <w:w w:val="103"/>
            </w:rPr>
          </w:pPr>
          <w:r>
            <w:rPr>
              <w:w w:val="103"/>
            </w:rPr>
            <w:fldChar w:fldCharType="begin"/>
          </w:r>
          <w:r>
            <w:rPr>
              <w:w w:val="103"/>
            </w:rPr>
            <w:instrText xml:space="preserve"> PAGE  \* MERGEFORMAT </w:instrText>
          </w:r>
          <w:r>
            <w:rPr>
              <w:w w:val="103"/>
            </w:rPr>
            <w:fldChar w:fldCharType="separate"/>
          </w:r>
          <w:r w:rsidR="0047466D">
            <w:rPr>
              <w:w w:val="103"/>
            </w:rPr>
            <w:t>41</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BF5543">
            <w:rPr>
              <w:rStyle w:val="PageNumber"/>
            </w:rPr>
            <w:t>42</w:t>
          </w:r>
          <w:r>
            <w:rPr>
              <w:rStyle w:val="PageNumber"/>
            </w:rPr>
            <w:fldChar w:fldCharType="end"/>
          </w:r>
        </w:p>
      </w:tc>
      <w:tc>
        <w:tcPr>
          <w:tcW w:w="5033" w:type="dxa"/>
          <w:shd w:val="clear" w:color="auto" w:fill="auto"/>
        </w:tcPr>
        <w:p w:rsidR="00837665" w:rsidRPr="00692535" w:rsidRDefault="00837665" w:rsidP="00692535">
          <w:pPr>
            <w:pStyle w:val="Footer"/>
            <w:rPr>
              <w:b w:val="0"/>
              <w:w w:val="103"/>
              <w:sz w:val="14"/>
            </w:rPr>
          </w:pPr>
          <w:fldSimple w:instr=" DOCVARIABLE &quot;FooterJN&quot; \* MERGEFORMAT ">
            <w:r w:rsidR="00BF5543">
              <w:rPr>
                <w:b w:val="0"/>
                <w:w w:val="103"/>
                <w:sz w:val="14"/>
              </w:rPr>
              <w:t>13-62156</w:t>
            </w:r>
          </w:fldSimple>
        </w:p>
      </w:tc>
    </w:tr>
  </w:tbl>
  <w:p w:rsidR="00837665" w:rsidRPr="00692535" w:rsidRDefault="00837665" w:rsidP="006925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796"/>
    </w:tblGrid>
    <w:tr w:rsidR="00837665" w:rsidTr="00BF5543">
      <w:tblPrEx>
        <w:tblCellMar>
          <w:top w:w="0" w:type="dxa"/>
          <w:bottom w:w="0" w:type="dxa"/>
        </w:tblCellMar>
      </w:tblPrEx>
      <w:tc>
        <w:tcPr>
          <w:tcW w:w="5033" w:type="dxa"/>
        </w:tcPr>
        <w:p w:rsidR="00837665" w:rsidRPr="0047466D" w:rsidRDefault="0047466D" w:rsidP="00692535">
          <w:pPr>
            <w:pStyle w:val="Footer"/>
            <w:rPr>
              <w:b w:val="0"/>
              <w:sz w:val="20"/>
            </w:rPr>
          </w:pPr>
          <w:r w:rsidRPr="0047466D">
            <w:rPr>
              <w:b w:val="0"/>
              <w:sz w:val="20"/>
            </w:rPr>
            <w:t>13-62156</w:t>
          </w:r>
          <w:r>
            <w:rPr>
              <w:b w:val="0"/>
              <w:sz w:val="20"/>
            </w:rPr>
            <w:t>X</w:t>
          </w:r>
          <w:r w:rsidRPr="0047466D">
            <w:rPr>
              <w:b w:val="0"/>
              <w:sz w:val="20"/>
            </w:rPr>
            <w:t xml:space="preserve"> (S)</w:t>
          </w:r>
        </w:p>
        <w:p w:rsidR="00837665" w:rsidRPr="00692535" w:rsidRDefault="00837665" w:rsidP="00692535">
          <w:pPr>
            <w:pStyle w:val="Footer"/>
            <w:spacing w:before="80" w:line="210" w:lineRule="exact"/>
            <w:rPr>
              <w:rFonts w:ascii="Barcode 3 of 9 by request" w:hAnsi="Barcode 3 of 9 by request"/>
              <w:b w:val="0"/>
              <w:sz w:val="24"/>
            </w:rPr>
          </w:pPr>
          <w:fldSimple w:instr=" DOCVARIABLE &quot;barcode&quot; \* MERGEFORMAT ">
            <w:r w:rsidR="00BF5543">
              <w:rPr>
                <w:rFonts w:ascii="Barcode 3 of 9 by request" w:hAnsi="Barcode 3 of 9 by request"/>
                <w:b w:val="0"/>
                <w:sz w:val="24"/>
              </w:rPr>
              <w:t>*1362156*</w:t>
            </w:r>
          </w:fldSimple>
        </w:p>
      </w:tc>
      <w:tc>
        <w:tcPr>
          <w:tcW w:w="3796" w:type="dxa"/>
        </w:tcPr>
        <w:p w:rsidR="00837665" w:rsidRDefault="00837665" w:rsidP="00692535">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9pt;margin-top:-65.35pt;width:55pt;height:63.1pt;z-index:1;mso-position-horizontal-relative:page;mso-position-vertical-relative:page" o:preferrelative="f" filled="t">
                <v:imagedata r:id="rId1" o:title="6&amp;Size =1&amp;Lang = S"/>
                <w10:wrap anchorx="page" anchory="page"/>
              </v:shape>
            </w:pict>
          </w:r>
          <w:r w:rsidRPr="00692535">
            <w:rPr>
              <w:b w:val="0"/>
              <w:sz w:val="20"/>
            </w:rPr>
            <w:pict>
              <v:shape id="_x0000_i1027" type="#_x0000_t75" style="width:85.5pt;height:18pt">
                <v:imagedata r:id="rId2" o:title="recycle_Spanish"/>
              </v:shape>
            </w:pict>
          </w:r>
        </w:p>
      </w:tc>
    </w:tr>
  </w:tbl>
  <w:p w:rsidR="00837665" w:rsidRPr="00692535" w:rsidRDefault="00837665" w:rsidP="0069253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28" w:rsidRDefault="00C24728">
      <w:r>
        <w:separator/>
      </w:r>
    </w:p>
  </w:footnote>
  <w:footnote w:type="continuationSeparator" w:id="0">
    <w:p w:rsidR="00C24728" w:rsidRDefault="00C24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37665" w:rsidTr="00692535">
      <w:tblPrEx>
        <w:tblCellMar>
          <w:top w:w="0" w:type="dxa"/>
          <w:bottom w:w="0" w:type="dxa"/>
        </w:tblCellMar>
      </w:tblPrEx>
      <w:trPr>
        <w:trHeight w:hRule="exact" w:val="864"/>
      </w:trPr>
      <w:tc>
        <w:tcPr>
          <w:tcW w:w="4838" w:type="dxa"/>
          <w:shd w:val="clear" w:color="auto" w:fill="auto"/>
          <w:vAlign w:val="bottom"/>
        </w:tcPr>
        <w:p w:rsidR="00837665" w:rsidRPr="00692535" w:rsidRDefault="00837665" w:rsidP="00692535">
          <w:pPr>
            <w:pStyle w:val="Header"/>
            <w:spacing w:after="80"/>
            <w:rPr>
              <w:b/>
            </w:rPr>
          </w:pPr>
          <w:fldSimple w:instr=" DOCVARIABLE &quot;sss1&quot; \* MERGEFORMAT ">
            <w:r w:rsidR="00BF5543">
              <w:rPr>
                <w:b/>
              </w:rPr>
              <w:t>CEDAW/C/GAB/6</w:t>
            </w:r>
          </w:fldSimple>
        </w:p>
      </w:tc>
      <w:tc>
        <w:tcPr>
          <w:tcW w:w="5033" w:type="dxa"/>
          <w:shd w:val="clear" w:color="auto" w:fill="auto"/>
          <w:vAlign w:val="bottom"/>
        </w:tcPr>
        <w:p w:rsidR="00837665" w:rsidRDefault="00837665" w:rsidP="00692535">
          <w:pPr>
            <w:pStyle w:val="Header"/>
          </w:pPr>
        </w:p>
      </w:tc>
    </w:tr>
  </w:tbl>
  <w:p w:rsidR="00837665" w:rsidRPr="00692535" w:rsidRDefault="00837665" w:rsidP="00692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37665" w:rsidTr="00692535">
      <w:tblPrEx>
        <w:tblCellMar>
          <w:top w:w="0" w:type="dxa"/>
          <w:bottom w:w="0" w:type="dxa"/>
        </w:tblCellMar>
      </w:tblPrEx>
      <w:trPr>
        <w:trHeight w:hRule="exact" w:val="864"/>
      </w:trPr>
      <w:tc>
        <w:tcPr>
          <w:tcW w:w="4838" w:type="dxa"/>
          <w:shd w:val="clear" w:color="auto" w:fill="auto"/>
          <w:vAlign w:val="bottom"/>
        </w:tcPr>
        <w:p w:rsidR="00837665" w:rsidRDefault="00837665" w:rsidP="00692535">
          <w:pPr>
            <w:pStyle w:val="Header"/>
          </w:pPr>
        </w:p>
      </w:tc>
      <w:tc>
        <w:tcPr>
          <w:tcW w:w="5033" w:type="dxa"/>
          <w:shd w:val="clear" w:color="auto" w:fill="auto"/>
          <w:vAlign w:val="bottom"/>
        </w:tcPr>
        <w:p w:rsidR="00837665" w:rsidRPr="00692535" w:rsidRDefault="00837665" w:rsidP="00692535">
          <w:pPr>
            <w:pStyle w:val="Header"/>
            <w:spacing w:after="80"/>
            <w:jc w:val="right"/>
            <w:rPr>
              <w:b/>
            </w:rPr>
          </w:pPr>
          <w:fldSimple w:instr=" DOCVARIABLE &quot;sss1&quot; \* MERGEFORMAT ">
            <w:r w:rsidR="00BF5543">
              <w:rPr>
                <w:b/>
              </w:rPr>
              <w:t>CEDAW/C/GAB/6</w:t>
            </w:r>
          </w:fldSimple>
        </w:p>
      </w:tc>
    </w:tr>
  </w:tbl>
  <w:p w:rsidR="00837665" w:rsidRPr="00692535" w:rsidRDefault="00837665" w:rsidP="006925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37665" w:rsidTr="0069253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37665" w:rsidRDefault="00837665" w:rsidP="00692535">
          <w:pPr>
            <w:pStyle w:val="Header"/>
            <w:spacing w:after="120"/>
          </w:pPr>
        </w:p>
      </w:tc>
      <w:tc>
        <w:tcPr>
          <w:tcW w:w="2059" w:type="dxa"/>
          <w:tcBorders>
            <w:bottom w:val="single" w:sz="4" w:space="0" w:color="auto"/>
          </w:tcBorders>
          <w:shd w:val="clear" w:color="auto" w:fill="auto"/>
          <w:vAlign w:val="bottom"/>
        </w:tcPr>
        <w:p w:rsidR="00837665" w:rsidRPr="00692535" w:rsidRDefault="00837665" w:rsidP="0069253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37665" w:rsidRDefault="00837665" w:rsidP="00692535">
          <w:pPr>
            <w:pStyle w:val="Header"/>
            <w:spacing w:after="120"/>
          </w:pPr>
        </w:p>
      </w:tc>
      <w:tc>
        <w:tcPr>
          <w:tcW w:w="6523" w:type="dxa"/>
          <w:gridSpan w:val="3"/>
          <w:tcBorders>
            <w:bottom w:val="single" w:sz="4" w:space="0" w:color="auto"/>
          </w:tcBorders>
          <w:shd w:val="clear" w:color="auto" w:fill="auto"/>
          <w:vAlign w:val="bottom"/>
        </w:tcPr>
        <w:p w:rsidR="00837665" w:rsidRPr="00692535" w:rsidRDefault="00837665" w:rsidP="00692535">
          <w:pPr>
            <w:spacing w:after="80" w:line="240" w:lineRule="auto"/>
            <w:jc w:val="right"/>
            <w:rPr>
              <w:position w:val="-4"/>
            </w:rPr>
          </w:pPr>
          <w:r>
            <w:rPr>
              <w:position w:val="-4"/>
              <w:sz w:val="40"/>
            </w:rPr>
            <w:t>CEDAW</w:t>
          </w:r>
          <w:r>
            <w:rPr>
              <w:position w:val="-4"/>
            </w:rPr>
            <w:t>/C/GAB/6</w:t>
          </w:r>
        </w:p>
      </w:tc>
    </w:tr>
    <w:tr w:rsidR="00837665" w:rsidRPr="00692535" w:rsidTr="0069253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37665" w:rsidRDefault="00837665" w:rsidP="0069253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837665" w:rsidRPr="00692535" w:rsidRDefault="00837665" w:rsidP="00692535">
          <w:pPr>
            <w:pStyle w:val="Header"/>
            <w:spacing w:before="109"/>
          </w:pPr>
        </w:p>
      </w:tc>
      <w:tc>
        <w:tcPr>
          <w:tcW w:w="5227" w:type="dxa"/>
          <w:gridSpan w:val="3"/>
          <w:tcBorders>
            <w:top w:val="single" w:sz="4" w:space="0" w:color="auto"/>
            <w:bottom w:val="single" w:sz="12" w:space="0" w:color="auto"/>
          </w:tcBorders>
          <w:shd w:val="clear" w:color="auto" w:fill="auto"/>
        </w:tcPr>
        <w:p w:rsidR="00837665" w:rsidRPr="00692535" w:rsidRDefault="00837665" w:rsidP="0069253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37665" w:rsidRPr="008B1DF5" w:rsidRDefault="00837665" w:rsidP="0069253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37665" w:rsidRDefault="00837665" w:rsidP="00692535">
          <w:pPr>
            <w:spacing w:before="240"/>
          </w:pPr>
          <w:r>
            <w:t>Distr. general</w:t>
          </w:r>
        </w:p>
        <w:p w:rsidR="00837665" w:rsidRDefault="00837665" w:rsidP="00692535">
          <w:r>
            <w:t>16 de diciembre de 2013</w:t>
          </w:r>
        </w:p>
        <w:p w:rsidR="00837665" w:rsidRDefault="00837665" w:rsidP="00692535">
          <w:r>
            <w:t>Español</w:t>
          </w:r>
        </w:p>
        <w:p w:rsidR="00837665" w:rsidRPr="00692535" w:rsidRDefault="00837665" w:rsidP="00692535">
          <w:r>
            <w:t>Original: francés</w:t>
          </w:r>
        </w:p>
      </w:tc>
    </w:tr>
  </w:tbl>
  <w:p w:rsidR="00837665" w:rsidRPr="00692535" w:rsidRDefault="00837665" w:rsidP="0069253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1F35C6C"/>
    <w:multiLevelType w:val="hybridMultilevel"/>
    <w:tmpl w:val="7AA0B856"/>
    <w:lvl w:ilvl="0" w:tplc="5E102588">
      <w:start w:val="1"/>
      <w:numFmt w:val="decimal"/>
      <w:pStyle w:val="DTpara"/>
      <w:lvlText w:val="%1."/>
      <w:lvlJc w:val="left"/>
      <w:pPr>
        <w:ind w:left="524" w:hanging="360"/>
      </w:pPr>
    </w:lvl>
    <w:lvl w:ilvl="1" w:tplc="08090019">
      <w:start w:val="1"/>
      <w:numFmt w:val="lowerLetter"/>
      <w:lvlText w:val="%2."/>
      <w:lvlJc w:val="left"/>
      <w:pPr>
        <w:ind w:left="3139" w:hanging="360"/>
      </w:pPr>
    </w:lvl>
    <w:lvl w:ilvl="2" w:tplc="0809001B" w:tentative="1">
      <w:start w:val="1"/>
      <w:numFmt w:val="lowerRoman"/>
      <w:lvlText w:val="%3."/>
      <w:lvlJc w:val="right"/>
      <w:pPr>
        <w:ind w:left="3859" w:hanging="180"/>
      </w:pPr>
    </w:lvl>
    <w:lvl w:ilvl="3" w:tplc="0809000F" w:tentative="1">
      <w:start w:val="1"/>
      <w:numFmt w:val="decimal"/>
      <w:lvlText w:val="%4."/>
      <w:lvlJc w:val="left"/>
      <w:pPr>
        <w:ind w:left="4579" w:hanging="360"/>
      </w:pPr>
    </w:lvl>
    <w:lvl w:ilvl="4" w:tplc="08090019" w:tentative="1">
      <w:start w:val="1"/>
      <w:numFmt w:val="lowerLetter"/>
      <w:lvlText w:val="%5."/>
      <w:lvlJc w:val="left"/>
      <w:pPr>
        <w:ind w:left="5299" w:hanging="360"/>
      </w:pPr>
    </w:lvl>
    <w:lvl w:ilvl="5" w:tplc="0809001B" w:tentative="1">
      <w:start w:val="1"/>
      <w:numFmt w:val="lowerRoman"/>
      <w:lvlText w:val="%6."/>
      <w:lvlJc w:val="right"/>
      <w:pPr>
        <w:ind w:left="6019" w:hanging="180"/>
      </w:pPr>
    </w:lvl>
    <w:lvl w:ilvl="6" w:tplc="0809000F" w:tentative="1">
      <w:start w:val="1"/>
      <w:numFmt w:val="decimal"/>
      <w:lvlText w:val="%7."/>
      <w:lvlJc w:val="left"/>
      <w:pPr>
        <w:ind w:left="6739" w:hanging="360"/>
      </w:pPr>
    </w:lvl>
    <w:lvl w:ilvl="7" w:tplc="08090019" w:tentative="1">
      <w:start w:val="1"/>
      <w:numFmt w:val="lowerLetter"/>
      <w:lvlText w:val="%8."/>
      <w:lvlJc w:val="left"/>
      <w:pPr>
        <w:ind w:left="7459" w:hanging="360"/>
      </w:pPr>
    </w:lvl>
    <w:lvl w:ilvl="8" w:tplc="0809001B" w:tentative="1">
      <w:start w:val="1"/>
      <w:numFmt w:val="lowerRoman"/>
      <w:lvlText w:val="%9."/>
      <w:lvlJc w:val="right"/>
      <w:pPr>
        <w:ind w:left="8179" w:hanging="18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7180134C"/>
    <w:multiLevelType w:val="multilevel"/>
    <w:tmpl w:val="C9F2D334"/>
    <w:name w:val="TOC4"/>
    <w:lvl w:ilvl="0">
      <w:start w:val="1"/>
      <w:numFmt w:val="upperRoman"/>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156*"/>
    <w:docVar w:name="CreationDt" w:val="14/02/2014 08:52.m."/>
    <w:docVar w:name="DocCategory" w:val="Doc"/>
    <w:docVar w:name="DocType" w:val="Final"/>
    <w:docVar w:name="FooterJN" w:val="13-62156"/>
    <w:docVar w:name="jobn" w:val="13-62156 (S)"/>
    <w:docVar w:name="jobnDT" w:val="13-62156 (S)   140214"/>
    <w:docVar w:name="jobnDTDT" w:val="13-62156 (S)   140214   140214"/>
    <w:docVar w:name="JobNo" w:val="1362156S"/>
    <w:docVar w:name="OandT" w:val="luis"/>
    <w:docVar w:name="sss1" w:val="CEDAW/C/GAB/6"/>
    <w:docVar w:name="sss2" w:val="-"/>
    <w:docVar w:name="Symbol1" w:val="CEDAW/C/GAB/6"/>
    <w:docVar w:name="Symbol2" w:val="-"/>
  </w:docVars>
  <w:rsids>
    <w:rsidRoot w:val="00A52155"/>
    <w:rsid w:val="000025EA"/>
    <w:rsid w:val="000271D6"/>
    <w:rsid w:val="000336E0"/>
    <w:rsid w:val="00034C8D"/>
    <w:rsid w:val="00044517"/>
    <w:rsid w:val="00061177"/>
    <w:rsid w:val="00067931"/>
    <w:rsid w:val="00067D9C"/>
    <w:rsid w:val="000806AC"/>
    <w:rsid w:val="000871C1"/>
    <w:rsid w:val="000A1971"/>
    <w:rsid w:val="000B2A4E"/>
    <w:rsid w:val="000C1009"/>
    <w:rsid w:val="000C4DCC"/>
    <w:rsid w:val="000D21E6"/>
    <w:rsid w:val="000F6460"/>
    <w:rsid w:val="00102135"/>
    <w:rsid w:val="001059AC"/>
    <w:rsid w:val="001109AD"/>
    <w:rsid w:val="00143B7C"/>
    <w:rsid w:val="00152E53"/>
    <w:rsid w:val="00153EA2"/>
    <w:rsid w:val="00165625"/>
    <w:rsid w:val="00166BC3"/>
    <w:rsid w:val="001701FE"/>
    <w:rsid w:val="00170784"/>
    <w:rsid w:val="00171A06"/>
    <w:rsid w:val="00193471"/>
    <w:rsid w:val="001A1696"/>
    <w:rsid w:val="001A2E38"/>
    <w:rsid w:val="001A2FAC"/>
    <w:rsid w:val="001A72EA"/>
    <w:rsid w:val="001B28D9"/>
    <w:rsid w:val="001C32AD"/>
    <w:rsid w:val="001E7DD2"/>
    <w:rsid w:val="001F74B0"/>
    <w:rsid w:val="00200A61"/>
    <w:rsid w:val="0022060C"/>
    <w:rsid w:val="00232EFF"/>
    <w:rsid w:val="00240C60"/>
    <w:rsid w:val="0025615B"/>
    <w:rsid w:val="00266F6B"/>
    <w:rsid w:val="00297ED1"/>
    <w:rsid w:val="002B7407"/>
    <w:rsid w:val="002C345B"/>
    <w:rsid w:val="002C3E79"/>
    <w:rsid w:val="002D5A32"/>
    <w:rsid w:val="002E1262"/>
    <w:rsid w:val="002F0A5D"/>
    <w:rsid w:val="002F5857"/>
    <w:rsid w:val="003359DE"/>
    <w:rsid w:val="003417BA"/>
    <w:rsid w:val="003452B8"/>
    <w:rsid w:val="0037429E"/>
    <w:rsid w:val="00375801"/>
    <w:rsid w:val="00380A11"/>
    <w:rsid w:val="0038441F"/>
    <w:rsid w:val="003A03F3"/>
    <w:rsid w:val="003A5CE7"/>
    <w:rsid w:val="003B613E"/>
    <w:rsid w:val="003C12C7"/>
    <w:rsid w:val="003C473B"/>
    <w:rsid w:val="003C5008"/>
    <w:rsid w:val="003C67B3"/>
    <w:rsid w:val="003D0945"/>
    <w:rsid w:val="003D2D4A"/>
    <w:rsid w:val="003F3C3C"/>
    <w:rsid w:val="00400307"/>
    <w:rsid w:val="00405E57"/>
    <w:rsid w:val="00411BBF"/>
    <w:rsid w:val="00412FB1"/>
    <w:rsid w:val="00431501"/>
    <w:rsid w:val="004452B0"/>
    <w:rsid w:val="004713D8"/>
    <w:rsid w:val="0047466D"/>
    <w:rsid w:val="004843EE"/>
    <w:rsid w:val="0049207E"/>
    <w:rsid w:val="004A2E38"/>
    <w:rsid w:val="004A7C6C"/>
    <w:rsid w:val="004C1BCD"/>
    <w:rsid w:val="004D6407"/>
    <w:rsid w:val="004D779E"/>
    <w:rsid w:val="00507265"/>
    <w:rsid w:val="005130D6"/>
    <w:rsid w:val="00521B8C"/>
    <w:rsid w:val="00524C14"/>
    <w:rsid w:val="00534D37"/>
    <w:rsid w:val="00542A52"/>
    <w:rsid w:val="005434BC"/>
    <w:rsid w:val="005546B9"/>
    <w:rsid w:val="00556288"/>
    <w:rsid w:val="005878F2"/>
    <w:rsid w:val="00587E23"/>
    <w:rsid w:val="00595DE1"/>
    <w:rsid w:val="005C09FD"/>
    <w:rsid w:val="005D3721"/>
    <w:rsid w:val="005F19B1"/>
    <w:rsid w:val="00612DA1"/>
    <w:rsid w:val="00616030"/>
    <w:rsid w:val="006169F5"/>
    <w:rsid w:val="00620953"/>
    <w:rsid w:val="00630CE1"/>
    <w:rsid w:val="00635FAE"/>
    <w:rsid w:val="00636DA1"/>
    <w:rsid w:val="00637AB0"/>
    <w:rsid w:val="00641130"/>
    <w:rsid w:val="00645DF2"/>
    <w:rsid w:val="006463C7"/>
    <w:rsid w:val="00664183"/>
    <w:rsid w:val="00673F3D"/>
    <w:rsid w:val="00675743"/>
    <w:rsid w:val="006844F8"/>
    <w:rsid w:val="00692535"/>
    <w:rsid w:val="00696921"/>
    <w:rsid w:val="006C6173"/>
    <w:rsid w:val="006D3321"/>
    <w:rsid w:val="006E0E95"/>
    <w:rsid w:val="006F36E2"/>
    <w:rsid w:val="0070602F"/>
    <w:rsid w:val="0074000F"/>
    <w:rsid w:val="00781DFE"/>
    <w:rsid w:val="007A0F02"/>
    <w:rsid w:val="007B04E8"/>
    <w:rsid w:val="007B2E44"/>
    <w:rsid w:val="007C566A"/>
    <w:rsid w:val="007D0893"/>
    <w:rsid w:val="007D31E9"/>
    <w:rsid w:val="007D59F4"/>
    <w:rsid w:val="007E322D"/>
    <w:rsid w:val="007F5AF9"/>
    <w:rsid w:val="00813690"/>
    <w:rsid w:val="00813C40"/>
    <w:rsid w:val="00815EA8"/>
    <w:rsid w:val="00821E34"/>
    <w:rsid w:val="00823BE3"/>
    <w:rsid w:val="00824603"/>
    <w:rsid w:val="0083457C"/>
    <w:rsid w:val="00837665"/>
    <w:rsid w:val="008445B3"/>
    <w:rsid w:val="008466A7"/>
    <w:rsid w:val="008835E7"/>
    <w:rsid w:val="008B1DF5"/>
    <w:rsid w:val="008B5FC3"/>
    <w:rsid w:val="008D17EE"/>
    <w:rsid w:val="008D4161"/>
    <w:rsid w:val="008D53A0"/>
    <w:rsid w:val="008E2B2E"/>
    <w:rsid w:val="00913197"/>
    <w:rsid w:val="0091591F"/>
    <w:rsid w:val="0092335B"/>
    <w:rsid w:val="0092739A"/>
    <w:rsid w:val="0093190E"/>
    <w:rsid w:val="00935AD9"/>
    <w:rsid w:val="00936752"/>
    <w:rsid w:val="009540A8"/>
    <w:rsid w:val="00972A50"/>
    <w:rsid w:val="009828D3"/>
    <w:rsid w:val="00984E6C"/>
    <w:rsid w:val="00995BD2"/>
    <w:rsid w:val="009B107B"/>
    <w:rsid w:val="009B1305"/>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2155"/>
    <w:rsid w:val="00A5353F"/>
    <w:rsid w:val="00A6067E"/>
    <w:rsid w:val="00A627D6"/>
    <w:rsid w:val="00A6761C"/>
    <w:rsid w:val="00A86FEA"/>
    <w:rsid w:val="00A95D80"/>
    <w:rsid w:val="00AB7836"/>
    <w:rsid w:val="00AD5D6A"/>
    <w:rsid w:val="00B151F5"/>
    <w:rsid w:val="00B34BCE"/>
    <w:rsid w:val="00B463A1"/>
    <w:rsid w:val="00B92C16"/>
    <w:rsid w:val="00B950AE"/>
    <w:rsid w:val="00BA50BA"/>
    <w:rsid w:val="00BC7B5B"/>
    <w:rsid w:val="00BE2BF9"/>
    <w:rsid w:val="00BF5543"/>
    <w:rsid w:val="00C019D4"/>
    <w:rsid w:val="00C02367"/>
    <w:rsid w:val="00C13D38"/>
    <w:rsid w:val="00C24728"/>
    <w:rsid w:val="00C57554"/>
    <w:rsid w:val="00C62284"/>
    <w:rsid w:val="00C7059C"/>
    <w:rsid w:val="00C8131F"/>
    <w:rsid w:val="00C847F0"/>
    <w:rsid w:val="00C859E1"/>
    <w:rsid w:val="00C911E8"/>
    <w:rsid w:val="00C91CE9"/>
    <w:rsid w:val="00C928D8"/>
    <w:rsid w:val="00CB5C47"/>
    <w:rsid w:val="00CD4760"/>
    <w:rsid w:val="00CD57FF"/>
    <w:rsid w:val="00CE0045"/>
    <w:rsid w:val="00CE050B"/>
    <w:rsid w:val="00CE1381"/>
    <w:rsid w:val="00CF1834"/>
    <w:rsid w:val="00D2412C"/>
    <w:rsid w:val="00D24426"/>
    <w:rsid w:val="00D32402"/>
    <w:rsid w:val="00D3343E"/>
    <w:rsid w:val="00D75DCF"/>
    <w:rsid w:val="00DA7DFA"/>
    <w:rsid w:val="00E054C0"/>
    <w:rsid w:val="00E241A1"/>
    <w:rsid w:val="00E31D49"/>
    <w:rsid w:val="00E50390"/>
    <w:rsid w:val="00E51BC9"/>
    <w:rsid w:val="00E55EE2"/>
    <w:rsid w:val="00E65BE8"/>
    <w:rsid w:val="00E84B10"/>
    <w:rsid w:val="00E8605E"/>
    <w:rsid w:val="00E875CB"/>
    <w:rsid w:val="00E932A5"/>
    <w:rsid w:val="00EB3BF0"/>
    <w:rsid w:val="00EC3D06"/>
    <w:rsid w:val="00EC528D"/>
    <w:rsid w:val="00ED1F10"/>
    <w:rsid w:val="00EE4E34"/>
    <w:rsid w:val="00EE5E02"/>
    <w:rsid w:val="00EF6164"/>
    <w:rsid w:val="00F061A0"/>
    <w:rsid w:val="00F06B9B"/>
    <w:rsid w:val="00F11F67"/>
    <w:rsid w:val="00F1691C"/>
    <w:rsid w:val="00F249E4"/>
    <w:rsid w:val="00F25FFD"/>
    <w:rsid w:val="00F274AF"/>
    <w:rsid w:val="00F35B3D"/>
    <w:rsid w:val="00F44608"/>
    <w:rsid w:val="00F44E91"/>
    <w:rsid w:val="00F47FCF"/>
    <w:rsid w:val="00F66041"/>
    <w:rsid w:val="00F85F65"/>
    <w:rsid w:val="00F920FD"/>
    <w:rsid w:val="00F92E1F"/>
    <w:rsid w:val="00FB2CE9"/>
    <w:rsid w:val="00FC4C00"/>
    <w:rsid w:val="00FD17C3"/>
    <w:rsid w:val="00FD4F74"/>
    <w:rsid w:val="00FF11CC"/>
    <w:rsid w:val="00FF2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692535"/>
  </w:style>
  <w:style w:type="paragraph" w:styleId="CommentSubject">
    <w:name w:val="annotation subject"/>
    <w:basedOn w:val="CommentText"/>
    <w:next w:val="CommentText"/>
    <w:semiHidden/>
    <w:rsid w:val="00692535"/>
    <w:rPr>
      <w:b/>
      <w:bCs/>
    </w:rPr>
  </w:style>
  <w:style w:type="paragraph" w:customStyle="1" w:styleId="DTpara">
    <w:name w:val="_DTpara"/>
    <w:basedOn w:val="Normal"/>
    <w:qFormat/>
    <w:rsid w:val="00E8605E"/>
    <w:pPr>
      <w:numPr>
        <w:numId w:val="5"/>
      </w:numPr>
      <w:spacing w:after="120" w:line="240" w:lineRule="atLeast"/>
      <w:ind w:right="1134"/>
      <w:jc w:val="both"/>
    </w:pPr>
    <w:rPr>
      <w:spacing w:val="0"/>
      <w:w w:val="100"/>
      <w:kern w:val="0"/>
      <w:lang w:val="fr-CH"/>
    </w:rPr>
  </w:style>
  <w:style w:type="paragraph" w:customStyle="1" w:styleId="Bullet1G">
    <w:name w:val="_Bullet 1_G"/>
    <w:basedOn w:val="Normal"/>
    <w:rsid w:val="00EE5E02"/>
    <w:pPr>
      <w:numPr>
        <w:numId w:val="7"/>
      </w:numPr>
      <w:spacing w:after="120" w:line="240" w:lineRule="atLeast"/>
      <w:ind w:right="1134"/>
      <w:jc w:val="both"/>
    </w:pPr>
    <w:rPr>
      <w:spacing w:val="0"/>
      <w:w w:val="100"/>
      <w:kern w:val="0"/>
      <w:lang w:val="en-GB"/>
    </w:rPr>
  </w:style>
  <w:style w:type="paragraph" w:customStyle="1" w:styleId="SingleTxtG">
    <w:name w:val="_ Single Txt_G"/>
    <w:basedOn w:val="Normal"/>
    <w:rsid w:val="00C62284"/>
    <w:pPr>
      <w:spacing w:after="120" w:line="240" w:lineRule="atLeast"/>
      <w:ind w:left="1134" w:right="1134"/>
      <w:jc w:val="both"/>
    </w:pPr>
    <w:rPr>
      <w:spacing w:val="0"/>
      <w:w w:val="100"/>
      <w:kern w:val="0"/>
      <w:lang w:val="en-GB"/>
    </w:rPr>
  </w:style>
  <w:style w:type="character" w:styleId="PageNumber">
    <w:name w:val="page number"/>
    <w:basedOn w:val="DefaultParagraphFont"/>
    <w:rsid w:val="00675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14704</Words>
  <Characters>83816</Characters>
  <Application>Microsoft Office Outlook</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STPU </vt:lpstr>
    </vt:vector>
  </TitlesOfParts>
  <Company/>
  <LinksUpToDate>false</LinksUpToDate>
  <CharactersWithSpaces>98324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Admin</dc:creator>
  <cp:keywords/>
  <dc:description/>
  <cp:lastModifiedBy>STPU.FrontDesk2</cp:lastModifiedBy>
  <cp:revision>7</cp:revision>
  <cp:lastPrinted>2014-02-20T14:25:00Z</cp:lastPrinted>
  <dcterms:created xsi:type="dcterms:W3CDTF">2014-02-20T14:15:00Z</dcterms:created>
  <dcterms:modified xsi:type="dcterms:W3CDTF">2014-02-20T15:48:00Z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1362156</vt:lpwstr>
  </property>
  <property fmtid="{D5CDD505-2E9C-101B-9397-08002B2CF9AE}" pid="3" name="Symbol1">
    <vt:lpwstr>CEDAW/C/GAB/6</vt:lpwstr>
  </property>
  <property fmtid="{D5CDD505-2E9C-101B-9397-08002B2CF9AE}" pid="4" name="Symbol2">
    <vt:lpwstr/>
  </property>
  <property fmtid="{D5CDD505-2E9C-101B-9397-08002B2CF9AE}" pid="5" name="Comment">
    <vt:lpwstr/>
  </property>
  <property fmtid="{D5CDD505-2E9C-101B-9397-08002B2CF9AE}" pid="6" name="DraftPages">
    <vt:lpwstr> </vt:lpwstr>
  </property>
  <property fmtid="{D5CDD505-2E9C-101B-9397-08002B2CF9AE}" pid="7" name="Operator">
    <vt:lpwstr>luis/VR ext</vt:lpwstr>
  </property>
  <property fmtid="{D5CDD505-2E9C-101B-9397-08002B2CF9AE}" pid="8" name="Translator">
    <vt:lpwstr>luis/VR ext</vt:lpwstr>
  </property>
</Properties>
</file>