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14" w:rsidRDefault="00711C14">
      <w:pPr>
        <w:spacing w:line="60" w:lineRule="exact"/>
        <w:rPr>
          <w:sz w:val="6"/>
        </w:rPr>
        <w:sectPr w:rsidR="00711C14">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711C14" w:rsidRDefault="00711C14">
      <w:pPr>
        <w:spacing w:line="60" w:lineRule="exact"/>
        <w:rPr>
          <w:sz w:val="6"/>
        </w:rPr>
      </w:pPr>
    </w:p>
    <w:p w:rsidR="00711C14" w:rsidRDefault="00711C14">
      <w:pPr>
        <w:pStyle w:val="SingleTxt"/>
        <w:spacing w:after="80"/>
        <w:ind w:left="0"/>
        <w:rPr>
          <w:rFonts w:ascii="SimHei" w:eastAsia="SimHei" w:hint="eastAsia"/>
          <w:color w:val="FF0000"/>
          <w:sz w:val="24"/>
        </w:rPr>
      </w:pPr>
      <w:r>
        <w:rPr>
          <w:rFonts w:ascii="SimHei" w:eastAsia="SimHei" w:hint="eastAsia"/>
          <w:color w:val="FF0000"/>
          <w:sz w:val="24"/>
        </w:rPr>
        <w:t>消除对妇女歧视委员会</w:t>
      </w:r>
    </w:p>
    <w:p w:rsidR="00711C14" w:rsidRDefault="00711C14">
      <w:pPr>
        <w:pStyle w:val="SingleTxt"/>
        <w:spacing w:after="80"/>
        <w:ind w:left="0"/>
        <w:rPr>
          <w:rFonts w:ascii="SimHei" w:eastAsia="SimHei" w:hint="eastAsia"/>
          <w:color w:val="FF0000"/>
        </w:rPr>
      </w:pPr>
      <w:r>
        <w:rPr>
          <w:rFonts w:ascii="SimHei" w:eastAsia="SimHei" w:hint="eastAsia"/>
          <w:color w:val="FF0000"/>
        </w:rPr>
        <w:t>第三十三届会议</w:t>
      </w:r>
    </w:p>
    <w:p w:rsidR="00711C14" w:rsidRDefault="00711C14">
      <w:pPr>
        <w:pStyle w:val="SingleTxt"/>
        <w:spacing w:after="80"/>
        <w:ind w:left="0"/>
        <w:rPr>
          <w:rFonts w:hint="eastAsia"/>
        </w:rPr>
      </w:pPr>
      <w:r>
        <w:rPr>
          <w:rFonts w:hint="eastAsia"/>
        </w:rPr>
        <w:t>2005年7月5日至22日</w:t>
      </w:r>
    </w:p>
    <w:p w:rsidR="00711C14" w:rsidRDefault="00711C14">
      <w:pPr>
        <w:pStyle w:val="SingleTxt"/>
        <w:spacing w:after="0" w:line="120" w:lineRule="exact"/>
        <w:rPr>
          <w:rFonts w:hint="eastAsia"/>
          <w:sz w:val="10"/>
        </w:rPr>
      </w:pPr>
    </w:p>
    <w:p w:rsidR="00711C14" w:rsidRDefault="00711C14">
      <w:pPr>
        <w:pStyle w:val="SingleTxt"/>
        <w:spacing w:after="0" w:line="120" w:lineRule="exact"/>
        <w:rPr>
          <w:rFonts w:hint="eastAsia"/>
          <w:sz w:val="10"/>
        </w:rPr>
      </w:pPr>
    </w:p>
    <w:p w:rsidR="00711C14" w:rsidRDefault="00711C14">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最后评论：圭亚那</w:t>
      </w:r>
    </w:p>
    <w:p w:rsidR="00711C14" w:rsidRDefault="00711C14">
      <w:pPr>
        <w:pStyle w:val="SingleTxt"/>
        <w:spacing w:after="0" w:line="120" w:lineRule="exact"/>
        <w:rPr>
          <w:rFonts w:hint="eastAsia"/>
          <w:sz w:val="10"/>
        </w:rPr>
      </w:pPr>
    </w:p>
    <w:p w:rsidR="00711C14" w:rsidRDefault="00711C14">
      <w:pPr>
        <w:pStyle w:val="SingleTxt"/>
        <w:rPr>
          <w:rFonts w:hint="eastAsia"/>
        </w:rPr>
      </w:pPr>
      <w:r>
        <w:rPr>
          <w:rFonts w:hint="eastAsia"/>
        </w:rPr>
        <w:t>1.</w:t>
      </w:r>
      <w:r>
        <w:rPr>
          <w:rFonts w:hint="eastAsia"/>
        </w:rPr>
        <w:tab/>
        <w:t>委员会在其2005年7月8日第689和690次会议上审议了圭亚那合并提交的第三、第四、第五和第六次定期报告</w:t>
      </w:r>
      <w:r>
        <w:rPr>
          <w:szCs w:val="28"/>
        </w:rPr>
        <w:t>(CEDAW/C/GUY/3-6)</w:t>
      </w:r>
      <w:r>
        <w:rPr>
          <w:rFonts w:hint="eastAsia"/>
        </w:rPr>
        <w:t>（见CEDAW/C/SR.689和690号文件）。</w:t>
      </w:r>
    </w:p>
    <w:p w:rsidR="00711C14" w:rsidRDefault="00711C1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缔约国的介绍</w:t>
      </w:r>
    </w:p>
    <w:p w:rsidR="00711C14" w:rsidRDefault="00711C14">
      <w:pPr>
        <w:pStyle w:val="SingleTxt"/>
        <w:rPr>
          <w:rFonts w:hint="eastAsia"/>
        </w:rPr>
      </w:pPr>
      <w:r>
        <w:rPr>
          <w:rFonts w:hint="eastAsia"/>
        </w:rPr>
        <w:t>2.</w:t>
      </w:r>
      <w:r>
        <w:rPr>
          <w:rFonts w:hint="eastAsia"/>
        </w:rPr>
        <w:tab/>
        <w:t>圭亚那的代表在介绍该国的报告时指出，圭亚那政府非常重视充分执行国家和国际法律文书，以实现男女公平待遇这一重要目标。在过去四年中，该国经过努力通过了种种法律，以保证妇女得以享受其全部人权和基本自由，保证改善为消除对妇女的暴力行为、解决贫穷妇女人数日增问题</w:t>
      </w:r>
      <w:r>
        <w:rPr>
          <w:rFonts w:hint="eastAsia"/>
          <w:szCs w:val="28"/>
        </w:rPr>
        <w:t>所建立的机制</w:t>
      </w:r>
      <w:r>
        <w:rPr>
          <w:rFonts w:hint="eastAsia"/>
        </w:rPr>
        <w:t>，以及提高老龄、农村和土著民族妇女的生活水平。</w:t>
      </w:r>
    </w:p>
    <w:p w:rsidR="00711C14" w:rsidRDefault="00711C14">
      <w:pPr>
        <w:pStyle w:val="SingleTxt"/>
        <w:rPr>
          <w:rFonts w:hint="eastAsia"/>
        </w:rPr>
      </w:pPr>
      <w:r>
        <w:rPr>
          <w:rFonts w:hint="eastAsia"/>
        </w:rPr>
        <w:t>3.</w:t>
      </w:r>
      <w:r>
        <w:rPr>
          <w:rFonts w:hint="eastAsia"/>
        </w:rPr>
        <w:tab/>
        <w:t>阐明的目标之一，是建立一支“关键的妇女干部队伍”，使其在所有各级担任关键的政治和决策职务。当前，30.7％的议员是妇女，在各地区民主议会中，妇女所占比例已上升到30％。尽管取得了公认的成绩，但进一步的进展仍面临种种挑战，例如父权制标准、通过刻板形象认识妇女和对其加以歧视的文化习俗、沉重的债务负担、不利的初级商品贸易比价和资金的匮乏。妇女在决策过程中的参与质量令人关切，因此，圭亚那当前正采取措施来增强妇女的能力，使其能够满怀信心和坚定地运用手中的权力。</w:t>
      </w:r>
    </w:p>
    <w:p w:rsidR="00711C14" w:rsidRDefault="00711C14">
      <w:pPr>
        <w:pStyle w:val="SingleTxt"/>
        <w:rPr>
          <w:rFonts w:hint="eastAsia"/>
        </w:rPr>
      </w:pPr>
      <w:r>
        <w:rPr>
          <w:rFonts w:hint="eastAsia"/>
        </w:rPr>
        <w:t>4.</w:t>
      </w:r>
      <w:r>
        <w:rPr>
          <w:rFonts w:hint="eastAsia"/>
        </w:rPr>
        <w:tab/>
        <w:t>该代表向委员会通报说，人权委员会下属的妇女和两性平等问题委员会已取代了全国妇女问题委员会，不久将开始工作。这个新机构的任务除其他外，包括监督《公约》的执行和密切注意妇女状况。劳工、人力资源和社会保障部下属的妇女事务局的作用已经扩大，其人力资源和财务资源也有所增加，从而能够在全国各地加快执行其活动方案。妇女事务局通过各地区妇女事务干事扩大了活动所及范围，这些干事负责在所有行政区监督地区妇女事务委员会的方案和项目的执行工作。此外，妇女事务局还成立了一个部际委员会，该委员会由高级公务员组成，委员会将通过他们监督政府各部把社会性别问题主流化和实现男女公平待遇的情况。</w:t>
      </w:r>
    </w:p>
    <w:p w:rsidR="00711C14" w:rsidRDefault="00711C14">
      <w:pPr>
        <w:pStyle w:val="SingleTxt"/>
        <w:spacing w:line="340" w:lineRule="exact"/>
        <w:rPr>
          <w:rFonts w:hint="eastAsia"/>
        </w:rPr>
      </w:pPr>
      <w:r>
        <w:rPr>
          <w:rFonts w:hint="eastAsia"/>
        </w:rPr>
        <w:t>5.</w:t>
      </w:r>
      <w:r>
        <w:rPr>
          <w:rFonts w:hint="eastAsia"/>
        </w:rPr>
        <w:tab/>
        <w:t>将参照新制定的全国妇女政策来实施妇女问题全国行动计划，当前正在同民间社会，包括同农村和边远社区的妇女进行广泛协商，以修订该行动计划。妇女问题全国行动计划将以综合方式来处理影响妇女的重要问题，例如保健、教育、就业、领导能力、针对女性的暴力、人口贩运和艾滋病毒/艾滋病等问题。这项行动计划还将阐明种种战略，用以保证使发展政策在设计上能够确保男女公平待遇和消除所有形式的歧视。</w:t>
      </w:r>
    </w:p>
    <w:p w:rsidR="00711C14" w:rsidRDefault="00711C14">
      <w:pPr>
        <w:pStyle w:val="SingleTxt"/>
        <w:spacing w:line="340" w:lineRule="exact"/>
        <w:rPr>
          <w:rFonts w:hint="eastAsia"/>
        </w:rPr>
      </w:pPr>
      <w:r>
        <w:rPr>
          <w:rFonts w:hint="eastAsia"/>
        </w:rPr>
        <w:t>6.</w:t>
      </w:r>
      <w:r>
        <w:rPr>
          <w:rFonts w:hint="eastAsia"/>
        </w:rPr>
        <w:tab/>
        <w:t>母亲和儿童保健服务得到改善，降低母亲和婴儿死亡率以及营养不良发生率的工作取得大幅度进展。圭亚那的代表介绍了鉴于受艾滋病毒/艾滋病感染和影响的妇女所占比例不断提高，针对艾滋病毒/艾滋病问题采取的全面和多管齐下的解决办法。她还指出癌症对妇女构成的重大问题和挑战，原因是圭亚那的医疗保健系统尚不具备对癌症患者进行全程治疗的能力。然而，这个代表强调指出，政府正为在国外接受治疗的癌症病人提供补贴，并正同私营部门的合作伙伴举行讨论，以建立本国的全套癌症诊断和治疗能力。</w:t>
      </w:r>
    </w:p>
    <w:p w:rsidR="00711C14" w:rsidRDefault="00711C14">
      <w:pPr>
        <w:pStyle w:val="SingleTxt"/>
        <w:spacing w:line="340" w:lineRule="exact"/>
        <w:rPr>
          <w:rFonts w:hint="eastAsia"/>
        </w:rPr>
      </w:pPr>
      <w:r>
        <w:rPr>
          <w:rFonts w:hint="eastAsia"/>
        </w:rPr>
        <w:t>7.</w:t>
      </w:r>
      <w:r>
        <w:rPr>
          <w:rFonts w:hint="eastAsia"/>
        </w:rPr>
        <w:tab/>
        <w:t>政府在教育领域采用了更加注意社会性别问题的方针，在课程中增加了保健、家庭生活教育和人权教育内容。当前正在努力解决三级技校和职业学校内的性别比例失衡问题，同时特别注意农村和内地的教育方案。政府在处理妇女与贫穷问题的时候很注意边远的内地地区妇女的特殊需要。</w:t>
      </w:r>
    </w:p>
    <w:p w:rsidR="00711C14" w:rsidRDefault="00711C14">
      <w:pPr>
        <w:pStyle w:val="SingleTxt"/>
        <w:spacing w:line="340" w:lineRule="exact"/>
        <w:rPr>
          <w:rFonts w:hint="eastAsia"/>
        </w:rPr>
      </w:pPr>
      <w:r>
        <w:rPr>
          <w:rFonts w:hint="eastAsia"/>
        </w:rPr>
        <w:t>8.</w:t>
      </w:r>
      <w:r>
        <w:rPr>
          <w:rFonts w:hint="eastAsia"/>
        </w:rPr>
        <w:tab/>
        <w:t>圭亚那的代表指出，在制止针对妇女的暴力行为方面出现了一些有利的发展。其中的例子包括指定和授权社会工作者代表暴力受害者出庭，以及建立了一支性别暴力问题全国工作队。圭亚那确认了人口贩运与针对妇女的暴力行为之间的联系，正在通过一项全面的行动计划来解决这方面的问题。迄今已采取了一系列措施，包括颁布2005年《第2号打击人口走私法》、进行宣传教育、举办受害者保护方案。</w:t>
      </w:r>
    </w:p>
    <w:p w:rsidR="00711C14" w:rsidRDefault="00711C14">
      <w:pPr>
        <w:pStyle w:val="SingleTxt"/>
        <w:spacing w:line="340" w:lineRule="exact"/>
        <w:rPr>
          <w:rFonts w:hint="eastAsia"/>
          <w:spacing w:val="2"/>
        </w:rPr>
      </w:pPr>
      <w:r>
        <w:rPr>
          <w:rFonts w:hint="eastAsia"/>
        </w:rPr>
        <w:t>9.</w:t>
      </w:r>
      <w:r>
        <w:rPr>
          <w:rFonts w:hint="eastAsia"/>
        </w:rPr>
        <w:tab/>
      </w:r>
      <w:r>
        <w:rPr>
          <w:rFonts w:hint="eastAsia"/>
          <w:spacing w:val="2"/>
        </w:rPr>
        <w:t>圭亚那的代表最后指出，该国政府越来越意识到，男女公平待遇是消除贫穷和促进可持续发展的先决条件之一，需要加快进展速度和扩大进展所及范围，以打破贫穷、暴力和残存的性别歧视之间的循环。政府将同私营部门、非政府组织和公众一道努力，争取实现这个目标，并推动在妇女所关注的问题上开展的合作。</w:t>
      </w:r>
    </w:p>
    <w:p w:rsidR="00711C14" w:rsidRDefault="00711C14">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委员会的最后评论</w:t>
      </w:r>
    </w:p>
    <w:p w:rsidR="00711C14" w:rsidRDefault="00711C14">
      <w:pPr>
        <w:pStyle w:val="SingleTxt"/>
        <w:rPr>
          <w:rFonts w:ascii="SimHei" w:eastAsia="SimHei" w:hint="eastAsia"/>
          <w:color w:val="FF0000"/>
        </w:rPr>
      </w:pPr>
      <w:r>
        <w:rPr>
          <w:rFonts w:ascii="SimHei" w:eastAsia="SimHei" w:hint="eastAsia"/>
          <w:color w:val="FF0000"/>
        </w:rPr>
        <w:t>导言</w:t>
      </w:r>
    </w:p>
    <w:p w:rsidR="00711C14" w:rsidRDefault="00711C14">
      <w:pPr>
        <w:pStyle w:val="SingleTxt"/>
        <w:rPr>
          <w:rFonts w:hint="eastAsia"/>
        </w:rPr>
      </w:pPr>
      <w:r>
        <w:rPr>
          <w:rFonts w:hint="eastAsia"/>
        </w:rPr>
        <w:t>10.</w:t>
      </w:r>
      <w:r>
        <w:rPr>
          <w:rFonts w:hint="eastAsia"/>
        </w:rPr>
        <w:tab/>
        <w:t>委员会表示，感谢缔约国合并提交第三、第四、第五和第六次定期报告，针对会前工作组成员提出的议题和问题清单作出书面答复，并进行口头介绍和根据委员会提出的问题作进一步澄清。</w:t>
      </w:r>
    </w:p>
    <w:p w:rsidR="00711C14" w:rsidRDefault="00711C14">
      <w:pPr>
        <w:pStyle w:val="SingleTxt"/>
        <w:rPr>
          <w:rFonts w:hint="eastAsia"/>
        </w:rPr>
      </w:pPr>
      <w:r>
        <w:rPr>
          <w:rFonts w:hint="eastAsia"/>
        </w:rPr>
        <w:t>11.</w:t>
      </w:r>
      <w:r>
        <w:rPr>
          <w:rFonts w:hint="eastAsia"/>
        </w:rPr>
        <w:tab/>
        <w:t>委员会欢迎缔约国派出由劳工、人力资源和社会保障部部长率领的高级别代表团参加会议，并赞扬在该国代表团与委员会成员之间进行的建设性对话。</w:t>
      </w:r>
    </w:p>
    <w:p w:rsidR="00711C14" w:rsidRDefault="00711C14">
      <w:pPr>
        <w:pStyle w:val="SingleTxt"/>
        <w:rPr>
          <w:rFonts w:ascii="SimHei" w:eastAsia="SimHei" w:hint="eastAsia"/>
          <w:color w:val="FF0000"/>
        </w:rPr>
      </w:pPr>
      <w:r>
        <w:rPr>
          <w:rFonts w:ascii="SimHei" w:eastAsia="SimHei" w:hint="eastAsia"/>
          <w:color w:val="FF0000"/>
        </w:rPr>
        <w:t>成绩</w:t>
      </w:r>
    </w:p>
    <w:p w:rsidR="00711C14" w:rsidRDefault="00711C14">
      <w:pPr>
        <w:pStyle w:val="SingleTxt"/>
        <w:rPr>
          <w:rFonts w:hint="eastAsia"/>
        </w:rPr>
      </w:pPr>
      <w:r>
        <w:rPr>
          <w:rFonts w:hint="eastAsia"/>
        </w:rPr>
        <w:t>12.</w:t>
      </w:r>
      <w:r>
        <w:rPr>
          <w:rFonts w:hint="eastAsia"/>
        </w:rPr>
        <w:tab/>
        <w:t>委员会满意地注意到，通过2001年的宪政改革，圭亚那的本国法律已纳入了包括《公约》在内的所有国际人权文书的规定。</w:t>
      </w:r>
    </w:p>
    <w:p w:rsidR="00711C14" w:rsidRDefault="00711C14">
      <w:pPr>
        <w:pStyle w:val="SingleTxt"/>
        <w:rPr>
          <w:rFonts w:hint="eastAsia"/>
        </w:rPr>
      </w:pPr>
      <w:r>
        <w:rPr>
          <w:rFonts w:hint="eastAsia"/>
        </w:rPr>
        <w:t>13.</w:t>
      </w:r>
      <w:r>
        <w:rPr>
          <w:rFonts w:hint="eastAsia"/>
        </w:rPr>
        <w:tab/>
        <w:t>委员会注意到，通过2001年的宪法修正案建立了隶属人权委员会的妇女和两性平等问题委员会。委员会在这方面高兴地看到，最近任命了后者的成员，从而使其能够开始工作。</w:t>
      </w:r>
    </w:p>
    <w:p w:rsidR="00711C14" w:rsidRDefault="00711C14">
      <w:pPr>
        <w:pStyle w:val="SingleTxt"/>
      </w:pPr>
      <w:r>
        <w:rPr>
          <w:rFonts w:hint="eastAsia"/>
        </w:rPr>
        <w:t>14.</w:t>
      </w:r>
      <w:r>
        <w:rPr>
          <w:rFonts w:hint="eastAsia"/>
        </w:rPr>
        <w:tab/>
        <w:t>委员会赞扬缔约国通过2005年《第2号打击人口走私法》，并于2004年制定和发起了杜绝人口贩运活动的全国行动计划。</w:t>
      </w:r>
    </w:p>
    <w:p w:rsidR="00711C14" w:rsidRDefault="00711C14">
      <w:pPr>
        <w:pStyle w:val="SingleTxt"/>
        <w:rPr>
          <w:rFonts w:ascii="SimHei" w:eastAsia="SimHei" w:hint="eastAsia"/>
          <w:color w:val="FF0000"/>
        </w:rPr>
      </w:pPr>
      <w:r>
        <w:rPr>
          <w:rFonts w:ascii="SimHei" w:eastAsia="SimHei"/>
          <w:color w:val="FF0000"/>
        </w:rPr>
        <w:t>15.</w:t>
      </w:r>
      <w:r>
        <w:rPr>
          <w:rFonts w:ascii="SimHei" w:eastAsia="SimHei"/>
          <w:color w:val="FF0000"/>
        </w:rPr>
        <w:tab/>
      </w:r>
      <w:r>
        <w:rPr>
          <w:rFonts w:ascii="SimHei" w:eastAsia="SimHei" w:hint="eastAsia"/>
          <w:color w:val="FF0000"/>
        </w:rPr>
        <w:t>委员会欢迎妇女事务局打算开发促进两性平等的指标</w:t>
      </w:r>
      <w:r>
        <w:rPr>
          <w:rFonts w:ascii="SimHei" w:eastAsia="SimHei"/>
          <w:color w:val="FF0000"/>
        </w:rPr>
        <w:t>来评估</w:t>
      </w:r>
      <w:r>
        <w:rPr>
          <w:rFonts w:ascii="SimHei" w:eastAsia="SimHei" w:hint="eastAsia"/>
          <w:color w:val="FF0000"/>
        </w:rPr>
        <w:t>减贫战略文件的实施情况。</w:t>
      </w:r>
    </w:p>
    <w:p w:rsidR="00711C14" w:rsidRDefault="00711C14">
      <w:pPr>
        <w:pStyle w:val="SingleTxt"/>
        <w:rPr>
          <w:rFonts w:ascii="SimHei" w:eastAsia="SimHei" w:hint="eastAsia"/>
          <w:color w:val="FF0000"/>
        </w:rPr>
      </w:pPr>
      <w:r>
        <w:rPr>
          <w:rFonts w:ascii="SimHei" w:eastAsia="SimHei" w:hint="eastAsia"/>
          <w:color w:val="FF0000"/>
        </w:rPr>
        <w:t>主要的关注问题和建议</w:t>
      </w:r>
    </w:p>
    <w:p w:rsidR="00711C14" w:rsidRDefault="00711C14">
      <w:pPr>
        <w:pStyle w:val="SingleTxt"/>
        <w:rPr>
          <w:rFonts w:ascii="SimHei" w:eastAsia="SimHei" w:hint="eastAsia"/>
          <w:color w:val="FF0000"/>
        </w:rPr>
      </w:pPr>
      <w:r>
        <w:rPr>
          <w:rFonts w:ascii="SimHei" w:eastAsia="SimHei" w:hint="eastAsia"/>
          <w:color w:val="FF0000"/>
        </w:rPr>
        <w:t>1</w:t>
      </w:r>
      <w:r>
        <w:rPr>
          <w:rFonts w:ascii="SimHei" w:eastAsia="SimHei"/>
          <w:color w:val="FF0000"/>
        </w:rPr>
        <w:t>6</w:t>
      </w:r>
      <w:r>
        <w:rPr>
          <w:rFonts w:ascii="SimHei" w:eastAsia="SimHei" w:hint="eastAsia"/>
          <w:color w:val="FF0000"/>
        </w:rPr>
        <w:t>.</w:t>
      </w:r>
      <w:r>
        <w:rPr>
          <w:rFonts w:ascii="SimHei" w:eastAsia="SimHei" w:hint="eastAsia"/>
          <w:color w:val="FF0000"/>
        </w:rPr>
        <w:tab/>
        <w:t>委员会指出，缔约国有义务系统和持续地执行《公约》的所有条款。与此同时，委员会认为，在从现在起直到提交下次定期报告的期间内，缔约国需要优先注意最后评论中提出的各种关注问题和建议。因此，委员会呼吁缔约国在其执行《公约》的活动中把力量集中于这些问题和建议，并在下次定期报告中汇报所采取的行动和取得的成果。委员会呼吁缔约国把这些最后评论提交所有有关的政府部委和议会，以保证充分落实。</w:t>
      </w:r>
    </w:p>
    <w:p w:rsidR="00711C14" w:rsidRDefault="00711C14">
      <w:pPr>
        <w:pStyle w:val="SingleTxt"/>
        <w:rPr>
          <w:rFonts w:hAnsi="SimSun" w:hint="eastAsia"/>
        </w:rPr>
      </w:pPr>
      <w:r>
        <w:rPr>
          <w:rFonts w:hAnsi="SimSun" w:hint="eastAsia"/>
        </w:rPr>
        <w:t>1</w:t>
      </w:r>
      <w:r>
        <w:rPr>
          <w:rFonts w:hAnsi="SimSun"/>
        </w:rPr>
        <w:t>7</w:t>
      </w:r>
      <w:r>
        <w:rPr>
          <w:rFonts w:hAnsi="SimSun" w:hint="eastAsia"/>
        </w:rPr>
        <w:t>.</w:t>
      </w:r>
      <w:r>
        <w:rPr>
          <w:rFonts w:hAnsi="SimSun" w:hint="eastAsia"/>
        </w:rPr>
        <w:tab/>
        <w:t>委员会关注地看到，缔约国没有采取充分步骤，以执行委员会于2001年通过的上次最后评论</w:t>
      </w:r>
      <w:r>
        <w:rPr>
          <w:rFonts w:hAnsi="SimSun" w:hint="eastAsia"/>
          <w:szCs w:val="28"/>
          <w:lang w:eastAsia="ja-JP"/>
        </w:rPr>
        <w:t>（</w:t>
      </w:r>
      <w:r>
        <w:rPr>
          <w:rFonts w:hAnsi="SimSun" w:hint="eastAsia"/>
          <w:szCs w:val="28"/>
        </w:rPr>
        <w:t>A/56/38</w:t>
      </w:r>
      <w:r>
        <w:rPr>
          <w:rFonts w:hAnsi="SimSun" w:hint="eastAsia"/>
          <w:szCs w:val="28"/>
          <w:lang w:eastAsia="ja-JP"/>
        </w:rPr>
        <w:t>）</w:t>
      </w:r>
      <w:r>
        <w:rPr>
          <w:rFonts w:hAnsi="SimSun" w:hint="eastAsia"/>
        </w:rPr>
        <w:t>所提出的大部分建议，因此，在落实《公约》第2条倡导的男女平等原则方面没有取得足够进展。</w:t>
      </w:r>
    </w:p>
    <w:p w:rsidR="00711C14" w:rsidRDefault="00711C14">
      <w:pPr>
        <w:pStyle w:val="SingleTxt"/>
        <w:rPr>
          <w:rFonts w:ascii="SimHei" w:eastAsia="SimHei" w:hint="eastAsia"/>
          <w:color w:val="FF0000"/>
        </w:rPr>
      </w:pPr>
      <w:r>
        <w:rPr>
          <w:rFonts w:ascii="SimHei" w:eastAsia="SimHei" w:hint="eastAsia"/>
          <w:color w:val="FF0000"/>
        </w:rPr>
        <w:t>1</w:t>
      </w:r>
      <w:r>
        <w:rPr>
          <w:rFonts w:ascii="SimHei" w:eastAsia="SimHei"/>
          <w:color w:val="FF0000"/>
        </w:rPr>
        <w:t>8</w:t>
      </w:r>
      <w:r>
        <w:rPr>
          <w:rFonts w:ascii="SimHei" w:eastAsia="SimHei" w:hint="eastAsia"/>
          <w:color w:val="FF0000"/>
        </w:rPr>
        <w:t>.</w:t>
      </w:r>
      <w:r>
        <w:rPr>
          <w:rFonts w:ascii="SimHei" w:eastAsia="SimHei" w:hint="eastAsia"/>
          <w:color w:val="FF0000"/>
        </w:rPr>
        <w:tab/>
        <w:t>委员会重申2001年通过的最后评论所提出的关注问题和建议，敦促缔约国制定全面的落实措施，并在下次报告中说明取得的进展。</w:t>
      </w:r>
    </w:p>
    <w:p w:rsidR="00711C14" w:rsidRDefault="00711C14">
      <w:pPr>
        <w:pStyle w:val="SingleTxt"/>
        <w:rPr>
          <w:rFonts w:hAnsi="SimSun" w:hint="eastAsia"/>
        </w:rPr>
      </w:pPr>
      <w:r>
        <w:rPr>
          <w:rFonts w:hAnsi="SimSun" w:hint="eastAsia"/>
        </w:rPr>
        <w:t>1</w:t>
      </w:r>
      <w:r>
        <w:rPr>
          <w:rFonts w:hAnsi="SimSun"/>
        </w:rPr>
        <w:t>9</w:t>
      </w:r>
      <w:r>
        <w:rPr>
          <w:rFonts w:hAnsi="SimSun" w:hint="eastAsia"/>
        </w:rPr>
        <w:t>.</w:t>
      </w:r>
      <w:r>
        <w:rPr>
          <w:rFonts w:hAnsi="SimSun" w:hint="eastAsia"/>
        </w:rPr>
        <w:tab/>
        <w:t>委员会关切地注意到，虽然《宪法》提到平等原则，但缔约国政府在其计划、方案和官方声明中最常使用的措辞是“公平待遇”，该缔约国认为这个词在“实质上”或事实上意味着《公约》所</w:t>
      </w:r>
      <w:r>
        <w:rPr>
          <w:rFonts w:hAnsi="SimSun" w:hint="eastAsia"/>
          <w:szCs w:val="28"/>
          <w:lang w:eastAsia="ja-JP"/>
        </w:rPr>
        <w:t>要求</w:t>
      </w:r>
      <w:r>
        <w:rPr>
          <w:rFonts w:hAnsi="SimSun" w:hint="eastAsia"/>
        </w:rPr>
        <w:t>的平等。</w:t>
      </w:r>
    </w:p>
    <w:p w:rsidR="00711C14" w:rsidRDefault="00711C14">
      <w:pPr>
        <w:pStyle w:val="SingleTxt"/>
        <w:rPr>
          <w:rFonts w:ascii="SimHei" w:eastAsia="SimHei" w:hint="eastAsia"/>
          <w:color w:val="FF0000"/>
        </w:rPr>
      </w:pPr>
      <w:r>
        <w:rPr>
          <w:rFonts w:ascii="SimHei" w:eastAsia="SimHei"/>
          <w:color w:val="FF0000"/>
        </w:rPr>
        <w:t>20</w:t>
      </w:r>
      <w:r>
        <w:rPr>
          <w:rFonts w:ascii="SimHei" w:eastAsia="SimHei" w:hint="eastAsia"/>
          <w:color w:val="FF0000"/>
        </w:rPr>
        <w:t>.</w:t>
      </w:r>
      <w:r>
        <w:rPr>
          <w:rFonts w:ascii="SimHei" w:eastAsia="SimHei" w:hint="eastAsia"/>
          <w:color w:val="FF0000"/>
        </w:rPr>
        <w:tab/>
        <w:t>委员会促请缔约国注意，“公平待遇”和“平等”不是同义词，不可相互取代，这样做会导致概念上的混淆。《公约》的宗旨是消除对妇女的歧视，在法律上和事实上（在形式上和实质上）保证男女平等。委员会因此建议缔约国从此之后使用“平等”这个词。</w:t>
      </w:r>
    </w:p>
    <w:p w:rsidR="00711C14" w:rsidRDefault="00711C14">
      <w:pPr>
        <w:pStyle w:val="SingleTxt"/>
        <w:rPr>
          <w:rFonts w:hint="eastAsia"/>
        </w:rPr>
      </w:pPr>
      <w:r>
        <w:rPr>
          <w:rFonts w:hint="eastAsia"/>
        </w:rPr>
        <w:t>2</w:t>
      </w:r>
      <w:r>
        <w:t>1</w:t>
      </w:r>
      <w:r>
        <w:rPr>
          <w:rFonts w:hint="eastAsia"/>
        </w:rPr>
        <w:t>.</w:t>
      </w:r>
      <w:r>
        <w:rPr>
          <w:rFonts w:hint="eastAsia"/>
        </w:rPr>
        <w:tab/>
        <w:t>委员会关注地看到，圭亚那仍存在歧视性的法律规定，其中特别包括：《刑法（刑事犯罪法）》，其中规定，一个年满16岁的少女如果同亲属，例如祖父或兄弟，发生性交，可被判处高达7年的监禁；《已婚者财产法》，其中的规定使得不工作的配偶在分割财产时无法获得同等权利，从而不利于妇女。</w:t>
      </w:r>
    </w:p>
    <w:p w:rsidR="00711C14" w:rsidRDefault="00711C14">
      <w:pPr>
        <w:pStyle w:val="SingleTxt"/>
        <w:rPr>
          <w:rFonts w:ascii="SimHei" w:eastAsia="SimHei" w:hint="eastAsia"/>
          <w:color w:val="FF0000"/>
        </w:rPr>
      </w:pPr>
      <w:r>
        <w:rPr>
          <w:rFonts w:ascii="SimHei" w:eastAsia="SimHei" w:hint="eastAsia"/>
          <w:color w:val="FF0000"/>
        </w:rPr>
        <w:t>2</w:t>
      </w:r>
      <w:r>
        <w:rPr>
          <w:rFonts w:ascii="SimHei" w:eastAsia="SimHei"/>
          <w:color w:val="FF0000"/>
        </w:rPr>
        <w:t>2</w:t>
      </w:r>
      <w:r>
        <w:rPr>
          <w:rFonts w:ascii="SimHei" w:eastAsia="SimHei" w:hint="eastAsia"/>
          <w:color w:val="FF0000"/>
        </w:rPr>
        <w:t>.</w:t>
      </w:r>
      <w:r>
        <w:rPr>
          <w:rFonts w:ascii="SimHei" w:eastAsia="SimHei" w:hint="eastAsia"/>
          <w:color w:val="FF0000"/>
        </w:rPr>
        <w:tab/>
        <w:t>委员会促请缔约国根据其在《公约》之下承担的义务进行全面的法律改革，特别是毫不迟延地废除《刑法（刑事犯罪法）》和民法中的歧视性规定，以保证充分执行《公约》第2和第1</w:t>
      </w:r>
      <w:r>
        <w:rPr>
          <w:rFonts w:ascii="SimHei" w:eastAsia="SimHei"/>
          <w:color w:val="FF0000"/>
        </w:rPr>
        <w:t>6</w:t>
      </w:r>
      <w:r>
        <w:rPr>
          <w:rFonts w:ascii="SimHei" w:eastAsia="SimHei" w:hint="eastAsia"/>
          <w:color w:val="FF0000"/>
        </w:rPr>
        <w:t>条。委员会请缔约国向妇女和两性平等问题委员会提供必要支持，使其能够把以下工作摆在高度优先地位：审查现行法律和今后法律，使其符合《公约》的规定；就如何遵守本国所加入的各项国际文书提出建议。</w:t>
      </w:r>
    </w:p>
    <w:p w:rsidR="00711C14" w:rsidRDefault="00711C14">
      <w:pPr>
        <w:pStyle w:val="SingleTxt"/>
        <w:rPr>
          <w:rFonts w:hint="eastAsia"/>
        </w:rPr>
      </w:pPr>
      <w:r>
        <w:rPr>
          <w:rFonts w:hint="eastAsia"/>
        </w:rPr>
        <w:t>2</w:t>
      </w:r>
      <w:r>
        <w:t>3</w:t>
      </w:r>
      <w:r>
        <w:rPr>
          <w:rFonts w:hint="eastAsia"/>
        </w:rPr>
        <w:t>.</w:t>
      </w:r>
      <w:r>
        <w:rPr>
          <w:rFonts w:hint="eastAsia"/>
        </w:rPr>
        <w:tab/>
        <w:t>委员会虽然欢迎颁布了法律来消除对妇女的歧视，包括颁布1990年的《平等权利法》和1997年的《防治歧视法》，但对以下情况感到关注：现行法律没有得到系统的执行，缺乏监督遵守情况和保证遵守法律的机制，以及缺乏在出现违法情况时进行补救的有效机制。委员会感到关注的情况还包括：没有向妇女，特别是生活在农村和内地的妇女提供足够的法律协助；妇女不了解旨在消除歧视她们的行为的法律，并且不愿或无法在歧视案件中寻求法律补救。</w:t>
      </w:r>
    </w:p>
    <w:p w:rsidR="00711C14" w:rsidRDefault="00711C14">
      <w:pPr>
        <w:pStyle w:val="SingleTxt"/>
        <w:rPr>
          <w:rFonts w:ascii="SimHei" w:eastAsia="SimHei" w:hint="eastAsia"/>
          <w:color w:val="FF0000"/>
        </w:rPr>
      </w:pPr>
      <w:r>
        <w:rPr>
          <w:rFonts w:ascii="SimHei" w:eastAsia="SimHei" w:hint="eastAsia"/>
          <w:color w:val="FF0000"/>
        </w:rPr>
        <w:t>2</w:t>
      </w:r>
      <w:r>
        <w:rPr>
          <w:rFonts w:ascii="SimHei" w:eastAsia="SimHei"/>
          <w:color w:val="FF0000"/>
        </w:rPr>
        <w:t>4</w:t>
      </w:r>
      <w:r>
        <w:rPr>
          <w:rFonts w:ascii="SimHei" w:eastAsia="SimHei" w:hint="eastAsia"/>
          <w:color w:val="FF0000"/>
        </w:rPr>
        <w:t>.</w:t>
      </w:r>
      <w:r>
        <w:rPr>
          <w:rFonts w:ascii="SimHei" w:eastAsia="SimHei" w:hint="eastAsia"/>
          <w:color w:val="FF0000"/>
        </w:rPr>
        <w:tab/>
        <w:t>委员会促请该缔约国加强努力来保护妇女，使其免受任何歧视行为的伤害，包括加强现有的投诉机制，例如监察员和首席劳工干事，并制定对歧视妇女的行为进行处罚的措施。委员会进一步促请缔约国保证，使政府主管部门和机构充分遵守旨在防止歧视妇女的法律，增加向全国各地的妇女提供的法律协助，并使司法和执法人员注意两性平等问题。委员会促请缔约国采取特别措施，使妇女更加意识到自己的权利和懂得运用法律，从而能够更好地利用《公约》下的现有补救措施和纠正机制，与侵犯自己权利的行为作斗争。</w:t>
      </w:r>
    </w:p>
    <w:p w:rsidR="00711C14" w:rsidRDefault="00711C14">
      <w:pPr>
        <w:pStyle w:val="SingleTxt"/>
        <w:rPr>
          <w:rFonts w:hint="eastAsia"/>
        </w:rPr>
      </w:pPr>
      <w:r>
        <w:rPr>
          <w:rFonts w:hint="eastAsia"/>
        </w:rPr>
        <w:t>2</w:t>
      </w:r>
      <w:r>
        <w:t>5</w:t>
      </w:r>
      <w:r>
        <w:rPr>
          <w:rFonts w:hint="eastAsia"/>
        </w:rPr>
        <w:t>.</w:t>
      </w:r>
      <w:r>
        <w:rPr>
          <w:rFonts w:hint="eastAsia"/>
        </w:rPr>
        <w:tab/>
        <w:t>委员会遗憾地注意到，与《公约》的很多规定有关的数据，包括关于对妇女所采取各种暴力行为的数据，都没有按性别分列。</w:t>
      </w:r>
    </w:p>
    <w:p w:rsidR="00711C14" w:rsidRDefault="00711C14">
      <w:pPr>
        <w:pStyle w:val="SingleTxt"/>
        <w:rPr>
          <w:rFonts w:ascii="SimHei" w:eastAsia="SimHei" w:hint="eastAsia"/>
          <w:color w:val="FF0000"/>
        </w:rPr>
      </w:pPr>
      <w:r>
        <w:rPr>
          <w:rFonts w:ascii="SimHei" w:eastAsia="SimHei" w:hint="eastAsia"/>
          <w:color w:val="FF0000"/>
        </w:rPr>
        <w:t>2</w:t>
      </w:r>
      <w:r>
        <w:rPr>
          <w:rFonts w:ascii="SimHei" w:eastAsia="SimHei"/>
          <w:color w:val="FF0000"/>
        </w:rPr>
        <w:t>6</w:t>
      </w:r>
      <w:r>
        <w:rPr>
          <w:rFonts w:ascii="SimHei" w:eastAsia="SimHei" w:hint="eastAsia"/>
          <w:color w:val="FF0000"/>
        </w:rPr>
        <w:t>.</w:t>
      </w:r>
      <w:r>
        <w:rPr>
          <w:rFonts w:ascii="SimHei" w:eastAsia="SimHei" w:hint="eastAsia"/>
          <w:color w:val="FF0000"/>
        </w:rPr>
        <w:tab/>
        <w:t>委员会请缔约国在其下次报告中提供足够的按性别和时间分列的数据，从而能够清楚地显示在执行《公约》的所有条款方面取得的进展和遇到的障碍。</w:t>
      </w:r>
    </w:p>
    <w:p w:rsidR="00711C14" w:rsidRDefault="00711C14">
      <w:pPr>
        <w:pStyle w:val="SingleTxt"/>
        <w:rPr>
          <w:rFonts w:hint="eastAsia"/>
        </w:rPr>
      </w:pPr>
      <w:r>
        <w:rPr>
          <w:rFonts w:hint="eastAsia"/>
        </w:rPr>
        <w:t>2</w:t>
      </w:r>
      <w:r>
        <w:t>7</w:t>
      </w:r>
      <w:r>
        <w:rPr>
          <w:rFonts w:hint="eastAsia"/>
        </w:rPr>
        <w:t>.</w:t>
      </w:r>
      <w:r>
        <w:rPr>
          <w:rFonts w:hint="eastAsia"/>
        </w:rPr>
        <w:tab/>
        <w:t>委员会关注地指出，它无法清楚了解妇女事务局、全国妇女问题委员会、妇女和两性平等问题委员会以及各地区妇女部门的任务、职责和彼此之间的协调，也无法清楚了解这些机构可以得到多少人力资源和财务资源。此外，委员会还继续感到关注的是，提高妇女地位的国家机制能力有限，不足以帮助落实在所有公营机构内把社会性别问题主流化的战略。</w:t>
      </w:r>
    </w:p>
    <w:p w:rsidR="00711C14" w:rsidRDefault="00711C14">
      <w:pPr>
        <w:pStyle w:val="SingleTxt"/>
        <w:rPr>
          <w:rFonts w:ascii="SimHei" w:eastAsia="SimHei" w:hint="eastAsia"/>
          <w:color w:val="FF0000"/>
        </w:rPr>
      </w:pPr>
      <w:r>
        <w:rPr>
          <w:rFonts w:ascii="SimHei" w:eastAsia="SimHei" w:hint="eastAsia"/>
          <w:color w:val="FF0000"/>
        </w:rPr>
        <w:t>2</w:t>
      </w:r>
      <w:r>
        <w:rPr>
          <w:rFonts w:ascii="SimHei" w:eastAsia="SimHei"/>
          <w:color w:val="FF0000"/>
        </w:rPr>
        <w:t>8</w:t>
      </w:r>
      <w:r>
        <w:rPr>
          <w:rFonts w:ascii="SimHei" w:eastAsia="SimHei" w:hint="eastAsia"/>
          <w:color w:val="FF0000"/>
        </w:rPr>
        <w:t>.</w:t>
      </w:r>
      <w:r>
        <w:rPr>
          <w:rFonts w:ascii="SimHei" w:eastAsia="SimHei" w:hint="eastAsia"/>
          <w:color w:val="FF0000"/>
        </w:rPr>
        <w:tab/>
        <w:t>委员会建议缔约国加强提高妇女地位的国家机制，明确界定该机制的各个不同组成部分的任务和职责，并加强这些组成部分之间的协调。委员会呼吁缔约国向这个国家机制提供足够的决策权以及人力和财务资源，从而使其能够开展切实有效的工作，在所有各级捍卫妇女的人权。委员会建议缔约国举办关于社会性别问题的培训，并建立具备足够专门知识的关于两性平等问题的联络点，从而更好地把社会性别问题主流化战略运用于所有政策和方案。</w:t>
      </w:r>
    </w:p>
    <w:p w:rsidR="00711C14" w:rsidRDefault="00711C14">
      <w:pPr>
        <w:pStyle w:val="SingleTxt"/>
        <w:rPr>
          <w:rFonts w:hint="eastAsia"/>
        </w:rPr>
      </w:pPr>
      <w:r>
        <w:rPr>
          <w:rFonts w:hint="eastAsia"/>
        </w:rPr>
        <w:t>2</w:t>
      </w:r>
      <w:r>
        <w:t>9</w:t>
      </w:r>
      <w:r>
        <w:rPr>
          <w:rFonts w:hint="eastAsia"/>
        </w:rPr>
        <w:t>.</w:t>
      </w:r>
      <w:r>
        <w:rPr>
          <w:rFonts w:hint="eastAsia"/>
        </w:rPr>
        <w:tab/>
        <w:t>委员会注意到，新的全国妇女问题政策已经制定完成，当前正在修订2005至2007年期间的全国妇女问题行动方案，在这方面感到关切地指出，没有对过去的两性平等政策、方案和行动计划进行任何评估或影响分析，因此，新的行动计划可能没有列入必要的纠正措施。</w:t>
      </w:r>
    </w:p>
    <w:p w:rsidR="00711C14" w:rsidRDefault="00711C14">
      <w:pPr>
        <w:pStyle w:val="SingleTxt"/>
        <w:rPr>
          <w:rFonts w:ascii="SimHei" w:eastAsia="SimHei" w:hint="eastAsia"/>
          <w:color w:val="FF0000"/>
        </w:rPr>
      </w:pPr>
      <w:r>
        <w:rPr>
          <w:rFonts w:ascii="SimHei" w:eastAsia="SimHei"/>
          <w:color w:val="FF0000"/>
        </w:rPr>
        <w:t>30</w:t>
      </w:r>
      <w:r>
        <w:rPr>
          <w:rFonts w:ascii="SimHei" w:eastAsia="SimHei" w:hint="eastAsia"/>
          <w:color w:val="FF0000"/>
        </w:rPr>
        <w:t>.</w:t>
      </w:r>
      <w:r>
        <w:rPr>
          <w:rFonts w:ascii="SimHei" w:eastAsia="SimHei" w:hint="eastAsia"/>
          <w:color w:val="FF0000"/>
        </w:rPr>
        <w:tab/>
        <w:t>委员会促请缔约国对其过去的两性平等政策和方案进行一次评估，以查明弱点、不足和缺乏进展之处，并参照评估结果制定新的计划。委员会呼吁缔约国系统地监督其新的两性平等政策和方案的执行情况，评估其产生的影响，以及评估所阐明的各项目标在多大程度上得到实现，并在一切必要的时候采取纠正措施。委员会鼓励缔约国，为了保证以综合的方式来促进法律上和实质上的两性平等，在2005至2007年行动计划中明确体现《公约》的规定</w:t>
      </w:r>
      <w:r>
        <w:rPr>
          <w:rFonts w:ascii="SimHei" w:eastAsia="SimHei" w:hint="eastAsia"/>
          <w:color w:val="FF0000"/>
          <w:lang w:eastAsia="ja-JP"/>
        </w:rPr>
        <w:t>、</w:t>
      </w:r>
      <w:r>
        <w:rPr>
          <w:rFonts w:ascii="SimHei" w:eastAsia="SimHei" w:hint="eastAsia"/>
          <w:color w:val="FF0000"/>
        </w:rPr>
        <w:t>委员会的最后评论以及</w:t>
      </w:r>
      <w:r>
        <w:rPr>
          <w:rFonts w:ascii="SimHei" w:eastAsia="SimHei" w:hint="eastAsia"/>
          <w:color w:val="FF0000"/>
          <w:szCs w:val="28"/>
          <w:lang w:eastAsia="ja-JP"/>
        </w:rPr>
        <w:t>充</w:t>
      </w:r>
      <w:r>
        <w:rPr>
          <w:rFonts w:ascii="SimHei" w:eastAsia="SimHei" w:hAnsi="MingLiU" w:cs="MingLiU" w:hint="eastAsia"/>
          <w:color w:val="FF0000"/>
          <w:szCs w:val="28"/>
          <w:lang w:eastAsia="ja-JP"/>
        </w:rPr>
        <w:t>实</w:t>
      </w:r>
      <w:r>
        <w:rPr>
          <w:rFonts w:ascii="SimHei" w:eastAsia="SimHei" w:hint="eastAsia"/>
          <w:color w:val="FF0000"/>
          <w:szCs w:val="28"/>
        </w:rPr>
        <w:t>《公约》各项规定的</w:t>
      </w:r>
      <w:r>
        <w:rPr>
          <w:rFonts w:ascii="SimHei" w:eastAsia="SimHei" w:hint="eastAsia"/>
          <w:color w:val="FF0000"/>
        </w:rPr>
        <w:t>《北京宣言和行动纲要》中阐明的方案步骤。委员会请缔约国在其下次定期报告中说明各项政策和计划产生的影响。</w:t>
      </w:r>
    </w:p>
    <w:p w:rsidR="00711C14" w:rsidRDefault="00711C14">
      <w:pPr>
        <w:pStyle w:val="SingleTxt"/>
        <w:rPr>
          <w:rFonts w:hint="eastAsia"/>
        </w:rPr>
      </w:pPr>
      <w:r>
        <w:rPr>
          <w:rFonts w:hint="eastAsia"/>
        </w:rPr>
        <w:t>3</w:t>
      </w:r>
      <w:r>
        <w:t>1</w:t>
      </w:r>
      <w:r>
        <w:rPr>
          <w:rFonts w:hint="eastAsia"/>
        </w:rPr>
        <w:t>.</w:t>
      </w:r>
      <w:r>
        <w:rPr>
          <w:rFonts w:hint="eastAsia"/>
        </w:rPr>
        <w:tab/>
        <w:t>委员会关注地指出，《公约》第4条第1款呼吁采取的临时特别措施的目的可能没有在缔约国得到广泛了解，这些措施的目的是加快实现事实上的平等，并加快执行专门为妇女制定的方案和政策，但可能被视为歧视男子。</w:t>
      </w:r>
    </w:p>
    <w:p w:rsidR="00711C14" w:rsidRDefault="00711C14">
      <w:pPr>
        <w:pStyle w:val="SingleTxt"/>
        <w:rPr>
          <w:rFonts w:ascii="SimHei" w:eastAsia="SimHei" w:hint="eastAsia"/>
          <w:color w:val="FF0000"/>
        </w:rPr>
      </w:pPr>
      <w:r>
        <w:rPr>
          <w:rFonts w:ascii="SimHei" w:eastAsia="SimHei" w:hint="eastAsia"/>
          <w:color w:val="FF0000"/>
        </w:rPr>
        <w:t>3</w:t>
      </w:r>
      <w:r>
        <w:rPr>
          <w:rFonts w:ascii="SimHei" w:eastAsia="SimHei"/>
          <w:color w:val="FF0000"/>
        </w:rPr>
        <w:t>2</w:t>
      </w:r>
      <w:r>
        <w:rPr>
          <w:rFonts w:ascii="SimHei" w:eastAsia="SimHei" w:hint="eastAsia"/>
          <w:color w:val="FF0000"/>
        </w:rPr>
        <w:t>.</w:t>
      </w:r>
      <w:r>
        <w:rPr>
          <w:rFonts w:ascii="SimHei" w:eastAsia="SimHei" w:hint="eastAsia"/>
          <w:color w:val="FF0000"/>
        </w:rPr>
        <w:tab/>
        <w:t>委员会建议缔约国在其政策和方案中明确区分以下二者：使妇女同他人一起受益的一般性的社会和经济政策；《公约》第4条第1款规定的临时特别措施，正如委员会在一般性建议25中说明的那样，为了在各个方面加快实现实质上的男女平等，这些措施必不可少。委员会还建议缔约国经常举办宣传教育运动，使人们认识《公约》的内容及其导致的义务以及委员会的一般性建议，特别是重点宣传立法人员、决策者、高级政府官员、司法人员和法律专业人员发挥的作用。委员会促请缔约国制定、执行和加强宣传教育措施，以促使人们更好地懂得所有社会层面上的男女平等。</w:t>
      </w:r>
    </w:p>
    <w:p w:rsidR="00711C14" w:rsidRDefault="00711C14">
      <w:pPr>
        <w:pStyle w:val="SingleTxt"/>
        <w:rPr>
          <w:rFonts w:hint="eastAsia"/>
        </w:rPr>
      </w:pPr>
      <w:r>
        <w:rPr>
          <w:rFonts w:hint="eastAsia"/>
        </w:rPr>
        <w:t>3</w:t>
      </w:r>
      <w:r>
        <w:t>3</w:t>
      </w:r>
      <w:r>
        <w:rPr>
          <w:rFonts w:hint="eastAsia"/>
        </w:rPr>
        <w:t>.</w:t>
      </w:r>
      <w:r>
        <w:rPr>
          <w:rFonts w:hint="eastAsia"/>
        </w:rPr>
        <w:tab/>
        <w:t>委员会注意到1996年《家庭暴力法》，但同时对以下问题表示关注：没有采取足够的措施来保证这项法律的切实执行；缺乏一个有效的监督机制；没有采取足够的措施来帮助家庭暴力的受害者，例如提供庇护所以及法律、医疗和心理支助。委员会还关切地注意到，受害者由于担心蒙上污名，不愿报告虐待案件。委员会感到遗憾地看到，缔约国仅提供了部分关于家庭暴力的资料，没有谈到其他形式的针对妇女的暴力行为。</w:t>
      </w:r>
    </w:p>
    <w:p w:rsidR="00711C14" w:rsidRDefault="00711C14">
      <w:pPr>
        <w:pStyle w:val="SingleTxt"/>
        <w:rPr>
          <w:rFonts w:ascii="SimHei" w:eastAsia="SimHei" w:hint="eastAsia"/>
          <w:color w:val="FF0000"/>
        </w:rPr>
      </w:pPr>
      <w:r>
        <w:rPr>
          <w:rFonts w:ascii="SimHei" w:eastAsia="SimHei" w:hint="eastAsia"/>
          <w:color w:val="FF0000"/>
        </w:rPr>
        <w:t>3</w:t>
      </w:r>
      <w:r>
        <w:rPr>
          <w:rFonts w:ascii="SimHei" w:eastAsia="SimHei"/>
          <w:color w:val="FF0000"/>
        </w:rPr>
        <w:t>4</w:t>
      </w:r>
      <w:r>
        <w:rPr>
          <w:rFonts w:ascii="SimHei" w:eastAsia="SimHei" w:hint="eastAsia"/>
          <w:color w:val="FF0000"/>
        </w:rPr>
        <w:t>.</w:t>
      </w:r>
      <w:r>
        <w:rPr>
          <w:rFonts w:ascii="SimHei" w:eastAsia="SimHei" w:hint="eastAsia"/>
          <w:color w:val="FF0000"/>
        </w:rPr>
        <w:tab/>
        <w:t>参照其一般性建议19，委员会促请缔约国优先注意切实执行和监督落实《家庭暴力法》的工作，以保证所有成为暴力受害者的妇女，包括</w:t>
      </w:r>
      <w:r>
        <w:rPr>
          <w:rFonts w:ascii="SimHei" w:eastAsia="SimHei" w:hint="eastAsia"/>
          <w:color w:val="FF0000"/>
          <w:szCs w:val="28"/>
        </w:rPr>
        <w:t>美洲印第安人妇女以及那些居住在农村和内地的妇女</w:t>
      </w:r>
      <w:r>
        <w:rPr>
          <w:rFonts w:ascii="SimHei" w:eastAsia="SimHei" w:hint="eastAsia"/>
          <w:color w:val="FF0000"/>
        </w:rPr>
        <w:t>，均可立即得到补救和保护，包括得到保护令、法律协助和足够数目的庇护所。委员会呼吁缔约国为这些保护和支助措施提供足够的资金。委员会请缔约国加强为培训警察所进行的努力，保证使政府官员，特别是使执法官员、司法人员、医疗保健人员和社会工作者充分注意所有形式的针对妇女的暴力行为，并保证使其具备适当的能力来为这些暴力行为的受害者提供帮助。委员会还吁请缔约国通过医疗方案和公共教育方案采取措施，争取改变那些仍然容忍所有形式的针对妇女的暴力行为，包括容忍对少女施以性暴力的社会、文化和传统习俗。委员会请缔约国在其下次报告中提供全面资料，包括统计资料，以介绍所有形式的针对妇女的暴力行为，并介绍为防止和消除这些行为所采取的措施。</w:t>
      </w:r>
    </w:p>
    <w:p w:rsidR="00711C14" w:rsidRDefault="00711C14">
      <w:pPr>
        <w:pStyle w:val="SingleTxt"/>
        <w:rPr>
          <w:rFonts w:ascii="SimHei" w:eastAsia="SimHei"/>
          <w:color w:val="FF0000"/>
          <w:szCs w:val="28"/>
        </w:rPr>
      </w:pPr>
      <w:r>
        <w:rPr>
          <w:rFonts w:ascii="SimHei" w:eastAsia="SimHei"/>
          <w:color w:val="FF0000"/>
          <w:szCs w:val="28"/>
        </w:rPr>
        <w:t>35</w:t>
      </w:r>
      <w:r>
        <w:rPr>
          <w:rFonts w:ascii="SimHei" w:eastAsia="SimHei" w:hint="eastAsia"/>
          <w:color w:val="FF0000"/>
          <w:szCs w:val="28"/>
        </w:rPr>
        <w:t>.</w:t>
      </w:r>
      <w:r>
        <w:rPr>
          <w:rFonts w:ascii="SimHei" w:eastAsia="SimHei" w:hint="eastAsia"/>
          <w:color w:val="FF0000"/>
          <w:szCs w:val="28"/>
        </w:rPr>
        <w:tab/>
      </w:r>
      <w:r>
        <w:rPr>
          <w:rFonts w:ascii="SimHei" w:eastAsia="SimHei" w:hint="eastAsia"/>
          <w:color w:val="FF0000"/>
          <w:szCs w:val="28"/>
          <w:lang w:eastAsia="ja-JP"/>
        </w:rPr>
        <w:t>委员会承认缔约国政府在努力建立全面的保健</w:t>
      </w:r>
      <w:r>
        <w:rPr>
          <w:rFonts w:ascii="SimHei" w:eastAsia="SimHei" w:hAnsi="MingLiU" w:cs="MingLiU" w:hint="eastAsia"/>
          <w:color w:val="FF0000"/>
          <w:szCs w:val="28"/>
        </w:rPr>
        <w:t>结构。</w:t>
      </w:r>
      <w:r>
        <w:rPr>
          <w:rFonts w:ascii="SimHei" w:eastAsia="SimHei" w:hAnsi="MingLiU" w:cs="MingLiU" w:hint="eastAsia"/>
          <w:color w:val="FF0000"/>
          <w:szCs w:val="28"/>
          <w:lang w:eastAsia="ja-JP"/>
        </w:rPr>
        <w:t>但是，令委</w:t>
      </w:r>
      <w:r>
        <w:rPr>
          <w:rFonts w:ascii="SimHei" w:eastAsia="SimHei" w:hAnsi="MingLiU" w:cs="MingLiU" w:hint="eastAsia"/>
          <w:color w:val="FF0000"/>
          <w:szCs w:val="28"/>
        </w:rPr>
        <w:t>员会关切的是</w:t>
      </w:r>
      <w:r>
        <w:rPr>
          <w:rFonts w:ascii="SimHei" w:eastAsia="SimHei" w:hint="eastAsia"/>
          <w:color w:val="FF0000"/>
          <w:szCs w:val="28"/>
        </w:rPr>
        <w:t>妇女获得保健服务的情况没有</w:t>
      </w:r>
      <w:r>
        <w:rPr>
          <w:rFonts w:ascii="SimHei" w:eastAsia="SimHei" w:hint="eastAsia"/>
          <w:color w:val="FF0000"/>
          <w:szCs w:val="28"/>
          <w:lang w:eastAsia="ja-JP"/>
        </w:rPr>
        <w:t>得到监测，也没有数据来确定这种措施的实际作用。</w:t>
      </w:r>
    </w:p>
    <w:p w:rsidR="00711C14" w:rsidRDefault="00711C14">
      <w:pPr>
        <w:pStyle w:val="SingleTxt"/>
        <w:rPr>
          <w:rFonts w:ascii="SimHei" w:eastAsia="SimHei" w:hAnsi="MingLiU" w:cs="MingLiU" w:hint="eastAsia"/>
          <w:b/>
          <w:color w:val="FF0000"/>
        </w:rPr>
      </w:pPr>
      <w:r>
        <w:rPr>
          <w:rFonts w:ascii="SimHei" w:eastAsia="SimHei" w:hAnsi="MingLiU" w:cs="MingLiU" w:hint="eastAsia"/>
          <w:color w:val="FF0000"/>
          <w:szCs w:val="28"/>
        </w:rPr>
        <w:t>36.</w:t>
      </w:r>
      <w:r>
        <w:rPr>
          <w:rFonts w:ascii="SimHei" w:eastAsia="SimHei" w:hAnsi="MingLiU" w:cs="MingLiU" w:hint="eastAsia"/>
          <w:color w:val="FF0000"/>
          <w:szCs w:val="28"/>
        </w:rPr>
        <w:tab/>
      </w:r>
      <w:r>
        <w:rPr>
          <w:rFonts w:ascii="SimHei" w:eastAsia="SimHei" w:hAnsi="MingLiU" w:cs="MingLiU" w:hint="eastAsia"/>
          <w:color w:val="FF0000"/>
          <w:szCs w:val="28"/>
          <w:lang w:eastAsia="ja-JP"/>
        </w:rPr>
        <w:t>委员会建议依照委员会关于第</w:t>
      </w:r>
      <w:r>
        <w:rPr>
          <w:rFonts w:ascii="SimHei" w:eastAsia="SimHei" w:hAnsi="MingLiU" w:cs="MingLiU" w:hint="eastAsia"/>
          <w:color w:val="FF0000"/>
          <w:szCs w:val="28"/>
        </w:rPr>
        <w:t>12</w:t>
      </w:r>
      <w:r>
        <w:rPr>
          <w:rFonts w:ascii="SimHei" w:eastAsia="SimHei" w:hAnsi="MingLiU" w:cs="MingLiU" w:hint="eastAsia"/>
          <w:color w:val="FF0000"/>
          <w:szCs w:val="28"/>
          <w:lang w:eastAsia="ja-JP"/>
        </w:rPr>
        <w:t>条妇女与保健的一般性建议</w:t>
      </w:r>
      <w:r>
        <w:rPr>
          <w:rFonts w:ascii="SimHei" w:eastAsia="SimHei" w:hAnsi="MingLiU" w:cs="MingLiU" w:hint="eastAsia"/>
          <w:color w:val="FF0000"/>
          <w:szCs w:val="28"/>
        </w:rPr>
        <w:t>24</w:t>
      </w:r>
      <w:r>
        <w:rPr>
          <w:rFonts w:ascii="SimHei" w:eastAsia="SimHei" w:hAnsi="MingLiU" w:cs="MingLiU" w:hint="eastAsia"/>
          <w:color w:val="FF0000"/>
          <w:szCs w:val="28"/>
          <w:lang w:eastAsia="ja-JP"/>
        </w:rPr>
        <w:t>为保健服务制定范围宽广的框架，并监测妇</w:t>
      </w:r>
      <w:r>
        <w:rPr>
          <w:rFonts w:ascii="SimHei" w:eastAsia="SimHei" w:hAnsi="MS Mincho" w:cs="MS Mincho" w:hint="eastAsia"/>
          <w:color w:val="FF0000"/>
          <w:szCs w:val="28"/>
          <w:lang w:eastAsia="ja-JP"/>
        </w:rPr>
        <w:t>女</w:t>
      </w:r>
      <w:r>
        <w:rPr>
          <w:rFonts w:ascii="SimHei" w:eastAsia="SimHei" w:hAnsi="MingLiU" w:cs="MingLiU" w:hint="eastAsia"/>
          <w:color w:val="FF0000"/>
          <w:szCs w:val="28"/>
          <w:lang w:eastAsia="ja-JP"/>
        </w:rPr>
        <w:t>，特别是美洲印第安人妇女以及居住在农村和内地的</w:t>
      </w:r>
      <w:r>
        <w:rPr>
          <w:rFonts w:ascii="SimHei" w:eastAsia="SimHei" w:hAnsi="MingLiU" w:cs="MingLiU" w:hint="eastAsia"/>
          <w:color w:val="FF0000"/>
          <w:szCs w:val="28"/>
        </w:rPr>
        <w:t>其他</w:t>
      </w:r>
      <w:r>
        <w:rPr>
          <w:rFonts w:ascii="SimHei" w:eastAsia="SimHei" w:hAnsi="MingLiU" w:cs="MingLiU" w:hint="eastAsia"/>
          <w:color w:val="FF0000"/>
          <w:szCs w:val="28"/>
          <w:lang w:eastAsia="ja-JP"/>
        </w:rPr>
        <w:t>妇女获得保健服务的情况。委员会还建议缔约国政府在其下一次定期报告中提供关于妇女获得保健服务的情况。</w:t>
      </w:r>
    </w:p>
    <w:p w:rsidR="00711C14" w:rsidRDefault="00711C14">
      <w:pPr>
        <w:pStyle w:val="SingleTxt"/>
        <w:rPr>
          <w:rFonts w:hint="eastAsia"/>
        </w:rPr>
      </w:pPr>
      <w:r>
        <w:rPr>
          <w:rFonts w:hint="eastAsia"/>
        </w:rPr>
        <w:t>3</w:t>
      </w:r>
      <w:r>
        <w:t>7</w:t>
      </w:r>
      <w:r>
        <w:rPr>
          <w:rFonts w:hint="eastAsia"/>
        </w:rPr>
        <w:t>.</w:t>
      </w:r>
      <w:r>
        <w:rPr>
          <w:rFonts w:hint="eastAsia"/>
        </w:rPr>
        <w:tab/>
        <w:t>委员会对通过2002至2006年全国艾滋病毒/艾滋病战略计划表示欢迎，但也关注地注意到，妇女当中的艾滋病毒/艾滋病流行率很高，并正不断上升，在青年妇女当中尤其如此，这些妇女由于不平等的力量对比和社会</w:t>
      </w:r>
      <w:r>
        <w:t>-</w:t>
      </w:r>
      <w:r>
        <w:rPr>
          <w:rFonts w:hint="eastAsia"/>
        </w:rPr>
        <w:t>经济机会有限，特别容易受到感染。委员会尤其关切的是，由于可同意发生性关系的最低年龄定得很低（13岁），使得青年妇女和少女特别易于成为性剥削的受害者和感染艾滋病毒。</w:t>
      </w:r>
    </w:p>
    <w:p w:rsidR="00711C14" w:rsidRDefault="00711C14">
      <w:pPr>
        <w:pStyle w:val="SingleTxt"/>
        <w:rPr>
          <w:rFonts w:ascii="SimHei" w:eastAsia="SimHei" w:hint="eastAsia"/>
          <w:color w:val="FF0000"/>
        </w:rPr>
      </w:pPr>
      <w:r>
        <w:rPr>
          <w:rFonts w:ascii="SimHei" w:eastAsia="SimHei" w:hint="eastAsia"/>
          <w:color w:val="FF0000"/>
        </w:rPr>
        <w:t>3</w:t>
      </w:r>
      <w:r>
        <w:rPr>
          <w:rFonts w:ascii="SimHei" w:eastAsia="SimHei"/>
          <w:color w:val="FF0000"/>
        </w:rPr>
        <w:t>8</w:t>
      </w:r>
      <w:r>
        <w:rPr>
          <w:rFonts w:ascii="SimHei" w:eastAsia="SimHei" w:hint="eastAsia"/>
          <w:color w:val="FF0000"/>
        </w:rPr>
        <w:t>.</w:t>
      </w:r>
      <w:r>
        <w:rPr>
          <w:rFonts w:ascii="SimHei" w:eastAsia="SimHei" w:hint="eastAsia"/>
          <w:color w:val="FF0000"/>
        </w:rPr>
        <w:tab/>
        <w:t>委员会敦促缔约国在同艾滋病毒/艾滋病的流行进行的斗争中加强对社会性别因素的注意。委员会呼吁缔约国更多地强调男子在预防艾滋病的蔓延方面应承担的责任，包括为此开展宣传教育运动和预防运动，并同时针对妇女和男子举办关于性保健和生殖保健的教育方案，包括提供保险套。委员会还敦促缔约国提高同意发生性关系的法定最低年龄，以有效地保护少女，使其免于性剥削。</w:t>
      </w:r>
    </w:p>
    <w:p w:rsidR="00711C14" w:rsidRDefault="00711C14">
      <w:pPr>
        <w:pStyle w:val="SingleTxt"/>
        <w:rPr>
          <w:rFonts w:hAnsi="SimSun" w:hint="eastAsia"/>
        </w:rPr>
      </w:pPr>
      <w:r>
        <w:rPr>
          <w:rFonts w:hAnsi="SimSun" w:hint="eastAsia"/>
        </w:rPr>
        <w:t>3</w:t>
      </w:r>
      <w:r>
        <w:rPr>
          <w:rFonts w:hAnsi="SimSun"/>
        </w:rPr>
        <w:t>9</w:t>
      </w:r>
      <w:r>
        <w:rPr>
          <w:rFonts w:hAnsi="SimSun" w:hint="eastAsia"/>
        </w:rPr>
        <w:t>.</w:t>
      </w:r>
      <w:r>
        <w:rPr>
          <w:rFonts w:hAnsi="SimSun" w:hint="eastAsia"/>
        </w:rPr>
        <w:tab/>
        <w:t>委员会注意到，受贫穷影响的妇女比例过大，并注意到圭亚那已制定了国家发展战略和减贫战略文件，但感到失望的是，尽管妇女团体参与了为编制这些文件所举行的协商，现行政策却不足以处理贫穷现象所包含的社会性别问题，也没有明确地把妇女作为帮助对象。委员会对于这种忽略给</w:t>
      </w:r>
      <w:r>
        <w:rPr>
          <w:rFonts w:hAnsi="SimSun" w:cs="MingLiU" w:hint="eastAsia"/>
          <w:szCs w:val="28"/>
          <w:lang w:eastAsia="ja-JP"/>
        </w:rPr>
        <w:t>美洲印第安人妇</w:t>
      </w:r>
      <w:r>
        <w:rPr>
          <w:rFonts w:hAnsi="SimSun" w:cs="MS Mincho" w:hint="eastAsia"/>
          <w:szCs w:val="28"/>
          <w:lang w:eastAsia="ja-JP"/>
        </w:rPr>
        <w:t>女</w:t>
      </w:r>
      <w:r>
        <w:rPr>
          <w:rFonts w:hAnsi="SimSun" w:cs="MingLiU" w:hint="eastAsia"/>
          <w:szCs w:val="28"/>
          <w:lang w:eastAsia="ja-JP"/>
        </w:rPr>
        <w:t>以及居住在农</w:t>
      </w:r>
      <w:r>
        <w:rPr>
          <w:rFonts w:hAnsi="SimSun" w:cs="MS Mincho" w:hint="eastAsia"/>
          <w:szCs w:val="28"/>
          <w:lang w:eastAsia="ja-JP"/>
        </w:rPr>
        <w:t>村和内地的</w:t>
      </w:r>
      <w:r>
        <w:rPr>
          <w:rFonts w:hAnsi="SimSun" w:cs="MingLiU" w:hint="eastAsia"/>
          <w:szCs w:val="28"/>
          <w:lang w:eastAsia="ja-JP"/>
        </w:rPr>
        <w:t>妇女</w:t>
      </w:r>
      <w:r>
        <w:rPr>
          <w:rFonts w:hAnsi="SimSun" w:hint="eastAsia"/>
        </w:rPr>
        <w:t>带来的后果特别谈到关切。</w:t>
      </w:r>
    </w:p>
    <w:p w:rsidR="00711C14" w:rsidRDefault="00711C14">
      <w:pPr>
        <w:pStyle w:val="SingleTxt"/>
        <w:rPr>
          <w:rFonts w:ascii="SimHei" w:eastAsia="SimHei" w:cs="MingLiU"/>
          <w:color w:val="FF0000"/>
          <w:szCs w:val="28"/>
        </w:rPr>
      </w:pPr>
      <w:r>
        <w:rPr>
          <w:rFonts w:ascii="SimHei" w:eastAsia="SimHei"/>
          <w:color w:val="FF0000"/>
        </w:rPr>
        <w:t>40</w:t>
      </w:r>
      <w:r>
        <w:rPr>
          <w:rFonts w:ascii="SimHei" w:eastAsia="SimHei" w:hint="eastAsia"/>
          <w:color w:val="FF0000"/>
        </w:rPr>
        <w:t>.</w:t>
      </w:r>
      <w:r>
        <w:rPr>
          <w:rFonts w:ascii="SimHei" w:eastAsia="SimHei" w:hint="eastAsia"/>
          <w:color w:val="FF0000"/>
        </w:rPr>
        <w:tab/>
        <w:t>委员会促请缔约国把促进两性平等作为其各项国家发展战略中的一个明确组成部分，特别是将其列入扶贫和可持续发展战略。委员会鼓励缔约国在发展战略中纳入那些专门帮助弱势妇女群体的方案，例如为</w:t>
      </w:r>
      <w:r>
        <w:rPr>
          <w:rFonts w:ascii="SimHei" w:eastAsia="SimHei" w:hint="eastAsia"/>
          <w:color w:val="FF0000"/>
          <w:szCs w:val="28"/>
        </w:rPr>
        <w:t>美洲印第安人妇女以及农村和内地的贫穷妇女</w:t>
      </w:r>
      <w:r>
        <w:rPr>
          <w:rFonts w:ascii="SimHei" w:eastAsia="SimHei" w:hint="eastAsia"/>
          <w:color w:val="FF0000"/>
        </w:rPr>
        <w:t>举办的方案。委员会请缔约国加强这些政策，以更好地遵守《公约》，特别是其</w:t>
      </w:r>
      <w:r>
        <w:rPr>
          <w:rFonts w:ascii="SimHei" w:eastAsia="SimHei" w:hint="eastAsia"/>
          <w:color w:val="FF0000"/>
          <w:szCs w:val="28"/>
        </w:rPr>
        <w:t>关于农村妇女的</w:t>
      </w:r>
      <w:r>
        <w:rPr>
          <w:rFonts w:ascii="SimHei" w:eastAsia="SimHei" w:hint="eastAsia"/>
          <w:color w:val="FF0000"/>
        </w:rPr>
        <w:t>第14条。委员会鼓励缔约国在所有与国际组织和双边捐助者举办的发展合作方案中强调《公约》的执行工作和妇女的人权。委员会还建议缔约国把通过重债穷国倡议提供的资源用于增进妇女的能力，特别是增进</w:t>
      </w:r>
      <w:r>
        <w:rPr>
          <w:rFonts w:ascii="SimHei" w:eastAsia="SimHei" w:hint="eastAsia"/>
          <w:color w:val="FF0000"/>
          <w:szCs w:val="28"/>
        </w:rPr>
        <w:t>美洲印第安人妇女以及农村和内地妇女</w:t>
      </w:r>
      <w:r>
        <w:rPr>
          <w:rFonts w:ascii="SimHei" w:eastAsia="SimHei" w:hint="eastAsia"/>
          <w:color w:val="FF0000"/>
        </w:rPr>
        <w:t>的能力。</w:t>
      </w:r>
      <w:r>
        <w:rPr>
          <w:rFonts w:ascii="SimHei" w:eastAsia="SimHei" w:hAnsi="MingLiU" w:cs="MingLiU" w:hint="eastAsia"/>
          <w:color w:val="FF0000"/>
          <w:szCs w:val="28"/>
          <w:lang w:eastAsia="ja-JP"/>
        </w:rPr>
        <w:t>委员会还请缔约国在其下一次定期报告中提供关于减贫战略文件</w:t>
      </w:r>
      <w:r>
        <w:rPr>
          <w:rFonts w:ascii="SimHei" w:eastAsia="SimHei" w:hAnsi="MingLiU" w:cs="MingLiU"/>
          <w:color w:val="FF0000"/>
          <w:szCs w:val="28"/>
          <w:lang w:eastAsia="ja-JP"/>
        </w:rPr>
        <w:t>的实施如何使</w:t>
      </w:r>
      <w:r>
        <w:rPr>
          <w:rFonts w:ascii="SimHei" w:eastAsia="SimHei" w:hAnsi="MingLiU" w:cs="MingLiU" w:hint="eastAsia"/>
          <w:color w:val="FF0000"/>
          <w:szCs w:val="28"/>
          <w:lang w:eastAsia="ja-JP"/>
        </w:rPr>
        <w:t>妇女受益的数据</w:t>
      </w:r>
      <w:r>
        <w:rPr>
          <w:rFonts w:ascii="SimHei" w:eastAsia="SimHei" w:hint="eastAsia"/>
          <w:color w:val="FF0000"/>
          <w:szCs w:val="28"/>
          <w:lang w:eastAsia="ja-JP"/>
        </w:rPr>
        <w:t>。</w:t>
      </w:r>
    </w:p>
    <w:p w:rsidR="00711C14" w:rsidRDefault="00711C14">
      <w:pPr>
        <w:pStyle w:val="SingleTxt"/>
        <w:rPr>
          <w:rFonts w:ascii="Times New Roman" w:eastAsia="SimHei"/>
          <w:color w:val="FF0000"/>
        </w:rPr>
      </w:pPr>
      <w:r>
        <w:rPr>
          <w:rFonts w:ascii="SimHei" w:eastAsia="SimHei"/>
          <w:color w:val="FF0000"/>
        </w:rPr>
        <w:t>41</w:t>
      </w:r>
      <w:r>
        <w:rPr>
          <w:rFonts w:ascii="SimHei" w:eastAsia="SimHei" w:hint="eastAsia"/>
          <w:color w:val="FF0000"/>
        </w:rPr>
        <w:t>.</w:t>
      </w:r>
      <w:r>
        <w:rPr>
          <w:rFonts w:ascii="SimHei" w:eastAsia="SimHei" w:hint="eastAsia"/>
          <w:color w:val="FF0000"/>
        </w:rPr>
        <w:tab/>
        <w:t>委员会鼓励缔约国批准《公约》的任择议定书，并尽快接受关于委员会开会时间的《公约》第20条第1款的修正案。</w:t>
      </w:r>
    </w:p>
    <w:p w:rsidR="00711C14" w:rsidRDefault="00711C14">
      <w:pPr>
        <w:pStyle w:val="SingleTxt"/>
        <w:rPr>
          <w:rFonts w:ascii="SimHei" w:eastAsia="SimHei" w:hAnsi="MingLiU" w:cs="MingLiU" w:hint="eastAsia"/>
          <w:color w:val="FF0000"/>
          <w:szCs w:val="28"/>
        </w:rPr>
      </w:pPr>
      <w:r>
        <w:rPr>
          <w:rFonts w:ascii="SimHei" w:eastAsia="SimHei" w:hAnsi="MingLiU" w:cs="MingLiU"/>
          <w:color w:val="FF0000"/>
          <w:szCs w:val="28"/>
        </w:rPr>
        <w:t>42</w:t>
      </w:r>
      <w:r>
        <w:rPr>
          <w:rFonts w:ascii="SimHei" w:eastAsia="SimHei" w:hAnsi="MingLiU" w:cs="MingLiU" w:hint="eastAsia"/>
          <w:color w:val="FF0000"/>
          <w:szCs w:val="28"/>
        </w:rPr>
        <w:t>.</w:t>
      </w:r>
      <w:r>
        <w:rPr>
          <w:rFonts w:ascii="SimHei" w:eastAsia="SimHei" w:hAnsi="MingLiU" w:cs="MingLiU" w:hint="eastAsia"/>
          <w:color w:val="FF0000"/>
          <w:szCs w:val="28"/>
        </w:rPr>
        <w:tab/>
      </w:r>
      <w:r>
        <w:rPr>
          <w:rFonts w:ascii="SimHei" w:eastAsia="SimHei" w:hAnsi="MingLiU" w:cs="MingLiU" w:hint="eastAsia"/>
          <w:color w:val="FF0000"/>
          <w:szCs w:val="28"/>
          <w:lang w:eastAsia="ja-JP"/>
        </w:rPr>
        <w:t>委员会促请缔约国在实施《公约》各项义务时充分利用充实《公约》各项规定的《北京宣言和行动纲要》</w:t>
      </w:r>
      <w:r>
        <w:rPr>
          <w:rFonts w:ascii="SimHei" w:eastAsia="SimHei" w:hAnsi="MingLiU" w:cs="MingLiU"/>
          <w:color w:val="FF0000"/>
          <w:szCs w:val="28"/>
        </w:rPr>
        <w:t>,</w:t>
      </w:r>
      <w:r>
        <w:rPr>
          <w:rFonts w:ascii="SimHei" w:eastAsia="SimHei" w:hAnsi="MingLiU" w:cs="MingLiU"/>
          <w:color w:val="FF0000"/>
          <w:szCs w:val="28"/>
          <w:lang w:eastAsia="ja-JP"/>
        </w:rPr>
        <w:t>并</w:t>
      </w:r>
      <w:r>
        <w:rPr>
          <w:rFonts w:ascii="SimHei" w:eastAsia="SimHei" w:hAnsi="MingLiU" w:cs="MingLiU" w:hint="eastAsia"/>
          <w:color w:val="FF0000"/>
          <w:szCs w:val="28"/>
          <w:lang w:eastAsia="ja-JP"/>
        </w:rPr>
        <w:t>请缔约国在其下一次定期报告中提供有关资料。</w:t>
      </w:r>
    </w:p>
    <w:p w:rsidR="00711C14" w:rsidRDefault="00711C14">
      <w:pPr>
        <w:pStyle w:val="SingleTxt"/>
        <w:rPr>
          <w:rFonts w:ascii="MingLiU" w:eastAsia="MS Mincho" w:hAnsi="MingLiU" w:cs="MingLiU" w:hint="eastAsia"/>
          <w:color w:val="FF0000"/>
          <w:sz w:val="28"/>
          <w:szCs w:val="28"/>
        </w:rPr>
      </w:pPr>
      <w:r>
        <w:rPr>
          <w:rFonts w:ascii="SimHei" w:eastAsia="SimHei" w:hAnsi="MingLiU" w:cs="MingLiU"/>
          <w:color w:val="FF0000"/>
          <w:szCs w:val="28"/>
        </w:rPr>
        <w:t>43</w:t>
      </w:r>
      <w:r>
        <w:rPr>
          <w:rFonts w:ascii="SimHei" w:eastAsia="SimHei" w:hAnsi="MingLiU" w:cs="MingLiU" w:hint="eastAsia"/>
          <w:color w:val="FF0000"/>
          <w:szCs w:val="28"/>
        </w:rPr>
        <w:t>.</w:t>
      </w:r>
      <w:r>
        <w:rPr>
          <w:rFonts w:ascii="SimHei" w:eastAsia="SimHei" w:hAnsi="MingLiU" w:cs="MingLiU" w:hint="eastAsia"/>
          <w:color w:val="FF0000"/>
          <w:szCs w:val="28"/>
        </w:rPr>
        <w:tab/>
      </w:r>
      <w:r>
        <w:rPr>
          <w:rFonts w:ascii="SimHei" w:eastAsia="SimHei" w:hAnsi="MingLiU" w:cs="MingLiU" w:hint="eastAsia"/>
          <w:color w:val="FF0000"/>
          <w:szCs w:val="28"/>
          <w:lang w:eastAsia="ja-JP"/>
        </w:rPr>
        <w:t>委员会还强调，</w:t>
      </w:r>
      <w:r>
        <w:rPr>
          <w:rFonts w:ascii="SimHei" w:eastAsia="SimHei" w:hAnsi="MingLiU" w:cs="MingLiU"/>
          <w:color w:val="FF0000"/>
          <w:szCs w:val="28"/>
          <w:lang w:eastAsia="ja-JP"/>
        </w:rPr>
        <w:t>要实现千年发展目标，</w:t>
      </w:r>
      <w:r>
        <w:rPr>
          <w:rFonts w:ascii="SimHei" w:eastAsia="SimHei" w:hAnsi="MingLiU" w:cs="MingLiU" w:hint="eastAsia"/>
          <w:color w:val="FF0000"/>
          <w:szCs w:val="28"/>
          <w:lang w:eastAsia="ja-JP"/>
        </w:rPr>
        <w:t>必须充分、有效实施《公约》。委员会要求在各项</w:t>
      </w:r>
      <w:r>
        <w:rPr>
          <w:rFonts w:ascii="SimHei" w:eastAsia="SimHei" w:hAnsi="MingLiU" w:cs="MingLiU"/>
          <w:color w:val="FF0000"/>
          <w:szCs w:val="28"/>
          <w:lang w:eastAsia="ja-JP"/>
        </w:rPr>
        <w:t>实现千年发展目标</w:t>
      </w:r>
      <w:r>
        <w:rPr>
          <w:rFonts w:ascii="SimHei" w:eastAsia="SimHei" w:hAnsi="MingLiU" w:cs="MingLiU" w:hint="eastAsia"/>
          <w:color w:val="FF0000"/>
          <w:szCs w:val="28"/>
          <w:lang w:eastAsia="ja-JP"/>
        </w:rPr>
        <w:t>的工作中，纳入社会性别观点</w:t>
      </w:r>
      <w:r>
        <w:rPr>
          <w:rFonts w:ascii="SimHei" w:eastAsia="SimHei" w:hAnsi="MingLiU" w:cs="MingLiU"/>
          <w:color w:val="FF0000"/>
          <w:szCs w:val="28"/>
        </w:rPr>
        <w:t>,</w:t>
      </w:r>
      <w:r>
        <w:rPr>
          <w:rFonts w:ascii="SimHei" w:eastAsia="SimHei" w:hAnsi="MingLiU" w:cs="MingLiU"/>
          <w:color w:val="FF0000"/>
          <w:szCs w:val="28"/>
          <w:lang w:eastAsia="ja-JP"/>
        </w:rPr>
        <w:t>充分体</w:t>
      </w:r>
      <w:r>
        <w:rPr>
          <w:rFonts w:ascii="SimHei" w:eastAsia="SimHei" w:hAnsi="MingLiU" w:cs="MingLiU" w:hint="eastAsia"/>
          <w:color w:val="FF0000"/>
          <w:szCs w:val="28"/>
          <w:lang w:eastAsia="ja-JP"/>
        </w:rPr>
        <w:t>现《公约》的各项规定，</w:t>
      </w:r>
      <w:r>
        <w:rPr>
          <w:rFonts w:ascii="SimHei" w:eastAsia="SimHei" w:hAnsi="MingLiU" w:cs="MingLiU"/>
          <w:color w:val="FF0000"/>
          <w:szCs w:val="28"/>
          <w:lang w:eastAsia="ja-JP"/>
        </w:rPr>
        <w:t>并</w:t>
      </w:r>
      <w:r>
        <w:rPr>
          <w:rFonts w:ascii="SimHei" w:eastAsia="SimHei" w:hAnsi="MingLiU" w:cs="MingLiU" w:hint="eastAsia"/>
          <w:color w:val="FF0000"/>
          <w:szCs w:val="28"/>
          <w:lang w:eastAsia="ja-JP"/>
        </w:rPr>
        <w:t>请缔约国在其下一次定期报告中提供有关资料。</w:t>
      </w:r>
    </w:p>
    <w:p w:rsidR="00711C14" w:rsidRDefault="00711C14">
      <w:pPr>
        <w:pStyle w:val="SingleTxt"/>
        <w:rPr>
          <w:rFonts w:ascii="SimHei" w:eastAsia="SimHei" w:hint="eastAsia"/>
          <w:color w:val="FF0000"/>
          <w:spacing w:val="-2"/>
        </w:rPr>
      </w:pPr>
      <w:r>
        <w:rPr>
          <w:rFonts w:ascii="SimHei" w:eastAsia="SimHei" w:hint="eastAsia"/>
          <w:color w:val="FF0000"/>
        </w:rPr>
        <w:t>4</w:t>
      </w:r>
      <w:r>
        <w:rPr>
          <w:rFonts w:ascii="SimHei" w:eastAsia="SimHei"/>
          <w:color w:val="FF0000"/>
        </w:rPr>
        <w:t>4</w:t>
      </w:r>
      <w:r>
        <w:rPr>
          <w:rFonts w:ascii="SimHei" w:eastAsia="SimHei" w:hint="eastAsia"/>
          <w:color w:val="FF0000"/>
        </w:rPr>
        <w:t>.</w:t>
      </w:r>
      <w:r>
        <w:rPr>
          <w:rFonts w:ascii="SimHei" w:eastAsia="SimHei" w:hint="eastAsia"/>
          <w:color w:val="FF0000"/>
        </w:rPr>
        <w:tab/>
      </w:r>
      <w:r>
        <w:rPr>
          <w:rFonts w:ascii="SimHei" w:eastAsia="SimHei" w:hint="eastAsia"/>
          <w:color w:val="FF0000"/>
          <w:spacing w:val="-2"/>
        </w:rPr>
        <w:t>委员会指出，缔约国通过遵守七项主要的国际人权文书，</w:t>
      </w:r>
      <w:r>
        <w:rPr>
          <w:rFonts w:ascii="SimHei" w:eastAsia="SimHei"/>
          <w:color w:val="FF0000"/>
          <w:spacing w:val="-2"/>
          <w:vertAlign w:val="superscript"/>
        </w:rPr>
        <w:t>1</w:t>
      </w:r>
      <w:r>
        <w:rPr>
          <w:rFonts w:ascii="SimHei" w:eastAsia="SimHei"/>
          <w:color w:val="FF0000"/>
          <w:spacing w:val="-2"/>
        </w:rPr>
        <w:t xml:space="preserve"> </w:t>
      </w:r>
      <w:r>
        <w:rPr>
          <w:rFonts w:ascii="SimHei" w:eastAsia="SimHei" w:hint="eastAsia"/>
          <w:color w:val="FF0000"/>
          <w:spacing w:val="-2"/>
        </w:rPr>
        <w:t>使得妇女得以在生活的所有方面更好地行使自己的人权和基本自由。因此，委员会鼓励圭亚那政府考虑批准该国尚未加入的条约，即《保护所有移徙工人及其家庭成员权利国际公约》。</w:t>
      </w:r>
    </w:p>
    <w:p w:rsidR="00711C14" w:rsidRDefault="00711C14">
      <w:pPr>
        <w:pStyle w:val="SingleTxt"/>
        <w:rPr>
          <w:rFonts w:ascii="Times New Roman" w:eastAsia="SimHei"/>
          <w:color w:val="FF0000"/>
        </w:rPr>
      </w:pPr>
      <w:r>
        <w:rPr>
          <w:rFonts w:ascii="SimHei" w:eastAsia="SimHei" w:hint="eastAsia"/>
          <w:color w:val="FF0000"/>
        </w:rPr>
        <w:t>4</w:t>
      </w:r>
      <w:r>
        <w:rPr>
          <w:rFonts w:ascii="SimHei" w:eastAsia="SimHei"/>
          <w:color w:val="FF0000"/>
        </w:rPr>
        <w:t>5</w:t>
      </w:r>
      <w:r>
        <w:rPr>
          <w:rFonts w:ascii="SimHei" w:eastAsia="SimHei" w:hint="eastAsia"/>
          <w:color w:val="FF0000"/>
        </w:rPr>
        <w:t>.</w:t>
      </w:r>
      <w:r>
        <w:rPr>
          <w:rFonts w:ascii="SimHei" w:eastAsia="SimHei" w:hint="eastAsia"/>
          <w:color w:val="FF0000"/>
        </w:rPr>
        <w:tab/>
        <w:t>委员会请圭亚那在该国国内广泛散发本最后评论，以使该国人民，包括政府官员、政界人士、议院以及妇女和人权组织了解为保证妇女在法律上和事实上享有平等地位所已经采取的步骤，并了解今后将在这方面采取的步骤。委员会还请缔约国继续广泛传播，特别是向妇女和人权组织传播《公约》及其任择议定书、委员会的一般性建议、《北京宣言和行动纲要》和大会第二十三届特别会议的成果，即题为“2000年妇女：二十一世纪两性平等、发展与和平”的文件。</w:t>
      </w:r>
    </w:p>
    <w:p w:rsidR="00711C14" w:rsidRDefault="00711C14">
      <w:pPr>
        <w:pStyle w:val="SingleTxt"/>
        <w:rPr>
          <w:rFonts w:ascii="Times New Roman" w:eastAsia="SimHei" w:hint="eastAsia"/>
          <w:color w:val="FF0000"/>
        </w:rPr>
      </w:pPr>
      <w:r>
        <w:rPr>
          <w:rFonts w:ascii="SimHei" w:eastAsia="SimHei"/>
          <w:color w:val="FF0000"/>
        </w:rPr>
        <w:t>46</w:t>
      </w:r>
      <w:r>
        <w:rPr>
          <w:rFonts w:ascii="SimHei" w:eastAsia="SimHei" w:hint="eastAsia"/>
          <w:color w:val="FF0000"/>
        </w:rPr>
        <w:t>.</w:t>
      </w:r>
      <w:r>
        <w:rPr>
          <w:rFonts w:ascii="SimHei" w:eastAsia="SimHei" w:hint="eastAsia"/>
          <w:color w:val="FF0000"/>
        </w:rPr>
        <w:tab/>
        <w:t>委员会请缔约国在其根据《公约》第18条</w:t>
      </w:r>
      <w:r>
        <w:rPr>
          <w:rFonts w:ascii="SimHei" w:eastAsia="SimHei" w:hint="eastAsia"/>
          <w:color w:val="FF0000"/>
          <w:szCs w:val="28"/>
        </w:rPr>
        <w:t>应在2006年9月</w:t>
      </w:r>
      <w:r>
        <w:rPr>
          <w:rFonts w:ascii="SimHei" w:eastAsia="SimHei" w:hint="eastAsia"/>
          <w:color w:val="FF0000"/>
        </w:rPr>
        <w:t>提交的下次定期报告中就本最后评论中表示关切的问题作出答复。</w:t>
      </w:r>
    </w:p>
    <w:p w:rsidR="00711C14" w:rsidRDefault="00711C14">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hint="eastAsia"/>
          <w:color w:val="0000FF"/>
        </w:rPr>
      </w:pPr>
      <w:r>
        <w:rPr>
          <w:rFonts w:eastAsia="KaiTi_GB2312" w:hint="eastAsia"/>
          <w:color w:val="0000FF"/>
        </w:rPr>
        <w:tab/>
      </w:r>
      <w:r>
        <w:rPr>
          <w:rFonts w:eastAsia="KaiTi_GB2312" w:hint="eastAsia"/>
          <w:color w:val="0000FF"/>
        </w:rPr>
        <w:t>注</w:t>
      </w:r>
    </w:p>
    <w:p w:rsidR="00711C14" w:rsidRDefault="00711C14">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vertAlign w:val="superscript"/>
        </w:rPr>
        <w:t>1</w:t>
      </w:r>
      <w:r>
        <w:rPr>
          <w:rFonts w:hint="eastAsia"/>
        </w:rPr>
        <w:tab/>
        <w:t>《经济、社会、文化权利国际盟约》、《公民及政治权利国际盟约》、《消除一切形式种族歧视国际公约》、《消除对妇女一切形式歧视公约》、《禁止酷刑和其他残忍、不人道或有辱人格的待遇或处罚公约》、《儿童权利公约》和《保护所有移徙工人及其家庭成员权利国际公约》。</w:t>
      </w:r>
    </w:p>
    <w:p w:rsidR="00711C14" w:rsidRDefault="00711C14">
      <w:pPr>
        <w:pStyle w:val="SingleTxt"/>
        <w:spacing w:after="0" w:line="240" w:lineRule="auto"/>
        <w:rPr>
          <w:rFonts w:hint="eastAsia"/>
        </w:rPr>
      </w:pPr>
      <w:r>
        <w:rPr>
          <w:noProof/>
          <w:sz w:val="20"/>
        </w:rPr>
        <w:pict>
          <v:line id="_x0000_s2050" style="position:absolute;left:0;text-align:left;z-index:1;mso-position-horizontal:center" from="0,30pt" to="1in,30pt" strokeweight=".25pt"/>
        </w:pict>
      </w:r>
    </w:p>
    <w:sectPr w:rsidR="00711C14">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711C14" w:rsidRDefault="00711C14">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NO&gt;&gt;N0545023C&lt;&lt;ODS JOB NO&gt;&gt;</w:t>
      </w:r>
    </w:p>
    <w:p w:rsidR="00711C14" w:rsidRDefault="00711C14">
      <w:pPr>
        <w:pStyle w:val="CommentText"/>
      </w:pPr>
      <w:r>
        <w:t>&lt;&lt;ODS DOC SYMBOL1&gt;&gt;CEDAW/C/GUY/CO/3-6&lt;&lt;ODS DOC SYMBOL1&gt;&gt;</w:t>
      </w:r>
    </w:p>
    <w:p w:rsidR="00711C14" w:rsidRDefault="00711C1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14" w:rsidRDefault="00711C14">
      <w:r>
        <w:separator/>
      </w:r>
    </w:p>
  </w:endnote>
  <w:endnote w:type="continuationSeparator" w:id="0">
    <w:p w:rsidR="00711C14" w:rsidRDefault="0071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711C14">
      <w:tblPrEx>
        <w:tblCellMar>
          <w:top w:w="0" w:type="dxa"/>
          <w:bottom w:w="0" w:type="dxa"/>
        </w:tblCellMar>
      </w:tblPrEx>
      <w:tc>
        <w:tcPr>
          <w:tcW w:w="5034" w:type="dxa"/>
          <w:vAlign w:val="bottom"/>
        </w:tcPr>
        <w:p w:rsidR="00711C14" w:rsidRDefault="00711C14">
          <w:pPr>
            <w:pStyle w:val="Footer"/>
          </w:pPr>
          <w:r>
            <w:fldChar w:fldCharType="begin"/>
          </w:r>
          <w:r>
            <w:instrText xml:space="preserve"> PAGE  \* MERGEFORMAT </w:instrText>
          </w:r>
          <w:r>
            <w:fldChar w:fldCharType="separate"/>
          </w:r>
          <w:r>
            <w:t>4</w:t>
          </w:r>
          <w:r>
            <w:fldChar w:fldCharType="end"/>
          </w:r>
        </w:p>
      </w:tc>
      <w:tc>
        <w:tcPr>
          <w:tcW w:w="5034" w:type="dxa"/>
          <w:vAlign w:val="bottom"/>
        </w:tcPr>
        <w:p w:rsidR="00711C14" w:rsidRDefault="00711C14">
          <w:pPr>
            <w:pStyle w:val="Footer"/>
            <w:jc w:val="right"/>
          </w:pPr>
        </w:p>
      </w:tc>
    </w:tr>
  </w:tbl>
  <w:p w:rsidR="00711C14" w:rsidRDefault="00711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711C14">
      <w:tblPrEx>
        <w:tblCellMar>
          <w:top w:w="0" w:type="dxa"/>
          <w:bottom w:w="0" w:type="dxa"/>
        </w:tblCellMar>
      </w:tblPrEx>
      <w:tc>
        <w:tcPr>
          <w:tcW w:w="5034" w:type="dxa"/>
          <w:vAlign w:val="bottom"/>
        </w:tcPr>
        <w:p w:rsidR="00711C14" w:rsidRDefault="00711C14">
          <w:pPr>
            <w:pStyle w:val="Footer"/>
          </w:pPr>
        </w:p>
      </w:tc>
      <w:tc>
        <w:tcPr>
          <w:tcW w:w="5034" w:type="dxa"/>
          <w:vAlign w:val="bottom"/>
        </w:tcPr>
        <w:p w:rsidR="00711C14" w:rsidRDefault="00711C14">
          <w:pPr>
            <w:pStyle w:val="Footer"/>
            <w:jc w:val="right"/>
          </w:pPr>
          <w:r>
            <w:fldChar w:fldCharType="begin"/>
          </w:r>
          <w:r>
            <w:instrText xml:space="preserve"> PAGE  \* MERGEFORMAT </w:instrText>
          </w:r>
          <w:r>
            <w:fldChar w:fldCharType="separate"/>
          </w:r>
          <w:r>
            <w:t>7</w:t>
          </w:r>
          <w:r>
            <w:fldChar w:fldCharType="end"/>
          </w:r>
        </w:p>
      </w:tc>
    </w:tr>
  </w:tbl>
  <w:p w:rsidR="00711C14" w:rsidRDefault="00711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14" w:rsidRDefault="00711C14">
    <w:pPr>
      <w:pStyle w:val="Footer"/>
      <w:rPr>
        <w:b w:val="0"/>
        <w:sz w:val="21"/>
      </w:rPr>
    </w:pPr>
    <w:r>
      <w:rPr>
        <w:b w:val="0"/>
        <w:sz w:val="21"/>
      </w:rPr>
      <w:t xml:space="preserve">05-45023 (C)    </w:t>
    </w:r>
  </w:p>
  <w:p w:rsidR="00711C14" w:rsidRDefault="00711C14">
    <w:pPr>
      <w:spacing w:before="60" w:line="200" w:lineRule="exact"/>
      <w:rPr>
        <w:rFonts w:ascii="Barcode 3 of 9 by request" w:hAnsi="Barcode 3 of 9 by request"/>
        <w:b/>
      </w:rPr>
    </w:pPr>
    <w:r>
      <w:rPr>
        <w:rFonts w:ascii="Barcode 3 of 9 by request" w:hAnsi="Barcode 3 of 9 by request"/>
        <w:b/>
      </w:rPr>
      <w:t>*0545023*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14" w:rsidRDefault="00711C14">
      <w:r>
        <w:separator/>
      </w:r>
    </w:p>
  </w:footnote>
  <w:footnote w:type="continuationSeparator" w:id="0">
    <w:p w:rsidR="00711C14" w:rsidRDefault="0071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14" w:rsidRDefault="00711C14">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11C14">
                  <w:tblPrEx>
                    <w:tblCellMar>
                      <w:top w:w="0" w:type="dxa"/>
                      <w:bottom w:w="0" w:type="dxa"/>
                    </w:tblCellMar>
                  </w:tblPrEx>
                  <w:trPr>
                    <w:trHeight w:hRule="exact" w:val="864"/>
                  </w:trPr>
                  <w:tc>
                    <w:tcPr>
                      <w:tcW w:w="4838" w:type="dxa"/>
                      <w:vAlign w:val="bottom"/>
                    </w:tcPr>
                    <w:p w:rsidR="00711C14" w:rsidRDefault="00711C14">
                      <w:pPr>
                        <w:pStyle w:val="Header"/>
                        <w:spacing w:after="80"/>
                        <w:rPr>
                          <w:b/>
                          <w:sz w:val="17"/>
                        </w:rPr>
                      </w:pPr>
                      <w:r>
                        <w:rPr>
                          <w:b/>
                          <w:sz w:val="17"/>
                        </w:rPr>
                        <w:t>CEDAW/C/GUY/CO/3-6</w:t>
                      </w:r>
                    </w:p>
                  </w:tc>
                  <w:tc>
                    <w:tcPr>
                      <w:tcW w:w="5048" w:type="dxa"/>
                      <w:vAlign w:val="bottom"/>
                    </w:tcPr>
                    <w:p w:rsidR="00711C14" w:rsidRDefault="00711C14">
                      <w:pPr>
                        <w:pStyle w:val="Header"/>
                      </w:pPr>
                    </w:p>
                  </w:tc>
                </w:tr>
              </w:tbl>
              <w:p w:rsidR="00711C14" w:rsidRDefault="00711C14"/>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14" w:rsidRDefault="00711C14">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11C14">
                  <w:tblPrEx>
                    <w:tblCellMar>
                      <w:top w:w="0" w:type="dxa"/>
                      <w:bottom w:w="0" w:type="dxa"/>
                    </w:tblCellMar>
                  </w:tblPrEx>
                  <w:trPr>
                    <w:trHeight w:hRule="exact" w:val="864"/>
                  </w:trPr>
                  <w:tc>
                    <w:tcPr>
                      <w:tcW w:w="4838" w:type="dxa"/>
                      <w:vAlign w:val="bottom"/>
                    </w:tcPr>
                    <w:p w:rsidR="00711C14" w:rsidRDefault="00711C14">
                      <w:pPr>
                        <w:pStyle w:val="Header"/>
                      </w:pPr>
                    </w:p>
                  </w:tc>
                  <w:tc>
                    <w:tcPr>
                      <w:tcW w:w="5048" w:type="dxa"/>
                      <w:vAlign w:val="bottom"/>
                    </w:tcPr>
                    <w:p w:rsidR="00711C14" w:rsidRDefault="00711C14">
                      <w:pPr>
                        <w:pStyle w:val="Header"/>
                        <w:spacing w:after="80"/>
                        <w:jc w:val="right"/>
                        <w:rPr>
                          <w:b/>
                          <w:sz w:val="17"/>
                        </w:rPr>
                      </w:pPr>
                      <w:r>
                        <w:rPr>
                          <w:b/>
                          <w:sz w:val="17"/>
                        </w:rPr>
                        <w:t>CEDAW/C/GUY/CO/3-6</w:t>
                      </w:r>
                    </w:p>
                  </w:tc>
                </w:tr>
              </w:tbl>
              <w:p w:rsidR="00711C14" w:rsidRDefault="00711C14"/>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11C14">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711C14" w:rsidRDefault="00711C14">
          <w:pPr>
            <w:pStyle w:val="Header"/>
            <w:spacing w:after="120"/>
          </w:pPr>
        </w:p>
      </w:tc>
      <w:tc>
        <w:tcPr>
          <w:tcW w:w="1872" w:type="dxa"/>
          <w:tcBorders>
            <w:top w:val="nil"/>
            <w:left w:val="nil"/>
            <w:bottom w:val="single" w:sz="4" w:space="0" w:color="auto"/>
            <w:right w:val="nil"/>
          </w:tcBorders>
          <w:vAlign w:val="bottom"/>
        </w:tcPr>
        <w:p w:rsidR="00711C14" w:rsidRDefault="00711C14">
          <w:pPr>
            <w:pStyle w:val="HCh"/>
            <w:spacing w:after="80"/>
            <w:rPr>
              <w:rFonts w:eastAsia="SimSun"/>
              <w:spacing w:val="40"/>
              <w:w w:val="96"/>
            </w:rPr>
          </w:pPr>
        </w:p>
      </w:tc>
      <w:tc>
        <w:tcPr>
          <w:tcW w:w="245" w:type="dxa"/>
          <w:tcBorders>
            <w:top w:val="nil"/>
            <w:left w:val="nil"/>
            <w:bottom w:val="single" w:sz="4" w:space="0" w:color="auto"/>
            <w:right w:val="nil"/>
          </w:tcBorders>
          <w:vAlign w:val="bottom"/>
        </w:tcPr>
        <w:p w:rsidR="00711C14" w:rsidRDefault="00711C14">
          <w:pPr>
            <w:pStyle w:val="Header"/>
            <w:spacing w:after="120"/>
          </w:pPr>
        </w:p>
      </w:tc>
      <w:tc>
        <w:tcPr>
          <w:tcW w:w="6523" w:type="dxa"/>
          <w:gridSpan w:val="3"/>
          <w:tcBorders>
            <w:top w:val="nil"/>
            <w:left w:val="nil"/>
            <w:bottom w:val="single" w:sz="4" w:space="0" w:color="auto"/>
            <w:right w:val="nil"/>
          </w:tcBorders>
          <w:vAlign w:val="bottom"/>
        </w:tcPr>
        <w:p w:rsidR="00711C14" w:rsidRDefault="00711C14">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/C/GUY/CO/3-6</w:t>
          </w:r>
        </w:p>
      </w:tc>
    </w:tr>
    <w:tr w:rsidR="00711C14">
      <w:tblPrEx>
        <w:tblCellMar>
          <w:top w:w="0" w:type="dxa"/>
          <w:bottom w:w="0" w:type="dxa"/>
        </w:tblCellMar>
      </w:tblPrEx>
      <w:trPr>
        <w:trHeight w:hRule="exact" w:val="2880"/>
      </w:trPr>
      <w:tc>
        <w:tcPr>
          <w:tcW w:w="1267" w:type="dxa"/>
          <w:tcBorders>
            <w:left w:val="nil"/>
            <w:bottom w:val="single" w:sz="12" w:space="0" w:color="auto"/>
            <w:right w:val="nil"/>
          </w:tcBorders>
        </w:tcPr>
        <w:p w:rsidR="00711C14" w:rsidRDefault="00711C14">
          <w:pPr>
            <w:pStyle w:val="Header"/>
            <w:spacing w:before="109"/>
            <w:ind w:left="-72"/>
          </w:pPr>
          <w:r>
            <w:t xml:space="preserve"> </w:t>
          </w:r>
        </w:p>
        <w:p w:rsidR="00711C14" w:rsidRDefault="00711C14">
          <w:pPr>
            <w:pStyle w:val="Header"/>
            <w:spacing w:before="109"/>
            <w:ind w:left="-72"/>
          </w:pPr>
        </w:p>
      </w:tc>
      <w:tc>
        <w:tcPr>
          <w:tcW w:w="5227" w:type="dxa"/>
          <w:gridSpan w:val="3"/>
          <w:tcBorders>
            <w:left w:val="nil"/>
            <w:bottom w:val="single" w:sz="12" w:space="0" w:color="auto"/>
            <w:right w:val="nil"/>
          </w:tcBorders>
        </w:tcPr>
        <w:p w:rsidR="00711C14" w:rsidRDefault="00711C14">
          <w:pPr>
            <w:pStyle w:val="XLarge"/>
            <w:spacing w:before="109" w:after="140" w:line="400" w:lineRule="exact"/>
            <w:rPr>
              <w:sz w:val="34"/>
            </w:rPr>
          </w:pPr>
        </w:p>
      </w:tc>
      <w:tc>
        <w:tcPr>
          <w:tcW w:w="245" w:type="dxa"/>
          <w:tcBorders>
            <w:left w:val="nil"/>
            <w:bottom w:val="single" w:sz="12" w:space="0" w:color="auto"/>
            <w:right w:val="nil"/>
          </w:tcBorders>
        </w:tcPr>
        <w:p w:rsidR="00711C14" w:rsidRDefault="00711C14">
          <w:pPr>
            <w:pStyle w:val="Header"/>
            <w:spacing w:before="109"/>
          </w:pPr>
        </w:p>
      </w:tc>
      <w:tc>
        <w:tcPr>
          <w:tcW w:w="3180" w:type="dxa"/>
          <w:gridSpan w:val="2"/>
          <w:tcBorders>
            <w:left w:val="nil"/>
            <w:bottom w:val="single" w:sz="12" w:space="0" w:color="auto"/>
            <w:right w:val="nil"/>
          </w:tcBorders>
        </w:tcPr>
        <w:p w:rsidR="00711C14" w:rsidRDefault="00711C14">
          <w:pPr>
            <w:spacing w:before="240" w:line="240" w:lineRule="exact"/>
            <w:rPr>
              <w:rFonts w:ascii="Times New Roman"/>
            </w:rPr>
          </w:pPr>
        </w:p>
        <w:p w:rsidR="00711C14" w:rsidRDefault="00711C14">
          <w:pPr>
            <w:spacing w:line="240" w:lineRule="exact"/>
            <w:rPr>
              <w:rFonts w:ascii="Times New Roman"/>
            </w:rPr>
          </w:pPr>
          <w:r>
            <w:rPr>
              <w:rFonts w:ascii="Times New Roman"/>
            </w:rPr>
            <w:t>22 July 2005</w:t>
          </w:r>
        </w:p>
        <w:p w:rsidR="00711C14" w:rsidRDefault="00711C14">
          <w:pPr>
            <w:spacing w:line="240" w:lineRule="exact"/>
            <w:rPr>
              <w:rFonts w:ascii="Times New Roman"/>
            </w:rPr>
          </w:pPr>
          <w:r>
            <w:rPr>
              <w:rFonts w:ascii="Times New Roman"/>
            </w:rPr>
            <w:t>Chinese</w:t>
          </w:r>
        </w:p>
        <w:p w:rsidR="00711C14" w:rsidRDefault="00711C14">
          <w:pPr>
            <w:spacing w:line="240" w:lineRule="exact"/>
            <w:rPr>
              <w:rFonts w:ascii="Times New Roman"/>
            </w:rPr>
          </w:pPr>
          <w:r>
            <w:rPr>
              <w:rFonts w:ascii="Times New Roman"/>
            </w:rPr>
            <w:t>Original: English</w:t>
          </w:r>
        </w:p>
      </w:tc>
    </w:tr>
  </w:tbl>
  <w:p w:rsidR="00711C14" w:rsidRDefault="00711C1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8/2005 10:07 AM"/>
    <w:docVar w:name="DocCategory" w:val="Doc"/>
    <w:docVar w:name="DocType" w:val="Final"/>
    <w:docVar w:name="JobNo" w:val="0545023C"/>
    <w:docVar w:name="OandT" w:val=" "/>
    <w:docVar w:name="Symbol1" w:val="CEDAW/C/GUY/CO/3-6"/>
    <w:docVar w:name="Symbol2" w:val="-"/>
  </w:docVars>
  <w:rsids>
    <w:rsidRoot w:val="00711C14"/>
    <w:rsid w:val="00711C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711C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Pages>
  <Words>1063</Words>
  <Characters>6062</Characters>
  <Application>Microsoft Office Word</Application>
  <DocSecurity>4</DocSecurity>
  <Lines>50</Lines>
  <Paragraphs>14</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Chuanzong.Du</dc:creator>
  <cp:keywords/>
  <dc:description/>
  <cp:lastModifiedBy>ctpu1</cp:lastModifiedBy>
  <cp:revision>13</cp:revision>
  <cp:lastPrinted>2005-08-08T10:55:00Z</cp:lastPrinted>
  <dcterms:created xsi:type="dcterms:W3CDTF">2005-08-08T09:07:00Z</dcterms:created>
  <dcterms:modified xsi:type="dcterms:W3CDTF">2008-03-07T09:27:00Z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0545023</vt:lpwstr>
  </property>
  <property fmtid="{D5CDD505-2E9C-101B-9397-08002B2CF9AE}" pid="3" name="Symbol1">
    <vt:lpwstr>CEDAW/C/GUY/CO/3-6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