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7B296A0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AB9369" w14:textId="77777777" w:rsidR="002D5AAC" w:rsidRDefault="002D5AAC" w:rsidP="00B706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34306A6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D62F08A" w14:textId="48F84A09" w:rsidR="002D5AAC" w:rsidRDefault="00B70652" w:rsidP="00B70652">
            <w:pPr>
              <w:jc w:val="right"/>
            </w:pPr>
            <w:r w:rsidRPr="00880923">
              <w:rPr>
                <w:sz w:val="40"/>
              </w:rPr>
              <w:t>CAT</w:t>
            </w:r>
            <w:r w:rsidRPr="00880923">
              <w:t>/C/LTU/CO/4</w:t>
            </w:r>
          </w:p>
        </w:tc>
      </w:tr>
      <w:tr w:rsidR="002D5AAC" w:rsidRPr="00705814" w14:paraId="7D91BAAB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4976AE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AD2259" wp14:editId="7E0B87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5AC31C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21003B" w14:textId="77777777" w:rsidR="002D5AAC" w:rsidRPr="00876600" w:rsidRDefault="00B70652" w:rsidP="00F90E40">
            <w:pPr>
              <w:spacing w:before="240"/>
              <w:rPr>
                <w:lang w:val="en-US"/>
              </w:rPr>
            </w:pPr>
            <w:r w:rsidRPr="00876600">
              <w:rPr>
                <w:lang w:val="en-US"/>
              </w:rPr>
              <w:t>Distr.: General</w:t>
            </w:r>
          </w:p>
          <w:p w14:paraId="7D6B4A36" w14:textId="595C559E" w:rsidR="00B70652" w:rsidRPr="00876600" w:rsidRDefault="00B70652" w:rsidP="00B70652">
            <w:pPr>
              <w:spacing w:line="240" w:lineRule="exact"/>
              <w:rPr>
                <w:lang w:val="en-US"/>
              </w:rPr>
            </w:pPr>
            <w:r w:rsidRPr="00876600">
              <w:rPr>
                <w:lang w:val="en-US"/>
              </w:rPr>
              <w:t>2</w:t>
            </w:r>
            <w:r w:rsidR="00FD2BD9">
              <w:rPr>
                <w:lang w:val="en-US"/>
              </w:rPr>
              <w:t>1</w:t>
            </w:r>
            <w:r w:rsidRPr="00876600">
              <w:rPr>
                <w:lang w:val="en-US"/>
              </w:rPr>
              <w:t xml:space="preserve"> December 202</w:t>
            </w:r>
            <w:r w:rsidR="00705814">
              <w:rPr>
                <w:lang w:val="en-US"/>
              </w:rPr>
              <w:t>1</w:t>
            </w:r>
          </w:p>
          <w:p w14:paraId="5E253496" w14:textId="77777777" w:rsidR="00B70652" w:rsidRPr="00876600" w:rsidRDefault="00B70652" w:rsidP="00B70652">
            <w:pPr>
              <w:spacing w:line="240" w:lineRule="exact"/>
              <w:rPr>
                <w:lang w:val="en-US"/>
              </w:rPr>
            </w:pPr>
            <w:r w:rsidRPr="00876600">
              <w:rPr>
                <w:lang w:val="en-US"/>
              </w:rPr>
              <w:t>Russian</w:t>
            </w:r>
          </w:p>
          <w:p w14:paraId="5EFBD11A" w14:textId="6781BE33" w:rsidR="00B70652" w:rsidRPr="00876600" w:rsidRDefault="00B70652" w:rsidP="00B70652">
            <w:pPr>
              <w:spacing w:line="240" w:lineRule="exact"/>
              <w:rPr>
                <w:lang w:val="en-US"/>
              </w:rPr>
            </w:pPr>
            <w:r w:rsidRPr="00876600">
              <w:rPr>
                <w:lang w:val="en-US"/>
              </w:rPr>
              <w:t>Original: English</w:t>
            </w:r>
          </w:p>
        </w:tc>
      </w:tr>
    </w:tbl>
    <w:p w14:paraId="247209B3" w14:textId="77777777" w:rsidR="00B70652" w:rsidRPr="00876600" w:rsidRDefault="00B70652" w:rsidP="00B70652">
      <w:pPr>
        <w:spacing w:before="120"/>
        <w:rPr>
          <w:b/>
          <w:bCs/>
          <w:color w:val="000000" w:themeColor="text1"/>
          <w:sz w:val="24"/>
          <w:szCs w:val="24"/>
        </w:rPr>
      </w:pPr>
      <w:r w:rsidRPr="00876600">
        <w:rPr>
          <w:b/>
          <w:bCs/>
          <w:sz w:val="24"/>
          <w:szCs w:val="24"/>
        </w:rPr>
        <w:t>Комитет против пыток</w:t>
      </w:r>
    </w:p>
    <w:p w14:paraId="45EAE3B4" w14:textId="77777777" w:rsidR="00B70652" w:rsidRPr="008744BB" w:rsidRDefault="00B70652" w:rsidP="00B70652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четвертому периодическому докладу Литвы</w:t>
      </w:r>
      <w:r w:rsidRPr="002217D3">
        <w:rPr>
          <w:b w:val="0"/>
          <w:bCs/>
          <w:sz w:val="20"/>
          <w:szCs w:val="14"/>
        </w:rPr>
        <w:footnoteReference w:customMarkFollows="1" w:id="1"/>
        <w:t>*</w:t>
      </w:r>
    </w:p>
    <w:p w14:paraId="5F2E5BC3" w14:textId="77777777" w:rsidR="00B70652" w:rsidRPr="008744BB" w:rsidRDefault="00B70652" w:rsidP="00B70652">
      <w:pPr>
        <w:pStyle w:val="SingleTxtG"/>
      </w:pPr>
      <w:r>
        <w:t>1.</w:t>
      </w:r>
      <w:r>
        <w:tab/>
        <w:t>Комитет против пыток рассмотрел четвертый периодический доклад Литвы</w:t>
      </w:r>
      <w:r w:rsidRPr="002217D3">
        <w:rPr>
          <w:rStyle w:val="aa"/>
        </w:rPr>
        <w:footnoteReference w:id="2"/>
      </w:r>
      <w:r>
        <w:t xml:space="preserve"> на своих 1854-м и 1857-м заседаниях, состоявшихся 17 и 18 ноября 2021 года</w:t>
      </w:r>
      <w:r w:rsidRPr="002217D3">
        <w:rPr>
          <w:rStyle w:val="aa"/>
        </w:rPr>
        <w:footnoteReference w:id="3"/>
      </w:r>
      <w:r>
        <w:t>, и на своем 1871-м заседании, состоявшемся 29 ноября 2021 года, принял настоящие заключительные замечания.</w:t>
      </w:r>
    </w:p>
    <w:p w14:paraId="10832CD9" w14:textId="77777777" w:rsidR="00B70652" w:rsidRPr="008744BB" w:rsidRDefault="00B70652" w:rsidP="00B70652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135C2E9E" w14:textId="77777777" w:rsidR="00B70652" w:rsidRPr="008744BB" w:rsidRDefault="00B70652" w:rsidP="00B70652">
      <w:pPr>
        <w:pStyle w:val="SingleTxtG"/>
      </w:pPr>
      <w:r>
        <w:t>2.</w:t>
      </w:r>
      <w:r>
        <w:tab/>
        <w:t>Комитет выражает признательность государству-участнику за согласие следовать упрощенной процедуре представления докладов и за представление своего периодического доклада в соответствии с ней, поскольку это способствует улучшению сотрудничества между государством-участником и Комитетом и задает более четкую направленность рассмотрению доклада и диалогу с делегацией.</w:t>
      </w:r>
    </w:p>
    <w:p w14:paraId="52751633" w14:textId="77777777" w:rsidR="00B70652" w:rsidRPr="008744BB" w:rsidRDefault="00B70652" w:rsidP="00B70652">
      <w:pPr>
        <w:pStyle w:val="SingleTxtG"/>
      </w:pPr>
      <w:r>
        <w:t>3.</w:t>
      </w:r>
      <w:r>
        <w:tab/>
        <w:t>Комитет выражает удовлетворение в связи с возможностью провести конструктивный диалог с делегацией государства-участника и высоко оценивает устные и письменные ответы на вопросы и озабоченности, прозвучавшие в ходе рассмотрения периодического доклада.</w:t>
      </w:r>
    </w:p>
    <w:p w14:paraId="70E18235" w14:textId="77777777" w:rsidR="00B70652" w:rsidRPr="008744BB" w:rsidRDefault="00B70652" w:rsidP="00B70652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164D29BC" w14:textId="77777777" w:rsidR="00B70652" w:rsidRPr="008744BB" w:rsidRDefault="00B70652" w:rsidP="00B70652">
      <w:pPr>
        <w:pStyle w:val="SingleTxtG"/>
      </w:pPr>
      <w:r>
        <w:t>4.</w:t>
      </w:r>
      <w:r>
        <w:tab/>
        <w:t>Комитет приветствует инициативы государства-участника по пересмотру своего законодательства и политики, а также административные и институциональные меры, принятые в областях, имеющих отношение к Конвенции, включая:</w:t>
      </w:r>
    </w:p>
    <w:p w14:paraId="2946DC27" w14:textId="5B93176A" w:rsidR="00B70652" w:rsidRPr="008744BB" w:rsidRDefault="00876600" w:rsidP="00B70652">
      <w:pPr>
        <w:pStyle w:val="SingleTxtG"/>
      </w:pPr>
      <w:r>
        <w:tab/>
      </w:r>
      <w:r w:rsidR="00B70652">
        <w:t>a)</w:t>
      </w:r>
      <w:r w:rsidR="00B70652">
        <w:tab/>
        <w:t>внесение в 2019 году поправок в Уголовный, Уголовно-процессуальный и Уголовно-исполнительный кодексы, предусматривающих возможность для заключенных, приговоренных к пожизненному лишению свободы, ходатайствовать о смягчении наказания и условном освобождении;</w:t>
      </w:r>
    </w:p>
    <w:p w14:paraId="1E788941" w14:textId="34F63000" w:rsidR="00B70652" w:rsidRPr="008744BB" w:rsidRDefault="00876600" w:rsidP="00B70652">
      <w:pPr>
        <w:pStyle w:val="SingleTxtG"/>
      </w:pPr>
      <w:r>
        <w:tab/>
      </w:r>
      <w:r w:rsidR="00B70652">
        <w:t>b)</w:t>
      </w:r>
      <w:r w:rsidR="00B70652">
        <w:tab/>
        <w:t>внесение в 2019 году поправок в Закон о психиатрической помощи, предусматривающих введение правовых гарантий в контексте недобровольной госпитализации и лечения лиц с психической и психосоциальной инвалидностью в психиатрических учреждениях;</w:t>
      </w:r>
    </w:p>
    <w:p w14:paraId="1136483A" w14:textId="54F6F5D5" w:rsidR="00B70652" w:rsidRPr="008744BB" w:rsidRDefault="00876600" w:rsidP="00B70652">
      <w:pPr>
        <w:pStyle w:val="SingleTxtG"/>
      </w:pPr>
      <w:r>
        <w:tab/>
      </w:r>
      <w:r w:rsidR="00B70652">
        <w:t>c)</w:t>
      </w:r>
      <w:r w:rsidR="00B70652">
        <w:tab/>
        <w:t xml:space="preserve">внесение в 2017 году поправок в Уголовно-процессуальный кодекс, Закон об адвокатуре и Закон о содержании под стражей, расширяющих права и процессуальные гарантии участников уголовного процесса, не владеющих официальным языком государства-участника, с тем чтобы они могли общаться со </w:t>
      </w:r>
      <w:r w:rsidR="00B70652">
        <w:lastRenderedPageBreak/>
        <w:t xml:space="preserve">своим защитником и реально участвовать в судебном процессе на понятном им языке; обеспечение права всех лиц на доступ к адвокату с момента задержания или до первого допроса; укрепление гарантий конфиденциальности общения между участниками уголовного процесса и их защитниками; и снятие ограничений на телефонные разговоры задержанных с их защитниками; </w:t>
      </w:r>
    </w:p>
    <w:p w14:paraId="6A7D82BA" w14:textId="2141CA7E" w:rsidR="00B70652" w:rsidRPr="008744BB" w:rsidRDefault="00876600" w:rsidP="00B70652">
      <w:pPr>
        <w:pStyle w:val="SingleTxtG"/>
      </w:pPr>
      <w:r>
        <w:tab/>
      </w:r>
      <w:r w:rsidR="00B70652">
        <w:t>d)</w:t>
      </w:r>
      <w:r w:rsidR="00B70652">
        <w:tab/>
        <w:t>отмену административного ареста как меры наказания путем принятия в 2017 году нового Кодекса об административных правонарушениях;</w:t>
      </w:r>
    </w:p>
    <w:p w14:paraId="6C0D1978" w14:textId="7401FCA4" w:rsidR="00B70652" w:rsidRPr="008744BB" w:rsidRDefault="00876600" w:rsidP="00B70652">
      <w:pPr>
        <w:pStyle w:val="SingleTxtG"/>
      </w:pPr>
      <w:r>
        <w:tab/>
      </w:r>
      <w:r w:rsidR="00B70652">
        <w:t>e)</w:t>
      </w:r>
      <w:r w:rsidR="00B70652">
        <w:tab/>
        <w:t>внесение в 2017 году поправок в Закон об основах защиты прав ребенка, запрещающих все формы насилия в отношении детей, включая телесные наказания в любых условиях;</w:t>
      </w:r>
    </w:p>
    <w:p w14:paraId="4D97131E" w14:textId="0B461A9D" w:rsidR="00B70652" w:rsidRPr="008744BB" w:rsidRDefault="00876600" w:rsidP="00B70652">
      <w:pPr>
        <w:pStyle w:val="SingleTxtG"/>
      </w:pPr>
      <w:r>
        <w:tab/>
      </w:r>
      <w:r w:rsidR="00B70652">
        <w:t>f)</w:t>
      </w:r>
      <w:r w:rsidR="00B70652">
        <w:tab/>
        <w:t>внесение в 2017 году поправок в Закон об омбудсмене Сейма, наделяющих национальный превентивный механизм правом осуществлять деятельность по предупреждению пыток в местах лишения свободы в соответствии с Факультативным протоколом к Конвенции, а также принятие мер, благодаря которым омбудсмен Сейма был аккредитован в качестве национального правозащитного учреждения, полностью соответствующего принципам, касающимся статуса национальных учреждений по поощрению и защите прав человека (Парижские принципы);</w:t>
      </w:r>
    </w:p>
    <w:p w14:paraId="37C54FEC" w14:textId="1B77B667" w:rsidR="00B70652" w:rsidRPr="00303C4B" w:rsidRDefault="00876600" w:rsidP="00B70652">
      <w:pPr>
        <w:pStyle w:val="SingleTxtG"/>
      </w:pPr>
      <w:r>
        <w:tab/>
      </w:r>
      <w:r w:rsidR="00B70652">
        <w:t>g)</w:t>
      </w:r>
      <w:r w:rsidR="00B70652">
        <w:tab/>
        <w:t>упразднение с 2016 года так называемых «комнат отдыха» во всех «центрах социализации»</w:t>
      </w:r>
      <w:r w:rsidR="00B70652" w:rsidRPr="00303C4B">
        <w:t xml:space="preserve"> </w:t>
      </w:r>
      <w:r w:rsidR="00B70652">
        <w:t>для</w:t>
      </w:r>
      <w:r w:rsidR="00B70652" w:rsidRPr="00303C4B">
        <w:t xml:space="preserve"> </w:t>
      </w:r>
      <w:r w:rsidR="00B70652">
        <w:t>несовершеннолетних и закрытие Каунасского и Вильнюсского центров социализации детей;</w:t>
      </w:r>
    </w:p>
    <w:p w14:paraId="2797EB66" w14:textId="5A9D5E30" w:rsidR="00B70652" w:rsidRPr="008744BB" w:rsidRDefault="00876600" w:rsidP="00B70652">
      <w:pPr>
        <w:pStyle w:val="SingleTxtG"/>
      </w:pPr>
      <w:r>
        <w:tab/>
      </w:r>
      <w:r w:rsidR="00B70652">
        <w:t>h)</w:t>
      </w:r>
      <w:r w:rsidR="00B70652">
        <w:tab/>
        <w:t xml:space="preserve">внесение в 2015 году поправок в Уголовно-процессуальный кодекс, сокращающих максимальную продолжительность предварительного заключения; </w:t>
      </w:r>
    </w:p>
    <w:p w14:paraId="0A2E79A8" w14:textId="6233504C" w:rsidR="00B70652" w:rsidRPr="008744BB" w:rsidRDefault="00876600" w:rsidP="00B70652">
      <w:pPr>
        <w:pStyle w:val="SingleTxtG"/>
      </w:pPr>
      <w:r>
        <w:tab/>
      </w:r>
      <w:r w:rsidR="00B70652">
        <w:t>i)</w:t>
      </w:r>
      <w:r w:rsidR="00B70652">
        <w:tab/>
        <w:t>внесение в 2015 году поправок в Закон о</w:t>
      </w:r>
      <w:r w:rsidR="00B70652" w:rsidRPr="008744BB">
        <w:t xml:space="preserve"> </w:t>
      </w:r>
      <w:r w:rsidR="00B70652">
        <w:t>содержании под стражей, ограничивающих основания для временного перевода задержанных лиц из следственного изолятора в полицейский изолятор.</w:t>
      </w:r>
    </w:p>
    <w:p w14:paraId="33FDCE17" w14:textId="77777777" w:rsidR="00B70652" w:rsidRPr="008744BB" w:rsidRDefault="00B70652" w:rsidP="00B70652">
      <w:pPr>
        <w:pStyle w:val="SingleTxtG"/>
      </w:pPr>
      <w:r>
        <w:t>5.</w:t>
      </w:r>
      <w:r>
        <w:tab/>
        <w:t xml:space="preserve">Комитет приветствует использование новых технологий для содействия образованию в области прав человека и </w:t>
      </w:r>
      <w:r w:rsidRPr="00566BCB">
        <w:t>распространения знаний</w:t>
      </w:r>
      <w:r>
        <w:t xml:space="preserve"> о законах и правах, а также для электронного мониторинга и наблюдения за исполнением наказаний, что позволяет сократить число задержанных и расширить применение мер, не связанных с лишением свободы.</w:t>
      </w:r>
    </w:p>
    <w:p w14:paraId="2AD81AB4" w14:textId="383FE75B" w:rsidR="00B70652" w:rsidRPr="008744BB" w:rsidRDefault="00B70652" w:rsidP="00B70652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 w:rsidR="00876600">
        <w:rPr>
          <w:bCs/>
          <w:lang w:val="en-US"/>
        </w:rPr>
        <w:t> </w:t>
      </w:r>
      <w:r>
        <w:rPr>
          <w:bCs/>
        </w:rPr>
        <w:t>рекомендации</w:t>
      </w:r>
    </w:p>
    <w:p w14:paraId="3F8536C5" w14:textId="116F656E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Вопросы последующей деятельности, оставшиеся нерассмотренными со</w:t>
      </w:r>
      <w:r w:rsidR="00876600">
        <w:rPr>
          <w:bCs/>
          <w:lang w:val="en-US"/>
        </w:rPr>
        <w:t> </w:t>
      </w:r>
      <w:r>
        <w:rPr>
          <w:bCs/>
        </w:rPr>
        <w:t>времени предыдущего цикла представления докладов</w:t>
      </w:r>
    </w:p>
    <w:p w14:paraId="7492F310" w14:textId="71BA1FF4" w:rsidR="00B70652" w:rsidRPr="008744BB" w:rsidRDefault="00B70652" w:rsidP="00B70652">
      <w:pPr>
        <w:pStyle w:val="SingleTxtG"/>
      </w:pPr>
      <w:r>
        <w:t>6.</w:t>
      </w:r>
      <w:r>
        <w:tab/>
        <w:t>В своих предыдущих заключительных замечаниях</w:t>
      </w:r>
      <w:r w:rsidRPr="002217D3">
        <w:rPr>
          <w:rStyle w:val="aa"/>
        </w:rPr>
        <w:footnoteReference w:id="4"/>
      </w:r>
      <w:r>
        <w:t xml:space="preserve"> Комитет просил государство-участник представить дополнительную информацию о шагах, предпринятых для выполнения рекомендаций Комитета, касающихся укрепления правовых гарантий для лиц, лишенных свободы</w:t>
      </w:r>
      <w:r w:rsidRPr="002217D3">
        <w:rPr>
          <w:rStyle w:val="aa"/>
        </w:rPr>
        <w:footnoteReference w:id="5"/>
      </w:r>
      <w:r>
        <w:t>, большого числа лиц, содержащихся в предварительном и административном заключении, и продолжительности такого содержания под стражей</w:t>
      </w:r>
      <w:r w:rsidRPr="002217D3">
        <w:rPr>
          <w:rStyle w:val="aa"/>
        </w:rPr>
        <w:footnoteReference w:id="6"/>
      </w:r>
      <w:r>
        <w:t>, а также условий содержания в полицейских изоляторах</w:t>
      </w:r>
      <w:r w:rsidRPr="002217D3">
        <w:rPr>
          <w:rStyle w:val="aa"/>
        </w:rPr>
        <w:footnoteReference w:id="7"/>
      </w:r>
      <w:r>
        <w:t>. С</w:t>
      </w:r>
      <w:r w:rsidR="00876600">
        <w:rPr>
          <w:lang w:val="en-US"/>
        </w:rPr>
        <w:t> </w:t>
      </w:r>
      <w:r>
        <w:t>признательностью отмечая ответы, представленные в этой связи государством-участником 9 июня 2015 года в соответствии с процедурой последующей деятельности</w:t>
      </w:r>
      <w:r w:rsidRPr="002217D3">
        <w:rPr>
          <w:rStyle w:val="aa"/>
        </w:rPr>
        <w:footnoteReference w:id="8"/>
      </w:r>
      <w:r>
        <w:t>, и ссылаясь на адресованное государству-участнику письмо Докладчика Комитета по последующим мерам в связи с заключительными замечаниями от 29</w:t>
      </w:r>
      <w:r w:rsidR="00876600">
        <w:rPr>
          <w:lang w:val="en-US"/>
        </w:rPr>
        <w:t> </w:t>
      </w:r>
      <w:r>
        <w:t>августа 2016 года, Комитет считает, что рекомендации, содержащиеся в пунктах</w:t>
      </w:r>
      <w:r w:rsidR="00876600">
        <w:rPr>
          <w:lang w:val="en-US"/>
        </w:rPr>
        <w:t> </w:t>
      </w:r>
      <w:r>
        <w:t xml:space="preserve">10 </w:t>
      </w:r>
      <w:r>
        <w:lastRenderedPageBreak/>
        <w:t>и 11 с) его предыдущих заключительных замечаний, не были выполнены в полном объеме (см. пункты 8</w:t>
      </w:r>
      <w:r w:rsidR="00876600" w:rsidRPr="00F214BD">
        <w:t>–</w:t>
      </w:r>
      <w:r>
        <w:t>9 ниже).</w:t>
      </w:r>
    </w:p>
    <w:p w14:paraId="4483A24D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Определение и квалификация пытки в качестве преступления</w:t>
      </w:r>
      <w:r>
        <w:t xml:space="preserve"> </w:t>
      </w:r>
    </w:p>
    <w:p w14:paraId="08F6369F" w14:textId="77777777" w:rsidR="00B70652" w:rsidRPr="008744BB" w:rsidRDefault="00B70652" w:rsidP="00B70652">
      <w:pPr>
        <w:pStyle w:val="SingleTxtG"/>
      </w:pPr>
      <w:r>
        <w:t>7.</w:t>
      </w:r>
      <w:r>
        <w:tab/>
        <w:t>Комитет приветствует принятые в 2019 году поправки к Уголовному кодексу государства-участника, устанавливающие уголовную ответственность за пытки как за отдельное преступление, на которое не распространяется срок давности. Комитет считает, что новое определение преступления пытки, содержащееся в статье 100 (ч. 3) Уголовного кодекса, в целом соответствует положениям статьи 1 Конвенции. Вместе с тем он обеспокоен тем, что, вопреки положениям Конвенции, это определение не включает в себя причинение боли или страданий с целью получить от жертвы или от третьего лица сведения или признание, наказать его за действие, которое совершило оно или третье лицо или в совершении которого оно подозревается, а также запугать или принудить его или третье лицо, или по любой причине, основанной на дискриминации любого характера. Комитет также с озабоченностью отмечает, что Уголовный кодекс не предусматривает надлежащего наказания за акты пыток, поскольку установленное в нем максимальное наказание за пытки составляет пять лет лишения свободы, что несоразмерно тяжести этого преступления (статьи 1 и 4).</w:t>
      </w:r>
    </w:p>
    <w:p w14:paraId="689A32A6" w14:textId="77777777" w:rsidR="00B70652" w:rsidRPr="008744BB" w:rsidRDefault="00B70652" w:rsidP="00B70652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настоятельно призывает государство-участник изменить определение преступления пытки в статье 100 (ч. 3) Уголовного кодекса, включив в него акты пыток, совершаемые по предусмотренным Конвенцией мотивам или основаниям, в том числе для запугивания или принуждения третьего лица и получения от него информации или признания.</w:t>
      </w:r>
      <w:r>
        <w:t xml:space="preserve"> </w:t>
      </w:r>
      <w:r>
        <w:rPr>
          <w:b/>
          <w:bCs/>
        </w:rPr>
        <w:t>Государству-участнику следует также обеспечить, чтобы наказания за пытки в его законодательстве отражали тяжкий характер этого преступления в соответствии с пунктом 2 статьи 4 Конвенции.</w:t>
      </w:r>
    </w:p>
    <w:p w14:paraId="7E95EFAE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Основные правовые гарантии</w:t>
      </w:r>
    </w:p>
    <w:p w14:paraId="5918DD32" w14:textId="77777777" w:rsidR="00B70652" w:rsidRPr="008744BB" w:rsidRDefault="00B70652" w:rsidP="00B70652">
      <w:pPr>
        <w:pStyle w:val="SingleTxtG"/>
      </w:pPr>
      <w:r>
        <w:t>9.</w:t>
      </w:r>
      <w:r>
        <w:tab/>
        <w:t xml:space="preserve">Комитет выражает сожаление в связи с отсутствием информации о результатах мониторинга, проводимого с целью обеспечения соблюдения на практике основных правовых гарантий против применения пыток к заключенным, или сведений о том, были ли назначены наказания в случаях несоблюдения этих гарантий. Комитет также по-прежнему обеспокоен тем, что срок содержания под стражей в полицейских изоляторах не является минимальным и может продолжаться до 15 суток при первоначальном задержании и до 7 суток в случае  временного перевода из следственного изолятора в полицейский изолятор (статьи 2, 11 и 16). </w:t>
      </w:r>
    </w:p>
    <w:p w14:paraId="29EAB217" w14:textId="77777777" w:rsidR="00B70652" w:rsidRPr="008744BB" w:rsidRDefault="00B70652" w:rsidP="00B70652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Ссылаясь на свои предыдущие рекомендации</w:t>
      </w:r>
      <w:r w:rsidRPr="0069465F">
        <w:rPr>
          <w:rStyle w:val="aa"/>
        </w:rPr>
        <w:footnoteReference w:id="9"/>
      </w:r>
      <w:r>
        <w:rPr>
          <w:b/>
          <w:bCs/>
        </w:rPr>
        <w:t>, Комитет рекомендует государству-участнику:</w:t>
      </w:r>
    </w:p>
    <w:p w14:paraId="2BBED78D" w14:textId="4A972492" w:rsidR="00B70652" w:rsidRPr="008744BB" w:rsidRDefault="00F214BD" w:rsidP="00B70652">
      <w:pPr>
        <w:pStyle w:val="SingleTxtG"/>
        <w:rPr>
          <w:b/>
          <w:bCs/>
        </w:rPr>
      </w:pPr>
      <w:r>
        <w:tab/>
      </w:r>
      <w:r w:rsidR="00B70652" w:rsidRPr="00F214BD">
        <w:rPr>
          <w:b/>
          <w:bCs/>
        </w:rPr>
        <w:t>a)</w:t>
      </w:r>
      <w:r w:rsidR="00B70652">
        <w:tab/>
      </w:r>
      <w:r w:rsidR="00B70652">
        <w:rPr>
          <w:b/>
          <w:bCs/>
        </w:rPr>
        <w:t>принять меры к тому, чтобы всем арестованным или задержанным лицам на практике предоставлялись все основные гарантии защиты от пыток с момента взятия под стражу, включая право быть проинформированным и иметь представление о своих правах, право на незамедлительный доступ к адвокату и, в случае необходимости, на бесплатную правовую помощь;</w:t>
      </w:r>
      <w:r w:rsidR="00B70652" w:rsidRPr="00212BF6">
        <w:rPr>
          <w:b/>
          <w:bCs/>
        </w:rPr>
        <w:t xml:space="preserve"> </w:t>
      </w:r>
      <w:r w:rsidR="00B70652">
        <w:rPr>
          <w:b/>
          <w:bCs/>
        </w:rPr>
        <w:t>право на уведомление члена своей семьи или другого соответствующего лица по своему выбору;</w:t>
      </w:r>
      <w:r w:rsidR="00B70652">
        <w:t xml:space="preserve"> </w:t>
      </w:r>
      <w:r w:rsidR="00B70652">
        <w:rPr>
          <w:b/>
          <w:bCs/>
        </w:rPr>
        <w:t>и право на медицинский осмотр независимым врачом и по возможности врачом по своему выбору, в соответствии с международными стандартами;</w:t>
      </w:r>
    </w:p>
    <w:p w14:paraId="536002BB" w14:textId="2362E090" w:rsidR="00B70652" w:rsidRPr="008744BB" w:rsidRDefault="00F214BD" w:rsidP="00B70652">
      <w:pPr>
        <w:pStyle w:val="SingleTxtG"/>
        <w:rPr>
          <w:b/>
          <w:bCs/>
        </w:rPr>
      </w:pPr>
      <w:r>
        <w:tab/>
      </w:r>
      <w:r w:rsidR="00B70652" w:rsidRPr="00F214BD">
        <w:rPr>
          <w:b/>
          <w:bCs/>
        </w:rPr>
        <w:t>b)</w:t>
      </w:r>
      <w:r w:rsidR="00B70652">
        <w:tab/>
      </w:r>
      <w:r w:rsidR="00B70652">
        <w:rPr>
          <w:b/>
          <w:bCs/>
        </w:rPr>
        <w:t>обеспечить, чтобы продолжительность досудебного содержания под стражей в полицейских изоляторах была минимальной и чтобы лица, подвергаемые досудебному заключению под стражу, всегда безотлагательно переводились в следственный изолятор;</w:t>
      </w:r>
      <w:r w:rsidR="00B70652">
        <w:t xml:space="preserve"> </w:t>
      </w:r>
    </w:p>
    <w:p w14:paraId="255596DA" w14:textId="234DC0E4" w:rsidR="00B70652" w:rsidRPr="008744BB" w:rsidRDefault="00F214BD" w:rsidP="00B70652">
      <w:pPr>
        <w:pStyle w:val="SingleTxtG"/>
        <w:rPr>
          <w:b/>
          <w:bCs/>
        </w:rPr>
      </w:pPr>
      <w:r>
        <w:tab/>
      </w:r>
      <w:r w:rsidR="00B70652" w:rsidRPr="00F214BD">
        <w:rPr>
          <w:b/>
          <w:bCs/>
        </w:rPr>
        <w:t>c)</w:t>
      </w:r>
      <w:r w:rsidR="00B70652">
        <w:tab/>
      </w:r>
      <w:r w:rsidR="00B70652">
        <w:rPr>
          <w:b/>
          <w:bCs/>
        </w:rPr>
        <w:t>обеспечить, чтобы возвращение заключенных в полицейские изоляторы было возможно только в исключительных случаях и на как можно более короткий срок.</w:t>
      </w:r>
      <w:r w:rsidR="00B70652">
        <w:t xml:space="preserve"> </w:t>
      </w:r>
    </w:p>
    <w:p w14:paraId="5F88F7A5" w14:textId="77777777" w:rsidR="00B70652" w:rsidRPr="008744BB" w:rsidRDefault="00B70652" w:rsidP="00B70652">
      <w:pPr>
        <w:pStyle w:val="H23G"/>
      </w:pPr>
      <w:r>
        <w:lastRenderedPageBreak/>
        <w:tab/>
      </w:r>
      <w:r>
        <w:tab/>
      </w:r>
      <w:r>
        <w:rPr>
          <w:bCs/>
        </w:rPr>
        <w:t>Кризис, связанный с беженцами и мигрантами</w:t>
      </w:r>
      <w:r>
        <w:t xml:space="preserve"> </w:t>
      </w:r>
    </w:p>
    <w:p w14:paraId="2491559A" w14:textId="77777777" w:rsidR="00B70652" w:rsidRPr="008744BB" w:rsidRDefault="00B70652" w:rsidP="00B70652">
      <w:pPr>
        <w:pStyle w:val="SingleTxtG"/>
      </w:pPr>
      <w:r>
        <w:t>11.</w:t>
      </w:r>
      <w:r>
        <w:tab/>
        <w:t xml:space="preserve">Комитет отмечает серьезные и беспрецедентные проблемы, стоящие перед государством-участником в контексте продолжающегося кризиса, </w:t>
      </w:r>
      <w:r w:rsidRPr="00893735">
        <w:t>связанного с беженцами и мигрантами,</w:t>
      </w:r>
      <w:r>
        <w:t xml:space="preserve"> и выражает обеспокоенность по поводу: </w:t>
      </w:r>
    </w:p>
    <w:p w14:paraId="768DB48E" w14:textId="16067B7C" w:rsidR="00B70652" w:rsidRPr="008744BB" w:rsidRDefault="00212BF6" w:rsidP="00B70652">
      <w:pPr>
        <w:pStyle w:val="SingleTxtG"/>
      </w:pPr>
      <w:r>
        <w:tab/>
      </w:r>
      <w:r w:rsidR="00B70652">
        <w:t>a)</w:t>
      </w:r>
      <w:r w:rsidR="00B70652">
        <w:tab/>
        <w:t xml:space="preserve">ограничений свободы передвижения беженцев, просителей убежища и не имеющих документов мигрантов, в частности обязательное фактическое задержание таких лиц, включая семьи с детьми и уязвимых лиц, на длительные сроки в рамках </w:t>
      </w:r>
      <w:r w:rsidR="00B70652" w:rsidRPr="00893735">
        <w:t>пограничных процедур</w:t>
      </w:r>
      <w:r w:rsidR="00B70652">
        <w:t xml:space="preserve"> в пунктах пересечения границы, транзитных зонах и других местах, приспособленных для этих целей, без доступа к процессуальным гарантиям, включая юридическую помощь и средства судебной защиты, чтобы оспорить их де</w:t>
      </w:r>
      <w:r w:rsidR="004321DB">
        <w:noBreakHyphen/>
      </w:r>
      <w:r w:rsidR="00B70652">
        <w:t xml:space="preserve">факто задержание; </w:t>
      </w:r>
    </w:p>
    <w:p w14:paraId="3554B3F5" w14:textId="6AD5FEB7" w:rsidR="00B70652" w:rsidRPr="00303C4B" w:rsidRDefault="00212BF6" w:rsidP="00B70652">
      <w:pPr>
        <w:pStyle w:val="SingleTxtG"/>
      </w:pPr>
      <w:r>
        <w:tab/>
      </w:r>
      <w:r w:rsidR="00B70652">
        <w:t>b)</w:t>
      </w:r>
      <w:r w:rsidR="00B70652">
        <w:tab/>
        <w:t>сообщений о неудовлетворительных условиях приема, включая переполненность, отсутствие отопления, горячей и питьевой воды, низкое качество питания, ограниченный доступ к медицинским услугам, а также отсутствие личного пространства и санитарно-гигиенических средств в местах размещения просителей убежища, беженцев и не имеющих документов мигрантов, в том числе в Центре регистрации иностранцев, центрах Государственной пограничной службы и специальных приемных центрах;</w:t>
      </w:r>
    </w:p>
    <w:p w14:paraId="0D8887F6" w14:textId="2E999038" w:rsidR="00B70652" w:rsidRPr="008744BB" w:rsidRDefault="00212BF6" w:rsidP="00B70652">
      <w:pPr>
        <w:pStyle w:val="SingleTxtG"/>
      </w:pPr>
      <w:r>
        <w:tab/>
      </w:r>
      <w:r w:rsidR="00B70652">
        <w:t>c)</w:t>
      </w:r>
      <w:r w:rsidR="00B70652">
        <w:tab/>
        <w:t xml:space="preserve">сообщений об отсутствии надлежащего механизма выявления уязвимых лиц, включая жертв пыток и других видов жестокого обращения, что препятствует их надлежащему размещению, предоставлению им поддержки и услуг с учетом их конкретных потребностей; </w:t>
      </w:r>
    </w:p>
    <w:p w14:paraId="49D4A68F" w14:textId="543E70CF" w:rsidR="00B70652" w:rsidRPr="008744BB" w:rsidRDefault="00212BF6" w:rsidP="00B70652">
      <w:pPr>
        <w:pStyle w:val="SingleTxtG"/>
      </w:pPr>
      <w:r>
        <w:tab/>
      </w:r>
      <w:r w:rsidR="00B70652">
        <w:t>d)</w:t>
      </w:r>
      <w:r w:rsidR="00B70652">
        <w:tab/>
        <w:t xml:space="preserve">сообщений о непропорциональном применении силы и заявлений о пытках и жестоком обращении со стороны сотрудников служб безопасности в местах размещения беженцев, просителей убежища и не имеющих документов мигрантов, в том числе в лагере Веребежай, а также отсутствия мер по предотвращению и искоренению гендерного насилия в таких местах; </w:t>
      </w:r>
    </w:p>
    <w:p w14:paraId="7E068CA5" w14:textId="7A7AA570" w:rsidR="00B70652" w:rsidRPr="008744BB" w:rsidRDefault="00212BF6" w:rsidP="00B70652">
      <w:pPr>
        <w:pStyle w:val="SingleTxtG"/>
      </w:pPr>
      <w:r>
        <w:tab/>
      </w:r>
      <w:r w:rsidR="00B70652">
        <w:t>e)</w:t>
      </w:r>
      <w:r w:rsidR="00B70652">
        <w:tab/>
        <w:t xml:space="preserve">отсутствия информации о процедуре предоставления убежища, включая вопрос о доступе беженцев и просителей убежища к юридической помощи и услугам по устному переводу; </w:t>
      </w:r>
    </w:p>
    <w:p w14:paraId="5C4E87D5" w14:textId="4E29BDA3" w:rsidR="00B70652" w:rsidRPr="008744BB" w:rsidRDefault="00212BF6" w:rsidP="00B70652">
      <w:pPr>
        <w:pStyle w:val="SingleTxtG"/>
      </w:pPr>
      <w:r>
        <w:tab/>
      </w:r>
      <w:r w:rsidR="00B70652">
        <w:t>f)</w:t>
      </w:r>
      <w:r w:rsidR="00B70652">
        <w:tab/>
        <w:t>сообщений о случаях коллективной высылки государством-участником просителей убежища без рассмотрения их индивидуальных обстоятельств, включая практику мер по недопущению пересечения границы, когда прибывающим просителям убежища, включая детей, не позволяют пересечь границу государства-участника и обрекают их на нахождение вблизи границы в плачевных условиях, без еды, воды и крыши над головой и доступа к процедуре предоставления убежища;</w:t>
      </w:r>
    </w:p>
    <w:p w14:paraId="4BBDD3D0" w14:textId="325CEB1C" w:rsidR="00B70652" w:rsidRPr="008744BB" w:rsidRDefault="00212BF6" w:rsidP="00B70652">
      <w:pPr>
        <w:pStyle w:val="SingleTxtG"/>
      </w:pPr>
      <w:r>
        <w:tab/>
      </w:r>
      <w:r w:rsidR="00B70652">
        <w:t>g)</w:t>
      </w:r>
      <w:r w:rsidR="00B70652">
        <w:tab/>
        <w:t xml:space="preserve">качества и объективности фактических и юридических оценок и собеседований в рамках процедуры предоставления убежища в государстве-участнике, одним из недостатков которой, как сообщается, является упор на быстроту рассмотрения и уклон в сторону отказа в убежище вместо объективного и справедливого рассмотрения ходатайства; </w:t>
      </w:r>
    </w:p>
    <w:p w14:paraId="4C73BFCF" w14:textId="31B4634B" w:rsidR="00B70652" w:rsidRPr="008744BB" w:rsidRDefault="00212BF6" w:rsidP="00B70652">
      <w:pPr>
        <w:pStyle w:val="SingleTxtG"/>
      </w:pPr>
      <w:r>
        <w:tab/>
      </w:r>
      <w:r w:rsidR="00B70652">
        <w:t>h)</w:t>
      </w:r>
      <w:r w:rsidR="00B70652">
        <w:tab/>
        <w:t>поправок к Закону о правовом статусе иностранцев, ограничивающих право просителей убежища, в частности тех, кто прибыл нелегально или пытается нелегально пересечь границу государства-участника, обращаться за убежищем в чрезвычайных ситуациях, а также неоправданно короткого семидневного срока обжалования решения по ходатайству о предоставлении убежища и отсутствия автоматического приостанавливающего действия апелляционного производства в независимом механизме;</w:t>
      </w:r>
    </w:p>
    <w:p w14:paraId="0F923B99" w14:textId="3E0E4CDB" w:rsidR="00B70652" w:rsidRPr="008744BB" w:rsidRDefault="00212BF6" w:rsidP="00B70652">
      <w:pPr>
        <w:pStyle w:val="SingleTxtG"/>
      </w:pPr>
      <w:r>
        <w:tab/>
      </w:r>
      <w:r w:rsidR="00B70652">
        <w:t>i)</w:t>
      </w:r>
      <w:r w:rsidR="00B70652">
        <w:tab/>
        <w:t>сообщений о введении во время чрезвычайных ситуаций ограничений на осуществление национальным правозащитным учреждением, неправительственными организациями и журналистами наблюдения за положением просителей убежища, беженцев и мигрантов в пограничных зонах государства-участника (статьи 2, 3, 12, 13</w:t>
      </w:r>
      <w:r w:rsidR="002411A8">
        <w:rPr>
          <w:lang w:val="en-US"/>
        </w:rPr>
        <w:t> </w:t>
      </w:r>
      <w:r w:rsidR="00B70652">
        <w:t xml:space="preserve">и 16). </w:t>
      </w:r>
    </w:p>
    <w:p w14:paraId="7805166C" w14:textId="77777777" w:rsidR="00B70652" w:rsidRPr="008744BB" w:rsidRDefault="00B70652" w:rsidP="00212BF6">
      <w:pPr>
        <w:pStyle w:val="SingleTxtG"/>
        <w:pageBreakBefore/>
        <w:rPr>
          <w:b/>
          <w:bCs/>
        </w:rPr>
      </w:pPr>
      <w:r>
        <w:lastRenderedPageBreak/>
        <w:t>12.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763A3620" w14:textId="04107E55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a)</w:t>
      </w:r>
      <w:r w:rsidR="00B70652">
        <w:tab/>
      </w:r>
      <w:r w:rsidR="00B70652" w:rsidRPr="003D73EF">
        <w:rPr>
          <w:b/>
          <w:bCs/>
        </w:rPr>
        <w:t>принять меры для обеспечения того, чтобы задержание просителей убежища, беженцев и не имеющих документов мигрантов, в том числе в рамках пограничной процедуры, включало необходимые гарантии защиты от незаконного или произвольного задержания и использовалось только с санкции суда, в качестве крайней меры и когда это необходимо и соразмерно;</w:t>
      </w:r>
      <w:r w:rsidR="00B70652" w:rsidRPr="003D73EF">
        <w:t xml:space="preserve"> </w:t>
      </w:r>
      <w:r w:rsidR="00B70652" w:rsidRPr="003D73EF">
        <w:rPr>
          <w:b/>
          <w:bCs/>
        </w:rPr>
        <w:t>такое задержание должно применяться в течение как можно более короткого, установленного законом периода и в надлежащих условиях</w:t>
      </w:r>
      <w:r w:rsidR="00B70652">
        <w:rPr>
          <w:b/>
          <w:bCs/>
        </w:rPr>
        <w:t>;</w:t>
      </w:r>
    </w:p>
    <w:p w14:paraId="323B646F" w14:textId="07CB421F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b)</w:t>
      </w:r>
      <w:r w:rsidR="00B70652">
        <w:tab/>
      </w:r>
      <w:r w:rsidR="00B70652">
        <w:rPr>
          <w:b/>
          <w:bCs/>
        </w:rPr>
        <w:t>воздерживаться от задержания семей с детьми и уязвимых просителей убежища;</w:t>
      </w:r>
      <w:r w:rsidR="00B70652">
        <w:t xml:space="preserve"> </w:t>
      </w:r>
    </w:p>
    <w:p w14:paraId="2B88C513" w14:textId="1BB45E6E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c)</w:t>
      </w:r>
      <w:r w:rsidR="00B70652">
        <w:tab/>
      </w:r>
      <w:r w:rsidR="00B70652">
        <w:rPr>
          <w:b/>
          <w:bCs/>
        </w:rPr>
        <w:t>принять необходимые меры для обеспечения надлежащих условий приема в местах размещения просителей убежища и беженцев, включая предоставление им отвечающего соответствующим нормам жилья, качественного и достаточного питания, одежды, других непродовольственных товаров, а также психосоциальных и медицинских услуг с учетом особых потребностей уязвимых лиц;</w:t>
      </w:r>
    </w:p>
    <w:p w14:paraId="38FD4012" w14:textId="71975A28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d)</w:t>
      </w:r>
      <w:r w:rsidR="00B70652">
        <w:tab/>
      </w:r>
      <w:r w:rsidR="00B70652">
        <w:rPr>
          <w:b/>
          <w:bCs/>
        </w:rPr>
        <w:t>внедрять альтернативные механизмы приема в местных общинах, особенно для уязвимых просителей убежища и беженцев, и продолжать развивать систему приема на основе скоординированного планирования на случай непредвиденных обстоятельств, чтобы обеспечить достаточные возможности размещения, поддержки и услуг и их соответствие потребностям для принятия эффективных мер в случае наплыва в течение короткого периода времени большого числа просителей убежища и беженцев;</w:t>
      </w:r>
    </w:p>
    <w:p w14:paraId="668FC808" w14:textId="566A9336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e)</w:t>
      </w:r>
      <w:r w:rsidR="00B70652">
        <w:tab/>
      </w:r>
      <w:r w:rsidR="00B70652">
        <w:rPr>
          <w:b/>
          <w:bCs/>
        </w:rPr>
        <w:t>провести тщательное, оперативное и независимое расследование всех случаев предполагаемых пыток и жестокого обращения в центрах временного содержания мигрантов и местах размещения просителей убежища, беженцев и мигрантов без документов;</w:t>
      </w:r>
    </w:p>
    <w:p w14:paraId="34F9BE69" w14:textId="519E60FF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f)</w:t>
      </w:r>
      <w:r w:rsidR="00B70652">
        <w:tab/>
      </w:r>
      <w:r w:rsidR="00B70652">
        <w:rPr>
          <w:b/>
          <w:bCs/>
        </w:rPr>
        <w:t xml:space="preserve">обеспечить доступ к информации о процедурах предоставления убежища и юридической помощи </w:t>
      </w:r>
      <w:r w:rsidR="00B70652" w:rsidRPr="00802991">
        <w:rPr>
          <w:b/>
          <w:bCs/>
        </w:rPr>
        <w:t>без</w:t>
      </w:r>
      <w:r w:rsidR="00B70652">
        <w:rPr>
          <w:b/>
          <w:bCs/>
        </w:rPr>
        <w:t xml:space="preserve"> дискриминации и информировать просителей убежища о решениях по их ходатайствам об убежище на понятном им языке, в том числе в чрезвычайных ситуациях;</w:t>
      </w:r>
    </w:p>
    <w:p w14:paraId="6C0AA460" w14:textId="43FC036F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g)</w:t>
      </w:r>
      <w:r w:rsidR="00B70652">
        <w:tab/>
      </w:r>
      <w:r w:rsidR="00B70652">
        <w:rPr>
          <w:b/>
          <w:bCs/>
        </w:rPr>
        <w:t>принять меры к тому, чтобы все просители убежища, включая прибывающих нелегально и во время чрезвычайных ситуаций, имели право, по закону и на практике, подавать прошение о предоставлении убежища и оставаться на территории страны до завершения процедуры предоставления убежища;</w:t>
      </w:r>
      <w:r w:rsidR="00B70652">
        <w:t xml:space="preserve"> </w:t>
      </w:r>
      <w:bookmarkStart w:id="0" w:name="_Hlk86169708"/>
      <w:bookmarkEnd w:id="0"/>
    </w:p>
    <w:p w14:paraId="6F50D5BB" w14:textId="361C8946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h)</w:t>
      </w:r>
      <w:r w:rsidR="00B70652">
        <w:tab/>
      </w:r>
      <w:r w:rsidR="00B70652">
        <w:rPr>
          <w:b/>
          <w:bCs/>
        </w:rPr>
        <w:t>обеспечить надлежащее рассмотрение ходатайств о предоставлении убежища компетентными органами и гарантировать справедливое обращение на всех этапах процедуры предоставления убежища, включая возможность эффективного и беспристрастного пересмотра решения независимым механизмом с автоматическим приостанавливающим действием;</w:t>
      </w:r>
    </w:p>
    <w:p w14:paraId="0B2465A4" w14:textId="7FCB14FF" w:rsidR="00B70652" w:rsidRPr="008744BB" w:rsidRDefault="000847ED" w:rsidP="00B70652">
      <w:pPr>
        <w:pStyle w:val="SingleTxtG"/>
        <w:rPr>
          <w:b/>
          <w:bCs/>
        </w:rPr>
      </w:pPr>
      <w:r>
        <w:tab/>
      </w:r>
      <w:r w:rsidR="00B70652" w:rsidRPr="000847ED">
        <w:rPr>
          <w:b/>
          <w:bCs/>
        </w:rPr>
        <w:t>i)</w:t>
      </w:r>
      <w:r w:rsidR="00B70652">
        <w:tab/>
      </w:r>
      <w:r w:rsidR="00B70652">
        <w:rPr>
          <w:b/>
          <w:bCs/>
        </w:rPr>
        <w:t>обеспечить беспрепятственный доступ национального правозащитного учреждения, неправительственных организаций и журналистов в приграничные зоны, затрагиваемые чрезвычайной ситуацией.</w:t>
      </w:r>
    </w:p>
    <w:p w14:paraId="0E5BFE0D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Национальный превентивный механизм</w:t>
      </w:r>
      <w:r>
        <w:t xml:space="preserve"> </w:t>
      </w:r>
    </w:p>
    <w:p w14:paraId="7A2DF869" w14:textId="77777777" w:rsidR="00B70652" w:rsidRPr="008744BB" w:rsidRDefault="00B70652" w:rsidP="00B70652">
      <w:pPr>
        <w:pStyle w:val="SingleTxtG"/>
      </w:pPr>
      <w:r>
        <w:t>13.</w:t>
      </w:r>
      <w:r>
        <w:tab/>
        <w:t>Комитет приветствует назначение омбудсмена Сейма в качестве национального превентивного механизма согласно Факультативному протоколу к Конвенции. При этом он обеспокоен нехваткой сотрудников Управления по правам человека омбудсмена Сейма, которые отвечают за выполнение задач и функций, относящихся к компетенции механизма (статья 2).</w:t>
      </w:r>
    </w:p>
    <w:p w14:paraId="509FBD1E" w14:textId="77777777" w:rsidR="00B70652" w:rsidRPr="008744BB" w:rsidRDefault="00B70652" w:rsidP="00802991">
      <w:pPr>
        <w:pStyle w:val="SingleTxtG"/>
        <w:pageBreakBefore/>
        <w:rPr>
          <w:b/>
          <w:bCs/>
        </w:rPr>
      </w:pPr>
      <w:r>
        <w:lastRenderedPageBreak/>
        <w:t>14.</w:t>
      </w:r>
      <w:r>
        <w:tab/>
      </w:r>
      <w:r>
        <w:rPr>
          <w:b/>
          <w:bCs/>
        </w:rPr>
        <w:t>Государству-участнику следует обеспечить оперативную автономность национального превентивного механизма и выделить ему необходимые адресные финансовые и людские ресурсы для выполнения его работы в соответствии с пунктами 1 и 3 статьи 18 Факультативного протокола.</w:t>
      </w:r>
    </w:p>
    <w:p w14:paraId="1B27142C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453DA185" w14:textId="23CA29A4" w:rsidR="00B70652" w:rsidRPr="008744BB" w:rsidRDefault="00B70652" w:rsidP="00B70652">
      <w:pPr>
        <w:pStyle w:val="SingleTxtG"/>
      </w:pPr>
      <w:r>
        <w:t>15.</w:t>
      </w:r>
      <w:r>
        <w:tab/>
        <w:t>Комитет высоко оценивает информацию о мерах, принятых государством-участником для улучшения условий содержания в местах лишения свободы, в частности в полицейских изоляторах, и для сокращения численности заключенных, в том числе путем введения мер, альтернативных содержанию под стражей, и более широкого применения отсрочки исполнения наказания и условного освобождения. Он</w:t>
      </w:r>
      <w:r w:rsidR="00802991">
        <w:rPr>
          <w:lang w:val="en-US"/>
        </w:rPr>
        <w:t> </w:t>
      </w:r>
      <w:r>
        <w:t>также с удовлетворением отмечает информацию о закрытии Лукишкесского следственного изолятора и Кибартайского исправительного учреждения, а также планы по закрытию Шяуляйского следственного изолятора. Вместе с тем Комитет обеспокоен, что условия содержания в некоторых пенитенциарных учреждениях по</w:t>
      </w:r>
      <w:r w:rsidR="00802991">
        <w:noBreakHyphen/>
      </w:r>
      <w:r>
        <w:t xml:space="preserve">прежнему не соответствуют международным стандартам, в том числе по качеству и количеству пищи, гигиене, вентиляции и естественному освещению. Комитет также выражает озабоченность по поводу недостаточной численности тюремного и медицинского персонала в местах лишения свободы. Он также обеспокоен сообщениями о чрезмерном применении силы тюремным персоналом, в том числе с использованием электрошокеров («тазеров»), повсеместном насилии среди заключенных, незаконном обороте наркотиков, распространении вируса иммунодефицита человека (ВИЧ) и гепатита С, а также об отсутствии своевременного доступа к лечению этих заболеваний. Наконец, Комитет выражает обеспокоенность крайне низким уровнем интеграции заключенных, отбывающих пожизненное </w:t>
      </w:r>
      <w:r w:rsidRPr="00D07680">
        <w:rPr>
          <w:color w:val="000000" w:themeColor="text1"/>
        </w:rPr>
        <w:t xml:space="preserve">лишение свободы, в </w:t>
      </w:r>
      <w:r>
        <w:t>общий контингент заключенных (статьи 2, 11 и 16).</w:t>
      </w:r>
    </w:p>
    <w:p w14:paraId="686A345F" w14:textId="57DD854E" w:rsidR="00B70652" w:rsidRPr="008744BB" w:rsidRDefault="00B70652" w:rsidP="00B70652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Государство-участник должно предпринять дальнейшие необходимые шаги для обеспечения соответствия условий содержания под стражей международным стандартам в области прав человека и, в частности</w:t>
      </w:r>
      <w:r w:rsidR="00802991">
        <w:rPr>
          <w:b/>
          <w:bCs/>
        </w:rPr>
        <w:t>,</w:t>
      </w:r>
      <w:r>
        <w:rPr>
          <w:b/>
          <w:bCs/>
        </w:rPr>
        <w:t xml:space="preserve"> ему следует:</w:t>
      </w:r>
    </w:p>
    <w:p w14:paraId="4D67FE2C" w14:textId="0CA6F605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a)</w:t>
      </w:r>
      <w:r w:rsidR="00B70652">
        <w:tab/>
      </w:r>
      <w:r w:rsidR="00B70652">
        <w:rPr>
          <w:b/>
          <w:bCs/>
        </w:rPr>
        <w:t>продолжать принимать меры по улучшению условий во всех тюремных учреждениях: материальных условий содержания, включая гигиену, санитарию, вентиляцию и качество питания, с целью приведения их в соответствие с Минимальными стандартными правилами Организации Объединенных Наций в отношении обращения с заключенными (Правила Нельсона Манделы);</w:t>
      </w:r>
    </w:p>
    <w:p w14:paraId="298EB9C6" w14:textId="7C38D9E8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b)</w:t>
      </w:r>
      <w:r w:rsidR="00B70652">
        <w:tab/>
      </w:r>
      <w:r w:rsidR="00B70652" w:rsidRPr="008E39B9">
        <w:rPr>
          <w:b/>
          <w:bCs/>
        </w:rPr>
        <w:t>шире применять</w:t>
      </w:r>
      <w:r w:rsidR="00B70652">
        <w:rPr>
          <w:b/>
          <w:bCs/>
        </w:rPr>
        <w:t xml:space="preserve"> меры, не связанные с лишением свободы, в рамках пенитенциарной системы в качестве альтернатив заключению под стражу в соответствии с Минимальными стандартными правилами Организации Объединенных Наций в отношении мер, не связанных с тюремным заключением (Токийские правила), и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(Бангкокские правила);</w:t>
      </w:r>
    </w:p>
    <w:p w14:paraId="6379A7F6" w14:textId="2C0C8D0C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c)</w:t>
      </w:r>
      <w:r w:rsidR="00B70652">
        <w:tab/>
      </w:r>
      <w:r w:rsidR="00B70652">
        <w:rPr>
          <w:b/>
          <w:bCs/>
        </w:rPr>
        <w:t>продолжать принимать меры по адаптации и модернизации устаревшей тюремной инфраструктуры в целях сокращения числа камер, рассчитанных на большое количество заключенных, предотвращения насилия между заключенными и искоренения уголовной субкультуры;</w:t>
      </w:r>
    </w:p>
    <w:p w14:paraId="4D2D69B3" w14:textId="788BD142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d)</w:t>
      </w:r>
      <w:r w:rsidR="00B70652">
        <w:tab/>
      </w:r>
      <w:r w:rsidR="00B70652" w:rsidRPr="008E39B9">
        <w:rPr>
          <w:b/>
          <w:bCs/>
        </w:rPr>
        <w:t>повысить</w:t>
      </w:r>
      <w:r w:rsidR="00B70652">
        <w:rPr>
          <w:b/>
          <w:bCs/>
        </w:rPr>
        <w:t xml:space="preserve"> эффективность механизмов рассмотрения жалоб для приема заявлений о случаях насилия, а также анализа, регистрации и расследования по всем фактам причинения вреда здоровью и смерти в результате насилия между заключенными или иных форм насилия, привлечения к ответственности виновных и профилактики таких инцидентов путем принятия надлежащих мер на основе принципов динамической безопасности;</w:t>
      </w:r>
      <w:r w:rsidR="00B70652">
        <w:t xml:space="preserve"> </w:t>
      </w:r>
    </w:p>
    <w:p w14:paraId="623CCFFE" w14:textId="26E7D141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e)</w:t>
      </w:r>
      <w:r w:rsidR="00B70652">
        <w:tab/>
      </w:r>
      <w:r w:rsidR="00B70652">
        <w:rPr>
          <w:b/>
          <w:bCs/>
        </w:rPr>
        <w:t xml:space="preserve">усилить независимый и регулярный мониторинг всех мест лишения свободы омбудсменом Сейма, действующим в качестве национального превентивного механизма в соответствии с Факультативным протоколом к </w:t>
      </w:r>
      <w:r w:rsidR="00B70652">
        <w:rPr>
          <w:b/>
          <w:bCs/>
        </w:rPr>
        <w:lastRenderedPageBreak/>
        <w:t>Конвенции, а также другими независимыми и беспристрастными механизмами, в том числе путем проведения внеплановых посещений мест лишения свободы;</w:t>
      </w:r>
    </w:p>
    <w:p w14:paraId="5204268D" w14:textId="26538341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f)</w:t>
      </w:r>
      <w:r w:rsidR="00B70652">
        <w:tab/>
      </w:r>
      <w:r w:rsidR="00B70652">
        <w:rPr>
          <w:b/>
          <w:bCs/>
        </w:rPr>
        <w:t>продолжать меры по улучшению оплаты и условий труда персонала тюрем, увеличению числа сотрудников мест лишения свободы и медицинского персонала, включая психиатров, и обучению, в том числе по положениям Конвенции и по вопросам организации тюремного быта и предотвращения насилия между заключенными;</w:t>
      </w:r>
    </w:p>
    <w:p w14:paraId="0447E2EA" w14:textId="6CDF29E1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g)</w:t>
      </w:r>
      <w:r w:rsidR="00B70652">
        <w:tab/>
      </w:r>
      <w:r w:rsidR="00B70652">
        <w:rPr>
          <w:b/>
          <w:bCs/>
        </w:rPr>
        <w:t>обеспечить, чтобы применение электрошоковых средств («тазеров») строго соответствовало принципам необходимости, субсидиарности, соразмерности, заблаговременного предупреждения (где это возможно) и предосторожности;</w:t>
      </w:r>
      <w:r w:rsidR="00B70652">
        <w:t xml:space="preserve"> </w:t>
      </w:r>
      <w:r w:rsidR="00B70652">
        <w:rPr>
          <w:b/>
          <w:bCs/>
        </w:rPr>
        <w:t>и чтобы эти средства не входили в комплект стандартного снаряжения персонала тюрем и других мест лишения свободы;</w:t>
      </w:r>
    </w:p>
    <w:p w14:paraId="54D8EFDE" w14:textId="485691B3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h)</w:t>
      </w:r>
      <w:r w:rsidR="00B70652">
        <w:tab/>
      </w:r>
      <w:r w:rsidR="00B70652">
        <w:rPr>
          <w:b/>
          <w:bCs/>
        </w:rPr>
        <w:t>активизировать усилия по борьбе с наркоторговлей;</w:t>
      </w:r>
      <w:r w:rsidR="00B70652">
        <w:t xml:space="preserve"> </w:t>
      </w:r>
      <w:r w:rsidR="00B70652">
        <w:rPr>
          <w:b/>
          <w:bCs/>
        </w:rPr>
        <w:t>продолжать борьбу с распространением ВИЧ и гепатита С и предпринять дальнейшие шаги по обеспечению эффективного и своевременного лечения инфицированных заключенных, а также обеспечить, чтобы всем заключенным и задержанным и далее предлагали вакцинироваться против коронавирусного заболевания (COVID-19);</w:t>
      </w:r>
    </w:p>
    <w:p w14:paraId="2176EEB8" w14:textId="3C206EB2" w:rsidR="00B70652" w:rsidRPr="008744BB" w:rsidRDefault="00802991" w:rsidP="00B70652">
      <w:pPr>
        <w:pStyle w:val="SingleTxtG"/>
        <w:rPr>
          <w:b/>
          <w:bCs/>
        </w:rPr>
      </w:pPr>
      <w:r>
        <w:tab/>
      </w:r>
      <w:r w:rsidR="00B70652" w:rsidRPr="00802991">
        <w:rPr>
          <w:b/>
          <w:bCs/>
        </w:rPr>
        <w:t>i)</w:t>
      </w:r>
      <w:r w:rsidR="00B70652">
        <w:tab/>
      </w:r>
      <w:r w:rsidR="00B70652">
        <w:rPr>
          <w:b/>
          <w:bCs/>
        </w:rPr>
        <w:t>продолжать принимать меры по обеспечению интеграции заключенных, отбывающих пожизненное лишение свободы, в общий контингент заключенных.</w:t>
      </w:r>
      <w:r w:rsidR="00B70652">
        <w:t xml:space="preserve"> </w:t>
      </w:r>
    </w:p>
    <w:p w14:paraId="6AB0BEDD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Оперативные, тщательные, независимые и беспристрастные расследования</w:t>
      </w:r>
    </w:p>
    <w:p w14:paraId="19972311" w14:textId="77777777" w:rsidR="00B70652" w:rsidRPr="00303C4B" w:rsidRDefault="00B70652" w:rsidP="00B70652">
      <w:pPr>
        <w:pStyle w:val="SingleTxtG"/>
      </w:pPr>
      <w:r>
        <w:t>17.</w:t>
      </w:r>
      <w:r>
        <w:tab/>
        <w:t>В свете информации, представленной государством-участником в его периодическом докладе</w:t>
      </w:r>
      <w:r w:rsidRPr="002217D3">
        <w:rPr>
          <w:rStyle w:val="aa"/>
        </w:rPr>
        <w:footnoteReference w:id="10"/>
      </w:r>
      <w:r>
        <w:t xml:space="preserve"> и в ходе диалога с Комитетом, Комитет отмечает незначительное количество жалоб, уголовных дел и приговоров по делам о чрезмерном применении силы сотрудниками правоохранительных органов в местах лишения свободы, а также в отношении военнослужащих вооруженных сил. В этой связи Комитет обеспокоен тем, что расследования по таким делам могут проводиться механизмами внутреннего расследования, такими как «подразделения по борьбе с коррупцией (по вопросам иммунитета)» в тюрьмах и полицейских структурах, которые напрямую подотчетны руководителю соответствующего учреждения, а также внутренними механизмами в системе национальной обороны, что ставит под сомнение беспристрастность и эффективность таких расследований (статьи 12–13).</w:t>
      </w:r>
    </w:p>
    <w:p w14:paraId="5629038A" w14:textId="77777777" w:rsidR="00B70652" w:rsidRPr="008744BB" w:rsidRDefault="00B70652" w:rsidP="00B70652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Государству-участнику следует:</w:t>
      </w:r>
    </w:p>
    <w:p w14:paraId="7E79A018" w14:textId="1F4624D7" w:rsidR="00B70652" w:rsidRPr="008744BB" w:rsidRDefault="00DE4458" w:rsidP="00B70652">
      <w:pPr>
        <w:pStyle w:val="SingleTxtG"/>
        <w:rPr>
          <w:b/>
          <w:bCs/>
        </w:rPr>
      </w:pPr>
      <w:r>
        <w:rPr>
          <w:b/>
          <w:bCs/>
        </w:rPr>
        <w:tab/>
      </w:r>
      <w:r w:rsidR="00B70652" w:rsidRPr="00DE4458">
        <w:rPr>
          <w:b/>
          <w:bCs/>
        </w:rPr>
        <w:t>a)</w:t>
      </w:r>
      <w:r w:rsidR="00B70652">
        <w:tab/>
      </w:r>
      <w:r w:rsidR="00B70652" w:rsidRPr="00D84392">
        <w:rPr>
          <w:b/>
          <w:bCs/>
        </w:rPr>
        <w:t>обеспечить, чтобы все утверждения о чрезмерном применении силы сотрудниками правоохранительных органов в отношении лиц, содержащихся под стражей, а также в вооруженных силах в отношении военнослужащих расследовались оперативно, эффективно и беспристрастно механизмами, которые являются структурно и функционально независимыми и не допускают институциональной или иерархической связи между следователями и предполагаемыми правонарушителями;</w:t>
      </w:r>
      <w:r w:rsidR="00B70652" w:rsidRPr="00D84392">
        <w:t xml:space="preserve"> </w:t>
      </w:r>
      <w:r w:rsidR="00B70652" w:rsidRPr="00D84392">
        <w:rPr>
          <w:b/>
          <w:bCs/>
        </w:rPr>
        <w:t>и обеспечить, чтобы лица, признанные виновными, несли наказание, соизмеримое с тяжестью совершенных ими деяний</w:t>
      </w:r>
      <w:r w:rsidR="00B70652">
        <w:rPr>
          <w:b/>
          <w:bCs/>
        </w:rPr>
        <w:t>;</w:t>
      </w:r>
    </w:p>
    <w:p w14:paraId="1AFFA631" w14:textId="6100123D" w:rsidR="00B70652" w:rsidRPr="008744BB" w:rsidRDefault="00DE4458" w:rsidP="00B70652">
      <w:pPr>
        <w:pStyle w:val="SingleTxtG"/>
        <w:rPr>
          <w:b/>
          <w:bCs/>
        </w:rPr>
      </w:pPr>
      <w:r>
        <w:rPr>
          <w:b/>
          <w:bCs/>
        </w:rPr>
        <w:tab/>
      </w:r>
      <w:r w:rsidR="00B70652" w:rsidRPr="00DE4458">
        <w:rPr>
          <w:b/>
          <w:bCs/>
        </w:rPr>
        <w:t>b)</w:t>
      </w:r>
      <w:r w:rsidR="00B70652">
        <w:tab/>
      </w:r>
      <w:r w:rsidR="00B70652">
        <w:rPr>
          <w:b/>
          <w:bCs/>
        </w:rPr>
        <w:t>обеспечивать, чтобы все лица, в отношении которых возбуждено расследование по жалобам на применение пыток или неправомерное обращение, были незамедлительно отстранены от исполнения своих должностных обязанностей до завершения следственных действий с соблюдением при этом принципа презумпции невиновности;</w:t>
      </w:r>
    </w:p>
    <w:p w14:paraId="5C9767D0" w14:textId="5AC88899" w:rsidR="00B70652" w:rsidRPr="008744BB" w:rsidRDefault="00DE4458" w:rsidP="00B70652">
      <w:pPr>
        <w:pStyle w:val="SingleTxtG"/>
        <w:rPr>
          <w:b/>
          <w:bCs/>
        </w:rPr>
      </w:pPr>
      <w:r>
        <w:rPr>
          <w:b/>
          <w:bCs/>
        </w:rPr>
        <w:tab/>
      </w:r>
      <w:r w:rsidR="00B70652" w:rsidRPr="00DE4458">
        <w:rPr>
          <w:b/>
          <w:bCs/>
        </w:rPr>
        <w:t>c)</w:t>
      </w:r>
      <w:r w:rsidR="00B70652">
        <w:tab/>
      </w:r>
      <w:r w:rsidR="00B70652">
        <w:rPr>
          <w:b/>
          <w:bCs/>
        </w:rPr>
        <w:t xml:space="preserve">представить Комитету информацию о количестве расследованных случаев чрезмерного применения силы сотрудниками правоохранительных органов и военнослужащими, количестве виновных, которые были привлечены </w:t>
      </w:r>
      <w:r w:rsidR="00B70652">
        <w:rPr>
          <w:b/>
          <w:bCs/>
        </w:rPr>
        <w:lastRenderedPageBreak/>
        <w:t>к ответственности за акты пыток и жестокого обращения, а также о наказаниях, назначенных лицам, признанным виновными.</w:t>
      </w:r>
    </w:p>
    <w:p w14:paraId="37767160" w14:textId="13E2A401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Расследование в контексте участия в программе чрезвычайной выдачи и</w:t>
      </w:r>
      <w:r w:rsidR="00DE4458">
        <w:rPr>
          <w:bCs/>
        </w:rPr>
        <w:t> </w:t>
      </w:r>
      <w:r>
        <w:rPr>
          <w:bCs/>
        </w:rPr>
        <w:t>тайного содержания под стражей</w:t>
      </w:r>
      <w:r>
        <w:t xml:space="preserve"> </w:t>
      </w:r>
    </w:p>
    <w:p w14:paraId="55E84F68" w14:textId="77777777" w:rsidR="00B70652" w:rsidRPr="00303C4B" w:rsidRDefault="00B70652" w:rsidP="00B70652">
      <w:pPr>
        <w:pStyle w:val="SingleTxtG"/>
      </w:pPr>
      <w:r>
        <w:t>19.</w:t>
      </w:r>
      <w:r>
        <w:tab/>
        <w:t>Ссылаясь на свои предыдущие заключительные замечания</w:t>
      </w:r>
      <w:r w:rsidRPr="002217D3">
        <w:rPr>
          <w:rStyle w:val="aa"/>
        </w:rPr>
        <w:footnoteReference w:id="11"/>
      </w:r>
      <w:r>
        <w:t>, а также на озабоченность, выраженную Комитетом по правам человека</w:t>
      </w:r>
      <w:r w:rsidRPr="002217D3">
        <w:rPr>
          <w:rStyle w:val="aa"/>
        </w:rPr>
        <w:footnoteReference w:id="12"/>
      </w:r>
      <w:r>
        <w:t xml:space="preserve"> и Комитетом по насильственным исчезновениям</w:t>
      </w:r>
      <w:r w:rsidRPr="002217D3">
        <w:rPr>
          <w:rStyle w:val="aa"/>
        </w:rPr>
        <w:footnoteReference w:id="13"/>
      </w:r>
      <w:r>
        <w:t xml:space="preserve"> в их соответствующих заключительных замечаниях, Комитет сожалеет об отсутствии значительного прогресса в расследовании предполагаемых случаев чрезвычайной выдачи, тайного содержания под стражей, пыток и жестокого обращения в рамках программы чрезвычайной выдачи и тайного содержания под стражей, осуществляемой Центральным разведывательным управлением США в государстве-участнике, в частности в отношении Абу Зубайды и Мустафы Ахмеда аль-Хаусави. Комитет отмечает, что, несмотря на выводы Европейского суда по правам человека по делу</w:t>
      </w:r>
      <w:r>
        <w:rPr>
          <w:i/>
          <w:iCs/>
        </w:rPr>
        <w:t xml:space="preserve"> </w:t>
      </w:r>
      <w:r w:rsidRPr="00ED60B0">
        <w:rPr>
          <w:i/>
          <w:iCs/>
        </w:rPr>
        <w:t>Абу Зубайда против Литвы</w:t>
      </w:r>
      <w:r>
        <w:t xml:space="preserve"> и процесс исполнения, который в настоящее время ведется в связи с этим постановлением, до сих пор не было достигнуто ощутимых результатов в установлении виновных и привлечении их к ответственности (статьи 2–3, 12–14 и 16). </w:t>
      </w:r>
    </w:p>
    <w:p w14:paraId="4C3B3953" w14:textId="77777777" w:rsidR="00B70652" w:rsidRPr="008744BB" w:rsidRDefault="00B70652" w:rsidP="00B70652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настоятельно призывает государство-участник завершить расследование в разумные сроки и привлечь виновных к ответственности, обеспечив прозрачность и достаточную степень общественного контроля за процессом, а также предоставить соответствующее возмещение и компенсацию жертвам.</w:t>
      </w:r>
      <w:r>
        <w:t xml:space="preserve"> </w:t>
      </w:r>
      <w:r>
        <w:rPr>
          <w:b/>
          <w:bCs/>
        </w:rPr>
        <w:t>Комитет просит государство-участник представить ему актуальную информацию о результатах такого расследования и, в соответствующих случаях, о мерах наказания в отношении виновных лиц.</w:t>
      </w:r>
    </w:p>
    <w:p w14:paraId="1712F840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Обучение</w:t>
      </w:r>
    </w:p>
    <w:p w14:paraId="4DCA7396" w14:textId="77777777" w:rsidR="00B70652" w:rsidRPr="008744BB" w:rsidRDefault="00B70652" w:rsidP="00B70652">
      <w:pPr>
        <w:pStyle w:val="SingleTxtG"/>
      </w:pPr>
      <w:r>
        <w:t>21.</w:t>
      </w:r>
      <w:r>
        <w:tab/>
        <w:t xml:space="preserve">Комитет высоко оценивает представленную государством-участником информацию о программах подготовки по правам человека для сотрудников полиции, пограничной службы, персонала тюрем, прокуроров и судей, а также о подготовке на основе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протокол), предоставляемой медицинским работникам, имеющим дело с задержанными. Вместе с тем Комитет сожалеет, что не получил никакой информации о конкретных учебных программах, касающихся правозащитного аспекта борьбы с терроризмом на основе Глобальной контртеррористической стратегии Организации Объединенных Наций. Комитет также обеспокоен отсутствием информации об оценке воздействия учебных программ в части предотвращения и полного запрета пыток и жестокого обращения (статья 10). </w:t>
      </w:r>
    </w:p>
    <w:p w14:paraId="6AC10E24" w14:textId="77777777" w:rsidR="00B70652" w:rsidRPr="008744BB" w:rsidRDefault="00B70652" w:rsidP="00B70652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Государству-участнику следует:</w:t>
      </w:r>
    </w:p>
    <w:p w14:paraId="0B487451" w14:textId="4F8B2542" w:rsidR="00B70652" w:rsidRPr="008744BB" w:rsidRDefault="00137890" w:rsidP="00B70652">
      <w:pPr>
        <w:pStyle w:val="SingleTxtG"/>
        <w:rPr>
          <w:b/>
          <w:bCs/>
        </w:rPr>
      </w:pPr>
      <w:r>
        <w:tab/>
      </w:r>
      <w:r w:rsidR="00B70652" w:rsidRPr="00137890">
        <w:rPr>
          <w:b/>
          <w:bCs/>
        </w:rPr>
        <w:t>a)</w:t>
      </w:r>
      <w:r w:rsidR="00B70652">
        <w:tab/>
      </w:r>
      <w:r w:rsidR="00B70652">
        <w:rPr>
          <w:b/>
          <w:bCs/>
        </w:rPr>
        <w:t xml:space="preserve">продолжать разрабатывать программы обязательной подготовки в целях обеспечения того, чтобы все государственные должностные лица, в частности сотрудники правоохранительных органов, сотрудники пенитенциарных учреждений и лица, работающие с просителями убежища, беженцами и незаконными мигрантами, включая медицинский персонал, были полностью осведомлены о положениях Конвенции, а также о том, что нарушения Конвенции недопустимы, будут в обязательном порядке расследоваться, а виновные </w:t>
      </w:r>
      <w:r w:rsidR="00585B02">
        <w:rPr>
          <w:b/>
          <w:bCs/>
        </w:rPr>
        <w:t>—</w:t>
      </w:r>
      <w:r w:rsidR="00B70652">
        <w:rPr>
          <w:b/>
          <w:bCs/>
        </w:rPr>
        <w:t xml:space="preserve"> преследоваться в судебном порядке и в случае осуждения нести соответствующее наказание;</w:t>
      </w:r>
    </w:p>
    <w:p w14:paraId="75A2F6DA" w14:textId="471BCB16" w:rsidR="00B70652" w:rsidRPr="008744BB" w:rsidRDefault="00137890" w:rsidP="00B70652">
      <w:pPr>
        <w:pStyle w:val="SingleTxtG"/>
        <w:rPr>
          <w:b/>
          <w:bCs/>
        </w:rPr>
      </w:pPr>
      <w:r>
        <w:tab/>
      </w:r>
      <w:r w:rsidR="00B70652" w:rsidRPr="00137890">
        <w:rPr>
          <w:b/>
          <w:bCs/>
        </w:rPr>
        <w:t>b)</w:t>
      </w:r>
      <w:r w:rsidR="00B70652">
        <w:tab/>
      </w:r>
      <w:r w:rsidR="00B70652">
        <w:rPr>
          <w:b/>
          <w:bCs/>
        </w:rPr>
        <w:t xml:space="preserve">обеспечить, чтобы весь соответствующий персонал, в частности судебный и медицинский, прошел специальную подготовку по выявлению и документированию случаев пыток и жестокого обращения, а также по передаче </w:t>
      </w:r>
      <w:r w:rsidR="00B70652">
        <w:rPr>
          <w:b/>
          <w:bCs/>
        </w:rPr>
        <w:lastRenderedPageBreak/>
        <w:t>таких случаев в компетентные следственные органы в соответствии со Стамбульским протоколом;</w:t>
      </w:r>
    </w:p>
    <w:p w14:paraId="07E50894" w14:textId="104AD7CC" w:rsidR="00B70652" w:rsidRPr="008744BB" w:rsidRDefault="00137890" w:rsidP="00B70652">
      <w:pPr>
        <w:pStyle w:val="SingleTxtG"/>
        <w:rPr>
          <w:b/>
          <w:bCs/>
        </w:rPr>
      </w:pPr>
      <w:r>
        <w:tab/>
      </w:r>
      <w:r w:rsidR="00B70652" w:rsidRPr="00137890">
        <w:rPr>
          <w:b/>
          <w:bCs/>
        </w:rPr>
        <w:t>c)</w:t>
      </w:r>
      <w:r w:rsidR="00B70652">
        <w:tab/>
      </w:r>
      <w:r w:rsidR="00B70652">
        <w:rPr>
          <w:b/>
          <w:bCs/>
        </w:rPr>
        <w:t>включить компонент прав человека Глобальной контртеррористической стратегии Организации Объединенных Наций в планирование и организацию учебных программ в сфере борьбы с терроризмом;</w:t>
      </w:r>
    </w:p>
    <w:p w14:paraId="7886C125" w14:textId="2245678E" w:rsidR="00B70652" w:rsidRPr="008744BB" w:rsidRDefault="00137890" w:rsidP="00B70652">
      <w:pPr>
        <w:pStyle w:val="SingleTxtG"/>
        <w:rPr>
          <w:b/>
          <w:bCs/>
        </w:rPr>
      </w:pPr>
      <w:r>
        <w:tab/>
      </w:r>
      <w:r w:rsidR="00B70652" w:rsidRPr="00137890">
        <w:rPr>
          <w:b/>
          <w:bCs/>
        </w:rPr>
        <w:t>d)</w:t>
      </w:r>
      <w:r w:rsidR="00B70652">
        <w:tab/>
      </w:r>
      <w:r w:rsidR="00B70652" w:rsidRPr="00934EED">
        <w:rPr>
          <w:b/>
          <w:bCs/>
        </w:rPr>
        <w:t>провести</w:t>
      </w:r>
      <w:r w:rsidR="00B70652">
        <w:t xml:space="preserve"> </w:t>
      </w:r>
      <w:r w:rsidR="00B70652">
        <w:rPr>
          <w:b/>
          <w:bCs/>
        </w:rPr>
        <w:t>оценку эффективности и воздействия такого обучения на предотвращение и абсолютное запрещение пыток и жестокого обращения на основе специально разработанных методик.</w:t>
      </w:r>
    </w:p>
    <w:p w14:paraId="64ACAF29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Семейно-бытовое насилие</w:t>
      </w:r>
    </w:p>
    <w:p w14:paraId="4FC8A883" w14:textId="77777777" w:rsidR="00B70652" w:rsidRPr="008744BB" w:rsidRDefault="00B70652" w:rsidP="00B70652">
      <w:pPr>
        <w:pStyle w:val="SingleTxtG"/>
      </w:pPr>
      <w:r>
        <w:t>23.</w:t>
      </w:r>
      <w:r>
        <w:tab/>
        <w:t>Комитет высоко оценивает позитивные шаги, предпринятые государством-участником для решения проблемы семейно-бытового насилия, включая упразднение в 2017 году института частного обвинения и проект поправок к Закону о защите от домашнего насилия, предусматривающий применение охранных судебных приказов в отношении предполагаемых правонарушителей и оказание помощи пострадавшим. Вместе с тем Комитет обеспокоен тем, что семейно-бытовое насилие по-прежнему является острой проблемой в государстве-участнике и не квалифицировано в качестве отдельного преступления в Уголовном кодексе. Он также выражает озабоченность в связи с отсутствием подробных данных в разбивке по полу, возрасту и виду преступления о количестве жалоб, расследований, судебных преследований и приговоров, вынесенных за акты насилия в семье, а также недостаточным возмещением ущерба, предоставляемым жертвам (статьи 2 и 16).</w:t>
      </w:r>
    </w:p>
    <w:p w14:paraId="5FF583A7" w14:textId="6506C4A5" w:rsidR="00B70652" w:rsidRPr="008744BB" w:rsidRDefault="00B70652" w:rsidP="00B70652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Государству-участнику следует принять дополнительные меры по борьбе со всеми формами насилия в отношении женщин, в том числе семейно-бытового насилия, особенно в случаях, связанных с действиями или бездействием государственных органов или других субъектов, которые влекут за собой международную ответственность государства-участника по Конвенции.</w:t>
      </w:r>
      <w:r>
        <w:t xml:space="preserve"> </w:t>
      </w:r>
      <w:r>
        <w:rPr>
          <w:b/>
          <w:bCs/>
        </w:rPr>
        <w:t>В</w:t>
      </w:r>
      <w:r w:rsidR="00C55134">
        <w:rPr>
          <w:b/>
          <w:bCs/>
        </w:rPr>
        <w:t> </w:t>
      </w:r>
      <w:r>
        <w:rPr>
          <w:b/>
          <w:bCs/>
        </w:rPr>
        <w:t>частности, Комитет рекомендует государству-участнику:</w:t>
      </w:r>
    </w:p>
    <w:p w14:paraId="68C8843E" w14:textId="28213590" w:rsidR="00B70652" w:rsidRPr="008744BB" w:rsidRDefault="00585B02" w:rsidP="00B70652">
      <w:pPr>
        <w:pStyle w:val="SingleTxtG"/>
        <w:rPr>
          <w:b/>
          <w:bCs/>
        </w:rPr>
      </w:pPr>
      <w:r>
        <w:tab/>
      </w:r>
      <w:r w:rsidR="00B70652" w:rsidRPr="00585B02">
        <w:rPr>
          <w:b/>
          <w:bCs/>
        </w:rPr>
        <w:t>a)</w:t>
      </w:r>
      <w:r w:rsidR="00B70652">
        <w:tab/>
      </w:r>
      <w:r w:rsidR="00B70652">
        <w:rPr>
          <w:b/>
          <w:bCs/>
        </w:rPr>
        <w:t>определить и ввести в Уголовный кодекс семейно-бытовое насилие, включая сексуальное насилие и изнасилование в браке, как отдельное уголовное преступление с соответствующими санкциями;</w:t>
      </w:r>
    </w:p>
    <w:p w14:paraId="6F8631E9" w14:textId="1D108DF6" w:rsidR="00B70652" w:rsidRPr="008744BB" w:rsidRDefault="00585B02" w:rsidP="00B70652">
      <w:pPr>
        <w:pStyle w:val="SingleTxtG"/>
        <w:rPr>
          <w:b/>
          <w:bCs/>
        </w:rPr>
      </w:pPr>
      <w:r>
        <w:tab/>
      </w:r>
      <w:r w:rsidR="00B70652" w:rsidRPr="00585B02">
        <w:rPr>
          <w:b/>
          <w:bCs/>
        </w:rPr>
        <w:t>b)</w:t>
      </w:r>
      <w:r w:rsidR="00B70652">
        <w:tab/>
      </w:r>
      <w:r w:rsidR="00B70652">
        <w:rPr>
          <w:b/>
          <w:bCs/>
        </w:rPr>
        <w:t>принять меры к тому, чтобы все заявления о семейно-бытовом насилии, включая сексуальное насилие и насилие в отношении детей, регистрировались полицией, все утверждения о семейно-бытовом насилии оперативно, беспристрастно и эффективно расследовались, а предполагаемые виновные привлекались к ответственности и, в случае осуждения, несли соответствующее наказание;</w:t>
      </w:r>
      <w:r w:rsidR="00B70652">
        <w:t xml:space="preserve"> </w:t>
      </w:r>
    </w:p>
    <w:p w14:paraId="0A35AD5C" w14:textId="1F22D622" w:rsidR="00B70652" w:rsidRPr="008744BB" w:rsidRDefault="00585B02" w:rsidP="00B70652">
      <w:pPr>
        <w:pStyle w:val="SingleTxtG"/>
        <w:rPr>
          <w:b/>
          <w:bCs/>
        </w:rPr>
      </w:pPr>
      <w:r>
        <w:tab/>
      </w:r>
      <w:r w:rsidR="00B70652" w:rsidRPr="00585B02">
        <w:rPr>
          <w:b/>
          <w:bCs/>
        </w:rPr>
        <w:t>c)</w:t>
      </w:r>
      <w:r w:rsidR="00B70652">
        <w:tab/>
      </w:r>
      <w:r w:rsidR="00B70652">
        <w:rPr>
          <w:b/>
          <w:bCs/>
        </w:rPr>
        <w:t>обеспечить, чтобы жертвы семейно-бытового насилия пользовались защитой и имели доступ к медицинским и юридическим услугам, включая консультирование, безопасным и адекватно финансируемым приютам, а также к возмещению ущерба, включая реабилитацию;</w:t>
      </w:r>
    </w:p>
    <w:p w14:paraId="484863AF" w14:textId="167D9FEF" w:rsidR="00B70652" w:rsidRPr="008744BB" w:rsidRDefault="00585B02" w:rsidP="00B70652">
      <w:pPr>
        <w:pStyle w:val="SingleTxtG"/>
        <w:rPr>
          <w:b/>
          <w:bCs/>
        </w:rPr>
      </w:pPr>
      <w:r>
        <w:tab/>
      </w:r>
      <w:r w:rsidR="00B70652" w:rsidRPr="00585B02">
        <w:rPr>
          <w:b/>
          <w:bCs/>
        </w:rPr>
        <w:t>d)</w:t>
      </w:r>
      <w:r w:rsidR="00B70652">
        <w:tab/>
      </w:r>
      <w:r w:rsidR="00B70652" w:rsidRPr="00D315A6">
        <w:rPr>
          <w:b/>
          <w:bCs/>
        </w:rPr>
        <w:t>повысить эффективность</w:t>
      </w:r>
      <w:r w:rsidR="00B70652">
        <w:rPr>
          <w:b/>
          <w:bCs/>
        </w:rPr>
        <w:t xml:space="preserve"> сбора данных в разбивке по возрасту, полу и виду преступления о количестве жалоб, расследований, осуждений и приговоров, вынесенных по делам о семейно-бытовом насилии, а также о мерах защиты, включая приюты, юридические и медицинские услуги и возмещение ущерба, предоставленных жертвам.</w:t>
      </w:r>
      <w:r w:rsidR="00B70652">
        <w:t xml:space="preserve"> </w:t>
      </w:r>
    </w:p>
    <w:p w14:paraId="1C25126F" w14:textId="77777777" w:rsidR="00B70652" w:rsidRPr="00705087" w:rsidRDefault="00B70652" w:rsidP="00B70652">
      <w:pPr>
        <w:pStyle w:val="H23G"/>
        <w:rPr>
          <w:rFonts w:eastAsia="Malgun Gothic"/>
        </w:rPr>
      </w:pPr>
      <w:r>
        <w:tab/>
      </w:r>
      <w:r>
        <w:tab/>
      </w:r>
      <w:r>
        <w:rPr>
          <w:bCs/>
        </w:rPr>
        <w:t>Торговля людьми</w:t>
      </w:r>
    </w:p>
    <w:p w14:paraId="5540E857" w14:textId="77777777" w:rsidR="00B70652" w:rsidRPr="008744BB" w:rsidRDefault="00B70652" w:rsidP="00B70652">
      <w:pPr>
        <w:pStyle w:val="SingleTxtG"/>
      </w:pPr>
      <w:r>
        <w:t>25.</w:t>
      </w:r>
      <w:r>
        <w:tab/>
        <w:t xml:space="preserve">Комитет высоко оценивает усилия государства-участника по борьбе с торговлей людьми, включая поправки к Уголовному кодексу, расширяющие уголовную ответственность за торговлю людьми; широкий спектр учебных мероприятий, проводимых для соответствующих должностных лиц; и Межучережденческий план действий по борьбе с торговлей людьми на период 2020–2022 годов. Однако Комитет сожалеет, что не получил достаточной информации о количестве расследованных дел </w:t>
      </w:r>
      <w:r>
        <w:lastRenderedPageBreak/>
        <w:t>и наказаниях, назначенных за торговлю людьми, а также о конкретных мерах защиты и поддержки, предлагаемых жертвам (статьи 2 и 16).</w:t>
      </w:r>
    </w:p>
    <w:p w14:paraId="361E3E67" w14:textId="77777777" w:rsidR="00B70652" w:rsidRPr="008744BB" w:rsidRDefault="00B70652" w:rsidP="00B70652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Государству-участнику следует:</w:t>
      </w:r>
    </w:p>
    <w:p w14:paraId="414CC55E" w14:textId="24CC47EA" w:rsidR="00B70652" w:rsidRPr="008744BB" w:rsidRDefault="00880923" w:rsidP="00B70652">
      <w:pPr>
        <w:pStyle w:val="SingleTxtG"/>
        <w:rPr>
          <w:b/>
          <w:bCs/>
        </w:rPr>
      </w:pPr>
      <w:r>
        <w:tab/>
      </w:r>
      <w:r w:rsidR="00B70652" w:rsidRPr="00880923">
        <w:rPr>
          <w:b/>
          <w:bCs/>
        </w:rPr>
        <w:t>a)</w:t>
      </w:r>
      <w:r w:rsidR="00B70652">
        <w:tab/>
      </w:r>
      <w:r w:rsidR="00B70652">
        <w:rPr>
          <w:b/>
          <w:bCs/>
        </w:rPr>
        <w:t>продолжать принимать меры по предотвращению и искоренению торговли людьми, в том числе путем организации специализированной подготовки государственных служащих по вопросам выявления жертв, расследования, судебного преследования и наказания виновных;</w:t>
      </w:r>
    </w:p>
    <w:p w14:paraId="393C79B8" w14:textId="4BEFB0FA" w:rsidR="00B70652" w:rsidRPr="008744BB" w:rsidRDefault="00880923" w:rsidP="00B70652">
      <w:pPr>
        <w:pStyle w:val="SingleTxtG"/>
        <w:rPr>
          <w:b/>
          <w:bCs/>
        </w:rPr>
      </w:pPr>
      <w:r>
        <w:tab/>
      </w:r>
      <w:r w:rsidR="00B70652" w:rsidRPr="00880923">
        <w:rPr>
          <w:b/>
          <w:bCs/>
        </w:rPr>
        <w:t>b)</w:t>
      </w:r>
      <w:r w:rsidR="00B70652">
        <w:tab/>
      </w:r>
      <w:r w:rsidR="00B70652">
        <w:rPr>
          <w:b/>
          <w:bCs/>
        </w:rPr>
        <w:t>оперативно, эффективно и беспристрастно расследовать преступления, связанные с торговлей людьми и со смежными видами практики, преследовать в судебном порядке виновных и назначать им наказания, соразмерные тяжести совершенных преступлений;</w:t>
      </w:r>
    </w:p>
    <w:p w14:paraId="60166820" w14:textId="45653FE9" w:rsidR="00B70652" w:rsidRPr="008744BB" w:rsidRDefault="00880923" w:rsidP="00B70652">
      <w:pPr>
        <w:pStyle w:val="SingleTxtG"/>
        <w:rPr>
          <w:b/>
          <w:bCs/>
        </w:rPr>
      </w:pPr>
      <w:r>
        <w:tab/>
      </w:r>
      <w:r w:rsidR="00B70652" w:rsidRPr="00880923">
        <w:rPr>
          <w:b/>
          <w:bCs/>
        </w:rPr>
        <w:t>c)</w:t>
      </w:r>
      <w:r w:rsidR="00B70652">
        <w:tab/>
      </w:r>
      <w:r w:rsidR="00B70652">
        <w:rPr>
          <w:b/>
          <w:bCs/>
        </w:rPr>
        <w:t>обеспечить защиту и возмещение ущерба жертвам торговли людьми, включая правовую, медицинскую и психологическую помощь и реабилитацию, а также надлежащие приюты и помощь с обращением в полицию в связи со случаями торговли людьми;</w:t>
      </w:r>
    </w:p>
    <w:p w14:paraId="56A57D1F" w14:textId="5851A65C" w:rsidR="00B70652" w:rsidRPr="008744BB" w:rsidRDefault="00880923" w:rsidP="00B70652">
      <w:pPr>
        <w:pStyle w:val="SingleTxtG"/>
        <w:rPr>
          <w:b/>
          <w:bCs/>
        </w:rPr>
      </w:pPr>
      <w:r>
        <w:tab/>
      </w:r>
      <w:r w:rsidR="00B70652" w:rsidRPr="00880923">
        <w:rPr>
          <w:b/>
          <w:bCs/>
        </w:rPr>
        <w:t>d)</w:t>
      </w:r>
      <w:r w:rsidR="00B70652">
        <w:tab/>
      </w:r>
      <w:r w:rsidR="00B70652">
        <w:rPr>
          <w:b/>
          <w:bCs/>
        </w:rPr>
        <w:t>представить Комитету всеобъемлющие дезагрегированные данные о количестве проведенных расследований и приговоров, вынесенных лицам, виновным в торговле людьми, а также о мерах защиты и возмещения ущерба жертвам.</w:t>
      </w:r>
    </w:p>
    <w:p w14:paraId="25BE04E0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05CDCD76" w14:textId="77777777" w:rsidR="00B70652" w:rsidRPr="008744BB" w:rsidRDefault="00B70652" w:rsidP="00B70652">
      <w:pPr>
        <w:pStyle w:val="SingleTxtG"/>
      </w:pPr>
      <w:r>
        <w:t>27.</w:t>
      </w:r>
      <w:r>
        <w:tab/>
        <w:t>Комитет выражает сожаление в связи с отсутствием всеобъемлющих статистических данных, дезагрегированных по возрасту, гендеру, этническому или национальному происхождению и виду преступления, о жалобах, расследованиях, судебном преследовании и приговорах по делам о пытках и жестоком обращении со стороны сотрудников правоохранительных органов и тюрем, о торговле людьми и семейно-бытовом и сексуальном насилии, а также о доступных жертвам средствах возмещения ущерба, включая компенсацию и реабилитацию (статьи 2, 12–14 и 16).</w:t>
      </w:r>
    </w:p>
    <w:p w14:paraId="434FD14D" w14:textId="77777777" w:rsidR="00B70652" w:rsidRPr="008744BB" w:rsidRDefault="00B70652" w:rsidP="00B70652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Государству-участнику следует наладить сбор статистических данных, необходимых для мониторинга осуществления Конвенции на национальном уровне, включая статистику в разбивке по возрасту, гендеру, этнической или национальной принадлежности, статусу беженца и виду преступления о жалобах, расследованиях, судебном преследовании и приговорах по делам о пытках и жестоком обращении, торговле людьми, семейно-бытовом и сексуальном насилии, а также о мерах возмещения ущерба, включая компенсацию и реабилитацию, предоставленных жертвам.</w:t>
      </w:r>
    </w:p>
    <w:p w14:paraId="681D61F8" w14:textId="77777777" w:rsidR="00B70652" w:rsidRPr="008744BB" w:rsidRDefault="00B70652" w:rsidP="00B70652">
      <w:pPr>
        <w:pStyle w:val="H23G"/>
      </w:pPr>
      <w:r>
        <w:tab/>
      </w:r>
      <w:r>
        <w:tab/>
      </w:r>
      <w:r>
        <w:rPr>
          <w:bCs/>
        </w:rPr>
        <w:t>Процедура последующей деятельности</w:t>
      </w:r>
    </w:p>
    <w:p w14:paraId="4A444F9E" w14:textId="77777777" w:rsidR="00B70652" w:rsidRPr="008744BB" w:rsidRDefault="00B70652" w:rsidP="00B70652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просит государство-участник представить к 3 декабря 2022 года информацию о последующих мерах по выполнению рекомендаций Комитета в отношении кризиса, связанного с беженцами и мигрантами;</w:t>
      </w:r>
      <w:r>
        <w:t xml:space="preserve"> </w:t>
      </w:r>
      <w:r>
        <w:rPr>
          <w:b/>
          <w:bCs/>
        </w:rPr>
        <w:t>условий содержания под стражей;</w:t>
      </w:r>
      <w:r>
        <w:t xml:space="preserve"> </w:t>
      </w:r>
      <w:r>
        <w:rPr>
          <w:b/>
          <w:bCs/>
        </w:rPr>
        <w:t>и оперативных, тщательных и беспристрастных расследованиях (см. пункты 12, 16 и 18 выше).</w:t>
      </w:r>
      <w:r>
        <w:t xml:space="preserve"> </w:t>
      </w:r>
      <w:r>
        <w:rPr>
          <w:b/>
          <w:bCs/>
        </w:rPr>
        <w:t>В этой связи государству-участнику предлагается сообщить Комитету о своих планах по выполнению в предстоящий отчетный период некоторых или всех из оставшихся рекомендаций, содержащихся в заключительных замечаниях.</w:t>
      </w:r>
    </w:p>
    <w:p w14:paraId="39AF4926" w14:textId="77777777" w:rsidR="00B70652" w:rsidRPr="008744BB" w:rsidRDefault="00B70652" w:rsidP="00B70652">
      <w:pPr>
        <w:pStyle w:val="H23G"/>
        <w:rPr>
          <w:rFonts w:eastAsia="SimSun"/>
        </w:rPr>
      </w:pPr>
      <w:r>
        <w:tab/>
      </w:r>
      <w:r>
        <w:tab/>
      </w:r>
      <w:r>
        <w:rPr>
          <w:bCs/>
        </w:rPr>
        <w:t>Прочие вопросы</w:t>
      </w:r>
    </w:p>
    <w:p w14:paraId="14960E19" w14:textId="77777777" w:rsidR="00B70652" w:rsidRPr="008744BB" w:rsidRDefault="00B70652" w:rsidP="00B70652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призывает государство-участник рассмотреть вопрос о том, чтобы сделать заявление в соответствии со статьями 21 и 22 Конвенции и тем самым признать компетенцию Комитета получать и рассматривать сообщения лиц, находящихся под его юрисдикцией.</w:t>
      </w:r>
      <w:r>
        <w:t xml:space="preserve"> </w:t>
      </w:r>
    </w:p>
    <w:p w14:paraId="5BA7A002" w14:textId="77777777" w:rsidR="00B70652" w:rsidRPr="008744BB" w:rsidRDefault="00B70652" w:rsidP="00880923">
      <w:pPr>
        <w:pStyle w:val="SingleTxtG"/>
        <w:pageBreakBefore/>
        <w:rPr>
          <w:b/>
          <w:bCs/>
        </w:rPr>
      </w:pPr>
      <w:r>
        <w:lastRenderedPageBreak/>
        <w:t>31.</w:t>
      </w:r>
      <w:r>
        <w:tab/>
      </w:r>
      <w:r>
        <w:rPr>
          <w:b/>
          <w:bCs/>
        </w:rPr>
        <w:t>Государству-участнику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организации, а также сообщить Комитету о проводимых мероприятиях по их распространению.</w:t>
      </w:r>
    </w:p>
    <w:p w14:paraId="48B25F24" w14:textId="4115E11D" w:rsidR="00B70652" w:rsidRPr="008744BB" w:rsidRDefault="00B70652" w:rsidP="00B70652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предлагает государству-участнику представить свой следующий периодический доклад, который станет его пятым докладом, к 3 декабря 2025</w:t>
      </w:r>
      <w:r w:rsidR="00880923">
        <w:rPr>
          <w:b/>
          <w:bCs/>
        </w:rPr>
        <w:t> </w:t>
      </w:r>
      <w:r>
        <w:rPr>
          <w:b/>
          <w:bCs/>
        </w:rPr>
        <w:t>года.</w:t>
      </w:r>
      <w:r>
        <w:t xml:space="preserve"> </w:t>
      </w:r>
      <w:r>
        <w:rPr>
          <w:b/>
          <w:bCs/>
        </w:rPr>
        <w:t>С этой целью и с учетом того, что государство-участник согласилось представлять Комитету доклады по упрощенной процедуре, Комитет в надлежащее время препроводит государству-участнику перечень вопросов до представления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будут представлять собой его пятый периодический доклад, подготовленный согласно статье 19 Конвенции.</w:t>
      </w:r>
    </w:p>
    <w:p w14:paraId="6E28E5F8" w14:textId="6605B1C2" w:rsidR="00381C24" w:rsidRPr="00BC18B2" w:rsidRDefault="00B70652" w:rsidP="00B70652">
      <w:pPr>
        <w:spacing w:before="240"/>
        <w:jc w:val="center"/>
      </w:pPr>
      <w:r w:rsidRPr="008744BB">
        <w:rPr>
          <w:u w:val="single"/>
        </w:rPr>
        <w:tab/>
      </w:r>
      <w:r w:rsidRPr="008744BB">
        <w:rPr>
          <w:u w:val="single"/>
        </w:rPr>
        <w:tab/>
      </w:r>
      <w:r w:rsidRPr="008744BB">
        <w:rPr>
          <w:u w:val="single"/>
        </w:rPr>
        <w:tab/>
      </w:r>
    </w:p>
    <w:sectPr w:rsidR="00381C24" w:rsidRPr="00BC18B2" w:rsidSect="00B7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E007" w14:textId="77777777" w:rsidR="00936D2E" w:rsidRPr="00A312BC" w:rsidRDefault="00936D2E" w:rsidP="00A312BC"/>
  </w:endnote>
  <w:endnote w:type="continuationSeparator" w:id="0">
    <w:p w14:paraId="7DE70F75" w14:textId="77777777" w:rsidR="00936D2E" w:rsidRPr="00A312BC" w:rsidRDefault="00936D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D441" w14:textId="7A4562BC" w:rsidR="00B70652" w:rsidRPr="00B70652" w:rsidRDefault="00B70652">
    <w:pPr>
      <w:pStyle w:val="a8"/>
    </w:pPr>
    <w:r w:rsidRPr="00B70652">
      <w:rPr>
        <w:b/>
        <w:sz w:val="18"/>
      </w:rPr>
      <w:fldChar w:fldCharType="begin"/>
    </w:r>
    <w:r w:rsidRPr="00B70652">
      <w:rPr>
        <w:b/>
        <w:sz w:val="18"/>
      </w:rPr>
      <w:instrText xml:space="preserve"> PAGE  \* MERGEFORMAT </w:instrText>
    </w:r>
    <w:r w:rsidRPr="00B70652">
      <w:rPr>
        <w:b/>
        <w:sz w:val="18"/>
      </w:rPr>
      <w:fldChar w:fldCharType="separate"/>
    </w:r>
    <w:r w:rsidRPr="00B70652">
      <w:rPr>
        <w:b/>
        <w:noProof/>
        <w:sz w:val="18"/>
      </w:rPr>
      <w:t>2</w:t>
    </w:r>
    <w:r w:rsidRPr="00B70652">
      <w:rPr>
        <w:b/>
        <w:sz w:val="18"/>
      </w:rPr>
      <w:fldChar w:fldCharType="end"/>
    </w:r>
    <w:r>
      <w:rPr>
        <w:b/>
        <w:sz w:val="18"/>
      </w:rPr>
      <w:tab/>
    </w:r>
    <w:r>
      <w:t>GE.21-19413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9D87" w14:textId="07DE5A3F" w:rsidR="00B70652" w:rsidRPr="00B70652" w:rsidRDefault="00B70652" w:rsidP="00B70652">
    <w:pPr>
      <w:pStyle w:val="a8"/>
      <w:tabs>
        <w:tab w:val="clear" w:pos="9639"/>
        <w:tab w:val="right" w:pos="9638"/>
      </w:tabs>
      <w:rPr>
        <w:b/>
        <w:sz w:val="18"/>
      </w:rPr>
    </w:pPr>
    <w:r>
      <w:t>GE.21-19413</w:t>
    </w:r>
    <w:r>
      <w:tab/>
    </w:r>
    <w:r w:rsidRPr="00B70652">
      <w:rPr>
        <w:b/>
        <w:sz w:val="18"/>
      </w:rPr>
      <w:fldChar w:fldCharType="begin"/>
    </w:r>
    <w:r w:rsidRPr="00B70652">
      <w:rPr>
        <w:b/>
        <w:sz w:val="18"/>
      </w:rPr>
      <w:instrText xml:space="preserve"> PAGE  \* MERGEFORMAT </w:instrText>
    </w:r>
    <w:r w:rsidRPr="00B70652">
      <w:rPr>
        <w:b/>
        <w:sz w:val="18"/>
      </w:rPr>
      <w:fldChar w:fldCharType="separate"/>
    </w:r>
    <w:r w:rsidRPr="00B70652">
      <w:rPr>
        <w:b/>
        <w:noProof/>
        <w:sz w:val="18"/>
      </w:rPr>
      <w:t>3</w:t>
    </w:r>
    <w:r w:rsidRPr="00B706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3D79" w14:textId="03277E9F" w:rsidR="00042B72" w:rsidRPr="00B70652" w:rsidRDefault="00B70652" w:rsidP="00B7065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DF7E04" wp14:editId="479F1B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21-19413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FBDB41" wp14:editId="738748F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220222  300322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AFED" w14:textId="77777777" w:rsidR="00936D2E" w:rsidRPr="001075E9" w:rsidRDefault="00936D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C9D7A3" w14:textId="77777777" w:rsidR="00936D2E" w:rsidRDefault="00936D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4DADDC" w14:textId="48A74B0C" w:rsidR="00B70652" w:rsidRPr="008744BB" w:rsidRDefault="00B70652" w:rsidP="00B70652">
      <w:pPr>
        <w:pStyle w:val="ad"/>
      </w:pPr>
      <w:r>
        <w:tab/>
      </w:r>
      <w:r w:rsidRPr="00880923">
        <w:rPr>
          <w:sz w:val="20"/>
        </w:rPr>
        <w:t>*</w:t>
      </w:r>
      <w:r>
        <w:tab/>
        <w:t xml:space="preserve">Приняты Комитетом на его семьдесят второй сессии (8 ноября </w:t>
      </w:r>
      <w:r w:rsidR="00876600" w:rsidRPr="00876600">
        <w:t>—</w:t>
      </w:r>
      <w:r>
        <w:t xml:space="preserve"> 3 декабря 2021 года).</w:t>
      </w:r>
    </w:p>
  </w:footnote>
  <w:footnote w:id="2">
    <w:p w14:paraId="3813A704" w14:textId="3B7BA39C" w:rsidR="00B70652" w:rsidRPr="008744BB" w:rsidRDefault="00B70652" w:rsidP="00B70652">
      <w:pPr>
        <w:pStyle w:val="ad"/>
      </w:pPr>
      <w:r>
        <w:tab/>
      </w:r>
      <w:r w:rsidRPr="002217D3">
        <w:rPr>
          <w:rStyle w:val="aa"/>
        </w:rPr>
        <w:footnoteRef/>
      </w:r>
      <w:r>
        <w:tab/>
      </w:r>
      <w:hyperlink r:id="rId1" w:history="1">
        <w:r w:rsidRPr="00880923">
          <w:rPr>
            <w:rStyle w:val="af1"/>
          </w:rPr>
          <w:t>CAT/C/LTU/4</w:t>
        </w:r>
      </w:hyperlink>
      <w:r>
        <w:t>.</w:t>
      </w:r>
    </w:p>
  </w:footnote>
  <w:footnote w:id="3">
    <w:p w14:paraId="64FB12FA" w14:textId="2C27EFFB" w:rsidR="00B70652" w:rsidRPr="00705814" w:rsidRDefault="00B70652" w:rsidP="00B70652">
      <w:pPr>
        <w:pStyle w:val="ad"/>
      </w:pPr>
      <w:r>
        <w:tab/>
      </w:r>
      <w:r w:rsidRPr="002217D3">
        <w:rPr>
          <w:rStyle w:val="aa"/>
        </w:rPr>
        <w:footnoteRef/>
      </w:r>
      <w:r>
        <w:tab/>
        <w:t xml:space="preserve">См. </w:t>
      </w:r>
      <w:hyperlink r:id="rId2" w:history="1">
        <w:r w:rsidRPr="00880923">
          <w:rPr>
            <w:rStyle w:val="af1"/>
            <w:lang w:val="en-US"/>
          </w:rPr>
          <w:t>CAT</w:t>
        </w:r>
        <w:r w:rsidRPr="00705814">
          <w:rPr>
            <w:rStyle w:val="af1"/>
          </w:rPr>
          <w:t>/</w:t>
        </w:r>
        <w:r w:rsidRPr="00880923">
          <w:rPr>
            <w:rStyle w:val="af1"/>
            <w:lang w:val="en-US"/>
          </w:rPr>
          <w:t>C</w:t>
        </w:r>
        <w:r w:rsidRPr="00705814">
          <w:rPr>
            <w:rStyle w:val="af1"/>
          </w:rPr>
          <w:t>/</w:t>
        </w:r>
        <w:r w:rsidRPr="00880923">
          <w:rPr>
            <w:rStyle w:val="af1"/>
            <w:lang w:val="en-US"/>
          </w:rPr>
          <w:t>SR</w:t>
        </w:r>
        <w:r w:rsidRPr="00705814">
          <w:rPr>
            <w:rStyle w:val="af1"/>
          </w:rPr>
          <w:t>.1854</w:t>
        </w:r>
      </w:hyperlink>
      <w:r w:rsidRPr="00705814">
        <w:t xml:space="preserve"> </w:t>
      </w:r>
      <w:r>
        <w:t>и</w:t>
      </w:r>
      <w:r w:rsidRPr="00705814">
        <w:t xml:space="preserve"> </w:t>
      </w:r>
      <w:hyperlink r:id="rId3" w:history="1">
        <w:r w:rsidRPr="00880923">
          <w:rPr>
            <w:rStyle w:val="af1"/>
            <w:lang w:val="en-US"/>
          </w:rPr>
          <w:t>CAT</w:t>
        </w:r>
        <w:r w:rsidRPr="00705814">
          <w:rPr>
            <w:rStyle w:val="af1"/>
          </w:rPr>
          <w:t>/</w:t>
        </w:r>
        <w:r w:rsidRPr="00880923">
          <w:rPr>
            <w:rStyle w:val="af1"/>
            <w:lang w:val="en-US"/>
          </w:rPr>
          <w:t>C</w:t>
        </w:r>
        <w:r w:rsidRPr="00705814">
          <w:rPr>
            <w:rStyle w:val="af1"/>
          </w:rPr>
          <w:t>/</w:t>
        </w:r>
        <w:r w:rsidRPr="00880923">
          <w:rPr>
            <w:rStyle w:val="af1"/>
            <w:lang w:val="en-US"/>
          </w:rPr>
          <w:t>SR</w:t>
        </w:r>
        <w:r w:rsidRPr="00705814">
          <w:rPr>
            <w:rStyle w:val="af1"/>
          </w:rPr>
          <w:t>.1857</w:t>
        </w:r>
      </w:hyperlink>
      <w:r w:rsidRPr="00705814">
        <w:t>.</w:t>
      </w:r>
    </w:p>
  </w:footnote>
  <w:footnote w:id="4">
    <w:p w14:paraId="0F13E873" w14:textId="15E6EF07" w:rsidR="00B70652" w:rsidRPr="00B70652" w:rsidRDefault="00B70652" w:rsidP="00B70652">
      <w:pPr>
        <w:pStyle w:val="ad"/>
        <w:rPr>
          <w:lang w:val="en-US"/>
        </w:rPr>
      </w:pPr>
      <w:r w:rsidRPr="00705814">
        <w:tab/>
      </w:r>
      <w:r w:rsidRPr="002217D3">
        <w:rPr>
          <w:rStyle w:val="aa"/>
        </w:rPr>
        <w:footnoteRef/>
      </w:r>
      <w:r w:rsidRPr="008744BB">
        <w:rPr>
          <w:lang w:val="en-US"/>
        </w:rPr>
        <w:tab/>
      </w:r>
      <w:hyperlink r:id="rId4" w:history="1">
        <w:r w:rsidRPr="00880923">
          <w:rPr>
            <w:rStyle w:val="af1"/>
            <w:lang w:val="en-US"/>
          </w:rPr>
          <w:t>CAT/C/LTU/CO/3</w:t>
        </w:r>
      </w:hyperlink>
      <w:r w:rsidRPr="008744BB">
        <w:rPr>
          <w:lang w:val="en-US"/>
        </w:rPr>
        <w:t xml:space="preserve">, </w:t>
      </w:r>
      <w:r>
        <w:t>п</w:t>
      </w:r>
      <w:r w:rsidRPr="008744BB">
        <w:rPr>
          <w:lang w:val="en-US"/>
        </w:rPr>
        <w:t>. 29.</w:t>
      </w:r>
    </w:p>
  </w:footnote>
  <w:footnote w:id="5">
    <w:p w14:paraId="09C93F46" w14:textId="77777777" w:rsidR="00B70652" w:rsidRPr="008744BB" w:rsidRDefault="00B70652" w:rsidP="00B70652">
      <w:pPr>
        <w:pStyle w:val="ad"/>
      </w:pPr>
      <w:r w:rsidRPr="008744BB">
        <w:rPr>
          <w:lang w:val="en-US"/>
        </w:rPr>
        <w:tab/>
      </w:r>
      <w:r w:rsidRPr="002217D3">
        <w:rPr>
          <w:rStyle w:val="aa"/>
        </w:rPr>
        <w:footnoteRef/>
      </w:r>
      <w:r>
        <w:tab/>
        <w:t>Там же, п. 10.</w:t>
      </w:r>
    </w:p>
  </w:footnote>
  <w:footnote w:id="6">
    <w:p w14:paraId="088D1C73" w14:textId="77777777" w:rsidR="00B70652" w:rsidRPr="008744BB" w:rsidRDefault="00B70652" w:rsidP="00B70652">
      <w:pPr>
        <w:pStyle w:val="ad"/>
      </w:pPr>
      <w:r w:rsidRPr="003E77F4">
        <w:tab/>
      </w:r>
      <w:r w:rsidRPr="002217D3">
        <w:rPr>
          <w:rStyle w:val="aa"/>
        </w:rPr>
        <w:footnoteRef/>
      </w:r>
      <w:r>
        <w:tab/>
        <w:t>Там же, п. 11.</w:t>
      </w:r>
    </w:p>
  </w:footnote>
  <w:footnote w:id="7">
    <w:p w14:paraId="28892E36" w14:textId="77777777" w:rsidR="00B70652" w:rsidRPr="00B70652" w:rsidRDefault="00B70652" w:rsidP="00B70652">
      <w:pPr>
        <w:pStyle w:val="ad"/>
        <w:rPr>
          <w:lang w:val="en-US"/>
        </w:rPr>
      </w:pPr>
      <w:r w:rsidRPr="003E77F4">
        <w:tab/>
      </w:r>
      <w:r w:rsidRPr="002217D3">
        <w:rPr>
          <w:rStyle w:val="aa"/>
        </w:rPr>
        <w:footnoteRef/>
      </w:r>
      <w:r w:rsidRPr="008744BB">
        <w:rPr>
          <w:lang w:val="en-US"/>
        </w:rPr>
        <w:tab/>
      </w:r>
      <w:r>
        <w:t>Там</w:t>
      </w:r>
      <w:r w:rsidRPr="008744BB">
        <w:rPr>
          <w:lang w:val="en-US"/>
        </w:rPr>
        <w:t xml:space="preserve"> </w:t>
      </w:r>
      <w:r>
        <w:t>же</w:t>
      </w:r>
      <w:r w:rsidRPr="008744BB">
        <w:rPr>
          <w:lang w:val="en-US"/>
        </w:rPr>
        <w:t xml:space="preserve">, </w:t>
      </w:r>
      <w:r>
        <w:t>п</w:t>
      </w:r>
      <w:r w:rsidRPr="008744BB">
        <w:rPr>
          <w:lang w:val="en-US"/>
        </w:rPr>
        <w:t>. 19.</w:t>
      </w:r>
    </w:p>
  </w:footnote>
  <w:footnote w:id="8">
    <w:p w14:paraId="31BE9D91" w14:textId="43AF60F2" w:rsidR="00B70652" w:rsidRPr="00B70652" w:rsidRDefault="00B70652" w:rsidP="00B70652">
      <w:pPr>
        <w:pStyle w:val="ad"/>
        <w:rPr>
          <w:lang w:val="en-US"/>
        </w:rPr>
      </w:pPr>
      <w:r w:rsidRPr="008744BB">
        <w:rPr>
          <w:lang w:val="en-US"/>
        </w:rPr>
        <w:tab/>
      </w:r>
      <w:r w:rsidRPr="002217D3">
        <w:rPr>
          <w:rStyle w:val="aa"/>
        </w:rPr>
        <w:footnoteRef/>
      </w:r>
      <w:r w:rsidRPr="008744BB">
        <w:rPr>
          <w:lang w:val="en-US"/>
        </w:rPr>
        <w:tab/>
      </w:r>
      <w:r w:rsidR="00263ADC">
        <w:fldChar w:fldCharType="begin"/>
      </w:r>
      <w:r w:rsidR="00263ADC" w:rsidRPr="00705814">
        <w:rPr>
          <w:lang w:val="en-US"/>
        </w:rPr>
        <w:instrText xml:space="preserve"> HYPERLINK "http://undocs.org/en/CAT/C/LTU/CO/3/Add.1" </w:instrText>
      </w:r>
      <w:r w:rsidR="00263ADC">
        <w:fldChar w:fldCharType="separate"/>
      </w:r>
      <w:r w:rsidRPr="00880923">
        <w:rPr>
          <w:rStyle w:val="af1"/>
          <w:lang w:val="en-US"/>
        </w:rPr>
        <w:t>CAT/C/LTU/CO/3/Add.1</w:t>
      </w:r>
      <w:r w:rsidR="00263ADC">
        <w:rPr>
          <w:rStyle w:val="af1"/>
          <w:lang w:val="en-US"/>
        </w:rPr>
        <w:fldChar w:fldCharType="end"/>
      </w:r>
      <w:r w:rsidRPr="008744BB">
        <w:rPr>
          <w:lang w:val="en-US"/>
        </w:rPr>
        <w:t>.</w:t>
      </w:r>
    </w:p>
  </w:footnote>
  <w:footnote w:id="9">
    <w:p w14:paraId="78AF963E" w14:textId="0C768AEF" w:rsidR="00B70652" w:rsidRPr="00B70652" w:rsidRDefault="00B70652" w:rsidP="00B70652">
      <w:pPr>
        <w:pStyle w:val="ad"/>
        <w:rPr>
          <w:lang w:val="en-US"/>
        </w:rPr>
      </w:pPr>
      <w:r w:rsidRPr="008744BB">
        <w:rPr>
          <w:lang w:val="en-US"/>
        </w:rPr>
        <w:tab/>
      </w:r>
      <w:r w:rsidRPr="002217D3">
        <w:rPr>
          <w:rStyle w:val="aa"/>
        </w:rPr>
        <w:footnoteRef/>
      </w:r>
      <w:r w:rsidRPr="008744BB">
        <w:rPr>
          <w:lang w:val="en-US"/>
        </w:rPr>
        <w:tab/>
      </w:r>
      <w:r w:rsidR="00263ADC">
        <w:fldChar w:fldCharType="begin"/>
      </w:r>
      <w:r w:rsidR="00263ADC" w:rsidRPr="00705814">
        <w:rPr>
          <w:lang w:val="en-US"/>
        </w:rPr>
        <w:instrText xml:space="preserve"> HYPERLINK "http://undocs.org/ru/CAT/C/LTU/CO/3" </w:instrText>
      </w:r>
      <w:r w:rsidR="00263ADC">
        <w:fldChar w:fldCharType="separate"/>
      </w:r>
      <w:r w:rsidRPr="00880923">
        <w:rPr>
          <w:rStyle w:val="af1"/>
          <w:lang w:val="en-US"/>
        </w:rPr>
        <w:t>CAT/C/LTU/CO/3</w:t>
      </w:r>
      <w:r w:rsidR="00263ADC">
        <w:rPr>
          <w:rStyle w:val="af1"/>
          <w:lang w:val="en-US"/>
        </w:rPr>
        <w:fldChar w:fldCharType="end"/>
      </w:r>
      <w:r w:rsidRPr="008744BB">
        <w:rPr>
          <w:lang w:val="en-US"/>
        </w:rPr>
        <w:t xml:space="preserve">, </w:t>
      </w:r>
      <w:r>
        <w:t>пп</w:t>
      </w:r>
      <w:r w:rsidRPr="008744BB">
        <w:rPr>
          <w:lang w:val="en-US"/>
        </w:rPr>
        <w:t xml:space="preserve">. 10 </w:t>
      </w:r>
      <w:r>
        <w:t>и</w:t>
      </w:r>
      <w:r w:rsidRPr="008744BB">
        <w:rPr>
          <w:lang w:val="en-US"/>
        </w:rPr>
        <w:t xml:space="preserve"> 11 c).</w:t>
      </w:r>
    </w:p>
  </w:footnote>
  <w:footnote w:id="10">
    <w:p w14:paraId="0323CF2C" w14:textId="4C8851B0" w:rsidR="00B70652" w:rsidRPr="008744BB" w:rsidRDefault="00B70652" w:rsidP="00B70652">
      <w:pPr>
        <w:pStyle w:val="ad"/>
      </w:pPr>
      <w:r w:rsidRPr="008744BB">
        <w:rPr>
          <w:lang w:val="en-US"/>
        </w:rPr>
        <w:tab/>
      </w:r>
      <w:r w:rsidRPr="002217D3">
        <w:rPr>
          <w:rStyle w:val="aa"/>
        </w:rPr>
        <w:footnoteRef/>
      </w:r>
      <w:r>
        <w:tab/>
      </w:r>
      <w:hyperlink r:id="rId5" w:history="1">
        <w:r w:rsidRPr="00880923">
          <w:rPr>
            <w:rStyle w:val="af1"/>
          </w:rPr>
          <w:t>CAT/C/LTU/4</w:t>
        </w:r>
      </w:hyperlink>
      <w:r>
        <w:t>, пп. 132–136, 145–151 и 177.</w:t>
      </w:r>
    </w:p>
  </w:footnote>
  <w:footnote w:id="11">
    <w:p w14:paraId="0FCF8E33" w14:textId="46ED560C" w:rsidR="00B70652" w:rsidRPr="00B70652" w:rsidRDefault="00B70652" w:rsidP="00B70652">
      <w:pPr>
        <w:pStyle w:val="ad"/>
        <w:rPr>
          <w:lang w:val="en-US"/>
        </w:rPr>
      </w:pPr>
      <w:r w:rsidRPr="003E77F4">
        <w:tab/>
      </w:r>
      <w:r w:rsidRPr="002217D3">
        <w:rPr>
          <w:rStyle w:val="aa"/>
        </w:rPr>
        <w:footnoteRef/>
      </w:r>
      <w:r w:rsidRPr="008744BB">
        <w:rPr>
          <w:lang w:val="en-US"/>
        </w:rPr>
        <w:tab/>
      </w:r>
      <w:r w:rsidR="00263ADC">
        <w:fldChar w:fldCharType="begin"/>
      </w:r>
      <w:r w:rsidR="00263ADC" w:rsidRPr="00705814">
        <w:rPr>
          <w:lang w:val="en-US"/>
        </w:rPr>
        <w:instrText xml:space="preserve"> HYPERLINK "http://undocs.org/ru/CAT/C/LTU/CO/3"</w:instrText>
      </w:r>
      <w:r w:rsidR="00263ADC" w:rsidRPr="00705814">
        <w:rPr>
          <w:lang w:val="en-US"/>
        </w:rPr>
        <w:instrText xml:space="preserve"> </w:instrText>
      </w:r>
      <w:r w:rsidR="00263ADC">
        <w:fldChar w:fldCharType="separate"/>
      </w:r>
      <w:r w:rsidRPr="00880923">
        <w:rPr>
          <w:rStyle w:val="af1"/>
          <w:lang w:val="en-US"/>
        </w:rPr>
        <w:t>CAT/C/LTU/CO/3</w:t>
      </w:r>
      <w:r w:rsidR="00263ADC">
        <w:rPr>
          <w:rStyle w:val="af1"/>
          <w:lang w:val="en-US"/>
        </w:rPr>
        <w:fldChar w:fldCharType="end"/>
      </w:r>
      <w:r w:rsidRPr="008744BB">
        <w:rPr>
          <w:lang w:val="en-US"/>
        </w:rPr>
        <w:t xml:space="preserve">, </w:t>
      </w:r>
      <w:r>
        <w:t>п</w:t>
      </w:r>
      <w:r w:rsidRPr="008744BB">
        <w:rPr>
          <w:lang w:val="en-US"/>
        </w:rPr>
        <w:t>. 16.</w:t>
      </w:r>
    </w:p>
  </w:footnote>
  <w:footnote w:id="12">
    <w:p w14:paraId="288EEB62" w14:textId="4324C0CB" w:rsidR="00B70652" w:rsidRPr="00B70652" w:rsidRDefault="00B70652" w:rsidP="00B70652">
      <w:pPr>
        <w:pStyle w:val="ad"/>
        <w:rPr>
          <w:lang w:val="en-US"/>
        </w:rPr>
      </w:pPr>
      <w:r w:rsidRPr="008744BB">
        <w:rPr>
          <w:lang w:val="en-US"/>
        </w:rPr>
        <w:tab/>
      </w:r>
      <w:r w:rsidRPr="002217D3">
        <w:rPr>
          <w:rStyle w:val="aa"/>
        </w:rPr>
        <w:footnoteRef/>
      </w:r>
      <w:r w:rsidRPr="008744BB">
        <w:rPr>
          <w:lang w:val="en-US"/>
        </w:rPr>
        <w:tab/>
      </w:r>
      <w:r w:rsidR="00263ADC">
        <w:fldChar w:fldCharType="begin"/>
      </w:r>
      <w:r w:rsidR="00263ADC" w:rsidRPr="00705814">
        <w:rPr>
          <w:lang w:val="en-US"/>
        </w:rPr>
        <w:instrText xml:space="preserve"> HYPERLINK "http://undocs.org/en/CCPR/C/LTU/CO/4" </w:instrText>
      </w:r>
      <w:r w:rsidR="00263ADC">
        <w:fldChar w:fldCharType="separate"/>
      </w:r>
      <w:r w:rsidRPr="00880923">
        <w:rPr>
          <w:rStyle w:val="af1"/>
          <w:lang w:val="en-US"/>
        </w:rPr>
        <w:t>CCPR/C/LTU/CO/4</w:t>
      </w:r>
      <w:r w:rsidR="00263ADC">
        <w:rPr>
          <w:rStyle w:val="af1"/>
          <w:lang w:val="en-US"/>
        </w:rPr>
        <w:fldChar w:fldCharType="end"/>
      </w:r>
      <w:r w:rsidRPr="008744BB">
        <w:rPr>
          <w:lang w:val="en-US"/>
        </w:rPr>
        <w:t xml:space="preserve">, </w:t>
      </w:r>
      <w:r>
        <w:t>п</w:t>
      </w:r>
      <w:r w:rsidRPr="008744BB">
        <w:rPr>
          <w:lang w:val="en-US"/>
        </w:rPr>
        <w:t>. 23.</w:t>
      </w:r>
    </w:p>
  </w:footnote>
  <w:footnote w:id="13">
    <w:p w14:paraId="0DE8E991" w14:textId="260BF4FE" w:rsidR="00B70652" w:rsidRPr="00B70652" w:rsidRDefault="00B70652" w:rsidP="00B70652">
      <w:pPr>
        <w:pStyle w:val="ad"/>
        <w:rPr>
          <w:lang w:val="en-US"/>
        </w:rPr>
      </w:pPr>
      <w:r w:rsidRPr="008744BB">
        <w:rPr>
          <w:lang w:val="en-US"/>
        </w:rPr>
        <w:tab/>
      </w:r>
      <w:r w:rsidRPr="002217D3">
        <w:rPr>
          <w:rStyle w:val="aa"/>
        </w:rPr>
        <w:footnoteRef/>
      </w:r>
      <w:r w:rsidRPr="008744BB">
        <w:rPr>
          <w:lang w:val="en-US"/>
        </w:rPr>
        <w:tab/>
      </w:r>
      <w:r w:rsidR="00263ADC">
        <w:fldChar w:fldCharType="begin"/>
      </w:r>
      <w:r w:rsidR="00263ADC" w:rsidRPr="00705814">
        <w:rPr>
          <w:lang w:val="en-US"/>
        </w:rPr>
        <w:instrText xml:space="preserve"> HYPERLINK "http://undocs.org/ru/CED/C/LTU/CO/1" </w:instrText>
      </w:r>
      <w:r w:rsidR="00263ADC">
        <w:fldChar w:fldCharType="separate"/>
      </w:r>
      <w:r w:rsidRPr="00880923">
        <w:rPr>
          <w:rStyle w:val="af1"/>
          <w:lang w:val="en-US"/>
        </w:rPr>
        <w:t>CED/C/LTU/CO/1</w:t>
      </w:r>
      <w:r w:rsidR="00263ADC">
        <w:rPr>
          <w:rStyle w:val="af1"/>
          <w:lang w:val="en-US"/>
        </w:rPr>
        <w:fldChar w:fldCharType="end"/>
      </w:r>
      <w:r w:rsidRPr="008744BB">
        <w:rPr>
          <w:lang w:val="en-US"/>
        </w:rPr>
        <w:t xml:space="preserve">, </w:t>
      </w:r>
      <w:r>
        <w:t>п</w:t>
      </w:r>
      <w:r w:rsidRPr="008744BB">
        <w:rPr>
          <w:lang w:val="en-US"/>
        </w:rPr>
        <w:t>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7585" w14:textId="63675FDE" w:rsidR="00B70652" w:rsidRPr="00B70652" w:rsidRDefault="00263AD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CAT/C/LTU/CO/4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931D" w14:textId="15611EE4" w:rsidR="00B70652" w:rsidRPr="00B70652" w:rsidRDefault="00263ADC" w:rsidP="00B7065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CAT/C/LTU/CO/4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30FF" w14:textId="77777777" w:rsidR="00B70652" w:rsidRDefault="00B70652" w:rsidP="00B7065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E"/>
    <w:rsid w:val="00030741"/>
    <w:rsid w:val="00033EE1"/>
    <w:rsid w:val="00041407"/>
    <w:rsid w:val="00042B72"/>
    <w:rsid w:val="000558BD"/>
    <w:rsid w:val="000725B5"/>
    <w:rsid w:val="000814CD"/>
    <w:rsid w:val="000847ED"/>
    <w:rsid w:val="000B57E7"/>
    <w:rsid w:val="000B6373"/>
    <w:rsid w:val="000F09DF"/>
    <w:rsid w:val="000F61B2"/>
    <w:rsid w:val="001075E9"/>
    <w:rsid w:val="00137890"/>
    <w:rsid w:val="00180183"/>
    <w:rsid w:val="0018024D"/>
    <w:rsid w:val="0018649F"/>
    <w:rsid w:val="00196389"/>
    <w:rsid w:val="001B3EF6"/>
    <w:rsid w:val="001C7A89"/>
    <w:rsid w:val="001F361C"/>
    <w:rsid w:val="00212BF6"/>
    <w:rsid w:val="002411A8"/>
    <w:rsid w:val="00263ADC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E5ECC"/>
    <w:rsid w:val="00403C9E"/>
    <w:rsid w:val="00407B78"/>
    <w:rsid w:val="00424203"/>
    <w:rsid w:val="004321DB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5B02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05814"/>
    <w:rsid w:val="00712895"/>
    <w:rsid w:val="00757357"/>
    <w:rsid w:val="007B3243"/>
    <w:rsid w:val="00802991"/>
    <w:rsid w:val="00825F8D"/>
    <w:rsid w:val="00834B71"/>
    <w:rsid w:val="00834CC0"/>
    <w:rsid w:val="0086445C"/>
    <w:rsid w:val="00876600"/>
    <w:rsid w:val="00880923"/>
    <w:rsid w:val="00894693"/>
    <w:rsid w:val="008A08D7"/>
    <w:rsid w:val="008B6909"/>
    <w:rsid w:val="00906890"/>
    <w:rsid w:val="00911BE4"/>
    <w:rsid w:val="00936D2E"/>
    <w:rsid w:val="00951972"/>
    <w:rsid w:val="00953B7A"/>
    <w:rsid w:val="009569AF"/>
    <w:rsid w:val="009608F3"/>
    <w:rsid w:val="009A24AC"/>
    <w:rsid w:val="00A312BC"/>
    <w:rsid w:val="00A478EF"/>
    <w:rsid w:val="00A66994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70652"/>
    <w:rsid w:val="00BC18B2"/>
    <w:rsid w:val="00BD33EE"/>
    <w:rsid w:val="00C106D6"/>
    <w:rsid w:val="00C23549"/>
    <w:rsid w:val="00C55134"/>
    <w:rsid w:val="00C60F0C"/>
    <w:rsid w:val="00C805C9"/>
    <w:rsid w:val="00C838C6"/>
    <w:rsid w:val="00C92939"/>
    <w:rsid w:val="00CA1679"/>
    <w:rsid w:val="00CB151C"/>
    <w:rsid w:val="00CE5A1A"/>
    <w:rsid w:val="00CF55F6"/>
    <w:rsid w:val="00D07680"/>
    <w:rsid w:val="00D33D63"/>
    <w:rsid w:val="00D7263B"/>
    <w:rsid w:val="00D90028"/>
    <w:rsid w:val="00D90138"/>
    <w:rsid w:val="00DE4458"/>
    <w:rsid w:val="00DF71B9"/>
    <w:rsid w:val="00E21169"/>
    <w:rsid w:val="00E528D1"/>
    <w:rsid w:val="00E73F76"/>
    <w:rsid w:val="00EA2C9F"/>
    <w:rsid w:val="00ED0BDA"/>
    <w:rsid w:val="00EF1360"/>
    <w:rsid w:val="00EF3220"/>
    <w:rsid w:val="00F214BD"/>
    <w:rsid w:val="00F21B00"/>
    <w:rsid w:val="00F82DE6"/>
    <w:rsid w:val="00F90E40"/>
    <w:rsid w:val="00F94155"/>
    <w:rsid w:val="00F9783F"/>
    <w:rsid w:val="00FD2BD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771FA1"/>
  <w15:docId w15:val="{60E1B0FA-3F15-4304-AF9E-6FD170B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B7065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88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AT/C/SR.1857" TargetMode="External"/><Relationship Id="rId2" Type="http://schemas.openxmlformats.org/officeDocument/2006/relationships/hyperlink" Target="http://undocs.org/en/CAT/C/SR.1854" TargetMode="External"/><Relationship Id="rId1" Type="http://schemas.openxmlformats.org/officeDocument/2006/relationships/hyperlink" Target="http://undocs.org/en/CAT/C/LTU/4" TargetMode="External"/><Relationship Id="rId5" Type="http://schemas.openxmlformats.org/officeDocument/2006/relationships/hyperlink" Target="http://undocs.org/en/CAT/C/LTU/4" TargetMode="External"/><Relationship Id="rId4" Type="http://schemas.openxmlformats.org/officeDocument/2006/relationships/hyperlink" Target="http://undocs.org/ru/CAT/C/LTU/CO/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11</Pages>
  <Words>4085</Words>
  <Characters>28864</Characters>
  <Application>Microsoft Office Word</Application>
  <DocSecurity>0</DocSecurity>
  <Lines>2220</Lines>
  <Paragraphs>522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CAT/C/LTU/CO/4</vt:lpstr>
      <vt:lpstr>A/</vt:lpstr>
      <vt:lpstr>A/</vt:lpstr>
      <vt:lpstr>A/</vt:lpstr>
    </vt:vector>
  </TitlesOfParts>
  <Company>DCM</Company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CAT/C/LTU/CO/4</dc:title>
  <dc:subject/>
  <dc:creator>Olga OVTCHINNIKOVA</dc:creator>
  <cp:keywords/>
  <cp:lastModifiedBy>Olga Ovchinnikova</cp:lastModifiedBy>
  <cp:revision>3</cp:revision>
  <cp:lastPrinted>2022-03-30T11:17:00Z</cp:lastPrinted>
  <dcterms:created xsi:type="dcterms:W3CDTF">2022-03-30T11:17:00Z</dcterms:created>
  <dcterms:modified xsi:type="dcterms:W3CDTF">2022-03-30T11:19:00Z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