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5526A346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E8F59A" w14:textId="77777777" w:rsidR="00712059" w:rsidRPr="00CA35DF" w:rsidRDefault="00712059" w:rsidP="00893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22DD40" w14:textId="4EB0EA33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</w:t>
            </w:r>
            <w:r w:rsidR="00FE1A16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CA35DF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8EC4F4" w14:textId="622D5DC6" w:rsidR="006B3E27" w:rsidRPr="00306001" w:rsidRDefault="00306001" w:rsidP="00306001">
            <w:pPr>
              <w:bidi w:val="0"/>
              <w:rPr>
                <w:szCs w:val="20"/>
              </w:rPr>
            </w:pPr>
            <w:r w:rsidRPr="001D56FE">
              <w:rPr>
                <w:sz w:val="40"/>
                <w:szCs w:val="20"/>
              </w:rPr>
              <w:t>CAT</w:t>
            </w:r>
            <w:r w:rsidRPr="001D56FE">
              <w:rPr>
                <w:szCs w:val="20"/>
              </w:rPr>
              <w:t>/C/LTU/CO/4</w:t>
            </w:r>
          </w:p>
        </w:tc>
      </w:tr>
      <w:tr w:rsidR="006B3E27" w:rsidRPr="00CA35DF" w14:paraId="6BB505BB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6529E14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7C737C4A" wp14:editId="75741D50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A874373" w14:textId="1D7EF468" w:rsidR="00A67AF5" w:rsidRPr="00CA35DF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مناهضة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التعذيب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وغيره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من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ضروب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المعاملة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العقوبة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القاسية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اللاإنسانية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FE1A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9A71002" w14:textId="16BCC660" w:rsidR="006B3E27" w:rsidRDefault="00306001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FE1A16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1EFD15E2" w14:textId="2E6ACD32" w:rsidR="00306001" w:rsidRDefault="00306001" w:rsidP="0030600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FE1A16">
              <w:rPr>
                <w:szCs w:val="20"/>
              </w:rPr>
              <w:t xml:space="preserve"> </w:t>
            </w:r>
            <w:r>
              <w:rPr>
                <w:szCs w:val="20"/>
              </w:rPr>
              <w:t>December</w:t>
            </w:r>
            <w:r w:rsidR="00FE1A16">
              <w:rPr>
                <w:szCs w:val="20"/>
              </w:rPr>
              <w:t xml:space="preserve"> </w:t>
            </w:r>
            <w:r>
              <w:rPr>
                <w:szCs w:val="20"/>
              </w:rPr>
              <w:t>2021</w:t>
            </w:r>
          </w:p>
          <w:p w14:paraId="53953DC5" w14:textId="77777777" w:rsidR="00306001" w:rsidRDefault="00306001" w:rsidP="0030600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623378FA" w14:textId="31C6A6CA" w:rsidR="00306001" w:rsidRPr="00306001" w:rsidRDefault="00306001" w:rsidP="0030600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FE1A16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14:paraId="2DD2ECFE" w14:textId="2E77C350" w:rsidR="00AD6D43" w:rsidRPr="00AD6D43" w:rsidRDefault="00AD6D43" w:rsidP="00AD6D43">
      <w:pPr>
        <w:spacing w:before="120" w:line="360" w:lineRule="exact"/>
        <w:textDirection w:val="tbRlV"/>
        <w:rPr>
          <w:rFonts w:eastAsiaTheme="minorEastAsia"/>
          <w:b/>
          <w:bCs/>
          <w:color w:val="000000" w:themeColor="text1"/>
          <w:sz w:val="26"/>
          <w:szCs w:val="26"/>
          <w:lang w:val="ar-SA" w:eastAsia="zh-TW" w:bidi="en-GB"/>
        </w:rPr>
      </w:pPr>
      <w:r w:rsidRPr="00AD6D43">
        <w:rPr>
          <w:rFonts w:eastAsiaTheme="minorEastAsia"/>
          <w:b/>
          <w:bCs/>
          <w:sz w:val="26"/>
          <w:szCs w:val="26"/>
          <w:rtl/>
        </w:rPr>
        <w:t>لجنة</w:t>
      </w:r>
      <w:r w:rsidR="00FE1A16">
        <w:rPr>
          <w:rFonts w:eastAsiaTheme="minorEastAsia"/>
          <w:b/>
          <w:bCs/>
          <w:sz w:val="26"/>
          <w:szCs w:val="26"/>
          <w:rtl/>
        </w:rPr>
        <w:t xml:space="preserve"> </w:t>
      </w:r>
      <w:r w:rsidRPr="00AD6D43">
        <w:rPr>
          <w:rFonts w:eastAsiaTheme="minorEastAsia"/>
          <w:b/>
          <w:bCs/>
          <w:sz w:val="26"/>
          <w:szCs w:val="26"/>
          <w:rtl/>
        </w:rPr>
        <w:t>مناهضة</w:t>
      </w:r>
      <w:r w:rsidR="00FE1A16">
        <w:rPr>
          <w:rFonts w:eastAsiaTheme="minorEastAsia"/>
          <w:b/>
          <w:bCs/>
          <w:sz w:val="26"/>
          <w:szCs w:val="26"/>
          <w:rtl/>
        </w:rPr>
        <w:t xml:space="preserve"> </w:t>
      </w:r>
      <w:r w:rsidRPr="00AD6D43">
        <w:rPr>
          <w:rFonts w:eastAsiaTheme="minorEastAsia"/>
          <w:b/>
          <w:bCs/>
          <w:sz w:val="26"/>
          <w:szCs w:val="26"/>
          <w:rtl/>
        </w:rPr>
        <w:t>التعذيب</w:t>
      </w:r>
    </w:p>
    <w:p w14:paraId="0FDAAA29" w14:textId="317BE5CD" w:rsidR="00AD6D43" w:rsidRPr="00AD6D43" w:rsidRDefault="00AD6D43" w:rsidP="00AD6D43">
      <w:pPr>
        <w:pStyle w:val="HChGA"/>
        <w:rPr>
          <w:lang w:val="en-US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الملاحظات</w:t>
      </w:r>
      <w:r w:rsidR="00FE1A16">
        <w:rPr>
          <w:rtl/>
        </w:rPr>
        <w:t xml:space="preserve"> </w:t>
      </w:r>
      <w:r w:rsidRPr="00AD6D43">
        <w:rPr>
          <w:rtl/>
        </w:rPr>
        <w:t>الختامية</w:t>
      </w:r>
      <w:r w:rsidR="00FE1A16">
        <w:rPr>
          <w:rtl/>
        </w:rPr>
        <w:t xml:space="preserve"> </w:t>
      </w:r>
      <w:r w:rsidRPr="00AD6D43">
        <w:rPr>
          <w:rtl/>
        </w:rPr>
        <w:t>بشأن</w:t>
      </w:r>
      <w:r w:rsidR="00FE1A16">
        <w:rPr>
          <w:rtl/>
        </w:rPr>
        <w:t xml:space="preserve"> </w:t>
      </w:r>
      <w:r w:rsidRPr="00AD6D43">
        <w:rPr>
          <w:rtl/>
        </w:rPr>
        <w:t>التقرير</w:t>
      </w:r>
      <w:r w:rsidR="00FE1A16">
        <w:rPr>
          <w:rtl/>
        </w:rPr>
        <w:t xml:space="preserve"> </w:t>
      </w:r>
      <w:r w:rsidRPr="00AD6D43">
        <w:rPr>
          <w:rtl/>
        </w:rPr>
        <w:t>الدوري</w:t>
      </w:r>
      <w:r w:rsidR="00FE1A16">
        <w:rPr>
          <w:rtl/>
        </w:rPr>
        <w:t xml:space="preserve"> </w:t>
      </w:r>
      <w:r w:rsidRPr="00AD6D43">
        <w:rPr>
          <w:rtl/>
        </w:rPr>
        <w:t>الرابع</w:t>
      </w:r>
      <w:r w:rsidR="00FE1A16">
        <w:rPr>
          <w:rtl/>
        </w:rPr>
        <w:t xml:space="preserve"> </w:t>
      </w:r>
      <w:r w:rsidRPr="00AD6D43">
        <w:rPr>
          <w:rtl/>
        </w:rPr>
        <w:t>لليتوانيا</w:t>
      </w:r>
      <w:r w:rsidRPr="00AD6D43">
        <w:rPr>
          <w:rStyle w:val="FootnoteReference"/>
          <w:b w:val="0"/>
          <w:bCs w:val="0"/>
          <w:sz w:val="26"/>
          <w:szCs w:val="26"/>
          <w:vertAlign w:val="baseline"/>
          <w:rtl/>
        </w:rPr>
        <w:footnoteReference w:customMarkFollows="1" w:id="1"/>
        <w:t>*</w:t>
      </w:r>
    </w:p>
    <w:p w14:paraId="52BEB139" w14:textId="04C86B27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1-</w:t>
      </w:r>
      <w:r w:rsidRPr="00AD6D43">
        <w:rPr>
          <w:rFonts w:eastAsiaTheme="minorEastAsia"/>
          <w:sz w:val="22"/>
          <w:szCs w:val="22"/>
          <w:rtl/>
        </w:rPr>
        <w:tab/>
        <w:t>نظرت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مناهضة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التقرير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الرابع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لليتوانيا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2"/>
      </w:r>
      <w:r w:rsidRPr="00FE1A16">
        <w:rPr>
          <w:rStyle w:val="FootnoteReference"/>
          <w:sz w:val="22"/>
          <w:szCs w:val="22"/>
          <w:rtl/>
        </w:rPr>
        <w:t>)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جلستيها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1854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و1857،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المعقودتين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17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و18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الثاني/نوفمبر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2021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3"/>
      </w:r>
      <w:r w:rsidRPr="00FE1A16">
        <w:rPr>
          <w:rStyle w:val="FootnoteReference"/>
          <w:sz w:val="22"/>
          <w:szCs w:val="22"/>
          <w:rtl/>
        </w:rPr>
        <w:t>)</w:t>
      </w:r>
      <w:r>
        <w:rPr>
          <w:rFonts w:eastAsiaTheme="minorEastAsia" w:hint="cs"/>
          <w:sz w:val="22"/>
          <w:szCs w:val="22"/>
          <w:rtl/>
        </w:rPr>
        <w:t>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واعتمدت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جلستها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1871،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المعقودة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29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الثاني/نوفمبر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2021،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الملاحظات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الختامية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التالية.</w:t>
      </w:r>
    </w:p>
    <w:p w14:paraId="78A1B8BC" w14:textId="18A8DAD3" w:rsidR="00AD6D43" w:rsidRPr="00AD6D43" w:rsidRDefault="00AD6D43" w:rsidP="00AD6D43">
      <w:pPr>
        <w:pStyle w:val="H1GA"/>
        <w:rPr>
          <w:lang w:val="ar-SA" w:eastAsia="zh-TW" w:bidi="en-GB"/>
        </w:rPr>
      </w:pPr>
      <w:r>
        <w:rPr>
          <w:rtl/>
        </w:rPr>
        <w:tab/>
      </w:r>
      <w:r w:rsidRPr="00AD6D43">
        <w:rPr>
          <w:rtl/>
        </w:rPr>
        <w:t>ألف-</w:t>
      </w:r>
      <w:r w:rsidRPr="00AD6D43">
        <w:rPr>
          <w:rtl/>
        </w:rPr>
        <w:tab/>
        <w:t>مقدمة</w:t>
      </w:r>
    </w:p>
    <w:p w14:paraId="6F390D1D" w14:textId="3CF0A3DC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2-</w:t>
      </w:r>
      <w:r w:rsidRPr="00AD6D43">
        <w:rPr>
          <w:rFonts w:eastAsiaTheme="minorEastAsia"/>
          <w:sz w:val="22"/>
          <w:szCs w:val="22"/>
          <w:rtl/>
        </w:rPr>
        <w:tab/>
        <w:t>تعرب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تقديرها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لقبولها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المبسَّط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لتقديم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التقارير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وتقديم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تقريرها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الدوري</w:t>
      </w:r>
      <w:r w:rsidR="00321208">
        <w:rPr>
          <w:rFonts w:eastAsiaTheme="minorEastAsia" w:hint="cs"/>
          <w:sz w:val="22"/>
          <w:szCs w:val="22"/>
          <w:rtl/>
        </w:rPr>
        <w:t> 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إطاره،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يحسِّن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مستوى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التعاون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ويُركِّز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النظر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التقرير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والحوار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الوفد.</w:t>
      </w:r>
    </w:p>
    <w:p w14:paraId="7AB90572" w14:textId="64938D8D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3-</w:t>
      </w:r>
      <w:r w:rsidRPr="00AD6D43">
        <w:rPr>
          <w:rFonts w:eastAsiaTheme="minorEastAsia"/>
          <w:sz w:val="22"/>
          <w:szCs w:val="22"/>
          <w:rtl/>
        </w:rPr>
        <w:tab/>
        <w:t>وتعرب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تقديرها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للفرصة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أتيحت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لإجراء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حوار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بنَّاء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وللردود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الشفوية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والكتابية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المقدمة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الأسئلة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والشواغل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أثيرت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أثناء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النظر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التقرير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الدوري.</w:t>
      </w:r>
    </w:p>
    <w:p w14:paraId="2712E69E" w14:textId="1D9BC477" w:rsidR="00AD6D43" w:rsidRPr="00AD6D43" w:rsidRDefault="00AD6D43" w:rsidP="00AD6D43">
      <w:pPr>
        <w:pStyle w:val="H1GA"/>
        <w:rPr>
          <w:lang w:val="en-US" w:eastAsia="zh-TW" w:bidi="en-GB"/>
        </w:rPr>
      </w:pPr>
      <w:r>
        <w:rPr>
          <w:rtl/>
        </w:rPr>
        <w:tab/>
      </w:r>
      <w:r w:rsidRPr="00AD6D43">
        <w:rPr>
          <w:rtl/>
        </w:rPr>
        <w:t>باء-</w:t>
      </w:r>
      <w:r w:rsidRPr="00AD6D43">
        <w:rPr>
          <w:rtl/>
        </w:rPr>
        <w:tab/>
        <w:t>الجوانب</w:t>
      </w:r>
      <w:r w:rsidR="00FE1A16">
        <w:rPr>
          <w:rtl/>
        </w:rPr>
        <w:t xml:space="preserve"> </w:t>
      </w:r>
      <w:r w:rsidRPr="00AD6D43">
        <w:rPr>
          <w:rtl/>
        </w:rPr>
        <w:t>الإيجابية</w:t>
      </w:r>
    </w:p>
    <w:p w14:paraId="1B260D26" w14:textId="05595DF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4-</w:t>
      </w:r>
      <w:r w:rsidRPr="00AD6D43">
        <w:rPr>
          <w:rFonts w:eastAsiaTheme="minorEastAsia"/>
          <w:sz w:val="22"/>
          <w:szCs w:val="22"/>
          <w:rtl/>
        </w:rPr>
        <w:tab/>
        <w:t>ترحب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بالمبادرات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اتخذتها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أجل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تنقيح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تشريعاتها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وسياساتها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وتدابيرها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الإدارية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والمؤسسية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المجالات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صلة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بالاتفاقية،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التالي:</w:t>
      </w:r>
    </w:p>
    <w:p w14:paraId="1DD324CD" w14:textId="280E4026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(أ)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2019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تنفيذ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الأحكام،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أتاحت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إمكانية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تقديم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السجناء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المحكوم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عليهم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المؤبد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طلبات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لتخفيف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الأحكام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الصادرة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بحقهم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والإفراج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بشروط؛</w:t>
      </w:r>
    </w:p>
    <w:p w14:paraId="48379694" w14:textId="51D60EF0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(ب)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2019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رعاية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العقلية،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وفرت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ضمانات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يتعلق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بإدخال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ذوي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الإعاقات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الذهنية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والنفسية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الاجتماعية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المستشفيات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عنوة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وإخضاعهم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قسراً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للعلاج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الطبي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مؤسسات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الأمراض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العقلية؛</w:t>
      </w:r>
    </w:p>
    <w:p w14:paraId="179877E5" w14:textId="674DAE47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lastRenderedPageBreak/>
        <w:tab/>
      </w:r>
      <w:r w:rsidRPr="00AD6D43">
        <w:rPr>
          <w:rFonts w:eastAsiaTheme="minorEastAsia"/>
          <w:sz w:val="22"/>
          <w:szCs w:val="22"/>
          <w:rtl/>
        </w:rPr>
        <w:t>(ج)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2017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نقابة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المحامين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إنفاذ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الاحتجاز،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وسعت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نطاق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والضمانات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للمشمولين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يتحدثون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اللغة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الرسمية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حتى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يتمكنوا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التواصل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محاميهم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والمشاركة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الفعالة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بلغة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يفهمونها؛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وكفلت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جميع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الأشخاص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الاتصال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بمحام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لحظة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احتجازهم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قبل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استجوابهم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مرة؛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وعززت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ضمانات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سرية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الاتصالات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المشمولين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ومحاميهم؛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ورفعت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القيود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المفروضة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المكالمات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الهاتفية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المحتجزين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ومحاميهم؛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4F3C54A5" w14:textId="650ED87F" w:rsidR="00AD6D43" w:rsidRPr="00321208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321208">
        <w:rPr>
          <w:rFonts w:eastAsiaTheme="minorEastAsia"/>
          <w:sz w:val="22"/>
          <w:szCs w:val="22"/>
          <w:rtl/>
        </w:rPr>
        <w:t>(د)</w:t>
      </w:r>
      <w:r w:rsidRPr="00321208">
        <w:rPr>
          <w:rFonts w:eastAsiaTheme="minorEastAsia"/>
          <w:sz w:val="22"/>
          <w:szCs w:val="22"/>
          <w:rtl/>
        </w:rPr>
        <w:tab/>
        <w:t>إلغاء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التوقيف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الإداري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بوصفه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عقوبة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من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خلال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اعتماد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قانون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الجرائم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الإدارية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الجديد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في</w:t>
      </w:r>
      <w:r w:rsidR="00FE1A16" w:rsidRPr="00321208">
        <w:rPr>
          <w:rFonts w:eastAsiaTheme="minorEastAsia"/>
          <w:sz w:val="22"/>
          <w:szCs w:val="22"/>
          <w:rtl/>
        </w:rPr>
        <w:t xml:space="preserve"> </w:t>
      </w:r>
      <w:r w:rsidRPr="00321208">
        <w:rPr>
          <w:rFonts w:eastAsiaTheme="minorEastAsia"/>
          <w:sz w:val="22"/>
          <w:szCs w:val="22"/>
          <w:rtl/>
        </w:rPr>
        <w:t>عام</w:t>
      </w:r>
      <w:r w:rsidR="00321208">
        <w:rPr>
          <w:rFonts w:eastAsiaTheme="minorEastAsia" w:hint="cs"/>
          <w:sz w:val="22"/>
          <w:szCs w:val="22"/>
          <w:rtl/>
        </w:rPr>
        <w:t> </w:t>
      </w:r>
      <w:r w:rsidRPr="00321208">
        <w:rPr>
          <w:rFonts w:eastAsiaTheme="minorEastAsia"/>
          <w:sz w:val="22"/>
          <w:szCs w:val="22"/>
          <w:rtl/>
        </w:rPr>
        <w:t>2017؛</w:t>
      </w:r>
    </w:p>
    <w:p w14:paraId="58883095" w14:textId="187F2274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(هـ)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2017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أساسيات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حماية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الطفل،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تحظر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جميع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أشكال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بالأطفال،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العقاب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البدني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جميع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البيئات؛</w:t>
      </w:r>
    </w:p>
    <w:p w14:paraId="7BBC9A85" w14:textId="2746DDC1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(و)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2017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المظالم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البرلمانية،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لتمكين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الآلية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الوقائية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الوطنية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القيام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بأنشطة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لمنع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سلب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الحرية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وفقا</w:t>
      </w:r>
      <w:r w:rsidR="00321208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للبروتوكول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الاختياري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للاتفاقية،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التدابير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أسفرت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اعتماد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المظالم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البرلمانية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بصفتها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مؤسسة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وطنية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تتفق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تماما</w:t>
      </w:r>
      <w:r w:rsidR="00321208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المبادئ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بمركز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المؤسسات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الوطنية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لتعزيز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وحماية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(مبادئ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باريس)؛</w:t>
      </w:r>
    </w:p>
    <w:p w14:paraId="0D80CAB8" w14:textId="64B5F061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(ز)</w:t>
      </w:r>
      <w:r w:rsidRPr="00AD6D43">
        <w:rPr>
          <w:rFonts w:eastAsiaTheme="minorEastAsia"/>
          <w:sz w:val="22"/>
          <w:szCs w:val="22"/>
          <w:rtl/>
        </w:rPr>
        <w:tab/>
        <w:t>إلغاء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"غرف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الاسترخاء"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جميع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"مراكز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التنشئة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الاجتماعية"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للقاصرين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وإغلاق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مركزي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كاوناس</w:t>
      </w:r>
      <w:proofErr w:type="spellEnd"/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وفيلنيوس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للتنشئة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الاجتماعية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للأطفال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اعتبارا</w:t>
      </w:r>
      <w:r w:rsidR="00321208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2016؛</w:t>
      </w:r>
    </w:p>
    <w:p w14:paraId="20EDA5A0" w14:textId="1C07E7DA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(ح)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2015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حددت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القصوى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السابق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للمحاكمة؛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57F7A81E" w14:textId="056C26A3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(ط)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2015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إنفاذ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الاحتجاز،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قيدت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أسباب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النقل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المؤقت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للأشخاص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المحتجزين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الحبس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الاحتياطي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مركز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تابع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للشرطة.</w:t>
      </w:r>
    </w:p>
    <w:p w14:paraId="52F95B31" w14:textId="62C2750E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5-</w:t>
      </w:r>
      <w:r w:rsidRPr="00AD6D43">
        <w:rPr>
          <w:rFonts w:eastAsiaTheme="minorEastAsia"/>
          <w:sz w:val="22"/>
          <w:szCs w:val="22"/>
          <w:rtl/>
        </w:rPr>
        <w:tab/>
        <w:t>وترحب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باستخدام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التكنولوجيات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الجديدة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لتعزيز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التثقيف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مجال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والتعريف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بالقوانين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والحقوق،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لأغراض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المراقبة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والرصد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الإلكترونيين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لإنفاذ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الأحكام،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وهو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يقلل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عدد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الأشخاص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المحتجزين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ويزيد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استخدام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التدابير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الاحتجازية</w:t>
      </w:r>
      <w:proofErr w:type="spellEnd"/>
      <w:r w:rsidRPr="00AD6D43">
        <w:rPr>
          <w:rFonts w:eastAsiaTheme="minorEastAsia"/>
          <w:sz w:val="22"/>
          <w:szCs w:val="22"/>
          <w:rtl/>
        </w:rPr>
        <w:t>.</w:t>
      </w:r>
    </w:p>
    <w:p w14:paraId="432C4DE7" w14:textId="1BBC536B" w:rsidR="00AD6D43" w:rsidRPr="00AD6D43" w:rsidRDefault="00AD6D43" w:rsidP="00AD6D43">
      <w:pPr>
        <w:pStyle w:val="H1GA"/>
        <w:rPr>
          <w:lang w:val="en-US" w:eastAsia="zh-TW" w:bidi="en-GB"/>
        </w:rPr>
      </w:pPr>
      <w:r>
        <w:rPr>
          <w:rtl/>
        </w:rPr>
        <w:tab/>
      </w:r>
      <w:r w:rsidRPr="00AD6D43">
        <w:rPr>
          <w:rtl/>
        </w:rPr>
        <w:t>جيم-</w:t>
      </w:r>
      <w:r w:rsidRPr="00AD6D43">
        <w:rPr>
          <w:rtl/>
        </w:rPr>
        <w:tab/>
        <w:t>دواعي</w:t>
      </w:r>
      <w:r w:rsidR="00FE1A16">
        <w:rPr>
          <w:rtl/>
        </w:rPr>
        <w:t xml:space="preserve"> </w:t>
      </w:r>
      <w:r w:rsidRPr="00AD6D43">
        <w:rPr>
          <w:rtl/>
        </w:rPr>
        <w:t>القلق</w:t>
      </w:r>
      <w:r w:rsidR="00FE1A16">
        <w:rPr>
          <w:rtl/>
        </w:rPr>
        <w:t xml:space="preserve"> </w:t>
      </w:r>
      <w:r w:rsidRPr="00AD6D43">
        <w:rPr>
          <w:rtl/>
        </w:rPr>
        <w:t>الرئيسية</w:t>
      </w:r>
      <w:r w:rsidR="00FE1A16">
        <w:rPr>
          <w:rtl/>
        </w:rPr>
        <w:t xml:space="preserve"> </w:t>
      </w:r>
      <w:r w:rsidRPr="00AD6D43">
        <w:rPr>
          <w:rtl/>
        </w:rPr>
        <w:t>والتوصيات</w:t>
      </w:r>
    </w:p>
    <w:p w14:paraId="15B56E5D" w14:textId="4F17FBD6" w:rsidR="00AD6D43" w:rsidRPr="00AD6D43" w:rsidRDefault="00AD6D43" w:rsidP="00AD6D43">
      <w:pPr>
        <w:pStyle w:val="H23GA"/>
        <w:rPr>
          <w:lang w:val="en-US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مسائل</w:t>
      </w:r>
      <w:r w:rsidR="00FE1A16">
        <w:rPr>
          <w:rtl/>
        </w:rPr>
        <w:t xml:space="preserve"> </w:t>
      </w:r>
      <w:r w:rsidRPr="00AD6D43">
        <w:rPr>
          <w:rtl/>
        </w:rPr>
        <w:t>المتابعة</w:t>
      </w:r>
      <w:r w:rsidR="00FE1A16">
        <w:rPr>
          <w:rtl/>
        </w:rPr>
        <w:t xml:space="preserve"> </w:t>
      </w:r>
      <w:r w:rsidRPr="00AD6D43">
        <w:rPr>
          <w:rtl/>
        </w:rPr>
        <w:t>المعلَّقة</w:t>
      </w:r>
      <w:r w:rsidR="00FE1A16">
        <w:rPr>
          <w:rtl/>
        </w:rPr>
        <w:t xml:space="preserve"> </w:t>
      </w:r>
      <w:r w:rsidRPr="00AD6D43">
        <w:rPr>
          <w:rtl/>
        </w:rPr>
        <w:t>منذ</w:t>
      </w:r>
      <w:r w:rsidR="00FE1A16">
        <w:rPr>
          <w:rtl/>
        </w:rPr>
        <w:t xml:space="preserve"> </w:t>
      </w:r>
      <w:r w:rsidRPr="00AD6D43">
        <w:rPr>
          <w:rtl/>
        </w:rPr>
        <w:t>جولة</w:t>
      </w:r>
      <w:r w:rsidR="00FE1A16">
        <w:rPr>
          <w:rtl/>
        </w:rPr>
        <w:t xml:space="preserve"> </w:t>
      </w:r>
      <w:r w:rsidRPr="00AD6D43">
        <w:rPr>
          <w:rtl/>
        </w:rPr>
        <w:t>الإبلاغ</w:t>
      </w:r>
      <w:r w:rsidR="00FE1A16">
        <w:rPr>
          <w:rtl/>
        </w:rPr>
        <w:t xml:space="preserve"> </w:t>
      </w:r>
      <w:r w:rsidRPr="00AD6D43">
        <w:rPr>
          <w:rtl/>
        </w:rPr>
        <w:t>السابق</w:t>
      </w:r>
      <w:r>
        <w:rPr>
          <w:rFonts w:hint="cs"/>
          <w:rtl/>
        </w:rPr>
        <w:t>ة</w:t>
      </w:r>
    </w:p>
    <w:p w14:paraId="6C579849" w14:textId="446B2698" w:rsidR="00AD6D43" w:rsidRPr="0054043C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6</w:t>
      </w:r>
      <w:r w:rsidRPr="0054043C">
        <w:rPr>
          <w:rFonts w:eastAsiaTheme="minorEastAsia"/>
          <w:spacing w:val="-2"/>
          <w:sz w:val="22"/>
          <w:szCs w:val="22"/>
          <w:rtl/>
        </w:rPr>
        <w:t>-</w:t>
      </w:r>
      <w:r w:rsidRPr="0054043C">
        <w:rPr>
          <w:rFonts w:eastAsiaTheme="minorEastAsia"/>
          <w:spacing w:val="-2"/>
          <w:sz w:val="22"/>
          <w:szCs w:val="22"/>
          <w:rtl/>
        </w:rPr>
        <w:tab/>
      </w:r>
      <w:r w:rsidRPr="0054043C">
        <w:rPr>
          <w:rFonts w:eastAsiaTheme="minorEastAsia"/>
          <w:sz w:val="22"/>
          <w:szCs w:val="22"/>
          <w:rtl/>
        </w:rPr>
        <w:t>طلبت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اللجنة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ملاحظاتها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الختامية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السابقة</w:t>
      </w:r>
      <w:r w:rsidRPr="0054043C">
        <w:rPr>
          <w:rStyle w:val="FootnoteReference"/>
          <w:sz w:val="22"/>
          <w:szCs w:val="22"/>
          <w:rtl/>
        </w:rPr>
        <w:t>(</w:t>
      </w:r>
      <w:r w:rsidRPr="0054043C">
        <w:rPr>
          <w:rStyle w:val="FootnoteReference"/>
          <w:sz w:val="22"/>
          <w:szCs w:val="22"/>
          <w:rtl/>
        </w:rPr>
        <w:footnoteReference w:id="4"/>
      </w:r>
      <w:r w:rsidRPr="0054043C">
        <w:rPr>
          <w:rStyle w:val="FootnoteReference"/>
          <w:sz w:val="22"/>
          <w:szCs w:val="22"/>
          <w:rtl/>
        </w:rPr>
        <w:t>)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إلى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الدولة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الطرف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تقدم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معلومات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متابعة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عن</w:t>
      </w:r>
      <w:r w:rsidR="0054043C">
        <w:rPr>
          <w:rFonts w:eastAsiaTheme="minorEastAsia" w:hint="cs"/>
          <w:sz w:val="22"/>
          <w:szCs w:val="22"/>
          <w:rtl/>
        </w:rPr>
        <w:t> </w:t>
      </w:r>
      <w:r w:rsidRPr="0054043C">
        <w:rPr>
          <w:rFonts w:eastAsiaTheme="minorEastAsia"/>
          <w:sz w:val="22"/>
          <w:szCs w:val="22"/>
          <w:rtl/>
        </w:rPr>
        <w:t>الخطوات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اتخذتها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لتنفيذ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توصيات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اللجنة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المتعلقة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بتعزيز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الضمانات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القانونية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المتاحة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للأشخاص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المسلوبة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حريتهم</w:t>
      </w:r>
      <w:r w:rsidRPr="0054043C">
        <w:rPr>
          <w:rStyle w:val="FootnoteReference"/>
          <w:sz w:val="22"/>
          <w:szCs w:val="22"/>
          <w:rtl/>
        </w:rPr>
        <w:t>(</w:t>
      </w:r>
      <w:r w:rsidRPr="0054043C">
        <w:rPr>
          <w:rStyle w:val="FootnoteReference"/>
          <w:sz w:val="22"/>
          <w:szCs w:val="22"/>
          <w:rtl/>
        </w:rPr>
        <w:footnoteReference w:id="5"/>
      </w:r>
      <w:r w:rsidRPr="0054043C">
        <w:rPr>
          <w:rStyle w:val="FootnoteReference"/>
          <w:sz w:val="22"/>
          <w:szCs w:val="22"/>
          <w:rtl/>
        </w:rPr>
        <w:t>)</w:t>
      </w:r>
      <w:r w:rsidRPr="0054043C">
        <w:rPr>
          <w:rFonts w:eastAsiaTheme="minorEastAsia" w:hint="cs"/>
          <w:sz w:val="22"/>
          <w:szCs w:val="22"/>
          <w:rtl/>
        </w:rPr>
        <w:t>،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وبمدة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السابق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للمحاكمة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والاحتجاز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الإداري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وارتفاع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عدد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الأشخاص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المشمولين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بهما</w:t>
      </w:r>
      <w:r w:rsidRPr="0054043C">
        <w:rPr>
          <w:rStyle w:val="FootnoteReference"/>
          <w:sz w:val="22"/>
          <w:szCs w:val="22"/>
          <w:rtl/>
        </w:rPr>
        <w:t>(</w:t>
      </w:r>
      <w:r w:rsidRPr="0054043C">
        <w:rPr>
          <w:rStyle w:val="FootnoteReference"/>
          <w:sz w:val="22"/>
          <w:szCs w:val="22"/>
          <w:rtl/>
        </w:rPr>
        <w:footnoteReference w:id="6"/>
      </w:r>
      <w:r w:rsidRPr="0054043C">
        <w:rPr>
          <w:rStyle w:val="FootnoteReference"/>
          <w:sz w:val="22"/>
          <w:szCs w:val="22"/>
          <w:rtl/>
        </w:rPr>
        <w:t>)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وظروف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مراكز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التابعة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للشرطة</w:t>
      </w:r>
      <w:r w:rsidRPr="0054043C">
        <w:rPr>
          <w:rStyle w:val="FootnoteReference"/>
          <w:sz w:val="22"/>
          <w:szCs w:val="22"/>
          <w:rtl/>
        </w:rPr>
        <w:t>(</w:t>
      </w:r>
      <w:r w:rsidRPr="0054043C">
        <w:rPr>
          <w:rStyle w:val="FootnoteReference"/>
          <w:sz w:val="22"/>
          <w:szCs w:val="22"/>
          <w:rtl/>
        </w:rPr>
        <w:footnoteReference w:id="7"/>
      </w:r>
      <w:r w:rsidRPr="0054043C">
        <w:rPr>
          <w:rStyle w:val="FootnoteReference"/>
          <w:sz w:val="22"/>
          <w:szCs w:val="22"/>
          <w:rtl/>
        </w:rPr>
        <w:t>)</w:t>
      </w:r>
      <w:r w:rsidRPr="0054043C">
        <w:rPr>
          <w:rFonts w:eastAsiaTheme="minorEastAsia" w:hint="cs"/>
          <w:sz w:val="22"/>
          <w:szCs w:val="22"/>
          <w:rtl/>
        </w:rPr>
        <w:t>.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وإذ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تحيط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اللجنة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علما</w:t>
      </w:r>
      <w:r w:rsidR="0054043C" w:rsidRPr="0054043C">
        <w:rPr>
          <w:rFonts w:eastAsiaTheme="minorEastAsia" w:hint="cs"/>
          <w:sz w:val="22"/>
          <w:szCs w:val="22"/>
          <w:rtl/>
        </w:rPr>
        <w:t>ً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مع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التقدير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بالردود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قدمتها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lastRenderedPageBreak/>
        <w:t>الدولة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الطرف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9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حزيران/يونيه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2015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إطار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إجراء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المتابعة</w:t>
      </w:r>
      <w:r w:rsidRPr="0054043C">
        <w:rPr>
          <w:rStyle w:val="FootnoteReference"/>
          <w:sz w:val="22"/>
          <w:szCs w:val="22"/>
          <w:rtl/>
        </w:rPr>
        <w:t>(</w:t>
      </w:r>
      <w:r w:rsidRPr="0054043C">
        <w:rPr>
          <w:rStyle w:val="FootnoteReference"/>
          <w:sz w:val="22"/>
          <w:szCs w:val="22"/>
          <w:rtl/>
        </w:rPr>
        <w:footnoteReference w:id="8"/>
      </w:r>
      <w:r w:rsidRPr="0054043C">
        <w:rPr>
          <w:rStyle w:val="FootnoteReference"/>
          <w:sz w:val="22"/>
          <w:szCs w:val="22"/>
          <w:rtl/>
        </w:rPr>
        <w:t>)</w:t>
      </w:r>
      <w:r w:rsidRPr="0054043C">
        <w:rPr>
          <w:rFonts w:eastAsiaTheme="minorEastAsia"/>
          <w:sz w:val="22"/>
          <w:szCs w:val="22"/>
          <w:rtl/>
        </w:rPr>
        <w:t>،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وبالإشارة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إلى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الرسالة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الموجهة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مقرر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اللجنة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المعني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بمتابعة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الملاحظات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الختامية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إلى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الدولة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الطرف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بتاريخ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29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آب/أغسطس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2016،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ترى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التوصيات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الواردة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الفقرتين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10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و11(ج)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ملاحظاتها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الختامية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السابقة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لم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تنفذ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بالكامل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بعد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(انظر</w:t>
      </w:r>
      <w:r w:rsidR="0054043C">
        <w:rPr>
          <w:rFonts w:eastAsiaTheme="minorEastAsia" w:hint="cs"/>
          <w:sz w:val="22"/>
          <w:szCs w:val="22"/>
          <w:rtl/>
        </w:rPr>
        <w:t> </w:t>
      </w:r>
      <w:r w:rsidRPr="0054043C">
        <w:rPr>
          <w:rFonts w:eastAsiaTheme="minorEastAsia"/>
          <w:sz w:val="22"/>
          <w:szCs w:val="22"/>
          <w:rtl/>
        </w:rPr>
        <w:t>الفقرتين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8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</w:t>
      </w:r>
      <w:r w:rsidRPr="0054043C">
        <w:rPr>
          <w:rFonts w:eastAsiaTheme="minorEastAsia"/>
          <w:sz w:val="22"/>
          <w:szCs w:val="22"/>
        </w:rPr>
        <w:t>9</w:t>
      </w:r>
      <w:r w:rsidR="00FE1A16" w:rsidRPr="0054043C">
        <w:rPr>
          <w:rFonts w:eastAsiaTheme="minorEastAsia"/>
          <w:sz w:val="22"/>
          <w:szCs w:val="22"/>
          <w:rtl/>
        </w:rPr>
        <w:t xml:space="preserve">  </w:t>
      </w:r>
      <w:r w:rsidRPr="0054043C">
        <w:rPr>
          <w:rFonts w:eastAsiaTheme="minorEastAsia"/>
          <w:sz w:val="22"/>
          <w:szCs w:val="22"/>
          <w:rtl/>
        </w:rPr>
        <w:t>أدناه).</w:t>
      </w:r>
    </w:p>
    <w:p w14:paraId="777A12B1" w14:textId="78C98FDB" w:rsidR="00AD6D43" w:rsidRPr="00AD6D43" w:rsidRDefault="00AD6D43" w:rsidP="00AD6D43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تعريف</w:t>
      </w:r>
      <w:r w:rsidR="00FE1A16">
        <w:rPr>
          <w:rtl/>
        </w:rPr>
        <w:t xml:space="preserve"> </w:t>
      </w:r>
      <w:r w:rsidRPr="00AD6D43">
        <w:rPr>
          <w:rtl/>
        </w:rPr>
        <w:t>التعذيب</w:t>
      </w:r>
      <w:r w:rsidR="00FE1A16">
        <w:rPr>
          <w:rtl/>
        </w:rPr>
        <w:t xml:space="preserve"> </w:t>
      </w:r>
      <w:r w:rsidRPr="00AD6D43">
        <w:rPr>
          <w:rtl/>
        </w:rPr>
        <w:t>والتجريم</w:t>
      </w:r>
      <w:r w:rsidR="00FE1A16">
        <w:rPr>
          <w:rtl/>
        </w:rPr>
        <w:t xml:space="preserve"> </w:t>
      </w:r>
      <w:r w:rsidRPr="00AD6D43">
        <w:rPr>
          <w:rtl/>
        </w:rPr>
        <w:t>عليه</w:t>
      </w:r>
      <w:r w:rsidR="00FE1A16">
        <w:rPr>
          <w:rtl/>
        </w:rPr>
        <w:t xml:space="preserve"> </w:t>
      </w:r>
    </w:p>
    <w:p w14:paraId="212BF8FA" w14:textId="6DA0A414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7-</w:t>
      </w:r>
      <w:r w:rsidRPr="00AD6D43">
        <w:rPr>
          <w:rFonts w:eastAsiaTheme="minorEastAsia"/>
          <w:sz w:val="22"/>
          <w:szCs w:val="22"/>
          <w:rtl/>
        </w:rPr>
        <w:tab/>
        <w:t>ترحب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أدخلت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2019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والتي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تجرم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على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باعتباره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جريمة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تخضع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للتقادم.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وترى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التعريف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الجديد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لجريمة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الوارد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المادة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100(3)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يتماشى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بصورة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أحكام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المادة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الاتفاقية.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تشعر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التعريف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يشمل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صراحة،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كما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تقتضيه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الاتفاقية،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الألم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والمعاناة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الملحقين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بالأشخاص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لأغراض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مثل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الحصول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منهم،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شخص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ثالث،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اعترافات،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معاقبتهم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فعل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ارتكبوه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ارتكبه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شخص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ثالث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يشتبه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ارتكبوه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ارتكبه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شخص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ثالث،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تخويفهم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إكراههم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تخويف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شخص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ثالث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إكراهه،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سبب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الأسباب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أساس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التمييز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نوع.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ويساور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أيضا</w:t>
      </w:r>
      <w:r w:rsidR="0054043C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يكفل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فرض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عقوبات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مناسبة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مرتكبي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أفعال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يعتبر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سنتين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فقط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أقصى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عقوبة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وهي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عقوبة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تتناسب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خطورة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الجرم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(المادتان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و4).</w:t>
      </w:r>
    </w:p>
    <w:p w14:paraId="2EFB5F38" w14:textId="160DAD3D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AD6D43">
        <w:rPr>
          <w:rFonts w:eastAsiaTheme="minorEastAsia"/>
          <w:b/>
          <w:sz w:val="22"/>
          <w:szCs w:val="22"/>
          <w:rtl/>
        </w:rPr>
        <w:t>8-</w:t>
      </w:r>
      <w:r w:rsidRPr="00AD6D43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تحث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تعديل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تعريف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جريمة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الوارد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100(3)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الجنائي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ليشمل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صراحة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أعمال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المرتكبة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لأغراض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أسباب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تحددها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لأغراض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تخويف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شخص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ثالث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إكراهه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الحصول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معلومات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اعترافات.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أيضا</w:t>
      </w:r>
      <w:r w:rsidR="0054043C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تكفل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تجسيد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العقوبات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المفروضة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تشريعاتها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الطابع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الخطير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الجريمة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وفقا</w:t>
      </w:r>
      <w:r w:rsidR="0054043C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للمادة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4(2)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الاتفاقية.</w:t>
      </w:r>
    </w:p>
    <w:p w14:paraId="7C80BD5C" w14:textId="3D592C72" w:rsidR="00AD6D43" w:rsidRPr="00AD6D43" w:rsidRDefault="00AD6D43" w:rsidP="00AD6D43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الضمانات</w:t>
      </w:r>
      <w:r w:rsidR="00FE1A16">
        <w:rPr>
          <w:rtl/>
        </w:rPr>
        <w:t xml:space="preserve"> </w:t>
      </w:r>
      <w:r w:rsidRPr="00AD6D43">
        <w:rPr>
          <w:rtl/>
        </w:rPr>
        <w:t>القانونية</w:t>
      </w:r>
      <w:r w:rsidR="00FE1A16">
        <w:rPr>
          <w:rtl/>
        </w:rPr>
        <w:t xml:space="preserve"> </w:t>
      </w:r>
      <w:r w:rsidRPr="00AD6D43">
        <w:rPr>
          <w:rtl/>
        </w:rPr>
        <w:t>الأساسية</w:t>
      </w:r>
    </w:p>
    <w:p w14:paraId="71ED6057" w14:textId="0BB81C42" w:rsidR="00AD6D43" w:rsidRPr="0054043C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9</w:t>
      </w:r>
      <w:r w:rsidRPr="0054043C">
        <w:rPr>
          <w:rFonts w:eastAsiaTheme="minorEastAsia"/>
          <w:spacing w:val="-2"/>
          <w:sz w:val="22"/>
          <w:szCs w:val="22"/>
          <w:rtl/>
        </w:rPr>
        <w:t>-</w:t>
      </w:r>
      <w:r w:rsidRPr="0054043C">
        <w:rPr>
          <w:rFonts w:eastAsiaTheme="minorEastAsia"/>
          <w:spacing w:val="-2"/>
          <w:sz w:val="22"/>
          <w:szCs w:val="22"/>
          <w:rtl/>
        </w:rPr>
        <w:tab/>
        <w:t>تأسف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اللجنة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لعدم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تلقيها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معلومات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شاملة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عن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نتائج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أنشطة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الرصد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proofErr w:type="spellStart"/>
      <w:r w:rsidRPr="0054043C">
        <w:rPr>
          <w:rFonts w:eastAsiaTheme="minorEastAsia"/>
          <w:spacing w:val="-2"/>
          <w:sz w:val="22"/>
          <w:szCs w:val="22"/>
          <w:rtl/>
        </w:rPr>
        <w:t>المضطلع</w:t>
      </w:r>
      <w:proofErr w:type="spellEnd"/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بها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لضمان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امتثال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pacing w:val="-2"/>
          <w:sz w:val="22"/>
          <w:szCs w:val="22"/>
          <w:rtl/>
        </w:rPr>
        <w:t>الضمانات</w:t>
      </w:r>
      <w:r w:rsidR="00FE1A16" w:rsidRPr="0054043C">
        <w:rPr>
          <w:rFonts w:eastAsiaTheme="minorEastAsia"/>
          <w:spacing w:val="-2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القانونية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الأساسية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تحمي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المحتج</w:t>
      </w:r>
      <w:r w:rsidR="0054043C" w:rsidRPr="0054043C">
        <w:rPr>
          <w:rFonts w:eastAsiaTheme="minorEastAsia" w:hint="cs"/>
          <w:sz w:val="22"/>
          <w:szCs w:val="22"/>
          <w:rtl/>
        </w:rPr>
        <w:t>ز</w:t>
      </w:r>
      <w:r w:rsidRPr="0054043C">
        <w:rPr>
          <w:rFonts w:eastAsiaTheme="minorEastAsia"/>
          <w:sz w:val="22"/>
          <w:szCs w:val="22"/>
          <w:rtl/>
        </w:rPr>
        <w:t>ين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التعذيب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الممارسة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العملية،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أو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إشارات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إلى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إذا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كانت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قد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فرضت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جزاءات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حالات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عدم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الامتثال.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كما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تزال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اللجنة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قلقة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لأن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فترة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الحبس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الاحتياطي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مرافق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التابعة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للشرطة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ليست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قصيرة،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وقد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تستمر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لمدة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أقصاها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15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يوما</w:t>
      </w:r>
      <w:r w:rsidR="0054043C" w:rsidRPr="0054043C">
        <w:rPr>
          <w:rFonts w:eastAsiaTheme="minorEastAsia" w:hint="cs"/>
          <w:sz w:val="22"/>
          <w:szCs w:val="22"/>
          <w:rtl/>
        </w:rPr>
        <w:t>ً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الأولي،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و7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أيام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في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حال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النقل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المؤقت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سجن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الحبس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الاحتياطي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إلى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مرفق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احتجاز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تابع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للشرطة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(الفقرات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2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و11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  <w:r w:rsidRPr="0054043C">
        <w:rPr>
          <w:rFonts w:eastAsiaTheme="minorEastAsia"/>
          <w:sz w:val="22"/>
          <w:szCs w:val="22"/>
          <w:rtl/>
        </w:rPr>
        <w:t>و16).</w:t>
      </w:r>
      <w:r w:rsidR="00FE1A16" w:rsidRPr="0054043C">
        <w:rPr>
          <w:rFonts w:eastAsiaTheme="minorEastAsia"/>
          <w:sz w:val="22"/>
          <w:szCs w:val="22"/>
          <w:rtl/>
        </w:rPr>
        <w:t xml:space="preserve"> </w:t>
      </w:r>
    </w:p>
    <w:p w14:paraId="3A95D56E" w14:textId="40168730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AD6D43">
        <w:rPr>
          <w:rFonts w:eastAsiaTheme="minorEastAsia"/>
          <w:b/>
          <w:sz w:val="22"/>
          <w:szCs w:val="22"/>
          <w:rtl/>
        </w:rPr>
        <w:t>10-</w:t>
      </w:r>
      <w:r w:rsidRPr="00AD6D43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تُ</w:t>
      </w:r>
      <w:r w:rsidRPr="00AD6D43">
        <w:rPr>
          <w:rFonts w:eastAsiaTheme="minorEastAsia"/>
          <w:b/>
          <w:bCs/>
          <w:sz w:val="22"/>
          <w:szCs w:val="22"/>
          <w:rtl/>
          <w:lang w:val="fr-CH"/>
        </w:rPr>
        <w:t>شير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اللجنةُ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توصياتها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السابقة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9"/>
      </w:r>
      <w:r w:rsidRPr="00FE1A16">
        <w:rPr>
          <w:rStyle w:val="FootnoteReference"/>
          <w:sz w:val="22"/>
          <w:szCs w:val="22"/>
          <w:rtl/>
        </w:rPr>
        <w:t>)</w:t>
      </w:r>
      <w:r>
        <w:rPr>
          <w:rFonts w:eastAsiaTheme="minorEastAsia" w:hint="cs"/>
          <w:b/>
          <w:bCs/>
          <w:sz w:val="22"/>
          <w:szCs w:val="22"/>
          <w:rtl/>
        </w:rPr>
        <w:t>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وتوصي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الدولةَ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21299F20" w14:textId="3C26FA54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(أ)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تضمن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حصول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الأشخاص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الموقوفين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المحتجَزين،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الممارسة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العملية،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ومنذ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اللحظة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الأولى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لسلب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حريتهم،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الضمانات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الأساسية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تحميهم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معرفة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حقوقهم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وفهمها،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الاتصال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سريعا</w:t>
      </w:r>
      <w:r w:rsidR="0054043C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بمحام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والحصول،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اللزوم،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المساعدة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المجانية؛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والحق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إخطار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أحد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أقاربهم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شخص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مناسب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آخر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اختيارهم؛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والحق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الحصول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فحص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طبي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يجريه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طبيب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مستقل،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وإذا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أمكن،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طبيب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اختيارهم،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وفقا</w:t>
      </w:r>
      <w:r w:rsidR="0054043C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للمعايير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الدولية؛</w:t>
      </w:r>
    </w:p>
    <w:p w14:paraId="54CA5103" w14:textId="6BD8A92A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lastRenderedPageBreak/>
        <w:tab/>
      </w:r>
      <w:r w:rsidRPr="00AD6D43">
        <w:rPr>
          <w:rFonts w:eastAsiaTheme="minorEastAsia"/>
          <w:bCs/>
          <w:sz w:val="22"/>
          <w:szCs w:val="22"/>
          <w:rtl/>
        </w:rPr>
        <w:t>(ب)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تكفل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قصر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الحبس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الاحتياطي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مرافق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التابعة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للشرطة،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ونقل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المحبوسين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احتياطياً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بسرعة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مركز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للحبس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الاحتياطي؛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</w:p>
    <w:p w14:paraId="7092B761" w14:textId="7D0B532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(ج)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تكفل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عدم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إعادة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مراكز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التابعة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للشرطة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بصفة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استثنائية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واستمرارها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لأقصر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فترة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ممكنة.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</w:p>
    <w:p w14:paraId="4791F588" w14:textId="17B276AC" w:rsidR="00AD6D43" w:rsidRPr="00AD6D43" w:rsidRDefault="00AD6D43" w:rsidP="0054043C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أزمة</w:t>
      </w:r>
      <w:r w:rsidR="00FE1A16">
        <w:rPr>
          <w:rtl/>
        </w:rPr>
        <w:t xml:space="preserve"> </w:t>
      </w:r>
      <w:r w:rsidRPr="00AD6D43">
        <w:rPr>
          <w:rtl/>
        </w:rPr>
        <w:t>اللاجئين</w:t>
      </w:r>
      <w:r w:rsidR="00FE1A16">
        <w:rPr>
          <w:rtl/>
        </w:rPr>
        <w:t xml:space="preserve"> </w:t>
      </w:r>
      <w:r w:rsidRPr="00AD6D43">
        <w:rPr>
          <w:rtl/>
        </w:rPr>
        <w:t>والمهاجرين</w:t>
      </w:r>
      <w:r w:rsidR="00FE1A16">
        <w:rPr>
          <w:rtl/>
        </w:rPr>
        <w:t xml:space="preserve"> </w:t>
      </w:r>
    </w:p>
    <w:p w14:paraId="45852E75" w14:textId="49DF340B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11-</w:t>
      </w:r>
      <w:r w:rsidRPr="00AD6D43">
        <w:rPr>
          <w:rFonts w:eastAsiaTheme="minorEastAsia"/>
          <w:sz w:val="22"/>
          <w:szCs w:val="22"/>
          <w:rtl/>
        </w:rPr>
        <w:tab/>
        <w:t>تلاحظ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التحديات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الخطيرة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المسبوقة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تواجهها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سياق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أزمة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اللاجئين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والمهاجرين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المستمرة،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ويساوها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إزاء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يلي</w:t>
      </w:r>
      <w:r w:rsidRPr="00AD6D43">
        <w:rPr>
          <w:rFonts w:eastAsiaTheme="minorEastAsia"/>
          <w:sz w:val="22"/>
          <w:szCs w:val="22"/>
        </w:rPr>
        <w:t>: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2154265B" w14:textId="42D39B55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(أ)</w:t>
      </w:r>
      <w:r w:rsidRPr="00AD6D43">
        <w:rPr>
          <w:rFonts w:eastAsiaTheme="minorEastAsia"/>
          <w:sz w:val="22"/>
          <w:szCs w:val="22"/>
          <w:rtl/>
        </w:rPr>
        <w:tab/>
        <w:t>القيود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المفروضة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حرية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تنقل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اللاجئين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والمهاجرين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النظاميين،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54043C">
        <w:rPr>
          <w:rFonts w:eastAsiaTheme="minorEastAsia" w:hint="cs"/>
          <w:sz w:val="22"/>
          <w:szCs w:val="22"/>
          <w:rtl/>
        </w:rPr>
        <w:t> </w:t>
      </w:r>
      <w:r w:rsidRPr="00AD6D43">
        <w:rPr>
          <w:rFonts w:eastAsiaTheme="minorEastAsia"/>
          <w:sz w:val="22"/>
          <w:szCs w:val="22"/>
          <w:rtl/>
        </w:rPr>
        <w:t>سيما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احتجازهم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الفعلي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الإلزامي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المطول،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يشمل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الأسر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لديها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أطفال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والأشخاص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الضعفاء،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إطار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الحدودية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المنطبقة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نقاط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اجتياز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ومناطق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العبور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وغيرها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الأماكن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المكيفة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لهذه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الأغراض،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الحصول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ضمانات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إجرائية،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المساعدة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وسبل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الانتصاف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القضائية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تمكنهم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احتجازهم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الفعلي؛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34504175" w14:textId="0DCE9CBA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(ب)</w:t>
      </w:r>
      <w:r w:rsidRPr="00AD6D43">
        <w:rPr>
          <w:rFonts w:eastAsiaTheme="minorEastAsia"/>
          <w:sz w:val="22"/>
          <w:szCs w:val="22"/>
          <w:rtl/>
        </w:rPr>
        <w:tab/>
        <w:t>التقارير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بسوء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ظروف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الاستقبال،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مثل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الاكتظاظ،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ونقص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التدفئة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والمياه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الساخنة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ومياه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الشرب،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والغذاء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المتدني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النوعية،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ومحدودية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فرص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الحصول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الخدمات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الطبية،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والافتقار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الخصوصية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ومرافق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الصحي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والنظافة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الصحية،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مواقع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إيواء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واللاجئين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والمهاجرين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النظاميين،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مركز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تسجيل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الأجانب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ومرافق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دائرة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حرس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الحكومية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ومواقع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الإيواء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المخصصة؛</w:t>
      </w:r>
    </w:p>
    <w:p w14:paraId="05EBFB87" w14:textId="6E878F09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(ج)</w:t>
      </w:r>
      <w:r w:rsidRPr="00AD6D43">
        <w:rPr>
          <w:rFonts w:eastAsiaTheme="minorEastAsia"/>
          <w:sz w:val="22"/>
          <w:szCs w:val="22"/>
          <w:rtl/>
        </w:rPr>
        <w:tab/>
        <w:t>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وجود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آلية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مناسبة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لتحديد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الأفراد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الضعفاء،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ضحايا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وغيره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ضروب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إساءة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المعاملة،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وهو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يقوض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توفير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ترتيبات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الملائمة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والدعم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والخدمات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المناسبة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الوقت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المناسب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لهؤلاء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الأشخاص،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نحو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يتناسب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احتياجاتهم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الخاصة؛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491D0B3C" w14:textId="6E25AAE1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(د)</w:t>
      </w:r>
      <w:r w:rsidRPr="00AD6D43">
        <w:rPr>
          <w:rFonts w:eastAsiaTheme="minorEastAsia"/>
          <w:sz w:val="22"/>
          <w:szCs w:val="22"/>
          <w:rtl/>
        </w:rPr>
        <w:tab/>
        <w:t>التقارير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بالإفراط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استخدام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القوة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ومزاعم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وسوء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المعاملة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أيدي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مسؤولين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أمنيين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إيواء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اللاجئين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والمهاجرين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النظاميين،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مخيم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فيريبيجاي</w:t>
      </w:r>
      <w:proofErr w:type="spellEnd"/>
      <w:r w:rsidRPr="00AD6D43">
        <w:rPr>
          <w:rFonts w:eastAsiaTheme="minorEastAsia"/>
          <w:sz w:val="22"/>
          <w:szCs w:val="22"/>
          <w:rtl/>
        </w:rPr>
        <w:t>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فضلا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غياب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تدابير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لمنع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الجنساني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والتصدي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هذه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الأماكن؛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7A44E88A" w14:textId="64A3C76E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(هـ)</w:t>
      </w:r>
      <w:r w:rsidRPr="00AD6D43">
        <w:rPr>
          <w:rFonts w:eastAsiaTheme="minorEastAsia"/>
          <w:sz w:val="22"/>
          <w:szCs w:val="22"/>
          <w:rtl/>
        </w:rPr>
        <w:tab/>
        <w:t>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توفر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إمكانية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حصول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اللاجئين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المساعدة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واستعانتهم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بالمترجمين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الفوريين؛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4099FDFA" w14:textId="071ACA53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(و)</w:t>
      </w:r>
      <w:r w:rsidRPr="00AD6D43">
        <w:rPr>
          <w:rFonts w:eastAsiaTheme="minorEastAsia"/>
          <w:sz w:val="22"/>
          <w:szCs w:val="22"/>
          <w:rtl/>
        </w:rPr>
        <w:tab/>
        <w:t>التقارير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بحوادث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الجماعي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استعراض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حالاتهم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الفردية،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265591">
        <w:rPr>
          <w:rFonts w:eastAsiaTheme="minorEastAsia" w:hint="cs"/>
          <w:sz w:val="22"/>
          <w:szCs w:val="22"/>
          <w:rtl/>
        </w:rPr>
        <w:t> 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ممارسة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الصد،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يجري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إطارها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ردع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القادمين،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الأطفال،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عبور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وتركهم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مقربة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ظروف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قاسية،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إمكانية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الوصول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والغذاء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والمأوى؛</w:t>
      </w:r>
    </w:p>
    <w:p w14:paraId="6EB145CC" w14:textId="29D07C1D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(ز)</w:t>
      </w:r>
      <w:r w:rsidRPr="00AD6D43">
        <w:rPr>
          <w:rFonts w:eastAsiaTheme="minorEastAsia"/>
          <w:sz w:val="22"/>
          <w:szCs w:val="22"/>
          <w:rtl/>
        </w:rPr>
        <w:tab/>
        <w:t>نوعية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التقييمات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الوقائعية</w:t>
      </w:r>
      <w:proofErr w:type="spellEnd"/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والقانونية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والمقابلات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تنفذ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إطار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ومدى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إنصافها،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يقال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إنها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تتسم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بسرعة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المعالجة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وتركز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رفض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بدلا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إجراء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استعراض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موضوعي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ومنصف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لطلبات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اللجوء؛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21CF851E" w14:textId="5F0E17F3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tab/>
      </w:r>
      <w:r w:rsidRPr="00AD6D43">
        <w:rPr>
          <w:rFonts w:eastAsiaTheme="minorEastAsia"/>
          <w:sz w:val="22"/>
          <w:szCs w:val="22"/>
          <w:rtl/>
        </w:rPr>
        <w:t>(ح)</w:t>
      </w:r>
      <w:r w:rsidRPr="00AD6D43">
        <w:rPr>
          <w:rFonts w:eastAsiaTheme="minorEastAsia"/>
          <w:sz w:val="22"/>
          <w:szCs w:val="22"/>
          <w:rtl/>
        </w:rPr>
        <w:tab/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الوضع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للأجانب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لتقييد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وصلوا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بصورة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يحاولون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عبور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بصورة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طلب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الطوارئ،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جانب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القيود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الزمنية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المعقولة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تمنح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سبعة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للطعن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القرارات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بطلبات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وجود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أثر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إيقافي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تلقائي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مترتب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إجراءات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آلية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مستقلة؛</w:t>
      </w:r>
    </w:p>
    <w:p w14:paraId="313299DB" w14:textId="76248A5E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>
        <w:rPr>
          <w:rFonts w:eastAsiaTheme="minorEastAsia"/>
          <w:sz w:val="22"/>
          <w:szCs w:val="22"/>
          <w:rtl/>
        </w:rPr>
        <w:lastRenderedPageBreak/>
        <w:tab/>
      </w:r>
      <w:r w:rsidRPr="00AD6D43">
        <w:rPr>
          <w:rFonts w:eastAsiaTheme="minorEastAsia"/>
          <w:sz w:val="22"/>
          <w:szCs w:val="22"/>
          <w:rtl/>
        </w:rPr>
        <w:t>(ط)</w:t>
      </w:r>
      <w:r w:rsidRPr="00AD6D43">
        <w:rPr>
          <w:rFonts w:eastAsiaTheme="minorEastAsia"/>
          <w:sz w:val="22"/>
          <w:szCs w:val="22"/>
          <w:rtl/>
        </w:rPr>
        <w:tab/>
        <w:t>التقارير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بالقيود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المفروضة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الطوارئ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أنشطة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المؤسسة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الوطنية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والمنظمات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الحكومية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والصحفيين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لرصد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حالة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ملتمسي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واللاجئين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والمهاجرين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المناطق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الحدودية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(المواد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و3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و13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و16).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7D4524BF" w14:textId="47BA1F43" w:rsidR="00AD6D43" w:rsidRPr="00AD6D43" w:rsidRDefault="00AD6D43" w:rsidP="00FE1217">
      <w:pPr>
        <w:pStyle w:val="SingleTxtG"/>
        <w:keepNext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AD6D43">
        <w:rPr>
          <w:rFonts w:eastAsiaTheme="minorEastAsia"/>
          <w:b/>
          <w:sz w:val="22"/>
          <w:szCs w:val="22"/>
          <w:rtl/>
        </w:rPr>
        <w:t>12-</w:t>
      </w:r>
      <w:r w:rsidRPr="00AD6D43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تحث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609FAA72" w14:textId="7E03E952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(أ)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يشمل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واللاجئين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والمهاجرين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النظاميين،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إطار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الإجراءات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الحدودية،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الضمانات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اللازمة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للحماية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التعسفي،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وألا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يستخدم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بأمر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قضائي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وكحلّ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أخير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ويكون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ضروريا</w:t>
      </w:r>
      <w:r w:rsidR="0026559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ومتناسبا</w:t>
      </w:r>
      <w:r w:rsidR="00265591">
        <w:rPr>
          <w:rFonts w:eastAsiaTheme="minorEastAsia" w:hint="cs"/>
          <w:b/>
          <w:bCs/>
          <w:sz w:val="22"/>
          <w:szCs w:val="22"/>
          <w:rtl/>
        </w:rPr>
        <w:t>ً</w:t>
      </w:r>
      <w:r w:rsidRPr="00AD6D43">
        <w:rPr>
          <w:rFonts w:eastAsiaTheme="minorEastAsia"/>
          <w:b/>
          <w:bCs/>
          <w:sz w:val="22"/>
          <w:szCs w:val="22"/>
          <w:rtl/>
        </w:rPr>
        <w:t>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يستخدم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لأقصر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فترة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ممكنة،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ولمدة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يحددها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يجري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ملائمة؛</w:t>
      </w:r>
    </w:p>
    <w:p w14:paraId="685AC961" w14:textId="7E09F156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(ب)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الامتناع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الأسر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لديها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أطفال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الضعفاء؛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</w:p>
    <w:p w14:paraId="7DEC72A4" w14:textId="5F7A7627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(ج)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اللازمة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استقبال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ملائمة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مواقع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إيواء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واللاجئين،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السكن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اللائق،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والقدر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الكافي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الغذاء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والملابس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والمواد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الغذائية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والخدمات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النفسية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الاجتماعية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وخدمات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الرعاية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الصحية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الملائمة،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مراعاة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الاحتياجات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الخاصة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للأشخاص</w:t>
      </w:r>
      <w:r w:rsidR="00265591">
        <w:rPr>
          <w:rFonts w:eastAsiaTheme="minorEastAsia" w:hint="cs"/>
          <w:b/>
          <w:bCs/>
          <w:sz w:val="22"/>
          <w:szCs w:val="22"/>
          <w:rtl/>
        </w:rPr>
        <w:t> </w:t>
      </w:r>
      <w:r w:rsidRPr="00AD6D43">
        <w:rPr>
          <w:rFonts w:eastAsiaTheme="minorEastAsia"/>
          <w:b/>
          <w:bCs/>
          <w:sz w:val="22"/>
          <w:szCs w:val="22"/>
          <w:rtl/>
        </w:rPr>
        <w:t>الضعفاء؛</w:t>
      </w:r>
    </w:p>
    <w:p w14:paraId="72F6E6B3" w14:textId="06465FAF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(د)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ترتيبات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استقبال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بديلة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المجتمعات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المحلية،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سيما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واللاجئين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الضعفاء،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ومواصلة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تطوير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نظام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الاستقبال،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أساس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التخطيط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المنسق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للطوارئ،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يكفي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طاقة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الإيواء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والدعم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والخدمات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المكيفة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الاحتياجات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للاستجابة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بفعالية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تصل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أعداد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أكبر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واللاجئين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خلال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فترة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قصيرة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الزمن؛</w:t>
      </w:r>
    </w:p>
    <w:p w14:paraId="04FD5B3D" w14:textId="5E955C0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(هـ)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إجراء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شامل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وسريع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ومستقل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وسوء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المزعومة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أماكن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المهاجرين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وأماكن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إيواء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واللاجئين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والمهاجرين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النظاميين؛</w:t>
      </w:r>
    </w:p>
    <w:p w14:paraId="06A1F088" w14:textId="3D4F310D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(و)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الوصول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المعلومات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المتعلقة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بإجراءات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والمساعدة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دون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تمييز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وإبلاغ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بالقرارات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المتعلقة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بطلبات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بلغة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يفهمونها،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الطوارئ؛</w:t>
      </w:r>
    </w:p>
    <w:p w14:paraId="0D953BD2" w14:textId="694F580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(ز)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يكون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الذين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يصلون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بطريقة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شرعية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الطوارئ،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الحق،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والممارسة،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تقديم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والبقاء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الإقليم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صدور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نتيجة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إجراءات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bookmarkStart w:id="0" w:name="_Hlk86169708"/>
      <w:bookmarkEnd w:id="0"/>
    </w:p>
    <w:p w14:paraId="3124936C" w14:textId="397E1C8C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(ح)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تحظى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طلبات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بالدراسة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المناسبة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جانب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السلطات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المختصة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العادلة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مراحل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إجراءات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إتاحة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الفرصة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لإجراء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استعراض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فعال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ومحايد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قبل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آلية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قرار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مستقلة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يترتب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عليه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أثر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تلقائي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تعليق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الإجراءات؛</w:t>
      </w:r>
    </w:p>
    <w:p w14:paraId="63386F8C" w14:textId="1FE3D231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(ط)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وصول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المؤسسة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الوطنية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لحقوق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الإنسان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والمنظمات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الحكومية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والصحفيين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دون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عوائق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المناطق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الحدودية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المتأثرة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بحالة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الطوارئ.</w:t>
      </w:r>
    </w:p>
    <w:p w14:paraId="071C3B7C" w14:textId="092E10F3" w:rsidR="00AD6D43" w:rsidRPr="00AD6D43" w:rsidRDefault="00AD6D43" w:rsidP="00AD6D43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الآلية</w:t>
      </w:r>
      <w:r w:rsidR="00FE1A16">
        <w:rPr>
          <w:rtl/>
        </w:rPr>
        <w:t xml:space="preserve"> </w:t>
      </w:r>
      <w:r w:rsidRPr="00AD6D43">
        <w:rPr>
          <w:rtl/>
        </w:rPr>
        <w:t>الوقائية</w:t>
      </w:r>
      <w:r w:rsidR="00FE1A16">
        <w:rPr>
          <w:rtl/>
        </w:rPr>
        <w:t xml:space="preserve"> </w:t>
      </w:r>
      <w:r w:rsidRPr="00AD6D43">
        <w:rPr>
          <w:rtl/>
        </w:rPr>
        <w:t>الوطنية</w:t>
      </w:r>
      <w:r w:rsidR="00FE1A16">
        <w:rPr>
          <w:rtl/>
        </w:rPr>
        <w:t xml:space="preserve"> </w:t>
      </w:r>
    </w:p>
    <w:p w14:paraId="6122AD8E" w14:textId="1AC3448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13-</w:t>
      </w:r>
      <w:r w:rsidRPr="00AD6D43">
        <w:rPr>
          <w:rFonts w:eastAsiaTheme="minorEastAsia"/>
          <w:sz w:val="22"/>
          <w:szCs w:val="22"/>
          <w:rtl/>
        </w:rPr>
        <w:tab/>
        <w:t>ترحب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بتعيين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المظالم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البرلمانية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بوصفها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الآلية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الوقائية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الوطنية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بموجب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البروتوكول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الاختياري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للاتفاقية.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غير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تشعر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إزاء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نقص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مكتب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التابع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لأمانة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المظالم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المكلفين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بمهام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وأنشطة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تتصل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بالآلية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(المادة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2).</w:t>
      </w:r>
    </w:p>
    <w:p w14:paraId="0A69128E" w14:textId="3542BA0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AD6D43">
        <w:rPr>
          <w:rFonts w:eastAsiaTheme="minorEastAsia"/>
          <w:b/>
          <w:sz w:val="22"/>
          <w:szCs w:val="22"/>
          <w:rtl/>
        </w:rPr>
        <w:lastRenderedPageBreak/>
        <w:t>14-</w:t>
      </w:r>
      <w:r w:rsidRPr="00AD6D43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تكفل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استقلال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عمليات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الآلية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الوقائية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الوطنية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توفر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الموارد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المالية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والبشرية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المخصصة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يلزمها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لأداء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عملها،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وفقاً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للفقرتين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(1)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و(3)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18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البروتوكول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الاختيار.</w:t>
      </w:r>
    </w:p>
    <w:p w14:paraId="7BF98FA0" w14:textId="5CBF79B7" w:rsidR="00AD6D43" w:rsidRPr="00AD6D43" w:rsidRDefault="00AD6D43" w:rsidP="00AD6D43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ظروف</w:t>
      </w:r>
      <w:r w:rsidR="00FE1A16">
        <w:rPr>
          <w:rtl/>
        </w:rPr>
        <w:t xml:space="preserve"> </w:t>
      </w:r>
      <w:r w:rsidRPr="00AD6D43">
        <w:rPr>
          <w:rtl/>
        </w:rPr>
        <w:t>الاحتجاز</w:t>
      </w:r>
    </w:p>
    <w:p w14:paraId="3007D640" w14:textId="515FF0FB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15-</w:t>
      </w:r>
      <w:r w:rsidRPr="00AD6D43">
        <w:rPr>
          <w:rFonts w:eastAsiaTheme="minorEastAsia"/>
          <w:sz w:val="22"/>
          <w:szCs w:val="22"/>
          <w:rtl/>
        </w:rPr>
        <w:tab/>
        <w:t>تعرب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تقديرها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قدمتها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التدابير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المتخذة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لتحسين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ظروف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سلب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الحرية،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مراكز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التوقيف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التابعة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للشرطة،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وتخفيض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عدد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السجناء،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بطرق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وضع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بدائل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وتوسيع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نطاق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إصدار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الأحكام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الموقوفة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التنفيذ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وتطبيق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الإفراج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المشروط.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وتلاحظ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بارتياح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أيضا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وردها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إغلاق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لوكيشكيس</w:t>
      </w:r>
      <w:proofErr w:type="spellEnd"/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للحبس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الاحتياطي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ومؤسسة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كيبارتاي</w:t>
      </w:r>
      <w:proofErr w:type="spellEnd"/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الإصلاحية،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خطط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إغلاق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شيولياي</w:t>
      </w:r>
      <w:proofErr w:type="spellEnd"/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للحبس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الاحتياطي.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يساور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ظروف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بعض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مرافق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تزال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المعايير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حيث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نوعية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الأغذية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والنظافة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والتهوية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وتلقي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الطبيعي.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كما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تشعر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إزاء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انخفاض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مستويات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التوظيف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يتعلق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والرعاية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الصحية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سواء.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ويساورها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أيضا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إزاء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التقارير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تفيد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بإفراط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استخدام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القوة،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استخدام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أسلحة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الصعق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الكهربائي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(مسدسات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الصعق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الكهربائي)،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المستشري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السجناء،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والاتجار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بالمخدرات،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وانتشار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فيروس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نقص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المناعة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البشرية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والتهاب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الكبد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"جيم"،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الحصول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العلاج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الطبي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لهذه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الأمراض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الوقت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المناسب.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وأخيرا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Pr="00AD6D43">
        <w:rPr>
          <w:rFonts w:eastAsiaTheme="minorEastAsia"/>
          <w:sz w:val="22"/>
          <w:szCs w:val="22"/>
          <w:rtl/>
        </w:rPr>
        <w:t>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يساور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إدماج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السجناء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يقضون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أحكاما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بالسجن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المؤبد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العامة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يزال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ضئيلا</w:t>
      </w:r>
      <w:r w:rsidR="00265591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(المواد</w:t>
      </w:r>
      <w:r w:rsidR="00265591">
        <w:rPr>
          <w:rFonts w:eastAsiaTheme="minorEastAsia" w:hint="cs"/>
          <w:sz w:val="22"/>
          <w:szCs w:val="22"/>
          <w:rtl/>
        </w:rPr>
        <w:t> </w:t>
      </w:r>
      <w:r w:rsidRPr="00AD6D43">
        <w:rPr>
          <w:rFonts w:eastAsiaTheme="minorEastAsia"/>
          <w:sz w:val="22"/>
          <w:szCs w:val="22"/>
          <w:rtl/>
        </w:rPr>
        <w:t>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و11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و16).</w:t>
      </w:r>
    </w:p>
    <w:p w14:paraId="37B32918" w14:textId="1B5DF4DA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AD6D43">
        <w:rPr>
          <w:rFonts w:eastAsiaTheme="minorEastAsia"/>
          <w:b/>
          <w:sz w:val="22"/>
          <w:szCs w:val="22"/>
          <w:rtl/>
        </w:rPr>
        <w:t>16-</w:t>
      </w:r>
      <w:r w:rsidRPr="00AD6D43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اللازمة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تماشي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المعايير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لحقوق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الإنسان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الصلة،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والقيام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وجه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الخصوص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6F3C615F" w14:textId="02918EE3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(أ)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المضي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الخطوات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الرامية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تحسين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المادية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السجون،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يشمل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النظافة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الصحية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والصرف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الصحي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والرطوبة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والتهوية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ووصول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النور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الطبيعي،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بهدف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مواءمة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قواعد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الأمم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المتحدة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النموذجية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الدنيا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(قواعد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نيلسون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مانديلا)؛</w:t>
      </w:r>
    </w:p>
    <w:p w14:paraId="7A7069AD" w14:textId="26F0BC7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(ب)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المضي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توسيع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نطاق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تطبيق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الحبسية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بدلا</w:t>
      </w:r>
      <w:r w:rsidR="0026559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نظام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العقوبات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الجنائية،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تماشيا</w:t>
      </w:r>
      <w:r w:rsidR="0026559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قواعد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الأمم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المتحدة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الدنيا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النموذجية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b/>
          <w:bCs/>
          <w:sz w:val="22"/>
          <w:szCs w:val="22"/>
          <w:rtl/>
        </w:rPr>
        <w:t>الاحتجازية</w:t>
      </w:r>
      <w:proofErr w:type="spellEnd"/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(قواعد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طوكيو)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وقواعد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الأمم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المتحدة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السجينات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b/>
          <w:bCs/>
          <w:sz w:val="22"/>
          <w:szCs w:val="22"/>
          <w:rtl/>
        </w:rPr>
        <w:t>الاحتجازية</w:t>
      </w:r>
      <w:proofErr w:type="spellEnd"/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للمجرمات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(قواعد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بانكوك)؛</w:t>
      </w:r>
    </w:p>
    <w:p w14:paraId="45930EE7" w14:textId="7D53C0CF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(ج)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مواصلة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تكييف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الأساسية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المهترئة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وتجديدها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أجل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خفض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عدد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الزنزانات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تستوعب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أعداداً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كبيرة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بهدف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ومنعه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والقضاء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الثقافة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الفرعية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الإجرامية؛</w:t>
      </w:r>
    </w:p>
    <w:p w14:paraId="35AF93E7" w14:textId="59385F5F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(د)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وتعزيز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فعالية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آليات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التظلم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المتاحة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للإبلاغ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وفحص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الإصابة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والوفاة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الناجمة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أشكال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وتسجيل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ومقاضاة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المسؤولين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ومنع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تكرار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الحوادث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المستقبل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مناسبة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تقوم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مبادئ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الاستباقي؛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</w:p>
    <w:p w14:paraId="2BC9D28C" w14:textId="45C4A60C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(هـ)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تعزيز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إخضاع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أماكن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الحرية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للرصد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المستقل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والمنتظم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جانب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أمانة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المظالم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البرلمانية،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بوصفها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الآلية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الوقائية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الوطنية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بموجب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البروتوكول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الاختياري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للاتفاقية،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علاوة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آليات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أخرى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مستقلة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ومحايدة،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بطرق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القيام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بزيارات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معلنة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أماكن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الحرية؛</w:t>
      </w:r>
    </w:p>
    <w:p w14:paraId="789EFF3A" w14:textId="74D6856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lastRenderedPageBreak/>
        <w:tab/>
      </w:r>
      <w:r w:rsidRPr="00AD6D43">
        <w:rPr>
          <w:rFonts w:eastAsiaTheme="minorEastAsia"/>
          <w:bCs/>
          <w:sz w:val="22"/>
          <w:szCs w:val="22"/>
          <w:rtl/>
        </w:rPr>
        <w:t>(و)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المضي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تحسين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أجور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موظفي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عملهم،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وزيادة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عدد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موظفي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والرعاية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الصحية،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الأطباء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النفسيون،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ومواصلة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التدريب،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التدريب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أحكام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وإدارة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ومنع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السجناء؛</w:t>
      </w:r>
    </w:p>
    <w:p w14:paraId="06B24105" w14:textId="1E19656E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(ز)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امتثال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مبادئ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الضرورة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والتبعية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والتناسب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والإنذار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المسبق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(حيثما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أمكن)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والحذر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امتثالا</w:t>
      </w:r>
      <w:r w:rsidR="0026559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تاما</w:t>
      </w:r>
      <w:r w:rsidR="0026559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استخدام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أسلحة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الصعق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الكهربائي؛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وعدم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إدراج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الأسلحة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ضمن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المعدات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العادية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للموظفين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وغيرها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أماكن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الحرية؛</w:t>
      </w:r>
    </w:p>
    <w:p w14:paraId="7F75147C" w14:textId="7E4BAD14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(ح)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تعزيز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جهودها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الرامية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مكافحة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الاتجار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بالمخدرات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السجون؛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ومواصلة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مكافحة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انتشار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فيروس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نقص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المناعة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البشرية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والتهاب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الكبد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"جيم"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المزيد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الخطوات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العلاج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الكافي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الوقت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المصابين،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وكذلك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استمرار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تزويد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السجناء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والمحتجزين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بلقاحات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فيروس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كورونا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(كوفيد-19)؛</w:t>
      </w:r>
    </w:p>
    <w:p w14:paraId="499FD7AD" w14:textId="5B671925" w:rsidR="00AD6D43" w:rsidRPr="00571B30" w:rsidRDefault="00AD6D43" w:rsidP="00AD6D43">
      <w:pPr>
        <w:pStyle w:val="SingleTxtG"/>
        <w:bidi/>
        <w:textDirection w:val="tbRlV"/>
        <w:rPr>
          <w:rFonts w:eastAsiaTheme="minorEastAsia" w:hint="cs"/>
          <w:b/>
          <w:bCs/>
          <w:spacing w:val="-2"/>
          <w:sz w:val="22"/>
          <w:szCs w:val="22"/>
          <w:lang w:val="en-US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571B30">
        <w:rPr>
          <w:rFonts w:eastAsiaTheme="minorEastAsia"/>
          <w:bCs/>
          <w:spacing w:val="-2"/>
          <w:sz w:val="22"/>
          <w:szCs w:val="22"/>
          <w:rtl/>
        </w:rPr>
        <w:t>(ط)</w:t>
      </w:r>
      <w:r w:rsidRPr="00571B30">
        <w:rPr>
          <w:rFonts w:eastAsiaTheme="minorEastAsia"/>
          <w:bCs/>
          <w:spacing w:val="-2"/>
          <w:sz w:val="22"/>
          <w:szCs w:val="22"/>
          <w:rtl/>
        </w:rPr>
        <w:tab/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اتخاذ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تدابير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في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سبيل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إدماج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السجناء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الذين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يقضون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عقوبة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السجن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المؤبد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مع</w:t>
      </w:r>
      <w:r w:rsidR="00FE1A16" w:rsidRPr="00571B30">
        <w:rPr>
          <w:rFonts w:eastAsiaTheme="minorEastAsia"/>
          <w:b/>
          <w:bCs/>
          <w:spacing w:val="-2"/>
          <w:sz w:val="22"/>
          <w:szCs w:val="22"/>
          <w:rtl/>
        </w:rPr>
        <w:t xml:space="preserve"> 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عموم</w:t>
      </w:r>
      <w:r w:rsidR="00571B30" w:rsidRPr="00571B30">
        <w:rPr>
          <w:rFonts w:eastAsiaTheme="minorEastAsia" w:hint="cs"/>
          <w:b/>
          <w:bCs/>
          <w:spacing w:val="-2"/>
          <w:sz w:val="22"/>
          <w:szCs w:val="22"/>
          <w:rtl/>
        </w:rPr>
        <w:t> </w:t>
      </w:r>
      <w:r w:rsidRPr="00571B30">
        <w:rPr>
          <w:rFonts w:eastAsiaTheme="minorEastAsia"/>
          <w:b/>
          <w:bCs/>
          <w:spacing w:val="-2"/>
          <w:sz w:val="22"/>
          <w:szCs w:val="22"/>
          <w:rtl/>
        </w:rPr>
        <w:t>السجناء.</w:t>
      </w:r>
    </w:p>
    <w:p w14:paraId="1421E0CA" w14:textId="0317441C" w:rsidR="00AD6D43" w:rsidRPr="00AD6D43" w:rsidRDefault="00AD6D43" w:rsidP="00AD6D43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التحقيقات</w:t>
      </w:r>
      <w:r w:rsidR="00FE1A16">
        <w:rPr>
          <w:rtl/>
        </w:rPr>
        <w:t xml:space="preserve"> </w:t>
      </w:r>
      <w:r w:rsidRPr="00AD6D43">
        <w:rPr>
          <w:rtl/>
        </w:rPr>
        <w:t>السريعة</w:t>
      </w:r>
      <w:r w:rsidR="00FE1A16">
        <w:rPr>
          <w:rtl/>
        </w:rPr>
        <w:t xml:space="preserve"> </w:t>
      </w:r>
      <w:r w:rsidRPr="00AD6D43">
        <w:rPr>
          <w:rtl/>
        </w:rPr>
        <w:t>والشاملة</w:t>
      </w:r>
      <w:r w:rsidR="00FE1A16">
        <w:rPr>
          <w:rtl/>
        </w:rPr>
        <w:t xml:space="preserve"> </w:t>
      </w:r>
      <w:r w:rsidRPr="00AD6D43">
        <w:rPr>
          <w:rtl/>
        </w:rPr>
        <w:t>والنزيهة</w:t>
      </w:r>
    </w:p>
    <w:p w14:paraId="72B97029" w14:textId="0E417A3A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17-</w:t>
      </w:r>
      <w:r w:rsidRPr="00AD6D43">
        <w:rPr>
          <w:rFonts w:eastAsiaTheme="minorEastAsia"/>
          <w:sz w:val="22"/>
          <w:szCs w:val="22"/>
          <w:rtl/>
        </w:rPr>
        <w:tab/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ضوء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قدمتها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تقريرها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الدوري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10"/>
      </w:r>
      <w:r w:rsidRPr="00FE1A16">
        <w:rPr>
          <w:rStyle w:val="FootnoteReference"/>
          <w:sz w:val="22"/>
          <w:szCs w:val="22"/>
          <w:rtl/>
        </w:rPr>
        <w:t>)</w:t>
      </w:r>
      <w:r>
        <w:rPr>
          <w:rFonts w:eastAsiaTheme="minorEastAsia" w:hint="cs"/>
          <w:sz w:val="22"/>
          <w:szCs w:val="22"/>
          <w:rtl/>
        </w:rPr>
        <w:t>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سياق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الحوار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تلاحظ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انخفاض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عدد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الشكاوى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والملاحقات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القضائية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والإدانات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الإفراط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استعمال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القوة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جانب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إنفاذ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أماكن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سلب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الحرية،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يتعلق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بالأفراد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العسكريين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القوات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المسلحة.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هذا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الصدد،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يساور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هذه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يمكن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توكل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آليات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الداخلية،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مثل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"وحدات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مكافحة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الفساد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(الحصانة)"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داخل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هياكل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والشرطة،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تخضع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مباشرة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لرئيس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المؤسسة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المعنية،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إطار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الداخلية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نظام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الدفاع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الوطني،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وهو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يثير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تساؤلات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نزاهة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وفعاليتها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(المادتان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و13).</w:t>
      </w:r>
    </w:p>
    <w:p w14:paraId="4F10B95F" w14:textId="21AAE5FD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AD6D43">
        <w:rPr>
          <w:rFonts w:eastAsiaTheme="minorEastAsia"/>
          <w:b/>
          <w:sz w:val="22"/>
          <w:szCs w:val="22"/>
          <w:rtl/>
        </w:rPr>
        <w:t>18-</w:t>
      </w:r>
      <w:r w:rsidRPr="00AD6D43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القيام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4FA461AE" w14:textId="563D9E45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(أ)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إجراء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تحقيقات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فورية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وفعالة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ونزيهة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ادعاءات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إفراط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موظفي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إنفاذ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استعمال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القوة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ضد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المحتجزين،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وكذلك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صفوف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القوات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المسلحة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يتعلق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بالموظفين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العسكريين،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تتولى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آليات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مستقلة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هيكلها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وعملياتها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يكون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للمحققين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مؤسسية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571B30">
        <w:rPr>
          <w:rFonts w:eastAsiaTheme="minorEastAsia" w:hint="cs"/>
          <w:b/>
          <w:bCs/>
          <w:sz w:val="22"/>
          <w:szCs w:val="22"/>
          <w:rtl/>
        </w:rPr>
        <w:t> </w:t>
      </w:r>
      <w:r w:rsidRPr="00AD6D43">
        <w:rPr>
          <w:rFonts w:eastAsiaTheme="minorEastAsia"/>
          <w:b/>
          <w:bCs/>
          <w:sz w:val="22"/>
          <w:szCs w:val="22"/>
          <w:rtl/>
        </w:rPr>
        <w:t>هرمية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بالجناة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المزعومين؛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وكذلك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معاقبة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الجناة،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إدانتهم،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بعقوبات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تتناسب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خطورة</w:t>
      </w:r>
      <w:r w:rsidR="00571B30">
        <w:rPr>
          <w:rFonts w:eastAsiaTheme="minorEastAsia" w:hint="cs"/>
          <w:b/>
          <w:bCs/>
          <w:sz w:val="22"/>
          <w:szCs w:val="22"/>
          <w:rtl/>
        </w:rPr>
        <w:t> </w:t>
      </w:r>
      <w:r w:rsidRPr="00AD6D43">
        <w:rPr>
          <w:rFonts w:eastAsiaTheme="minorEastAsia"/>
          <w:b/>
          <w:bCs/>
          <w:sz w:val="22"/>
          <w:szCs w:val="22"/>
          <w:rtl/>
        </w:rPr>
        <w:t>أفعالهم؛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</w:p>
    <w:p w14:paraId="704426D3" w14:textId="0A68262F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(ب)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توقيف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الأشخاص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الخاضعين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بتهمة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ارتكاب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أفعال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مهامهم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فوراً،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وإبقائهم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كذلك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طيلة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فترة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التحقيق،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الحرص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احترام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مبدأ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افتراض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البراءة؛</w:t>
      </w:r>
    </w:p>
    <w:p w14:paraId="01926BF6" w14:textId="037534EA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Cs/>
          <w:sz w:val="22"/>
          <w:szCs w:val="22"/>
          <w:rtl/>
        </w:rPr>
        <w:t>(ج)</w:t>
      </w:r>
      <w:r w:rsidRPr="00AD6D43">
        <w:rPr>
          <w:rFonts w:eastAsiaTheme="minorEastAsia"/>
          <w:bCs/>
          <w:sz w:val="22"/>
          <w:szCs w:val="22"/>
          <w:rtl/>
        </w:rPr>
        <w:tab/>
        <w:t>تزويد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اللجنة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بمعلومات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عن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عدد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حالات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إفراط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موظفي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إنفاذ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القانون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والموظفين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العسكريين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الذين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خضعوا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للتحقيق،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وعدد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الجناة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الذين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حوكموا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على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أعمال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وسوء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المعاملة،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والعقوبات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المطبقة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على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من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ثبتت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Cs/>
          <w:sz w:val="22"/>
          <w:szCs w:val="22"/>
          <w:rtl/>
        </w:rPr>
        <w:t>إدانتهم.</w:t>
      </w:r>
    </w:p>
    <w:p w14:paraId="694460DB" w14:textId="45A105BE" w:rsidR="00AD6D43" w:rsidRPr="00AD6D43" w:rsidRDefault="00AD6D43" w:rsidP="00AD6D43">
      <w:pPr>
        <w:pStyle w:val="H23GA"/>
        <w:rPr>
          <w:lang w:val="ar-SA" w:eastAsia="zh-TW" w:bidi="en-GB"/>
        </w:rPr>
      </w:pPr>
      <w:r w:rsidRPr="00AD6D43">
        <w:rPr>
          <w:rtl/>
        </w:rPr>
        <w:lastRenderedPageBreak/>
        <w:tab/>
      </w:r>
      <w:r w:rsidRPr="00AD6D43">
        <w:rPr>
          <w:rtl/>
        </w:rPr>
        <w:tab/>
        <w:t>التحقيقات</w:t>
      </w:r>
      <w:r w:rsidR="00FE1A16">
        <w:rPr>
          <w:rtl/>
        </w:rPr>
        <w:t xml:space="preserve"> </w:t>
      </w:r>
      <w:r w:rsidRPr="00AD6D43">
        <w:rPr>
          <w:rtl/>
        </w:rPr>
        <w:t>الجارية</w:t>
      </w:r>
      <w:r w:rsidR="00FE1A16">
        <w:rPr>
          <w:rtl/>
        </w:rPr>
        <w:t xml:space="preserve"> </w:t>
      </w:r>
      <w:r w:rsidRPr="00AD6D43">
        <w:rPr>
          <w:rtl/>
        </w:rPr>
        <w:t>في</w:t>
      </w:r>
      <w:r w:rsidR="00FE1A16">
        <w:rPr>
          <w:rtl/>
        </w:rPr>
        <w:t xml:space="preserve"> </w:t>
      </w:r>
      <w:r w:rsidRPr="00AD6D43">
        <w:rPr>
          <w:rtl/>
        </w:rPr>
        <w:t>سياق</w:t>
      </w:r>
      <w:r w:rsidR="00FE1A16">
        <w:rPr>
          <w:rtl/>
        </w:rPr>
        <w:t xml:space="preserve"> </w:t>
      </w:r>
      <w:r w:rsidRPr="00AD6D43">
        <w:rPr>
          <w:rtl/>
        </w:rPr>
        <w:t>المشاركة</w:t>
      </w:r>
      <w:r w:rsidR="00FE1A16">
        <w:rPr>
          <w:rtl/>
        </w:rPr>
        <w:t xml:space="preserve"> </w:t>
      </w:r>
      <w:r w:rsidRPr="00AD6D43">
        <w:rPr>
          <w:rtl/>
        </w:rPr>
        <w:t>في</w:t>
      </w:r>
      <w:r w:rsidR="00FE1A16">
        <w:rPr>
          <w:rtl/>
        </w:rPr>
        <w:t xml:space="preserve"> </w:t>
      </w:r>
      <w:r w:rsidRPr="00AD6D43">
        <w:rPr>
          <w:rtl/>
        </w:rPr>
        <w:t>برنامج</w:t>
      </w:r>
      <w:r w:rsidR="00FE1A16">
        <w:rPr>
          <w:rtl/>
        </w:rPr>
        <w:t xml:space="preserve"> </w:t>
      </w:r>
      <w:r w:rsidRPr="00AD6D43">
        <w:rPr>
          <w:rtl/>
        </w:rPr>
        <w:t>التسليم</w:t>
      </w:r>
      <w:r w:rsidR="00FE1A16">
        <w:rPr>
          <w:rtl/>
        </w:rPr>
        <w:t xml:space="preserve"> </w:t>
      </w:r>
      <w:r w:rsidRPr="00AD6D43">
        <w:rPr>
          <w:rtl/>
        </w:rPr>
        <w:t>الاستثنائي</w:t>
      </w:r>
      <w:r w:rsidR="00FE1A16">
        <w:rPr>
          <w:rtl/>
        </w:rPr>
        <w:t xml:space="preserve"> </w:t>
      </w:r>
      <w:r w:rsidRPr="00AD6D43">
        <w:rPr>
          <w:rtl/>
        </w:rPr>
        <w:t>والاحتجاز</w:t>
      </w:r>
      <w:r w:rsidR="00FE1A16">
        <w:rPr>
          <w:rtl/>
        </w:rPr>
        <w:t xml:space="preserve"> </w:t>
      </w:r>
      <w:r w:rsidRPr="00AD6D43">
        <w:rPr>
          <w:rtl/>
        </w:rPr>
        <w:t>السري</w:t>
      </w:r>
      <w:r w:rsidR="00FE1A16">
        <w:rPr>
          <w:rtl/>
        </w:rPr>
        <w:t xml:space="preserve"> </w:t>
      </w:r>
    </w:p>
    <w:p w14:paraId="7F449D01" w14:textId="12C7A97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19-</w:t>
      </w:r>
      <w:r w:rsidRPr="00AD6D43">
        <w:rPr>
          <w:rFonts w:eastAsiaTheme="minorEastAsia"/>
          <w:sz w:val="22"/>
          <w:szCs w:val="22"/>
          <w:rtl/>
        </w:rPr>
        <w:tab/>
        <w:t>تشير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ملاحظاتها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الختامية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السابقة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11"/>
      </w:r>
      <w:r w:rsidRPr="00FE1A16">
        <w:rPr>
          <w:rStyle w:val="FootnoteReference"/>
          <w:sz w:val="22"/>
          <w:szCs w:val="22"/>
          <w:rtl/>
        </w:rPr>
        <w:t>)</w:t>
      </w:r>
      <w:r>
        <w:rPr>
          <w:rFonts w:eastAsiaTheme="minorEastAsia" w:hint="cs"/>
          <w:sz w:val="22"/>
          <w:szCs w:val="22"/>
          <w:rtl/>
        </w:rPr>
        <w:t>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دواعي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أثارتها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12"/>
      </w:r>
      <w:r w:rsidRPr="00FE1A16">
        <w:rPr>
          <w:rStyle w:val="FootnoteReference"/>
          <w:sz w:val="22"/>
          <w:szCs w:val="22"/>
          <w:rtl/>
        </w:rPr>
        <w:t>)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الاختفاء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القسري</w:t>
      </w:r>
      <w:r w:rsidRPr="00FE1A16">
        <w:rPr>
          <w:rStyle w:val="FootnoteReference"/>
          <w:sz w:val="22"/>
          <w:szCs w:val="22"/>
          <w:rtl/>
        </w:rPr>
        <w:t>(</w:t>
      </w:r>
      <w:r w:rsidRPr="00FE1A16">
        <w:rPr>
          <w:rStyle w:val="FootnoteReference"/>
          <w:sz w:val="22"/>
          <w:szCs w:val="22"/>
          <w:rtl/>
        </w:rPr>
        <w:footnoteReference w:id="13"/>
      </w:r>
      <w:r w:rsidRPr="00FE1A16">
        <w:rPr>
          <w:rStyle w:val="FootnoteReference"/>
          <w:sz w:val="22"/>
          <w:szCs w:val="22"/>
          <w:rtl/>
        </w:rPr>
        <w:t>)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ملاحظاتهما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الختامية،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وتعرب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أسفها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إحراز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كبير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مزاعم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التسليم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الاستثنائي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وإساءة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المعاملة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إطار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برنامج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التسليم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الاستثنائي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والاحتجاز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السري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تنفذه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وكالة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الاستخبارات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المركزية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الأمريكية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أبي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زبيدة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ومصطفى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أحمد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proofErr w:type="spellStart"/>
      <w:r w:rsidRPr="00AD6D43">
        <w:rPr>
          <w:rFonts w:eastAsiaTheme="minorEastAsia"/>
          <w:sz w:val="22"/>
          <w:szCs w:val="22"/>
          <w:rtl/>
        </w:rPr>
        <w:t>الهوساوي</w:t>
      </w:r>
      <w:proofErr w:type="spellEnd"/>
      <w:r w:rsidRPr="00AD6D43">
        <w:rPr>
          <w:rFonts w:eastAsiaTheme="minorEastAsia"/>
          <w:sz w:val="22"/>
          <w:szCs w:val="22"/>
          <w:rtl/>
        </w:rPr>
        <w:t>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وتلاحظ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الرغم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النتائج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توصلت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إليها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المحكمة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الأوروبية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قضية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أبي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زبيدة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ليتوانيا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وعملية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التنفيذ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الجارية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حاليا</w:t>
      </w:r>
      <w:r w:rsidR="00571B30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يتعلق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بالحكم،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فإن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ليتوانيا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تحقق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حتى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الآن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نتائج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ملموسة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تحديد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المسؤولين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وتقديم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العدالة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(المواد</w:t>
      </w:r>
      <w:r w:rsidR="00571B30">
        <w:rPr>
          <w:rFonts w:eastAsiaTheme="minorEastAsia" w:hint="cs"/>
          <w:sz w:val="22"/>
          <w:szCs w:val="22"/>
          <w:rtl/>
        </w:rPr>
        <w:t> </w:t>
      </w:r>
      <w:r w:rsidRPr="00AD6D43">
        <w:rPr>
          <w:rFonts w:eastAsiaTheme="minorEastAsia"/>
          <w:sz w:val="22"/>
          <w:szCs w:val="22"/>
          <w:rtl/>
        </w:rPr>
        <w:t>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و3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14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و16).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064826CE" w14:textId="10BD2D66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20-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تحث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استكمال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غضون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فترة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زمنية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معقولة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ومحاسبة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الجناة،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الشفافية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يكفي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التدقيق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العملية،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فضلا</w:t>
      </w:r>
      <w:r w:rsidR="00571B30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الإنصاف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والجبر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المناسبين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للضحايا.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وتطلب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موافاتها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بمعلومات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محدثة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نتائج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التحقيق،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العقوبات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فرضت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المسؤولين،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الانطباق.</w:t>
      </w:r>
    </w:p>
    <w:p w14:paraId="19054EA2" w14:textId="77777777" w:rsidR="00AD6D43" w:rsidRPr="00AD6D43" w:rsidRDefault="00AD6D43" w:rsidP="00937D28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التدريب</w:t>
      </w:r>
    </w:p>
    <w:p w14:paraId="7BA64D40" w14:textId="44835C80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21-</w:t>
      </w:r>
      <w:r w:rsidRPr="00AD6D43">
        <w:rPr>
          <w:rFonts w:eastAsiaTheme="minorEastAsia"/>
          <w:sz w:val="22"/>
          <w:szCs w:val="22"/>
          <w:rtl/>
        </w:rPr>
        <w:tab/>
        <w:t>تقدر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قدمتها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برامج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التدريب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مجال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المخصصة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لأفراد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الشرطة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وحرس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والمدعين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العامين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والقضاة،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وكذلك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التدريب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القائم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دليل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الفعال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وغيره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ضروب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المعاملة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العقوبة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القاسية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اللاإنسانية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المهينة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وتوثيقه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(بروتوكول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اسطنبول)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يتلقاه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أفراد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الطاقم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الطبي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المتعاملون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المحتجزين.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تأسف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تلقي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برامج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تدريبية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محددة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تتناول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البعد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المتعلق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بحقوق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الإنسان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مكافحة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الإرهاب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استنادا</w:t>
      </w:r>
      <w:r w:rsidR="00571B30">
        <w:rPr>
          <w:rFonts w:eastAsiaTheme="minorEastAsia" w:hint="cs"/>
          <w:sz w:val="22"/>
          <w:szCs w:val="22"/>
          <w:rtl/>
        </w:rPr>
        <w:t>ً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استراتيجية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الأمم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المتحدة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العالمية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لمكافحة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الإرهاب.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كما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تأسف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توافر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تقييم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أثر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البرامج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التدريبية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وإساءة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المعاملة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وفرض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حظر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مطلق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عليهما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(المادة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10).</w:t>
      </w:r>
      <w:r w:rsidR="00FE1A16">
        <w:rPr>
          <w:rFonts w:eastAsiaTheme="minorEastAsia"/>
          <w:sz w:val="22"/>
          <w:szCs w:val="22"/>
          <w:rtl/>
        </w:rPr>
        <w:t xml:space="preserve"> </w:t>
      </w:r>
    </w:p>
    <w:p w14:paraId="35EE9D7E" w14:textId="037A0261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22-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القيام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1E1CAD63" w14:textId="7E80680C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(أ)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المضي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وضع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برامج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تدريب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إلزامية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اطلاع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الموظفين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العموميين،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سيّما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موظفي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إنفاذ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القانون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وموظفي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السجون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والموظفين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المتعاملين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ملتمسي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واللاجئين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والمهاجرين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النظاميين،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موظفو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الطاقم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الطبي،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اطلاعا</w:t>
      </w:r>
      <w:r w:rsidR="00571B30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جيداً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أحكام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الاتفاقية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وإدراكهم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تمام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الإدراك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الانتهاكات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ستواجه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بصرامة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وسيُحقَّق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ويلاحَق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مرتكبوها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أمام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القضاء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ويعاقَبون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يتناسب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الجرم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المرتكب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إدانتهم؛</w:t>
      </w:r>
    </w:p>
    <w:p w14:paraId="4D3474CC" w14:textId="755F1CE1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(ب)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تلقي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الموظفين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المعنيين،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سيما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موظفي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الطاقم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الطبي،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تدريباً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محدداً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لتمكينهم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كشف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وإساءة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وتوثيقها،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وإحالتها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سلطات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المختصة،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وفقاً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لأحكام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بروتوكول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اسطنبول؛</w:t>
      </w:r>
    </w:p>
    <w:p w14:paraId="70719B09" w14:textId="55F5C6A8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(ج)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ترسيخ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دعامة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حقوق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الإنسان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استراتيجية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الأمم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المتحدة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العالمية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لمكافحة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الإرهاب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تخطيط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وتنظيم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برامج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التدريب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مجال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مكافحة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الإرهاب؛</w:t>
      </w:r>
    </w:p>
    <w:p w14:paraId="51559BCF" w14:textId="169FC985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lastRenderedPageBreak/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(د)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تقييم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فعالية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هذا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التدريب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وأثره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وإساءة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المعاملة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وحظرهما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حظرا</w:t>
      </w:r>
      <w:r w:rsidR="00571B30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مطلقا</w:t>
      </w:r>
      <w:r w:rsidR="00571B30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أساس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منهجيات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وضعت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خصيصا</w:t>
      </w:r>
      <w:r w:rsidR="00571B30">
        <w:rPr>
          <w:rFonts w:eastAsiaTheme="minorEastAsia" w:hint="cs"/>
          <w:b/>
          <w:bCs/>
          <w:sz w:val="22"/>
          <w:szCs w:val="22"/>
          <w:rtl/>
        </w:rPr>
        <w:t>ً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.</w:t>
      </w:r>
    </w:p>
    <w:p w14:paraId="5C4731A2" w14:textId="6602DD67" w:rsidR="00AD6D43" w:rsidRPr="00AD6D43" w:rsidRDefault="00AD6D43" w:rsidP="00937D28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العنف</w:t>
      </w:r>
      <w:r w:rsidR="00FE1A16">
        <w:rPr>
          <w:rtl/>
        </w:rPr>
        <w:t xml:space="preserve"> </w:t>
      </w:r>
      <w:r w:rsidRPr="00AD6D43">
        <w:rPr>
          <w:rtl/>
        </w:rPr>
        <w:t>المنزلي</w:t>
      </w:r>
    </w:p>
    <w:p w14:paraId="32480119" w14:textId="72EA44C1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23-</w:t>
      </w:r>
      <w:r w:rsidRPr="00AD6D43">
        <w:rPr>
          <w:rFonts w:eastAsiaTheme="minorEastAsia"/>
          <w:sz w:val="22"/>
          <w:szCs w:val="22"/>
          <w:rtl/>
        </w:rPr>
        <w:tab/>
        <w:t>تقدر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الخطوات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الإيجابية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اتخذتها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أجل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التصدي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المنزلي،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التخلي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2017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معهد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الادعاء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الخاص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ومشروع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الحماية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المنزلي،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الذي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ينص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تطبيق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أوامر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الحماية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ضد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المزعومين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وتقديم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المساعدة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الضحايا.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تشعر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لأن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المنزلي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مشكلة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مستمرة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ولا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يعتبر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جريمة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حدة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كما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يساورها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القلق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إزاء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توفر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مفصلة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مصنفة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بحسب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نوع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والعمر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ونوع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الجريمة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عدد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الشكاوى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والتحقيقات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والمحاكمات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والأحكام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الصادرة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قضايا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المنزلي،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ونقص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الجبر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المقدم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الضحايا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(المادتان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و16).</w:t>
      </w:r>
    </w:p>
    <w:p w14:paraId="0F5EEF7B" w14:textId="00526516" w:rsidR="00AD6D43" w:rsidRPr="00B65601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en-US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24-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تعتمد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إضافية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لمكافحة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أشكال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بالمرأة،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المنزلي،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سيما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الحالات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تنطوي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أفعال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أوجه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تقصير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جانب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سلطات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وغيرها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الكيانات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تستتبعها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المسؤولية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بموجب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وجه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الخصوص،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توصي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4815FB87" w14:textId="3D57BB36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(أ)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تعريف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المنزلي،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الجنسي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والاغتصاب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الزوجي،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وإدراجه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القانون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الجنائي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بوصفه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جريمة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جنائية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محددة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يعاقب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بعقوبات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مناسبة؛</w:t>
      </w:r>
    </w:p>
    <w:p w14:paraId="0E5F4C94" w14:textId="03554FCF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(ب)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الحرص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تسجيل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الشرطة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ادعاءات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المنزلي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الجنسي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بالأطفال،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فوراً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وبنزاهة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وفعالية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جميع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ادعاءات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المنزلي،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ومقاضاة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الجناة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ومعاقبتهم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بعقوبات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مناسبة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إدانتهم؛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</w:p>
    <w:p w14:paraId="790977C5" w14:textId="1F18D076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(ج)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استفادة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ضحايا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المنزلي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الحماية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وتيسير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حصولهم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الخدمات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الطبية</w:t>
      </w:r>
      <w:r w:rsidR="00FE1217">
        <w:rPr>
          <w:rFonts w:eastAsiaTheme="minorEastAsia" w:hint="cs"/>
          <w:b/>
          <w:bCs/>
          <w:sz w:val="22"/>
          <w:szCs w:val="22"/>
          <w:rtl/>
        </w:rPr>
        <w:t> 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والقانونية،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المشورة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والملاجئ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الآمنة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والممولة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تمويلا</w:t>
      </w:r>
      <w:r w:rsidR="00B6560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كافيا</w:t>
      </w:r>
      <w:r w:rsidR="00B65601">
        <w:rPr>
          <w:rFonts w:eastAsiaTheme="minorEastAsia" w:hint="cs"/>
          <w:b/>
          <w:bCs/>
          <w:sz w:val="22"/>
          <w:szCs w:val="22"/>
          <w:rtl/>
        </w:rPr>
        <w:t>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ووسائل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الجبر،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إعادة</w:t>
      </w:r>
      <w:r w:rsidR="00FE1217">
        <w:rPr>
          <w:rFonts w:eastAsiaTheme="minorEastAsia" w:hint="cs"/>
          <w:b/>
          <w:bCs/>
          <w:sz w:val="22"/>
          <w:szCs w:val="22"/>
          <w:rtl/>
        </w:rPr>
        <w:t> 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التأهيل؛</w:t>
      </w:r>
    </w:p>
    <w:p w14:paraId="7B44AEA2" w14:textId="6A4C20E3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(د)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تحسين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البيانات،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مصنفة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بحسب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العمر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والجنس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ونوع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الجريمة،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عدد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الشكاوى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والتحقيقات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والإدانات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والأحكام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الصادرة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قضايا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العنف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المنزلي،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الحماية،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الملاجئ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والخدمات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القانونية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والطبية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والجبر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المقدم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الضحايا.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</w:p>
    <w:p w14:paraId="14EC769D" w14:textId="7A417EF4" w:rsidR="00AD6D43" w:rsidRPr="00AD6D43" w:rsidRDefault="00AD6D43" w:rsidP="00937D28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الاتجار</w:t>
      </w:r>
      <w:r w:rsidR="00FE1A16">
        <w:rPr>
          <w:rtl/>
        </w:rPr>
        <w:t xml:space="preserve"> </w:t>
      </w:r>
      <w:r w:rsidRPr="00AD6D43">
        <w:rPr>
          <w:rtl/>
        </w:rPr>
        <w:t>بالبشر</w:t>
      </w:r>
    </w:p>
    <w:p w14:paraId="4E8F1EF4" w14:textId="6DC70BCE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25-</w:t>
      </w:r>
      <w:r w:rsidRPr="00AD6D43">
        <w:rPr>
          <w:rFonts w:eastAsiaTheme="minorEastAsia"/>
          <w:sz w:val="22"/>
          <w:szCs w:val="22"/>
          <w:rtl/>
        </w:rPr>
        <w:tab/>
        <w:t>تقدر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جهود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الدولة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الطرف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سبيل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مكافحة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الاتجار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بالبشر،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التعديلات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المدخلة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لتوسيع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نطاق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المسؤولية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الجنائية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الاتجار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بالبشر؛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والمجموعة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الواسعة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الأنشطة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التدريبية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المقدمة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الموظفين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العموميين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المعنيين؛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وخطة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العمل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المشتركة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المؤسسات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لمكافحة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الاتجار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بالبشر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للفترة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2020-2022.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أنها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تأسف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تلقي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معلومات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كافية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عدد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الحالات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شملها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التحقيق،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والجزاءات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المفروضة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قضايا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الاتجار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بالبشر،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والتدابير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الملموسة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لتوفير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الحماية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والدعم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للضحايا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(المادتان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و16).</w:t>
      </w:r>
    </w:p>
    <w:p w14:paraId="63A36023" w14:textId="0A93040D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26-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القيام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يلي:</w:t>
      </w:r>
    </w:p>
    <w:p w14:paraId="0DAC1554" w14:textId="70D9F64E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lastRenderedPageBreak/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(أ)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مواصلة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اتخاذ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الرامية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الاتجار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بالبشر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والقضاء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عليه،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بطرق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منها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تنظيم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تدريب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متخصص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للموظفين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العموميين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يتعلق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بتحديد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الضحايا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الجناة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وملاحقتهم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ومعاقبتهم؛</w:t>
      </w:r>
    </w:p>
    <w:p w14:paraId="1DBAFF99" w14:textId="2E14456F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(ب)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التحقيق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بصورة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عاجلة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وفعالة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ونزيهة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جريمة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الاتجار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بالبشر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والممارسات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المرتبطة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ومقاضاة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الجناة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ومعاقبتهم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يتناسب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خطورة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الجرم؛</w:t>
      </w:r>
    </w:p>
    <w:p w14:paraId="29EC6062" w14:textId="25ED1170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(ج)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ضمان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الحماية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والجبر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لضحايا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الاتجار،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خدمات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المساعدة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القانونية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والطبية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والنفسية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وإعادة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التأهيل،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فضلاً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الملاجئ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الكافية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وتقديم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المساعدة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لإبلاغ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الشرطة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بحوادث</w:t>
      </w:r>
      <w:r w:rsidR="00B65601">
        <w:rPr>
          <w:rFonts w:eastAsiaTheme="minorEastAsia" w:hint="cs"/>
          <w:b/>
          <w:bCs/>
          <w:sz w:val="22"/>
          <w:szCs w:val="22"/>
          <w:rtl/>
        </w:rPr>
        <w:t> 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الاتجار؛</w:t>
      </w:r>
    </w:p>
    <w:p w14:paraId="6C3A543C" w14:textId="54DED7CD" w:rsidR="00AD6D43" w:rsidRPr="00AD6D43" w:rsidRDefault="00937D28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Cs/>
          <w:sz w:val="22"/>
          <w:szCs w:val="22"/>
          <w:rtl/>
        </w:rPr>
        <w:t>(د)</w:t>
      </w:r>
      <w:r w:rsidR="00AD6D43" w:rsidRPr="00AD6D43">
        <w:rPr>
          <w:rFonts w:eastAsiaTheme="minorEastAsia"/>
          <w:bCs/>
          <w:sz w:val="22"/>
          <w:szCs w:val="22"/>
          <w:rtl/>
        </w:rPr>
        <w:tab/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موافاة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ببيانات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مصنّفة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شاملة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عدد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التحقيقات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والأحكام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الصادرة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حق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مرتكبي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جرائم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الاتجار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بالبشر،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توفير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تدابير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الحماية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والجبر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AD6D43" w:rsidRPr="00AD6D43">
        <w:rPr>
          <w:rFonts w:eastAsiaTheme="minorEastAsia"/>
          <w:b/>
          <w:bCs/>
          <w:sz w:val="22"/>
          <w:szCs w:val="22"/>
          <w:rtl/>
        </w:rPr>
        <w:t>للضحايا.</w:t>
      </w:r>
    </w:p>
    <w:p w14:paraId="14BE6A53" w14:textId="65DD692B" w:rsidR="00AD6D43" w:rsidRPr="00AD6D43" w:rsidRDefault="00AD6D43" w:rsidP="00937D28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جمع</w:t>
      </w:r>
      <w:r w:rsidR="00FE1A16">
        <w:rPr>
          <w:rtl/>
        </w:rPr>
        <w:t xml:space="preserve"> </w:t>
      </w:r>
      <w:r w:rsidRPr="00AD6D43">
        <w:rPr>
          <w:rtl/>
        </w:rPr>
        <w:t>البيانات</w:t>
      </w:r>
    </w:p>
    <w:p w14:paraId="6801B49D" w14:textId="56476FD8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sz w:val="22"/>
          <w:szCs w:val="22"/>
          <w:lang w:val="ar-SA" w:eastAsia="zh-TW" w:bidi="en-GB"/>
        </w:rPr>
      </w:pPr>
      <w:r w:rsidRPr="00AD6D43">
        <w:rPr>
          <w:rFonts w:eastAsiaTheme="minorEastAsia"/>
          <w:sz w:val="22"/>
          <w:szCs w:val="22"/>
          <w:rtl/>
        </w:rPr>
        <w:t>27-</w:t>
      </w:r>
      <w:r w:rsidRPr="00AD6D43">
        <w:rPr>
          <w:rFonts w:eastAsiaTheme="minorEastAsia"/>
          <w:sz w:val="22"/>
          <w:szCs w:val="22"/>
          <w:rtl/>
        </w:rPr>
        <w:tab/>
        <w:t>تُعرب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اللجنة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أسفها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لعدم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توافر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بيانات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إحصائية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شاملة،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مصنفة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بحسب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والجنس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والأصل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الإثني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القومي،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الشكاوى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والتحقيقات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والملاحقات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والإدانات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قضايا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التعذيب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وإساءة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المعاملة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أيدي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إنفاذ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القانون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وموظفي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السجون،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أو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الاتجار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والعنف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المنزلي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والجنسي،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وعن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سبل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الجبر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المتاحة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للضحايا،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بما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في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ذلك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التعويض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وإعادة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التأهيل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(المواد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ومن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12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إلى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14</w:t>
      </w:r>
      <w:r w:rsidR="00FE1A16">
        <w:rPr>
          <w:rFonts w:eastAsiaTheme="minorEastAsia"/>
          <w:sz w:val="22"/>
          <w:szCs w:val="22"/>
          <w:rtl/>
        </w:rPr>
        <w:t xml:space="preserve"> </w:t>
      </w:r>
      <w:r w:rsidRPr="00AD6D43">
        <w:rPr>
          <w:rFonts w:eastAsiaTheme="minorEastAsia"/>
          <w:sz w:val="22"/>
          <w:szCs w:val="22"/>
          <w:rtl/>
        </w:rPr>
        <w:t>و16).</w:t>
      </w:r>
    </w:p>
    <w:p w14:paraId="247AC94C" w14:textId="47505BC5" w:rsidR="00AD6D43" w:rsidRPr="00AD6D43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ar-SA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28-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ينبغي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تجمع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بيانات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إحصائية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متصلة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برصد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تنفيذ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الصعيد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الوطني،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إحصاءات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مصنفة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بحسب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والجنس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والأصل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الإثني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القومي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والوضع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حيث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اللجوء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ونوع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الجريمة،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الشكاوى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والتحقيقات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والملاحقات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القضائية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وأحكام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الإدانة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المتعلقة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بقضايا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التعذيب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وإساءة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المعاملة،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وكذلك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بيانات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سبل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الجبر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المتاحة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للضحايا،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التعويض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وإعادة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التأهيل.</w:t>
      </w:r>
    </w:p>
    <w:p w14:paraId="15892F6B" w14:textId="7949044E" w:rsidR="00AD6D43" w:rsidRPr="00AD6D43" w:rsidRDefault="00AD6D43" w:rsidP="00937D28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إجراءات</w:t>
      </w:r>
      <w:r w:rsidR="00FE1A16">
        <w:rPr>
          <w:rtl/>
        </w:rPr>
        <w:t xml:space="preserve"> </w:t>
      </w:r>
      <w:r w:rsidRPr="00AD6D43">
        <w:rPr>
          <w:rtl/>
        </w:rPr>
        <w:t>المتابعة</w:t>
      </w:r>
    </w:p>
    <w:p w14:paraId="4AECE84C" w14:textId="47775A8C" w:rsidR="00AD6D43" w:rsidRPr="00FE1A16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en-US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29-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تطلب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تقدم،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بحلول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3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كانون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الأول/ديسمبر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2022،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معلومات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متابعتها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توصيات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بشأن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أزمة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اللاجئين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والمهاجرين؛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وظروف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الاحتجاز؛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والتحقيقات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الفورية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والشاملة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والنزيهة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(انظر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الفقرات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12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و16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و18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أعلاه).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السياق،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تدعو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إعلامها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لديها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خطط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لتنفيذ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بعض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التوصيات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المتبقية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الواردة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الملاحظات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الختامية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أو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جميعها،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خلال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الفترة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المشمولة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بالتقرير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المقبل</w:t>
      </w:r>
      <w:r w:rsidR="00FE1A16">
        <w:rPr>
          <w:rFonts w:eastAsiaTheme="minorEastAsia" w:hint="cs"/>
          <w:b/>
          <w:bCs/>
          <w:sz w:val="22"/>
          <w:szCs w:val="22"/>
          <w:rtl/>
        </w:rPr>
        <w:t>.</w:t>
      </w:r>
    </w:p>
    <w:p w14:paraId="7D988FEF" w14:textId="362FABFD" w:rsidR="00AD6D43" w:rsidRPr="00AD6D43" w:rsidRDefault="00AD6D43" w:rsidP="00937D28">
      <w:pPr>
        <w:pStyle w:val="H23GA"/>
        <w:rPr>
          <w:lang w:val="ar-SA" w:eastAsia="zh-TW" w:bidi="en-GB"/>
        </w:rPr>
      </w:pPr>
      <w:r w:rsidRPr="00AD6D43">
        <w:rPr>
          <w:rtl/>
        </w:rPr>
        <w:tab/>
      </w:r>
      <w:r w:rsidRPr="00AD6D43">
        <w:rPr>
          <w:rtl/>
        </w:rPr>
        <w:tab/>
        <w:t>مسائل</w:t>
      </w:r>
      <w:r w:rsidR="00FE1A16">
        <w:rPr>
          <w:rtl/>
        </w:rPr>
        <w:t xml:space="preserve"> </w:t>
      </w:r>
      <w:r w:rsidRPr="00AD6D43">
        <w:rPr>
          <w:rtl/>
        </w:rPr>
        <w:t>أخرى</w:t>
      </w:r>
    </w:p>
    <w:p w14:paraId="60D6CC58" w14:textId="0A63E5AF" w:rsidR="00AD6D43" w:rsidRPr="00FE1A16" w:rsidRDefault="00AD6D43" w:rsidP="00AD6D43">
      <w:pPr>
        <w:pStyle w:val="SingleTxtG"/>
        <w:bidi/>
        <w:jc w:val="mediumKashida"/>
        <w:textDirection w:val="tbRlV"/>
        <w:rPr>
          <w:rFonts w:eastAsiaTheme="minorEastAsia"/>
          <w:b/>
          <w:bCs/>
          <w:sz w:val="22"/>
          <w:szCs w:val="22"/>
          <w:lang w:val="en-US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30-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تشجّع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النظر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إصدار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الإعلانين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المنصوص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عليهما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المادتين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21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و22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والاعتراف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باختصاص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تلقي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البلاغات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الواردة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الأفراد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الخاضعين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لولايتها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القضائية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والنظر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فيها</w:t>
      </w:r>
      <w:r w:rsidR="00FE1A16">
        <w:rPr>
          <w:rFonts w:eastAsiaTheme="minorEastAsia" w:hint="cs"/>
          <w:b/>
          <w:bCs/>
          <w:sz w:val="22"/>
          <w:szCs w:val="22"/>
          <w:rtl/>
        </w:rPr>
        <w:t>.</w:t>
      </w:r>
    </w:p>
    <w:p w14:paraId="2B6A2403" w14:textId="0409AB84" w:rsidR="00AD6D43" w:rsidRPr="00FE1A16" w:rsidRDefault="00AD6D43" w:rsidP="00AD6D43">
      <w:pPr>
        <w:pStyle w:val="SingleTxtG"/>
        <w:bidi/>
        <w:textDirection w:val="tbRlV"/>
        <w:rPr>
          <w:rFonts w:eastAsiaTheme="minorEastAsia"/>
          <w:b/>
          <w:bCs/>
          <w:sz w:val="22"/>
          <w:szCs w:val="22"/>
          <w:lang w:val="en-US"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31-</w:t>
      </w:r>
      <w:r w:rsidRPr="00937D28">
        <w:rPr>
          <w:rFonts w:eastAsiaTheme="minorEastAsia"/>
          <w:b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ويُطلب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تنشر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نطاق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واسع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التقرير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المقدّم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الملاحظات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الختامية،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باللغات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المناسبة،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وذلك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طريق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المواقع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الرسمية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الإنترنت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ووسائط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الإعلام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والمنظمات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غير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الحكومية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تبلغ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تنجزه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أنشطة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النشر.</w:t>
      </w:r>
    </w:p>
    <w:p w14:paraId="77D35CE1" w14:textId="476004C4" w:rsidR="00937D28" w:rsidRDefault="00AD6D43" w:rsidP="00937D28">
      <w:pPr>
        <w:pStyle w:val="SingleTxtG"/>
        <w:bidi/>
        <w:textDirection w:val="tbRlV"/>
        <w:rPr>
          <w:rFonts w:eastAsiaTheme="minorEastAsia" w:hint="cs"/>
          <w:b/>
          <w:bCs/>
          <w:sz w:val="22"/>
          <w:lang w:eastAsia="zh-TW" w:bidi="en-GB"/>
        </w:rPr>
      </w:pPr>
      <w:r w:rsidRPr="00937D28">
        <w:rPr>
          <w:rFonts w:eastAsiaTheme="minorEastAsia"/>
          <w:b/>
          <w:sz w:val="22"/>
          <w:szCs w:val="22"/>
          <w:rtl/>
        </w:rPr>
        <w:t>32-</w:t>
      </w:r>
      <w:r w:rsidRPr="00AD6D43">
        <w:rPr>
          <w:rFonts w:eastAsiaTheme="minorEastAsia"/>
          <w:bCs/>
          <w:sz w:val="22"/>
          <w:szCs w:val="22"/>
          <w:rtl/>
        </w:rPr>
        <w:tab/>
      </w:r>
      <w:r w:rsidRPr="00AD6D43">
        <w:rPr>
          <w:rFonts w:eastAsiaTheme="minorEastAsia"/>
          <w:b/>
          <w:bCs/>
          <w:sz w:val="22"/>
          <w:szCs w:val="22"/>
          <w:rtl/>
        </w:rPr>
        <w:t>والدولة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مدعوة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تقديم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تقريرها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المقبل،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تقريرها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الدوري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الخامس،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بحلول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3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كانون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الأول/ديسمبر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2025.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ولهذا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الغرض،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وبالنظر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أن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وافقت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تقديم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تقاريرها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عملاً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بالإجراء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المبسّط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لتقديم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التقارير،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فإن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اللجنة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ستحيل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إليها،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في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الوقت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المناسب،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قائمة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مسائل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قبل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تقديم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lastRenderedPageBreak/>
        <w:t>تقريرها.</w:t>
      </w:r>
      <w:r w:rsidR="00FE1A16">
        <w:rPr>
          <w:rFonts w:eastAsiaTheme="minorEastAsia"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وستشكّل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ردود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الدولة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الطرف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على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قائمة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المسائل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هذه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تقريرها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الدوري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="00FE1217">
        <w:rPr>
          <w:rFonts w:eastAsiaTheme="minorEastAsia" w:hint="cs"/>
          <w:b/>
          <w:bCs/>
          <w:sz w:val="22"/>
          <w:szCs w:val="22"/>
          <w:rtl/>
        </w:rPr>
        <w:t>الخامس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بموجب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المادة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19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من</w:t>
      </w:r>
      <w:r w:rsidR="00FE1A16">
        <w:rPr>
          <w:rFonts w:eastAsiaTheme="minorEastAsia"/>
          <w:b/>
          <w:bCs/>
          <w:sz w:val="22"/>
          <w:szCs w:val="22"/>
          <w:rtl/>
        </w:rPr>
        <w:t xml:space="preserve"> </w:t>
      </w:r>
      <w:r w:rsidRPr="00AD6D43">
        <w:rPr>
          <w:rFonts w:eastAsiaTheme="minorEastAsia"/>
          <w:b/>
          <w:bCs/>
          <w:sz w:val="22"/>
          <w:szCs w:val="22"/>
          <w:rtl/>
        </w:rPr>
        <w:t>الاتفاقية</w:t>
      </w:r>
      <w:r w:rsidR="00937D28">
        <w:rPr>
          <w:rFonts w:eastAsiaTheme="minorEastAsia" w:hint="cs"/>
          <w:b/>
          <w:bCs/>
          <w:sz w:val="22"/>
          <w:szCs w:val="22"/>
          <w:rtl/>
        </w:rPr>
        <w:t>.</w:t>
      </w:r>
    </w:p>
    <w:p w14:paraId="31CDEB89" w14:textId="622B2106" w:rsidR="00AD6D43" w:rsidRPr="00937D28" w:rsidRDefault="00937D28" w:rsidP="00937D28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AD6D43" w:rsidRPr="00937D28" w:rsidSect="00306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EFD1" w14:textId="77777777" w:rsidR="004768BB" w:rsidRPr="002901D9" w:rsidRDefault="004768BB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3A7C69A" w14:textId="77777777" w:rsidR="004768BB" w:rsidRDefault="004768B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A1CC" w14:textId="5DA06D1C" w:rsidR="004768BB" w:rsidRPr="008931E5" w:rsidRDefault="004768BB" w:rsidP="008931E5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GE.21-19413</w:t>
    </w:r>
    <w:r>
      <w:rPr>
        <w:lang w:val="en-US"/>
      </w:rPr>
      <w:tab/>
    </w:r>
    <w:r w:rsidRPr="008931E5">
      <w:rPr>
        <w:b/>
        <w:sz w:val="18"/>
        <w:lang w:val="en-US"/>
      </w:rPr>
      <w:fldChar w:fldCharType="begin"/>
    </w:r>
    <w:r w:rsidRPr="008931E5">
      <w:rPr>
        <w:b/>
        <w:sz w:val="18"/>
        <w:lang w:val="en-US"/>
      </w:rPr>
      <w:instrText xml:space="preserve"> PAGE  \* MERGEFORMAT </w:instrText>
    </w:r>
    <w:r w:rsidRPr="008931E5">
      <w:rPr>
        <w:b/>
        <w:sz w:val="18"/>
        <w:lang w:val="en-US"/>
      </w:rPr>
      <w:fldChar w:fldCharType="separate"/>
    </w:r>
    <w:r w:rsidRPr="008931E5">
      <w:rPr>
        <w:b/>
        <w:noProof/>
        <w:sz w:val="18"/>
        <w:lang w:val="en-US"/>
      </w:rPr>
      <w:t>2</w:t>
    </w:r>
    <w:r w:rsidRPr="008931E5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BA9C" w14:textId="64F43734" w:rsidR="004768BB" w:rsidRPr="008931E5" w:rsidRDefault="004768BB" w:rsidP="008931E5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GE.21-19413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EDC" w14:textId="2942A1B6" w:rsidR="004768BB" w:rsidRPr="008931E5" w:rsidRDefault="004768BB" w:rsidP="008931E5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>
      <w:rPr>
        <w:noProof/>
      </w:rPr>
      <w:drawing>
        <wp:anchor distT="0" distB="0" distL="114300" distR="114300" simplePos="0" relativeHeight="251658240" behindDoc="1" locked="1" layoutInCell="0" allowOverlap="1" wp14:anchorId="538689F6" wp14:editId="28F03CA3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21-19413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0EE2F5C" wp14:editId="208E78EF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7EC7" w14:textId="77777777" w:rsidR="004768BB" w:rsidRPr="00C111C6" w:rsidRDefault="004768BB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2E98AF13" w14:textId="77777777" w:rsidR="004768BB" w:rsidRDefault="004768BB" w:rsidP="00656392">
      <w:pPr>
        <w:spacing w:line="240" w:lineRule="auto"/>
      </w:pPr>
      <w:r>
        <w:continuationSeparator/>
      </w:r>
    </w:p>
  </w:footnote>
  <w:footnote w:id="1">
    <w:p w14:paraId="0CF12645" w14:textId="50081513" w:rsidR="004768BB" w:rsidRPr="00AD6D43" w:rsidRDefault="004768BB" w:rsidP="00AD6D43">
      <w:pPr>
        <w:pStyle w:val="FootnoteText1"/>
        <w:rPr>
          <w:rFonts w:eastAsiaTheme="minorEastAsia" w:hint="cs"/>
          <w:rtl/>
        </w:rPr>
      </w:pPr>
      <w:r w:rsidRPr="00AD6D43">
        <w:rPr>
          <w:rFonts w:eastAsiaTheme="minorEastAsia"/>
          <w:rtl/>
        </w:rPr>
        <w:t>*</w:t>
      </w:r>
      <w:r w:rsidRPr="00AD6D43">
        <w:rPr>
          <w:rFonts w:eastAsiaTheme="minorEastAsia"/>
          <w:rtl/>
        </w:rPr>
        <w:tab/>
        <w:t>اعتمدتها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اللجنة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في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دورتها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الثانية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والسبعين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(8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تشرين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الثاني/نوفمبر-3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كانون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الأول/ديسمبر</w:t>
      </w:r>
      <w:r>
        <w:rPr>
          <w:rFonts w:eastAsiaTheme="minorEastAsia"/>
          <w:rtl/>
        </w:rPr>
        <w:t xml:space="preserve"> </w:t>
      </w:r>
      <w:r w:rsidRPr="00AD6D43">
        <w:rPr>
          <w:rFonts w:eastAsiaTheme="minorEastAsia"/>
          <w:rtl/>
        </w:rPr>
        <w:t>2021)</w:t>
      </w:r>
      <w:r w:rsidRPr="00AD6D43">
        <w:rPr>
          <w:rFonts w:eastAsiaTheme="minorEastAsia" w:hint="cs"/>
          <w:rtl/>
        </w:rPr>
        <w:t>.</w:t>
      </w:r>
    </w:p>
  </w:footnote>
  <w:footnote w:id="2">
    <w:p w14:paraId="7A3AF5C0" w14:textId="7866CC20" w:rsidR="004768BB" w:rsidRPr="00FE1A16" w:rsidRDefault="004768BB" w:rsidP="00FE1A16">
      <w:pPr>
        <w:pStyle w:val="FootnoteText1"/>
        <w:textDirection w:val="tbRlV"/>
      </w:pPr>
      <w:r w:rsidRPr="00FE1A16">
        <w:rPr>
          <w:rtl/>
        </w:rPr>
        <w:t>(</w:t>
      </w:r>
      <w:r w:rsidRPr="00FE1A16">
        <w:rPr>
          <w:rtl/>
        </w:rPr>
        <w:footnoteRef/>
      </w:r>
      <w:r w:rsidRPr="00FE1A16">
        <w:rPr>
          <w:rtl/>
        </w:rPr>
        <w:t>)</w:t>
      </w:r>
      <w:r w:rsidRPr="00FE1A16">
        <w:rPr>
          <w:rtl/>
        </w:rPr>
        <w:tab/>
      </w:r>
      <w:hyperlink r:id="rId1" w:history="1">
        <w:r w:rsidRPr="001D56FE">
          <w:rPr>
            <w:rStyle w:val="Hyperlink"/>
          </w:rPr>
          <w:t>CAT/C/LTU/4</w:t>
        </w:r>
      </w:hyperlink>
      <w:r w:rsidRPr="00FE1A16">
        <w:rPr>
          <w:rtl/>
        </w:rPr>
        <w:t>.</w:t>
      </w:r>
    </w:p>
  </w:footnote>
  <w:footnote w:id="3">
    <w:p w14:paraId="09A592B5" w14:textId="01735C43" w:rsidR="004768BB" w:rsidRPr="00FE1A16" w:rsidRDefault="004768BB" w:rsidP="00FE1A16">
      <w:pPr>
        <w:pStyle w:val="FootnoteText1"/>
        <w:textDirection w:val="tbRlV"/>
      </w:pPr>
      <w:r w:rsidRPr="00FE1A16">
        <w:rPr>
          <w:rtl/>
        </w:rPr>
        <w:t>(</w:t>
      </w:r>
      <w:r w:rsidRPr="00FE1A16">
        <w:rPr>
          <w:rtl/>
        </w:rPr>
        <w:footnoteRef/>
      </w:r>
      <w:r w:rsidRPr="00FE1A16">
        <w:rPr>
          <w:rtl/>
        </w:rPr>
        <w:t>)</w:t>
      </w:r>
      <w:r w:rsidRPr="00FE1A16">
        <w:rPr>
          <w:rtl/>
        </w:rPr>
        <w:tab/>
        <w:t xml:space="preserve">انظر </w:t>
      </w:r>
      <w:hyperlink r:id="rId2" w:history="1">
        <w:r w:rsidRPr="001D56FE">
          <w:rPr>
            <w:rStyle w:val="Hyperlink"/>
          </w:rPr>
          <w:t>CAT/C/SR.1854</w:t>
        </w:r>
      </w:hyperlink>
      <w:r w:rsidRPr="00FE1A16">
        <w:rPr>
          <w:rtl/>
        </w:rPr>
        <w:t xml:space="preserve"> و</w:t>
      </w:r>
      <w:hyperlink r:id="rId3" w:history="1">
        <w:r w:rsidRPr="001D56FE">
          <w:rPr>
            <w:rStyle w:val="Hyperlink"/>
          </w:rPr>
          <w:t>CAT/C/SR.1857</w:t>
        </w:r>
      </w:hyperlink>
      <w:r w:rsidRPr="00FE1A16">
        <w:rPr>
          <w:rtl/>
        </w:rPr>
        <w:t>.</w:t>
      </w:r>
    </w:p>
  </w:footnote>
  <w:footnote w:id="4">
    <w:p w14:paraId="26244C5F" w14:textId="66EB73C3" w:rsidR="004768BB" w:rsidRPr="004768BB" w:rsidRDefault="004768BB" w:rsidP="004768BB">
      <w:pPr>
        <w:pStyle w:val="FootnoteText1"/>
        <w:textDirection w:val="tbRlV"/>
      </w:pPr>
      <w:r w:rsidRPr="004768BB">
        <w:rPr>
          <w:rtl/>
        </w:rPr>
        <w:t>(</w:t>
      </w:r>
      <w:r w:rsidRPr="004768BB">
        <w:rPr>
          <w:rtl/>
        </w:rPr>
        <w:footnoteRef/>
      </w:r>
      <w:r w:rsidRPr="004768BB">
        <w:rPr>
          <w:rtl/>
        </w:rPr>
        <w:t>)</w:t>
      </w:r>
      <w:r w:rsidRPr="004768BB">
        <w:rPr>
          <w:rtl/>
        </w:rPr>
        <w:tab/>
      </w:r>
      <w:hyperlink r:id="rId4" w:history="1">
        <w:r w:rsidRPr="001D56FE">
          <w:rPr>
            <w:rStyle w:val="Hyperlink"/>
          </w:rPr>
          <w:t>CAT/C/LTU/CO/3</w:t>
        </w:r>
        <w:r w:rsidRPr="001D56FE">
          <w:rPr>
            <w:rStyle w:val="Hyperlink"/>
            <w:rtl/>
          </w:rPr>
          <w:t>،</w:t>
        </w:r>
      </w:hyperlink>
      <w:r w:rsidRPr="004768BB">
        <w:rPr>
          <w:rtl/>
        </w:rPr>
        <w:t xml:space="preserve"> الفقرة 29.</w:t>
      </w:r>
    </w:p>
  </w:footnote>
  <w:footnote w:id="5">
    <w:p w14:paraId="5D95D3B5" w14:textId="719C4FBB" w:rsidR="004768BB" w:rsidRPr="004768BB" w:rsidRDefault="004768BB" w:rsidP="004768BB">
      <w:pPr>
        <w:pStyle w:val="FootnoteText1"/>
        <w:textDirection w:val="tbRlV"/>
      </w:pPr>
      <w:r w:rsidRPr="004768BB">
        <w:rPr>
          <w:rtl/>
        </w:rPr>
        <w:t>(</w:t>
      </w:r>
      <w:r w:rsidRPr="004768BB">
        <w:rPr>
          <w:rtl/>
        </w:rPr>
        <w:footnoteRef/>
      </w:r>
      <w:r w:rsidRPr="004768BB">
        <w:rPr>
          <w:rtl/>
        </w:rPr>
        <w:t>)</w:t>
      </w:r>
      <w:r w:rsidRPr="004768BB">
        <w:rPr>
          <w:rtl/>
        </w:rPr>
        <w:tab/>
        <w:t>المرجع نفسه، الفقرة 10.</w:t>
      </w:r>
    </w:p>
  </w:footnote>
  <w:footnote w:id="6">
    <w:p w14:paraId="11C27AA5" w14:textId="14ABAF9F" w:rsidR="004768BB" w:rsidRPr="004768BB" w:rsidRDefault="004768BB" w:rsidP="004768BB">
      <w:pPr>
        <w:pStyle w:val="FootnoteText1"/>
        <w:textDirection w:val="tbRlV"/>
      </w:pPr>
      <w:r w:rsidRPr="004768BB">
        <w:rPr>
          <w:rtl/>
        </w:rPr>
        <w:t>(</w:t>
      </w:r>
      <w:r w:rsidRPr="004768BB">
        <w:rPr>
          <w:rtl/>
        </w:rPr>
        <w:footnoteRef/>
      </w:r>
      <w:r w:rsidRPr="004768BB">
        <w:rPr>
          <w:rtl/>
        </w:rPr>
        <w:t>)</w:t>
      </w:r>
      <w:r w:rsidRPr="004768BB">
        <w:rPr>
          <w:rtl/>
        </w:rPr>
        <w:tab/>
        <w:t>المرجع نفسه، الفقرة 11.</w:t>
      </w:r>
    </w:p>
  </w:footnote>
  <w:footnote w:id="7">
    <w:p w14:paraId="5E797087" w14:textId="197D35D0" w:rsidR="004768BB" w:rsidRPr="004768BB" w:rsidRDefault="004768BB" w:rsidP="004768BB">
      <w:pPr>
        <w:pStyle w:val="FootnoteText1"/>
        <w:textDirection w:val="tbRlV"/>
      </w:pPr>
      <w:r w:rsidRPr="004768BB">
        <w:rPr>
          <w:rtl/>
        </w:rPr>
        <w:t>(</w:t>
      </w:r>
      <w:r w:rsidRPr="004768BB">
        <w:rPr>
          <w:rtl/>
        </w:rPr>
        <w:footnoteRef/>
      </w:r>
      <w:r w:rsidRPr="004768BB">
        <w:rPr>
          <w:rtl/>
        </w:rPr>
        <w:t>)</w:t>
      </w:r>
      <w:r w:rsidRPr="004768BB">
        <w:rPr>
          <w:rtl/>
        </w:rPr>
        <w:tab/>
        <w:t>المرجع نفسه، الفقرة 19.</w:t>
      </w:r>
    </w:p>
  </w:footnote>
  <w:footnote w:id="8">
    <w:p w14:paraId="14BC80BC" w14:textId="772A39DC" w:rsidR="004768BB" w:rsidRPr="004768BB" w:rsidRDefault="004768BB" w:rsidP="004768BB">
      <w:pPr>
        <w:pStyle w:val="FootnoteText1"/>
        <w:textDirection w:val="tbRlV"/>
      </w:pPr>
      <w:r w:rsidRPr="004768BB">
        <w:rPr>
          <w:rtl/>
        </w:rPr>
        <w:t>(</w:t>
      </w:r>
      <w:r w:rsidRPr="004768BB">
        <w:rPr>
          <w:rtl/>
        </w:rPr>
        <w:footnoteRef/>
      </w:r>
      <w:r w:rsidRPr="004768BB">
        <w:rPr>
          <w:rtl/>
        </w:rPr>
        <w:t>)</w:t>
      </w:r>
      <w:r w:rsidRPr="004768BB">
        <w:rPr>
          <w:rtl/>
        </w:rPr>
        <w:tab/>
      </w:r>
      <w:hyperlink r:id="rId5" w:history="1">
        <w:r w:rsidRPr="001D56FE">
          <w:rPr>
            <w:rStyle w:val="Hyperlink"/>
          </w:rPr>
          <w:t>CAT/C/LTU/CO/3/Add.1</w:t>
        </w:r>
      </w:hyperlink>
      <w:r w:rsidRPr="004768BB">
        <w:rPr>
          <w:rtl/>
        </w:rPr>
        <w:t>.</w:t>
      </w:r>
    </w:p>
  </w:footnote>
  <w:footnote w:id="9">
    <w:p w14:paraId="37E59CF7" w14:textId="48B5CFD1" w:rsidR="004768BB" w:rsidRPr="00321208" w:rsidRDefault="004768BB" w:rsidP="00321208">
      <w:pPr>
        <w:pStyle w:val="FootnoteText1"/>
        <w:textDirection w:val="tbRlV"/>
      </w:pPr>
      <w:r w:rsidRPr="00321208">
        <w:rPr>
          <w:rtl/>
        </w:rPr>
        <w:t>(</w:t>
      </w:r>
      <w:r w:rsidRPr="00321208">
        <w:rPr>
          <w:rtl/>
        </w:rPr>
        <w:footnoteRef/>
      </w:r>
      <w:r w:rsidRPr="00321208">
        <w:rPr>
          <w:rtl/>
        </w:rPr>
        <w:t>)</w:t>
      </w:r>
      <w:r w:rsidRPr="00321208">
        <w:rPr>
          <w:rtl/>
        </w:rPr>
        <w:tab/>
      </w:r>
      <w:hyperlink r:id="rId6" w:history="1">
        <w:r w:rsidRPr="001D56FE">
          <w:rPr>
            <w:rStyle w:val="Hyperlink"/>
          </w:rPr>
          <w:t>CAT/C/LTU/CO/3</w:t>
        </w:r>
        <w:r w:rsidRPr="001D56FE">
          <w:rPr>
            <w:rStyle w:val="Hyperlink"/>
            <w:rtl/>
          </w:rPr>
          <w:t>،</w:t>
        </w:r>
      </w:hyperlink>
      <w:r w:rsidRPr="00321208">
        <w:rPr>
          <w:rtl/>
        </w:rPr>
        <w:t xml:space="preserve"> الفقرتان 10 و11(ج).</w:t>
      </w:r>
    </w:p>
  </w:footnote>
  <w:footnote w:id="10">
    <w:p w14:paraId="714BA4E0" w14:textId="31A71BCA" w:rsidR="004768BB" w:rsidRPr="00321208" w:rsidRDefault="004768BB" w:rsidP="00321208">
      <w:pPr>
        <w:pStyle w:val="FootnoteText1"/>
        <w:textDirection w:val="tbRlV"/>
      </w:pPr>
      <w:r w:rsidRPr="00321208">
        <w:rPr>
          <w:rtl/>
        </w:rPr>
        <w:t>(</w:t>
      </w:r>
      <w:r w:rsidRPr="00321208">
        <w:rPr>
          <w:rtl/>
        </w:rPr>
        <w:footnoteRef/>
      </w:r>
      <w:r w:rsidRPr="00321208">
        <w:rPr>
          <w:rtl/>
        </w:rPr>
        <w:t>)</w:t>
      </w:r>
      <w:r w:rsidRPr="00321208">
        <w:rPr>
          <w:rtl/>
        </w:rPr>
        <w:tab/>
      </w:r>
      <w:hyperlink r:id="rId7" w:history="1">
        <w:r w:rsidRPr="001D56FE">
          <w:rPr>
            <w:rStyle w:val="Hyperlink"/>
          </w:rPr>
          <w:t>CAT/C/LTU/4</w:t>
        </w:r>
        <w:r w:rsidRPr="001D56FE">
          <w:rPr>
            <w:rStyle w:val="Hyperlink"/>
            <w:rtl/>
          </w:rPr>
          <w:t>،</w:t>
        </w:r>
      </w:hyperlink>
      <w:r w:rsidRPr="00321208">
        <w:rPr>
          <w:rtl/>
        </w:rPr>
        <w:t xml:space="preserve"> الفقرات من 132 إلى 136 ومن 145 إلى 151 و177.</w:t>
      </w:r>
    </w:p>
  </w:footnote>
  <w:footnote w:id="11">
    <w:p w14:paraId="2BCC6B0A" w14:textId="3FAB3C9F" w:rsidR="004768BB" w:rsidRPr="00321208" w:rsidRDefault="004768BB" w:rsidP="00321208">
      <w:pPr>
        <w:pStyle w:val="FootnoteText1"/>
        <w:textDirection w:val="tbRlV"/>
      </w:pPr>
      <w:r w:rsidRPr="00321208">
        <w:rPr>
          <w:rtl/>
        </w:rPr>
        <w:t>(</w:t>
      </w:r>
      <w:r w:rsidRPr="00321208">
        <w:rPr>
          <w:rtl/>
        </w:rPr>
        <w:footnoteRef/>
      </w:r>
      <w:r w:rsidRPr="00321208">
        <w:rPr>
          <w:rtl/>
        </w:rPr>
        <w:t>)</w:t>
      </w:r>
      <w:r w:rsidRPr="00321208">
        <w:rPr>
          <w:rtl/>
        </w:rPr>
        <w:tab/>
      </w:r>
      <w:hyperlink r:id="rId8" w:history="1">
        <w:r w:rsidRPr="001D56FE">
          <w:rPr>
            <w:rStyle w:val="Hyperlink"/>
          </w:rPr>
          <w:t>CAT/C/LTU/CO/3</w:t>
        </w:r>
        <w:r w:rsidRPr="001D56FE">
          <w:rPr>
            <w:rStyle w:val="Hyperlink"/>
            <w:rtl/>
          </w:rPr>
          <w:t>،</w:t>
        </w:r>
      </w:hyperlink>
      <w:r w:rsidRPr="00321208">
        <w:rPr>
          <w:rtl/>
        </w:rPr>
        <w:t xml:space="preserve"> الفقرة 16.</w:t>
      </w:r>
    </w:p>
  </w:footnote>
  <w:footnote w:id="12">
    <w:p w14:paraId="7864A474" w14:textId="09D515A6" w:rsidR="004768BB" w:rsidRPr="00321208" w:rsidRDefault="004768BB" w:rsidP="00321208">
      <w:pPr>
        <w:pStyle w:val="FootnoteText1"/>
        <w:textDirection w:val="tbRlV"/>
      </w:pPr>
      <w:r w:rsidRPr="00321208">
        <w:rPr>
          <w:rtl/>
        </w:rPr>
        <w:t>(</w:t>
      </w:r>
      <w:r w:rsidRPr="00321208">
        <w:rPr>
          <w:rtl/>
        </w:rPr>
        <w:footnoteRef/>
      </w:r>
      <w:r w:rsidRPr="00321208">
        <w:rPr>
          <w:rtl/>
        </w:rPr>
        <w:t>)</w:t>
      </w:r>
      <w:r w:rsidRPr="00321208">
        <w:rPr>
          <w:rtl/>
        </w:rPr>
        <w:tab/>
      </w:r>
      <w:hyperlink r:id="rId9" w:history="1">
        <w:r w:rsidRPr="001D56FE">
          <w:rPr>
            <w:rStyle w:val="Hyperlink"/>
          </w:rPr>
          <w:t>CCPR/C/LTU/CO/4</w:t>
        </w:r>
        <w:r w:rsidRPr="001D56FE">
          <w:rPr>
            <w:rStyle w:val="Hyperlink"/>
            <w:rtl/>
          </w:rPr>
          <w:t>،</w:t>
        </w:r>
      </w:hyperlink>
      <w:r w:rsidRPr="00321208">
        <w:rPr>
          <w:rtl/>
        </w:rPr>
        <w:t xml:space="preserve"> الفقرة 23.</w:t>
      </w:r>
    </w:p>
  </w:footnote>
  <w:footnote w:id="13">
    <w:p w14:paraId="37405E69" w14:textId="2230E270" w:rsidR="004768BB" w:rsidRPr="00321208" w:rsidRDefault="004768BB" w:rsidP="00321208">
      <w:pPr>
        <w:pStyle w:val="FootnoteText1"/>
        <w:textDirection w:val="tbRlV"/>
      </w:pPr>
      <w:r w:rsidRPr="00321208">
        <w:rPr>
          <w:rtl/>
        </w:rPr>
        <w:t>(</w:t>
      </w:r>
      <w:r w:rsidRPr="00321208">
        <w:rPr>
          <w:rtl/>
        </w:rPr>
        <w:footnoteRef/>
      </w:r>
      <w:r w:rsidRPr="00321208">
        <w:rPr>
          <w:rtl/>
        </w:rPr>
        <w:t>)</w:t>
      </w:r>
      <w:r w:rsidRPr="00321208">
        <w:rPr>
          <w:rtl/>
        </w:rPr>
        <w:tab/>
      </w:r>
      <w:hyperlink r:id="rId10" w:history="1">
        <w:r w:rsidRPr="001D56FE">
          <w:rPr>
            <w:rStyle w:val="Hyperlink"/>
          </w:rPr>
          <w:t>CED/C/LTU/CO/1</w:t>
        </w:r>
        <w:r w:rsidRPr="001D56FE">
          <w:rPr>
            <w:rStyle w:val="Hyperlink"/>
            <w:rtl/>
          </w:rPr>
          <w:t>،</w:t>
        </w:r>
      </w:hyperlink>
      <w:r w:rsidRPr="00321208">
        <w:rPr>
          <w:rtl/>
        </w:rPr>
        <w:t xml:space="preserve"> الفقرة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2B63" w14:textId="54D24E0F" w:rsidR="004768BB" w:rsidRPr="008931E5" w:rsidRDefault="004768BB" w:rsidP="008931E5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E0CA1">
      <w:t>CAT/C/LTU/CO/4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FAA1" w14:textId="3EAB5CC7" w:rsidR="004768BB" w:rsidRPr="008931E5" w:rsidRDefault="004768BB" w:rsidP="008931E5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E0CA1">
      <w:t>CAT/C/LTU/CO/4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4FFC" w14:textId="77777777" w:rsidR="004768BB" w:rsidRDefault="004768BB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5B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43C39"/>
    <w:rsid w:val="00160263"/>
    <w:rsid w:val="00166BD2"/>
    <w:rsid w:val="00167825"/>
    <w:rsid w:val="00170EB3"/>
    <w:rsid w:val="00181F96"/>
    <w:rsid w:val="001A1371"/>
    <w:rsid w:val="001B346A"/>
    <w:rsid w:val="001D56FE"/>
    <w:rsid w:val="001D6F7B"/>
    <w:rsid w:val="001E0CA1"/>
    <w:rsid w:val="001E1CAD"/>
    <w:rsid w:val="001E290D"/>
    <w:rsid w:val="00210DD4"/>
    <w:rsid w:val="002144FA"/>
    <w:rsid w:val="0023469A"/>
    <w:rsid w:val="00243C8A"/>
    <w:rsid w:val="00261289"/>
    <w:rsid w:val="00265591"/>
    <w:rsid w:val="00266034"/>
    <w:rsid w:val="0026755E"/>
    <w:rsid w:val="00267A0E"/>
    <w:rsid w:val="002901D9"/>
    <w:rsid w:val="002976C2"/>
    <w:rsid w:val="00306001"/>
    <w:rsid w:val="00321208"/>
    <w:rsid w:val="00323EC8"/>
    <w:rsid w:val="003260FF"/>
    <w:rsid w:val="00343D95"/>
    <w:rsid w:val="00362E33"/>
    <w:rsid w:val="00374341"/>
    <w:rsid w:val="00384DA7"/>
    <w:rsid w:val="003D1062"/>
    <w:rsid w:val="003F0F5B"/>
    <w:rsid w:val="00420D7B"/>
    <w:rsid w:val="00450B21"/>
    <w:rsid w:val="00453B63"/>
    <w:rsid w:val="00455780"/>
    <w:rsid w:val="00462F28"/>
    <w:rsid w:val="00472BE8"/>
    <w:rsid w:val="004768BB"/>
    <w:rsid w:val="004811D5"/>
    <w:rsid w:val="004956DC"/>
    <w:rsid w:val="004B0A1C"/>
    <w:rsid w:val="004D2177"/>
    <w:rsid w:val="004D298E"/>
    <w:rsid w:val="00531DEA"/>
    <w:rsid w:val="0054043C"/>
    <w:rsid w:val="0054472E"/>
    <w:rsid w:val="005662A9"/>
    <w:rsid w:val="00571B30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6F2B57"/>
    <w:rsid w:val="00706DFD"/>
    <w:rsid w:val="00712059"/>
    <w:rsid w:val="00733704"/>
    <w:rsid w:val="0074737D"/>
    <w:rsid w:val="00761849"/>
    <w:rsid w:val="0078071A"/>
    <w:rsid w:val="007A3847"/>
    <w:rsid w:val="007D56C1"/>
    <w:rsid w:val="00817373"/>
    <w:rsid w:val="00826694"/>
    <w:rsid w:val="00852A9A"/>
    <w:rsid w:val="00860491"/>
    <w:rsid w:val="00874514"/>
    <w:rsid w:val="008931E5"/>
    <w:rsid w:val="00893A8A"/>
    <w:rsid w:val="00897AA1"/>
    <w:rsid w:val="008C0B37"/>
    <w:rsid w:val="008F49E1"/>
    <w:rsid w:val="0090370F"/>
    <w:rsid w:val="00906A57"/>
    <w:rsid w:val="009269D2"/>
    <w:rsid w:val="00937D28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AD6D43"/>
    <w:rsid w:val="00B07715"/>
    <w:rsid w:val="00B13763"/>
    <w:rsid w:val="00B456A0"/>
    <w:rsid w:val="00B477A4"/>
    <w:rsid w:val="00B54045"/>
    <w:rsid w:val="00B65601"/>
    <w:rsid w:val="00B82677"/>
    <w:rsid w:val="00BA39D4"/>
    <w:rsid w:val="00BD0805"/>
    <w:rsid w:val="00C111C6"/>
    <w:rsid w:val="00C438D7"/>
    <w:rsid w:val="00C62476"/>
    <w:rsid w:val="00C64C7B"/>
    <w:rsid w:val="00C81B50"/>
    <w:rsid w:val="00C87F1F"/>
    <w:rsid w:val="00C96AFF"/>
    <w:rsid w:val="00CA2103"/>
    <w:rsid w:val="00CA35DF"/>
    <w:rsid w:val="00CD1801"/>
    <w:rsid w:val="00CD5A20"/>
    <w:rsid w:val="00CF25FC"/>
    <w:rsid w:val="00D10EF1"/>
    <w:rsid w:val="00D317F1"/>
    <w:rsid w:val="00D3653E"/>
    <w:rsid w:val="00D42810"/>
    <w:rsid w:val="00D914A7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8248E"/>
    <w:rsid w:val="00EC05A7"/>
    <w:rsid w:val="00EC4B6B"/>
    <w:rsid w:val="00EE56C3"/>
    <w:rsid w:val="00EF1EE5"/>
    <w:rsid w:val="00F158EB"/>
    <w:rsid w:val="00F1695F"/>
    <w:rsid w:val="00F62057"/>
    <w:rsid w:val="00F763B4"/>
    <w:rsid w:val="00F81AF1"/>
    <w:rsid w:val="00F900C3"/>
    <w:rsid w:val="00FE1217"/>
    <w:rsid w:val="00FE1A16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31FE483"/>
  <w15:docId w15:val="{D266AD84-D218-4A30-BD38-A996566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ar/CAT/C/LTU/CO/3&#1548;" TargetMode="External"/><Relationship Id="rId3" Type="http://schemas.openxmlformats.org/officeDocument/2006/relationships/hyperlink" Target="http://undocs.org/ar/CAT/C/SR.1857" TargetMode="External"/><Relationship Id="rId7" Type="http://schemas.openxmlformats.org/officeDocument/2006/relationships/hyperlink" Target="http://undocs.org/ar/CAT/C/LTU/4&#1548;" TargetMode="External"/><Relationship Id="rId2" Type="http://schemas.openxmlformats.org/officeDocument/2006/relationships/hyperlink" Target="http://undocs.org/ar/CAT/C/SR.1854" TargetMode="External"/><Relationship Id="rId1" Type="http://schemas.openxmlformats.org/officeDocument/2006/relationships/hyperlink" Target="http://undocs.org/ar/CAT/C/LTU/4" TargetMode="External"/><Relationship Id="rId6" Type="http://schemas.openxmlformats.org/officeDocument/2006/relationships/hyperlink" Target="http://undocs.org/ar/CAT/C/LTU/CO/3&#1548;" TargetMode="External"/><Relationship Id="rId5" Type="http://schemas.openxmlformats.org/officeDocument/2006/relationships/hyperlink" Target="http://undocs.org/ar/CAT/C/LTU/CO/3/Add.1" TargetMode="External"/><Relationship Id="rId10" Type="http://schemas.openxmlformats.org/officeDocument/2006/relationships/hyperlink" Target="http://undocs.org/ar/CED/C/LTU/CO/1&#1548;" TargetMode="External"/><Relationship Id="rId4" Type="http://schemas.openxmlformats.org/officeDocument/2006/relationships/hyperlink" Target="http://undocs.org/ar/CAT/C/LTU/CO/3&#1548;" TargetMode="External"/><Relationship Id="rId9" Type="http://schemas.openxmlformats.org/officeDocument/2006/relationships/hyperlink" Target="http://undocs.org/ar/CCPR/C/LTU/CO/4&#1548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10</Pages>
  <Words>3839</Words>
  <Characters>20654</Characters>
  <Application>Microsoft Office Word</Application>
  <DocSecurity>0</DocSecurity>
  <Lines>325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CAT/C/LTU/CO/4</vt:lpstr>
    </vt:vector>
  </TitlesOfParts>
  <Company>DCM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CAT/C/LTU/CO/4</dc:title>
  <dc:subject>GE.2119413(A)</dc:subject>
  <dc:creator>Jamila CHEDAD - ABEL</dc:creator>
  <cp:keywords>GE.2138268(A)</cp:keywords>
  <dc:description>General_x000d_
21 December 2021_x000d_
Arabic_x000d_
English</dc:description>
  <cp:lastModifiedBy>Jamela CHEDAD</cp:lastModifiedBy>
  <cp:revision>3</cp:revision>
  <cp:lastPrinted>2022-01-06T11:18:00Z</cp:lastPrinted>
  <dcterms:created xsi:type="dcterms:W3CDTF">2022-01-06T11:18:00Z</dcterms:created>
  <dcterms:modified xsi:type="dcterms:W3CDTF">2022-01-06T11:19:00Z</dcterms:modified>
  <cp:category>Final</cp:category>
</cp:coreProperties>
</file>