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8F5780" w:rsidRDefault="008F578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43978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151008   1</w:t>
                  </w:r>
                  <w:r>
                    <w:t>6</w:t>
                  </w:r>
                  <w:r>
                    <w:rPr>
                      <w:lang w:val="en-US"/>
                    </w:rPr>
                    <w:t>1008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197476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A2706B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 w:rsidR="00FF4CBB">
              <w:rPr>
                <w:sz w:val="22"/>
              </w:rPr>
              <w:fldChar w:fldCharType="separate"/>
            </w:r>
            <w:r w:rsidR="00FF4CBB">
              <w:rPr>
                <w:sz w:val="22"/>
              </w:rPr>
              <w:t>CAT/C/MNE/Q/1</w:t>
            </w:r>
            <w:r>
              <w:rPr>
                <w:sz w:val="22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 w:rsidR="00FF4CBB">
              <w:rPr>
                <w:sz w:val="22"/>
              </w:rPr>
              <w:fldChar w:fldCharType="separate"/>
            </w:r>
            <w:r w:rsidR="00FF4CBB">
              <w:rPr>
                <w:sz w:val="22"/>
              </w:rPr>
              <w:t>9 September 2008</w:t>
            </w:r>
            <w:r>
              <w:rPr>
                <w:sz w:val="22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8576DD" w:rsidRDefault="008576DD" w:rsidP="008576DD">
      <w:r>
        <w:t>КОМИТЕТ ПРОТИВ ПЫТОК</w:t>
      </w:r>
    </w:p>
    <w:p w:rsidR="008576DD" w:rsidRDefault="008576DD" w:rsidP="008576DD">
      <w:r>
        <w:t>Сорок первая сессия</w:t>
      </w:r>
    </w:p>
    <w:p w:rsidR="008576DD" w:rsidRDefault="008576DD" w:rsidP="008576DD">
      <w:r>
        <w:t>Женева, 3</w:t>
      </w:r>
      <w:r>
        <w:noBreakHyphen/>
        <w:t>21 ноября 2008 года</w:t>
      </w:r>
    </w:p>
    <w:p w:rsidR="008576DD" w:rsidRDefault="008576DD" w:rsidP="008576DD">
      <w:pPr>
        <w:rPr>
          <w:lang w:val="en-US"/>
        </w:rPr>
      </w:pPr>
    </w:p>
    <w:p w:rsidR="008576DD" w:rsidRDefault="008576DD" w:rsidP="008576DD">
      <w:pPr>
        <w:rPr>
          <w:lang w:val="en-US"/>
        </w:rPr>
      </w:pPr>
    </w:p>
    <w:p w:rsidR="008576DD" w:rsidRPr="008576DD" w:rsidRDefault="008576DD" w:rsidP="008576DD">
      <w:pPr>
        <w:jc w:val="center"/>
        <w:rPr>
          <w:b/>
        </w:rPr>
      </w:pPr>
      <w:r>
        <w:rPr>
          <w:b/>
        </w:rPr>
        <w:t xml:space="preserve">Перечень вопросов для рассмотрения в ходе обсуждения </w:t>
      </w:r>
    </w:p>
    <w:p w:rsidR="008576DD" w:rsidRDefault="008576DD" w:rsidP="008576DD">
      <w:pPr>
        <w:jc w:val="center"/>
        <w:rPr>
          <w:b/>
        </w:rPr>
      </w:pPr>
      <w:r>
        <w:rPr>
          <w:b/>
        </w:rPr>
        <w:t>первоначального доклада Черногории (</w:t>
      </w:r>
      <w:r>
        <w:rPr>
          <w:b/>
          <w:lang w:val="en-US"/>
        </w:rPr>
        <w:t>CAT</w:t>
      </w:r>
      <w:r w:rsidRPr="001605E8">
        <w:rPr>
          <w:b/>
        </w:rPr>
        <w:t>/</w:t>
      </w:r>
      <w:r>
        <w:rPr>
          <w:b/>
          <w:lang w:val="en-US"/>
        </w:rPr>
        <w:t>C</w:t>
      </w:r>
      <w:r w:rsidRPr="001605E8">
        <w:rPr>
          <w:b/>
        </w:rPr>
        <w:t>/</w:t>
      </w:r>
      <w:r>
        <w:rPr>
          <w:b/>
          <w:lang w:val="en-US"/>
        </w:rPr>
        <w:t>MNE</w:t>
      </w:r>
      <w:r w:rsidRPr="001605E8">
        <w:rPr>
          <w:b/>
        </w:rPr>
        <w:t>/1</w:t>
      </w:r>
      <w:r>
        <w:rPr>
          <w:b/>
        </w:rPr>
        <w:t>)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pPr>
        <w:jc w:val="center"/>
        <w:rPr>
          <w:b/>
        </w:rPr>
      </w:pPr>
      <w:r>
        <w:rPr>
          <w:b/>
        </w:rPr>
        <w:t>Статья 1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1.</w:t>
      </w:r>
      <w:r>
        <w:tab/>
        <w:t xml:space="preserve">Комитет отмечает, что статья 28 новой Конституции Черногории запрещает пытки и бесчеловечное или унижающее достоинство обращение.  Просьба представить информацию </w:t>
      </w:r>
      <w:r w:rsidR="00146A0E">
        <w:t xml:space="preserve">о том, как определяется пытка во </w:t>
      </w:r>
      <w:r>
        <w:t>внутреннем законодательстве и соответствует ли это определение тому, которое содержится в статье 1 Конвенции.  Просьба проинформировать Комитет о том, можно ли ссылаться на Конвенцию в национальных судах.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2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2.</w:t>
      </w:r>
      <w:r>
        <w:tab/>
        <w:t>Просьба представить дополнительн</w:t>
      </w:r>
      <w:r w:rsidR="00851F6F">
        <w:t>ую</w:t>
      </w:r>
      <w:r>
        <w:t xml:space="preserve"> информацию о правах лиц, содержащихся под стражей в полиции, в частности об их праве на уведомление о </w:t>
      </w:r>
      <w:r w:rsidR="00851F6F">
        <w:t xml:space="preserve">своем </w:t>
      </w:r>
      <w:r>
        <w:t xml:space="preserve">заключении под стражу, праве на доступ к адвокату и врачу по </w:t>
      </w:r>
      <w:r w:rsidR="00851F6F">
        <w:t xml:space="preserve">своему </w:t>
      </w:r>
      <w:r>
        <w:t>выбору, праве информировать лицо по своему выбору о своем задержании в первые же часы после своего ареста.</w:t>
      </w:r>
    </w:p>
    <w:p w:rsidR="008576DD" w:rsidRDefault="008576DD" w:rsidP="008576DD"/>
    <w:p w:rsidR="008576DD" w:rsidRDefault="008576DD" w:rsidP="008576DD">
      <w:r>
        <w:t>3.</w:t>
      </w:r>
      <w:r>
        <w:tab/>
        <w:t xml:space="preserve">Отмечая, что Закон об уголовном процессе содержит общие положения (статьи 88 и 89) о порядке проведения допросов в полиции, Комитет хотел бы получить информацию о том, приняло ли государство-участник </w:t>
      </w:r>
      <w:r w:rsidR="00851F6F">
        <w:t>К</w:t>
      </w:r>
      <w:r>
        <w:t xml:space="preserve">одекс полицейской этики, который упоминается в пункте 97, </w:t>
      </w:r>
      <w:r w:rsidR="00851F6F">
        <w:t xml:space="preserve">а </w:t>
      </w:r>
      <w:r>
        <w:t xml:space="preserve">если нет, объяснить причины задержки.  </w:t>
      </w:r>
    </w:p>
    <w:p w:rsidR="008576DD" w:rsidRDefault="008576DD" w:rsidP="008576DD"/>
    <w:p w:rsidR="008576DD" w:rsidRDefault="00546179" w:rsidP="008576DD">
      <w:r>
        <w:br w:type="page"/>
      </w:r>
      <w:r w:rsidR="008576DD">
        <w:t>4.</w:t>
      </w:r>
      <w:r w:rsidR="008576DD">
        <w:tab/>
        <w:t>Содержит ли законодательство государства-участника конкретные положения, в соответствии с которыми никакие исключительные обстоятельства или приказ вышестоящего начальника или государственной власти не могут служить оправданием пы</w:t>
      </w:r>
      <w:r w:rsidR="00C83604">
        <w:t>ток?  Просьба привести примеры использования</w:t>
      </w:r>
      <w:r w:rsidR="008576DD">
        <w:t xml:space="preserve"> этих положений судами в Черногории.  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3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5.</w:t>
      </w:r>
      <w:r>
        <w:tab/>
        <w:t xml:space="preserve">Просьба </w:t>
      </w:r>
      <w:r w:rsidR="00C83604">
        <w:t>сообщить,</w:t>
      </w:r>
      <w:r>
        <w:t xml:space="preserve"> запрашивает ли государство-участник гарантии, включая дипломатические гарантии, </w:t>
      </w:r>
      <w:r w:rsidR="00C83604">
        <w:t>прежде чем выдавать или возвращать каких-либо лиц</w:t>
      </w:r>
      <w:r>
        <w:t xml:space="preserve"> другому государству, чтобы не допустить </w:t>
      </w:r>
      <w:r w:rsidR="00C83604">
        <w:t>их</w:t>
      </w:r>
      <w:r>
        <w:t xml:space="preserve"> возвращения в страну, где </w:t>
      </w:r>
      <w:r w:rsidR="00C83604">
        <w:t>им</w:t>
      </w:r>
      <w:r>
        <w:t xml:space="preserve"> буд</w:t>
      </w:r>
      <w:r w:rsidR="00C83604">
        <w:t>у</w:t>
      </w:r>
      <w:r>
        <w:t>т угрожать  пытк</w:t>
      </w:r>
      <w:r w:rsidR="00C83604">
        <w:t>и</w:t>
      </w:r>
      <w:r>
        <w:t>.  Просьба привести примеры случаев, когда власти не выдавали, не возвращали или не высылали соответствующих лиц, опасаясь, что они подвергнутся пытка</w:t>
      </w:r>
      <w:r w:rsidR="00BC4D17">
        <w:t>м</w:t>
      </w:r>
      <w:r>
        <w:t xml:space="preserve">.  Просьба проинформировать Комитет о том, обращались ли какие-либо другие государства к Черногории с просьбами о предоставлении дипломатических гарантий.  Если да, просьба привести примеры.  </w:t>
      </w:r>
    </w:p>
    <w:p w:rsidR="008576DD" w:rsidRDefault="008576DD" w:rsidP="008576DD"/>
    <w:p w:rsidR="008576DD" w:rsidRDefault="008576DD" w:rsidP="008576DD">
      <w:r>
        <w:t>6.</w:t>
      </w:r>
      <w:r>
        <w:tab/>
        <w:t xml:space="preserve">Просьба представить информацию о законодательстве, касающемся убежища и определения статуса беженца.  </w:t>
      </w:r>
      <w:r w:rsidR="00BC4D17">
        <w:t>П</w:t>
      </w:r>
      <w:r>
        <w:t xml:space="preserve">росьба представить статистические данные </w:t>
      </w:r>
      <w:r w:rsidR="00807EA0">
        <w:t>за</w:t>
      </w:r>
      <w:r w:rsidR="00BC4D17">
        <w:t xml:space="preserve"> последние три года </w:t>
      </w:r>
      <w:r>
        <w:t xml:space="preserve">в разбивке по возрасту, полу и гражданству </w:t>
      </w:r>
      <w:r w:rsidR="00244E81">
        <w:t>просителей о</w:t>
      </w:r>
      <w:r>
        <w:t xml:space="preserve"> количестве:</w:t>
      </w:r>
    </w:p>
    <w:p w:rsidR="008576DD" w:rsidRDefault="008576DD" w:rsidP="008576DD"/>
    <w:p w:rsidR="008576DD" w:rsidRDefault="008576DD" w:rsidP="008576DD">
      <w:r>
        <w:tab/>
        <w:t>а)</w:t>
      </w:r>
      <w:r>
        <w:tab/>
        <w:t>зарегистрированных ходатайств о предоставлении убежища;</w:t>
      </w:r>
    </w:p>
    <w:p w:rsidR="008576DD" w:rsidRDefault="008576DD" w:rsidP="008576DD"/>
    <w:p w:rsidR="008576DD" w:rsidRDefault="008576DD" w:rsidP="008576DD">
      <w:r>
        <w:tab/>
      </w:r>
      <w:r>
        <w:rPr>
          <w:lang w:val="en-US"/>
        </w:rPr>
        <w:t>b</w:t>
      </w:r>
      <w:r>
        <w:t>)</w:t>
      </w:r>
      <w:r>
        <w:tab/>
        <w:t>количестве удовлетворенных ходатайств;</w:t>
      </w:r>
    </w:p>
    <w:p w:rsidR="008576DD" w:rsidRDefault="008576DD" w:rsidP="008576DD"/>
    <w:p w:rsidR="008576DD" w:rsidRDefault="008576DD" w:rsidP="008576DD">
      <w:r>
        <w:tab/>
        <w:t>с)</w:t>
      </w:r>
      <w:r>
        <w:tab/>
        <w:t xml:space="preserve">количестве просителей, ходатайства которых о предоставлении убежища были удовлетворены по причине того, что они подверглись пыткам или могли подвергнуться им в случае принудительного возвращения в страну происхождения.  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4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7.</w:t>
      </w:r>
      <w:r>
        <w:tab/>
        <w:t xml:space="preserve">Просьба представить информацию о количестве и характере дел, в рамках которых применялись положения уголовного законодательства в отношении таких правонарушений, как покушение на совершение пытки, совершение пытки или побуждение к применению пытки со стороны лица, выступающего в официальном качестве, за последние три года.  Просьба сообщить о том, какие конкретные наказания назначались виновным в таких правонарушениях, включая дисциплинарные меры.  </w:t>
      </w:r>
    </w:p>
    <w:p w:rsidR="008576DD" w:rsidRDefault="008576DD" w:rsidP="008576DD"/>
    <w:p w:rsidR="008576DD" w:rsidRDefault="00D63749" w:rsidP="008576DD">
      <w:pPr>
        <w:jc w:val="center"/>
        <w:rPr>
          <w:b/>
        </w:rPr>
      </w:pPr>
      <w:r>
        <w:rPr>
          <w:b/>
        </w:rPr>
        <w:br w:type="page"/>
      </w:r>
      <w:r w:rsidR="008576DD">
        <w:rPr>
          <w:b/>
        </w:rPr>
        <w:t>Статьи 5-6-7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8.</w:t>
      </w:r>
      <w:r>
        <w:tab/>
        <w:t>Просьба представить информацию о</w:t>
      </w:r>
      <w:r w:rsidR="00244E81">
        <w:t xml:space="preserve"> том, предусмотрена л</w:t>
      </w:r>
      <w:r>
        <w:t xml:space="preserve">и в национальном законодательстве универсальная юрисдикция за совершение преступления пытки.  Просьба представить информацию о применении этой юрисдикции судами Черногории и о том, основывается ли она на принципе </w:t>
      </w:r>
      <w:r>
        <w:rPr>
          <w:lang w:val="en-US"/>
        </w:rPr>
        <w:t>aut</w:t>
      </w:r>
      <w:r w:rsidRPr="00B033B0">
        <w:t xml:space="preserve"> </w:t>
      </w:r>
      <w:r>
        <w:rPr>
          <w:lang w:val="en-US"/>
        </w:rPr>
        <w:t>dedere</w:t>
      </w:r>
      <w:r w:rsidRPr="00B033B0">
        <w:t xml:space="preserve"> </w:t>
      </w:r>
      <w:r>
        <w:rPr>
          <w:lang w:val="en-US"/>
        </w:rPr>
        <w:t>aut</w:t>
      </w:r>
      <w:r w:rsidR="00244E81">
        <w:t xml:space="preserve"> </w:t>
      </w:r>
      <w:r w:rsidR="00244E81">
        <w:rPr>
          <w:lang w:val="en-US"/>
        </w:rPr>
        <w:t>punire</w:t>
      </w:r>
      <w:r>
        <w:t xml:space="preserve">.  Просьба представить информацию о режиме сотрудничества между государством-участником и Международным уголовным трибуналом по бывшей Югославии.  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10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9.</w:t>
      </w:r>
      <w:r>
        <w:tab/>
        <w:t xml:space="preserve">Комитет принял к сведению информацию о различных практикумах и семинарах, </w:t>
      </w:r>
      <w:r w:rsidR="00244E81">
        <w:t>содержащуюся</w:t>
      </w:r>
      <w:r>
        <w:t xml:space="preserve"> в докладе государства-участника.  Просьба пояснить, проходят ли сотрудники правоохранительных органов, работники пенитенциарной системы и другие должностные лица периодическую подготовку по вопросам прав человека</w:t>
      </w:r>
      <w:r w:rsidR="00244E81">
        <w:t>,</w:t>
      </w:r>
      <w:r>
        <w:t xml:space="preserve"> и особенно по </w:t>
      </w:r>
      <w:r w:rsidR="004E2806">
        <w:t>вопросам</w:t>
      </w:r>
      <w:r w:rsidR="00244E81">
        <w:t xml:space="preserve"> </w:t>
      </w:r>
      <w:r>
        <w:t xml:space="preserve">обращения с заключенными, а также мерам предотвращения пыток и жестоких, бесчеловечных или унижающих достоинство видов обращения и наказания.  </w:t>
      </w:r>
    </w:p>
    <w:p w:rsidR="008576DD" w:rsidRDefault="008576DD" w:rsidP="008576DD"/>
    <w:p w:rsidR="008576DD" w:rsidRDefault="008576DD" w:rsidP="008576DD">
      <w:r>
        <w:t>10.</w:t>
      </w:r>
      <w:r>
        <w:tab/>
        <w:t xml:space="preserve">Просьба сообщить, осуществляются ли программы профессиональной подготовки медицинского персонала, призванного выявлять и документировать случаи применения пыток и оказывать пострадавшим помощь в реабилитации.  Просьба </w:t>
      </w:r>
      <w:r w:rsidR="00244E81">
        <w:t>представить</w:t>
      </w:r>
      <w:r>
        <w:t xml:space="preserve"> более подробную информацию о том, в каком состоянии находится законопроект о защите прав психически больных лиц.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11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11.</w:t>
      </w:r>
      <w:r>
        <w:tab/>
        <w:t xml:space="preserve">Просьба представить информацию, касающуюся оказания задержанным своевременной </w:t>
      </w:r>
      <w:r w:rsidR="00244E81">
        <w:t xml:space="preserve">и </w:t>
      </w:r>
      <w:r>
        <w:t xml:space="preserve">адекватной медицинской помощи (включая психиатрическую помощь).  </w:t>
      </w:r>
    </w:p>
    <w:p w:rsidR="008576DD" w:rsidRDefault="008576DD" w:rsidP="008576DD"/>
    <w:p w:rsidR="008576DD" w:rsidRDefault="008576DD" w:rsidP="008576DD">
      <w:r>
        <w:t>12.</w:t>
      </w:r>
      <w:r>
        <w:tab/>
        <w:t>После посещения Республики Черногории (Серби</w:t>
      </w:r>
      <w:r w:rsidR="00244E81">
        <w:t>и</w:t>
      </w:r>
      <w:r>
        <w:t xml:space="preserve"> и Черногори</w:t>
      </w:r>
      <w:r w:rsidR="00244E81">
        <w:t>и</w:t>
      </w:r>
      <w:r>
        <w:t>) в сентябре 2004 года Европейский комитет по предотвращению пыток и бесчеловечного или унижающего достоинство обращения или наказания выразил озабоченность по поводу того, что лицам, содержащимся под стражей в полиции, обычно не предоставляется питание, главным образом из</w:t>
      </w:r>
      <w:r>
        <w:noBreakHyphen/>
        <w:t xml:space="preserve">за </w:t>
      </w:r>
      <w:r w:rsidR="004E2806">
        <w:t xml:space="preserve">отсутствия финансирования, и </w:t>
      </w:r>
      <w:r>
        <w:t xml:space="preserve">члены семьи или знакомые арестованного </w:t>
      </w:r>
      <w:r w:rsidR="00434E55">
        <w:t xml:space="preserve">сами должны приносить продукты </w:t>
      </w:r>
      <w:r>
        <w:t xml:space="preserve">в полицейский участок.  Просьба предоставить информацию о мерах, которые были приняты </w:t>
      </w:r>
      <w:r w:rsidR="00164639">
        <w:t>для</w:t>
      </w:r>
      <w:r>
        <w:t xml:space="preserve"> решения этой проблемы.</w:t>
      </w:r>
    </w:p>
    <w:p w:rsidR="008576DD" w:rsidRDefault="008576DD" w:rsidP="008576DD"/>
    <w:p w:rsidR="008576DD" w:rsidRDefault="00D63749" w:rsidP="008576DD">
      <w:r>
        <w:br w:type="page"/>
      </w:r>
      <w:r w:rsidR="008576DD">
        <w:t>13.</w:t>
      </w:r>
      <w:r w:rsidR="008576DD">
        <w:tab/>
        <w:t xml:space="preserve">Просьба представить обновленную информацию о </w:t>
      </w:r>
      <w:r w:rsidR="00624CFC">
        <w:t>количестве</w:t>
      </w:r>
      <w:r w:rsidR="008576DD">
        <w:t xml:space="preserve"> заключенных в разбивке по возрасту, полу и этническому происхождению и о заполняемости мест лишения свободы за 2006 и 2007 годы.  В частности, просьба проинформировать Комитет о мерах, которые были приняты для решения п</w:t>
      </w:r>
      <w:r>
        <w:t>роблемы переполненности тюрем.</w:t>
      </w:r>
    </w:p>
    <w:p w:rsidR="00D63749" w:rsidRDefault="00D63749" w:rsidP="008576DD"/>
    <w:p w:rsidR="008576DD" w:rsidRDefault="008576DD" w:rsidP="008576DD">
      <w:r>
        <w:t>14.</w:t>
      </w:r>
      <w:r>
        <w:tab/>
        <w:t xml:space="preserve">Просьба представить информацию о положении дел с отдельным содержанием подростков и взрослых в тюрьмах.  </w:t>
      </w:r>
    </w:p>
    <w:p w:rsidR="008576DD" w:rsidRDefault="008576DD" w:rsidP="008576DD"/>
    <w:p w:rsidR="008576DD" w:rsidRDefault="008576DD" w:rsidP="008576DD">
      <w:r>
        <w:t>15.</w:t>
      </w:r>
      <w:r>
        <w:tab/>
        <w:t>Просьба проинформировать Комитет о мерах, принятых в целях защиты и обеспечения прав уязвимых лиц, лишенных свободы, включая женщин, лиц, страдающих от пси</w:t>
      </w:r>
      <w:r w:rsidR="001D6151">
        <w:t>хических заболеваний, и детей.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Статьи 12 и 13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16.</w:t>
      </w:r>
      <w:r>
        <w:tab/>
        <w:t>Просьба представить информацию о мерах, принятых для обеспечения того, чтобы компетентные органы проводили оперативн</w:t>
      </w:r>
      <w:r w:rsidR="00624CFC">
        <w:t xml:space="preserve">ое </w:t>
      </w:r>
      <w:r>
        <w:t>беспристрастн</w:t>
      </w:r>
      <w:r w:rsidR="00624CFC">
        <w:t>ое</w:t>
      </w:r>
      <w:r>
        <w:t xml:space="preserve"> расследовани</w:t>
      </w:r>
      <w:r w:rsidR="00624CFC">
        <w:t>е</w:t>
      </w:r>
      <w:r>
        <w:t xml:space="preserve"> всех случаев, когда имеются разумные основания полагать, что на любой территории, находящейся под их юрисдикцией, был совершен акт пытки.  </w:t>
      </w:r>
    </w:p>
    <w:p w:rsidR="008576DD" w:rsidRDefault="008576DD" w:rsidP="008576DD"/>
    <w:p w:rsidR="008576DD" w:rsidRDefault="008576DD" w:rsidP="008576DD">
      <w:r>
        <w:t>17.</w:t>
      </w:r>
      <w:r>
        <w:tab/>
        <w:t>Просьба представить дополнительную информацию об усилиях государства-участника по обеспечению эффективного и независимого контроля за места</w:t>
      </w:r>
      <w:r w:rsidR="00624CFC">
        <w:t>ми</w:t>
      </w:r>
      <w:r>
        <w:t xml:space="preserve"> лишения свободы.  В частности, просьба представить информацию об органах, которые имеют право инспектировать органы полиции в государстве-участнике.  Просьба также уточнить, обладает ли таким правом Управление </w:t>
      </w:r>
      <w:r w:rsidR="00624CFC">
        <w:t>о</w:t>
      </w:r>
      <w:r>
        <w:t xml:space="preserve">мбудсмена.  </w:t>
      </w:r>
    </w:p>
    <w:p w:rsidR="008576DD" w:rsidRDefault="008576DD" w:rsidP="008576DD"/>
    <w:p w:rsidR="008576DD" w:rsidRDefault="008576DD" w:rsidP="008576DD">
      <w:r>
        <w:t>18.</w:t>
      </w:r>
      <w:r>
        <w:tab/>
        <w:t xml:space="preserve">Просьба уточнить роль и мандат </w:t>
      </w:r>
      <w:r w:rsidR="00624CFC">
        <w:t>о</w:t>
      </w:r>
      <w:r>
        <w:t>мбудсмена, и в частности его полномочия расследовать утверждения о превышении власти или применении чрезмерной силы сотрудниками правоохранительных органов.  В случае установления фактов нарушений</w:t>
      </w:r>
      <w:r w:rsidR="00624CFC">
        <w:t>,</w:t>
      </w:r>
      <w:r>
        <w:t xml:space="preserve"> являются ли решения </w:t>
      </w:r>
      <w:r w:rsidR="00624CFC">
        <w:t>о</w:t>
      </w:r>
      <w:r>
        <w:t xml:space="preserve">мбудсмена обязательными к исполнению органами государственной власти и какие последующие меры применяются в </w:t>
      </w:r>
      <w:r w:rsidR="00624CFC">
        <w:t xml:space="preserve">ответ на </w:t>
      </w:r>
      <w:r>
        <w:t>его рекомендаци</w:t>
      </w:r>
      <w:r w:rsidR="00624CFC">
        <w:t>и</w:t>
      </w:r>
      <w:r w:rsidR="00164639">
        <w:t>?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14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19.</w:t>
      </w:r>
      <w:r>
        <w:tab/>
        <w:t xml:space="preserve">Просьба представить статистические данные о компенсации, предоставленной жертвам пыток или жестокого, бесчеловечного или унижающего достоинство обращения в Черногории за последние три года.  </w:t>
      </w:r>
    </w:p>
    <w:p w:rsidR="008576DD" w:rsidRDefault="008576DD" w:rsidP="008576DD"/>
    <w:p w:rsidR="008576DD" w:rsidRDefault="008576DD" w:rsidP="008576DD">
      <w:r>
        <w:t>20.</w:t>
      </w:r>
      <w:r>
        <w:tab/>
        <w:t>Просьба сообщить о том, оказывает ли государство-участник физическую, психологическую и социальную помощь потерпевшим.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15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21.</w:t>
      </w:r>
      <w:r>
        <w:tab/>
        <w:t>Просьба сообщить о практике, касающейся запрета на использование заявления, полученного под пыткой, в качестве доказательства.  Кроме того, просьба представить информацию о делах, в которых применялась эта норма</w:t>
      </w:r>
      <w:r w:rsidR="00624CFC">
        <w:t xml:space="preserve"> права</w:t>
      </w:r>
      <w:r>
        <w:t xml:space="preserve">.  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Статья 16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22.</w:t>
      </w:r>
      <w:r>
        <w:tab/>
        <w:t xml:space="preserve">Просьба представить информацию о количестве возбужденных дел и обвинительных приговоров </w:t>
      </w:r>
      <w:r w:rsidR="00624CFC">
        <w:t>за торговлю</w:t>
      </w:r>
      <w:r>
        <w:t xml:space="preserve"> женщинами и детьми.  В этой связи просьба указать, отмечались ли случаи сговора с государственными должностными лицами при осуществлении такой торговли, </w:t>
      </w:r>
      <w:r w:rsidR="00E61931">
        <w:t xml:space="preserve">и </w:t>
      </w:r>
      <w:r>
        <w:t xml:space="preserve">если да, </w:t>
      </w:r>
      <w:r w:rsidR="00E61931">
        <w:t xml:space="preserve">то </w:t>
      </w:r>
      <w:r>
        <w:t xml:space="preserve">было ли проведено соответствующее расследование и назначены соответствующие наказания.  </w:t>
      </w:r>
    </w:p>
    <w:p w:rsidR="008576DD" w:rsidRDefault="008576DD" w:rsidP="008576DD"/>
    <w:p w:rsidR="008576DD" w:rsidRDefault="008576DD" w:rsidP="008576DD">
      <w:r>
        <w:t>23.</w:t>
      </w:r>
      <w:r>
        <w:tab/>
        <w:t xml:space="preserve">Просьба представить информацию о законодательных и других мерах, принятых государством-участником для защиты групп меньшинств, в частности рома, от жестокого, бесчеловечного или унижающего достоинство обращения.  </w:t>
      </w:r>
    </w:p>
    <w:p w:rsidR="008576DD" w:rsidRDefault="008576DD" w:rsidP="008576DD"/>
    <w:p w:rsidR="008576DD" w:rsidRDefault="008576DD" w:rsidP="008576DD">
      <w:r>
        <w:t>24.</w:t>
      </w:r>
      <w:r>
        <w:tab/>
        <w:t>Просьба уто</w:t>
      </w:r>
      <w:r w:rsidR="00164639">
        <w:t>чнить, был ли принят официальный</w:t>
      </w:r>
      <w:r>
        <w:t xml:space="preserve"> запрет телесных наказаний во всех сферах (в доме и семье, в школе и учебных заведениях, учреждениях опеки и органах юстиции как в форме дисциплинарной меры, так и в форме наказания).  </w:t>
      </w:r>
    </w:p>
    <w:p w:rsidR="008576DD" w:rsidRDefault="008576DD" w:rsidP="008576DD"/>
    <w:p w:rsidR="008576DD" w:rsidRDefault="008576DD" w:rsidP="008576DD">
      <w:pPr>
        <w:jc w:val="center"/>
        <w:rPr>
          <w:b/>
        </w:rPr>
      </w:pPr>
      <w:r>
        <w:rPr>
          <w:b/>
        </w:rPr>
        <w:t>Прочее</w:t>
      </w:r>
    </w:p>
    <w:p w:rsidR="008576DD" w:rsidRDefault="008576DD" w:rsidP="008576DD">
      <w:pPr>
        <w:jc w:val="center"/>
        <w:rPr>
          <w:b/>
        </w:rPr>
      </w:pPr>
    </w:p>
    <w:p w:rsidR="008576DD" w:rsidRDefault="008576DD" w:rsidP="008576DD">
      <w:r>
        <w:t>25.</w:t>
      </w:r>
      <w:r>
        <w:tab/>
        <w:t xml:space="preserve">Просьба указать, существует ли в государстве-участнике законодательство, направленное на предотвращение или запрещение производства, сбыта, экспорта и использования оборудования, специально предназначенного для </w:t>
      </w:r>
      <w:r w:rsidR="00E61931">
        <w:t xml:space="preserve">причинения </w:t>
      </w:r>
      <w:r>
        <w:t xml:space="preserve">пыток или жестокого, бесчеловечного или унижающего достоинство обращения.  </w:t>
      </w:r>
      <w:r w:rsidR="00E61931">
        <w:t>Если оно существует, просьба представить информацию о</w:t>
      </w:r>
      <w:r>
        <w:t xml:space="preserve"> его содержании или осуществлении.  </w:t>
      </w:r>
      <w:r w:rsidR="00E61931">
        <w:t xml:space="preserve">Если нет, </w:t>
      </w:r>
      <w:r>
        <w:t>просьба указать, рассматривается ли вопрос о принятии такого законодательства.</w:t>
      </w:r>
    </w:p>
    <w:p w:rsidR="008576DD" w:rsidRDefault="008576DD" w:rsidP="008576DD"/>
    <w:p w:rsidR="008576DD" w:rsidRDefault="00480204" w:rsidP="008576DD">
      <w:r>
        <w:br w:type="page"/>
      </w:r>
      <w:r w:rsidR="008576DD">
        <w:t>26.</w:t>
      </w:r>
      <w:r w:rsidR="008576DD">
        <w:tab/>
      </w:r>
      <w:r w:rsidR="00E61931">
        <w:t>Собирается ли</w:t>
      </w:r>
      <w:r w:rsidR="008576DD">
        <w:t xml:space="preserve"> Черногория ратифицировать Факультативный протокол к Конвенции против пыток?  Если да, то был ли создан или определен национальный механизм, предусматривающий периодическое инспектирование мест содержания под стражей в целях недопущения пыток и других жестоких, бесчеловечных или унижающих достоинство видов обращения.  </w:t>
      </w:r>
    </w:p>
    <w:p w:rsidR="008576DD" w:rsidRDefault="008576DD" w:rsidP="008576DD"/>
    <w:p w:rsidR="008576DD" w:rsidRDefault="008576DD" w:rsidP="008576DD">
      <w:r>
        <w:t>27.</w:t>
      </w:r>
      <w:r>
        <w:tab/>
        <w:t xml:space="preserve">Просьба представить информацию о законодательных, административных и иных мерах, принятых правительством в порядке реагирования на террористические угрозы, и указать, были ли затронуты этими мерами гарантии прав человека в правовом и практическом плане и каким образом.  </w:t>
      </w:r>
    </w:p>
    <w:p w:rsidR="008576DD" w:rsidRDefault="008576DD" w:rsidP="008576DD"/>
    <w:p w:rsidR="00E61931" w:rsidRDefault="00E61931" w:rsidP="008576DD"/>
    <w:p w:rsidR="004D5A73" w:rsidRDefault="008576DD" w:rsidP="00480204">
      <w:pPr>
        <w:jc w:val="center"/>
        <w:rPr>
          <w:lang w:val="en-US"/>
        </w:rPr>
      </w:pPr>
      <w:r>
        <w:t>-----</w:t>
      </w:r>
    </w:p>
    <w:sectPr w:rsidR="004D5A73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4F" w:rsidRDefault="008B3E4F">
      <w:r>
        <w:separator/>
      </w:r>
    </w:p>
  </w:endnote>
  <w:endnote w:type="continuationSeparator" w:id="0">
    <w:p w:rsidR="008B3E4F" w:rsidRDefault="008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4F" w:rsidRDefault="008B3E4F">
      <w:r>
        <w:separator/>
      </w:r>
    </w:p>
  </w:footnote>
  <w:footnote w:type="continuationSeparator" w:id="0">
    <w:p w:rsidR="008B3E4F" w:rsidRDefault="008B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80" w:rsidRDefault="008F578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CAT/C/MNE/Q/1</w:t>
    </w:r>
  </w:p>
  <w:p w:rsidR="008F5780" w:rsidRDefault="008F578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706B">
      <w:rPr>
        <w:rStyle w:val="PageNumber"/>
        <w:noProof/>
      </w:rPr>
      <w:t>6</w:t>
    </w:r>
    <w:r>
      <w:rPr>
        <w:rStyle w:val="PageNumber"/>
      </w:rPr>
      <w:fldChar w:fldCharType="end"/>
    </w:r>
  </w:p>
  <w:p w:rsidR="008F5780" w:rsidRDefault="008F5780">
    <w:pPr>
      <w:pStyle w:val="Header"/>
      <w:tabs>
        <w:tab w:val="left" w:pos="6237"/>
      </w:tabs>
      <w:rPr>
        <w:rStyle w:val="PageNumber"/>
        <w:lang w:val="en-US"/>
      </w:rPr>
    </w:pPr>
  </w:p>
  <w:p w:rsidR="008F5780" w:rsidRDefault="008F578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80" w:rsidRDefault="008F578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CAT/C/MNE/Q/1</w:t>
    </w:r>
  </w:p>
  <w:p w:rsidR="008F5780" w:rsidRDefault="008F578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706B">
      <w:rPr>
        <w:rStyle w:val="PageNumber"/>
        <w:noProof/>
      </w:rPr>
      <w:t>5</w:t>
    </w:r>
    <w:r>
      <w:rPr>
        <w:rStyle w:val="PageNumber"/>
      </w:rPr>
      <w:fldChar w:fldCharType="end"/>
    </w:r>
  </w:p>
  <w:p w:rsidR="008F5780" w:rsidRDefault="008F5780">
    <w:pPr>
      <w:pStyle w:val="Header"/>
      <w:tabs>
        <w:tab w:val="left" w:pos="6521"/>
      </w:tabs>
      <w:rPr>
        <w:rStyle w:val="PageNumber"/>
        <w:lang w:val="en-US"/>
      </w:rPr>
    </w:pPr>
  </w:p>
  <w:p w:rsidR="008F5780" w:rsidRDefault="008F578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CBB"/>
    <w:rsid w:val="00057009"/>
    <w:rsid w:val="00146A0E"/>
    <w:rsid w:val="00164639"/>
    <w:rsid w:val="00184E05"/>
    <w:rsid w:val="001D6151"/>
    <w:rsid w:val="00244E81"/>
    <w:rsid w:val="00434E55"/>
    <w:rsid w:val="00480204"/>
    <w:rsid w:val="004D5A73"/>
    <w:rsid w:val="004E2806"/>
    <w:rsid w:val="00546179"/>
    <w:rsid w:val="00624CFC"/>
    <w:rsid w:val="006807D2"/>
    <w:rsid w:val="006A3AF5"/>
    <w:rsid w:val="00807EA0"/>
    <w:rsid w:val="00851F6F"/>
    <w:rsid w:val="008576DD"/>
    <w:rsid w:val="008B3E4F"/>
    <w:rsid w:val="008F5780"/>
    <w:rsid w:val="00A2706B"/>
    <w:rsid w:val="00AB098D"/>
    <w:rsid w:val="00BC0B2B"/>
    <w:rsid w:val="00BC4D17"/>
    <w:rsid w:val="00C07258"/>
    <w:rsid w:val="00C224AA"/>
    <w:rsid w:val="00C83604"/>
    <w:rsid w:val="00D63749"/>
    <w:rsid w:val="00D678E7"/>
    <w:rsid w:val="00E6193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1458</Words>
  <Characters>8312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ирина сафонова</dc:creator>
  <cp:keywords/>
  <dc:description/>
  <cp:lastModifiedBy>ирина сафонова</cp:lastModifiedBy>
  <cp:revision>4</cp:revision>
  <cp:lastPrinted>2008-10-16T07:51:00Z</cp:lastPrinted>
  <dcterms:created xsi:type="dcterms:W3CDTF">2008-10-16T07:51:00Z</dcterms:created>
  <dcterms:modified xsi:type="dcterms:W3CDTF">2008-10-16T07:51:00Z</dcterms:modified>
</cp:coreProperties>
</file>