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Pr="00ED616A" w:rsidRDefault="00B56E9C" w:rsidP="00ED616A">
            <w:pPr>
              <w:pStyle w:val="SingleTxt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2E51B7" w:rsidRDefault="00E92704" w:rsidP="00E92704">
            <w:pPr>
              <w:suppressAutoHyphens w:val="0"/>
              <w:spacing w:after="20"/>
              <w:jc w:val="right"/>
            </w:pPr>
            <w:r w:rsidRPr="00E92704">
              <w:rPr>
                <w:sz w:val="40"/>
              </w:rPr>
              <w:t>CERD</w:t>
            </w:r>
            <w:r>
              <w:t>/C/CMR/Q/19-21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56E9C" w:rsidP="00B06775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0B4EF7" w:rsidRDefault="00B56E9C" w:rsidP="00ED32A3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International Convention on</w:t>
            </w:r>
            <w:r w:rsidR="00A01489">
              <w:rPr>
                <w:b/>
                <w:sz w:val="34"/>
                <w:szCs w:val="40"/>
              </w:rPr>
              <w:br/>
            </w:r>
            <w:r w:rsidR="00E63389">
              <w:rPr>
                <w:b/>
                <w:sz w:val="34"/>
                <w:szCs w:val="40"/>
              </w:rPr>
              <w:t>the Elimination of A</w:t>
            </w:r>
            <w:r w:rsidRPr="000B4EF7">
              <w:rPr>
                <w:b/>
                <w:sz w:val="34"/>
                <w:szCs w:val="40"/>
              </w:rPr>
              <w:t>ll Forms</w:t>
            </w:r>
            <w:r w:rsidR="00A01489"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 Racial Discrimination</w:t>
            </w:r>
          </w:p>
          <w:p w:rsidR="00B56E9C" w:rsidRDefault="00B56E9C" w:rsidP="00B6553F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92704" w:rsidRDefault="00E92704" w:rsidP="00E9270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E92704" w:rsidRDefault="00E92704" w:rsidP="00E92704">
            <w:pPr>
              <w:suppressAutoHyphens w:val="0"/>
            </w:pPr>
            <w:r>
              <w:t>4 July 2014</w:t>
            </w:r>
          </w:p>
          <w:p w:rsidR="00E92704" w:rsidRDefault="00E92704" w:rsidP="00E92704">
            <w:pPr>
              <w:suppressAutoHyphens w:val="0"/>
            </w:pPr>
            <w:r>
              <w:t>English</w:t>
            </w:r>
          </w:p>
          <w:p w:rsidR="00B56E9C" w:rsidRDefault="00E92704" w:rsidP="00E92704">
            <w:pPr>
              <w:suppressAutoHyphens w:val="0"/>
            </w:pPr>
            <w:r>
              <w:t>Original: French</w:t>
            </w:r>
          </w:p>
        </w:tc>
      </w:tr>
    </w:tbl>
    <w:p w:rsidR="002C3F2D" w:rsidRPr="002C3F2D" w:rsidRDefault="002C3F2D" w:rsidP="002C3F2D">
      <w:pPr>
        <w:spacing w:before="120"/>
        <w:rPr>
          <w:b/>
          <w:sz w:val="24"/>
          <w:szCs w:val="24"/>
        </w:rPr>
      </w:pPr>
      <w:r w:rsidRPr="002C3F2D">
        <w:rPr>
          <w:b/>
          <w:sz w:val="24"/>
          <w:szCs w:val="24"/>
        </w:rPr>
        <w:t xml:space="preserve">Committee on the Elimination of Racial Discrimination </w:t>
      </w:r>
    </w:p>
    <w:p w:rsidR="002C3F2D" w:rsidRPr="008F61D3" w:rsidRDefault="002C3F2D" w:rsidP="002C3F2D">
      <w:r w:rsidRPr="008F61D3">
        <w:t>Eighty-fifth session</w:t>
      </w:r>
    </w:p>
    <w:p w:rsidR="002C3F2D" w:rsidRPr="008F61D3" w:rsidRDefault="002C3F2D" w:rsidP="002C3F2D">
      <w:r w:rsidRPr="008F61D3">
        <w:t>11–29 August 2014</w:t>
      </w:r>
    </w:p>
    <w:p w:rsidR="002C3F2D" w:rsidRPr="008F61D3" w:rsidRDefault="002C3F2D" w:rsidP="002C3F2D">
      <w:r w:rsidRPr="008F61D3">
        <w:t>Item 4 of the provisional agenda</w:t>
      </w:r>
    </w:p>
    <w:p w:rsidR="002C3F2D" w:rsidRPr="002C3F2D" w:rsidRDefault="002C3F2D" w:rsidP="002C3F2D">
      <w:pPr>
        <w:rPr>
          <w:b/>
        </w:rPr>
      </w:pPr>
      <w:r w:rsidRPr="002C3F2D">
        <w:rPr>
          <w:b/>
        </w:rPr>
        <w:t xml:space="preserve">Consideration of reports, comments and information </w:t>
      </w:r>
      <w:r w:rsidRPr="002C3F2D">
        <w:rPr>
          <w:b/>
        </w:rPr>
        <w:br/>
        <w:t>submitted by States parties under article 9 of the Convention</w:t>
      </w:r>
    </w:p>
    <w:p w:rsidR="006C3989" w:rsidRPr="006C3989" w:rsidRDefault="002C3F2D" w:rsidP="006C3989">
      <w:pPr>
        <w:pStyle w:val="HChG"/>
      </w:pPr>
      <w:r w:rsidRPr="008F61D3">
        <w:tab/>
      </w:r>
      <w:r w:rsidRPr="008F61D3">
        <w:tab/>
        <w:t xml:space="preserve">List of themes in relation to the combined nineteenth to twenty-first periodic reports of </w:t>
      </w:r>
      <w:smartTag w:uri="urn:schemas-microsoft-com:office:smarttags" w:element="country-region">
        <w:smartTag w:uri="urn:schemas-microsoft-com:office:smarttags" w:element="place">
          <w:r w:rsidRPr="008F61D3">
            <w:t>Cameroon</w:t>
          </w:r>
        </w:smartTag>
      </w:smartTag>
      <w:r w:rsidRPr="008F61D3">
        <w:t xml:space="preserve"> (CERD/C/CMR/19-21)</w:t>
      </w:r>
    </w:p>
    <w:p w:rsidR="002C3F2D" w:rsidRDefault="002C3F2D" w:rsidP="006C3989">
      <w:pPr>
        <w:pStyle w:val="H1G"/>
      </w:pPr>
      <w:r w:rsidRPr="008F61D3">
        <w:tab/>
      </w:r>
      <w:r w:rsidRPr="008F61D3">
        <w:tab/>
        <w:t>Note by the Country Rapporteur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6C3989" w:rsidTr="006C398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6C3989" w:rsidRDefault="006C3989" w:rsidP="006C3989">
            <w:pPr>
              <w:suppressAutoHyphens w:val="0"/>
              <w:spacing w:line="240" w:lineRule="auto"/>
            </w:pPr>
          </w:p>
        </w:tc>
      </w:tr>
      <w:tr w:rsidR="006C3989" w:rsidTr="006C39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C3989" w:rsidRDefault="006C3989" w:rsidP="006C3989">
            <w:pPr>
              <w:spacing w:after="120"/>
              <w:jc w:val="both"/>
            </w:pPr>
            <w:r>
              <w:tab/>
            </w:r>
            <w:r w:rsidRPr="006C3989">
              <w:t>The Committee on the Elimination of Racial Discrimination decided at its seventy-sixth session (A/65/18, para. 85) that the Country Rapporteur would send to the State party concerned a short list of themes with a view to guiding and focusing the dialogue between the State party</w:t>
            </w:r>
            <w:r w:rsidR="00836873">
              <w:t>’</w:t>
            </w:r>
            <w:r w:rsidRPr="006C3989">
              <w:t>s delegation and the Committee during the consideration of the State party</w:t>
            </w:r>
            <w:r w:rsidR="00836873">
              <w:t>’</w:t>
            </w:r>
            <w:r w:rsidRPr="006C3989">
              <w:t>s report. This document contains a list of such themes. This is not an exhaustive list; other issues may also be raised in the course of the dialogue. No written replies are required.</w:t>
            </w:r>
          </w:p>
        </w:tc>
      </w:tr>
      <w:tr w:rsidR="006C3989" w:rsidTr="006C3989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6C3989" w:rsidRDefault="006C3989" w:rsidP="006C3989">
            <w:pPr>
              <w:suppressAutoHyphens w:val="0"/>
              <w:spacing w:line="240" w:lineRule="auto"/>
            </w:pPr>
          </w:p>
        </w:tc>
      </w:tr>
    </w:tbl>
    <w:p w:rsidR="002C3F2D" w:rsidRPr="008F61D3" w:rsidRDefault="006E3CE5" w:rsidP="006E3CE5">
      <w:pPr>
        <w:pStyle w:val="H23G"/>
      </w:pPr>
      <w:r>
        <w:tab/>
      </w:r>
      <w:r w:rsidR="002C3F2D" w:rsidRPr="008F61D3">
        <w:t>1.</w:t>
      </w:r>
      <w:r w:rsidR="002C3F2D" w:rsidRPr="008F61D3">
        <w:tab/>
        <w:t xml:space="preserve">Legal and institutional framework, policies and programmes </w:t>
      </w:r>
      <w:r w:rsidR="00D261AC">
        <w:t>to ensure</w:t>
      </w:r>
      <w:r w:rsidR="002C3F2D" w:rsidRPr="008F61D3">
        <w:t xml:space="preserve"> the implementation of the Convention (arts. 1, 2, 4 and 6</w:t>
      </w:r>
      <w:r>
        <w:t>)</w:t>
      </w:r>
    </w:p>
    <w:p w:rsidR="002C3F2D" w:rsidRPr="008F61D3" w:rsidRDefault="007E4EE7" w:rsidP="00A609D1">
      <w:pPr>
        <w:pStyle w:val="SingleTxtG"/>
      </w:pPr>
      <w:r>
        <w:tab/>
      </w:r>
      <w:r w:rsidR="002C3F2D" w:rsidRPr="008F61D3">
        <w:t>(a)</w:t>
      </w:r>
      <w:r w:rsidR="002C3F2D" w:rsidRPr="008F61D3">
        <w:tab/>
        <w:t>Legislative provision defining and condemning racial discrimination, in keeping with the provisions of articles 1 and 2;</w:t>
      </w:r>
    </w:p>
    <w:p w:rsidR="002C3F2D" w:rsidRPr="008F61D3" w:rsidRDefault="007E4EE7" w:rsidP="00A609D1">
      <w:pPr>
        <w:pStyle w:val="SingleTxtG"/>
      </w:pPr>
      <w:r>
        <w:tab/>
      </w:r>
      <w:r w:rsidR="002C3F2D" w:rsidRPr="008F61D3">
        <w:t>(b)</w:t>
      </w:r>
      <w:r w:rsidR="002C3F2D" w:rsidRPr="008F61D3">
        <w:tab/>
        <w:t>Criminalization of racial discrimination, in keeping with the provisions of article 4;</w:t>
      </w:r>
    </w:p>
    <w:p w:rsidR="002C3F2D" w:rsidRPr="008F61D3" w:rsidRDefault="007E4EE7" w:rsidP="00A609D1">
      <w:pPr>
        <w:pStyle w:val="SingleTxtG"/>
      </w:pPr>
      <w:r>
        <w:tab/>
      </w:r>
      <w:r w:rsidR="002C3F2D" w:rsidRPr="008F61D3">
        <w:t>(c)</w:t>
      </w:r>
      <w:r w:rsidR="002C3F2D" w:rsidRPr="008F61D3">
        <w:tab/>
        <w:t>Progress on the establishment of institutions (CERD/C/CMR/CO/15-18, para. 10, and CERD/C/CMR/19-21, paras. 189 and 190);</w:t>
      </w:r>
    </w:p>
    <w:p w:rsidR="002C3F2D" w:rsidRPr="008F61D3" w:rsidRDefault="007E4EE7" w:rsidP="00A609D1">
      <w:pPr>
        <w:pStyle w:val="SingleTxtG"/>
      </w:pPr>
      <w:r>
        <w:tab/>
      </w:r>
      <w:r w:rsidR="002C3F2D" w:rsidRPr="008F61D3">
        <w:t>(d)</w:t>
      </w:r>
      <w:r w:rsidR="002C3F2D" w:rsidRPr="008F61D3">
        <w:tab/>
        <w:t xml:space="preserve">Findings of the national survey of indigenous peoples in </w:t>
      </w:r>
      <w:smartTag w:uri="urn:schemas-microsoft-com:office:smarttags" w:element="country-region">
        <w:smartTag w:uri="urn:schemas-microsoft-com:office:smarttags" w:element="place">
          <w:r w:rsidR="002C3F2D" w:rsidRPr="008F61D3">
            <w:t>Cameroon</w:t>
          </w:r>
        </w:smartTag>
      </w:smartTag>
      <w:r w:rsidR="002C3F2D" w:rsidRPr="008F61D3">
        <w:t xml:space="preserve"> and progress on the adoption of a law on the rights of indigenous peoples (CERD/C/CMR/CO/15-18, para. 15);</w:t>
      </w:r>
    </w:p>
    <w:p w:rsidR="002C3F2D" w:rsidRPr="008F61D3" w:rsidRDefault="007E4EE7" w:rsidP="00A609D1">
      <w:pPr>
        <w:pStyle w:val="SingleTxtG"/>
      </w:pPr>
      <w:r>
        <w:tab/>
      </w:r>
      <w:r w:rsidR="002C3F2D" w:rsidRPr="008F61D3">
        <w:t>(e)</w:t>
      </w:r>
      <w:r w:rsidR="002C3F2D" w:rsidRPr="008F61D3">
        <w:tab/>
        <w:t>Legislation regarding indigenous peoples</w:t>
      </w:r>
      <w:r w:rsidR="00836873">
        <w:t>’</w:t>
      </w:r>
      <w:r w:rsidR="002C3F2D" w:rsidRPr="008F61D3">
        <w:t xml:space="preserve"> right to land and the implementation thereof.</w:t>
      </w:r>
    </w:p>
    <w:p w:rsidR="002C3F2D" w:rsidRPr="008F61D3" w:rsidRDefault="007E4EE7" w:rsidP="007E4EE7">
      <w:pPr>
        <w:pStyle w:val="H23G"/>
      </w:pPr>
      <w:r>
        <w:tab/>
      </w:r>
      <w:r w:rsidR="002C3F2D" w:rsidRPr="008F61D3">
        <w:t>2.</w:t>
      </w:r>
      <w:r w:rsidR="002C3F2D" w:rsidRPr="008F61D3">
        <w:tab/>
        <w:t>Situation of indigenous population</w:t>
      </w:r>
      <w:r w:rsidR="00DA4CE7">
        <w:t>s</w:t>
      </w:r>
      <w:r w:rsidR="002C3F2D" w:rsidRPr="008F61D3">
        <w:t xml:space="preserve"> (arts. 1 to 7)</w:t>
      </w:r>
    </w:p>
    <w:p w:rsidR="002C3F2D" w:rsidRPr="008F61D3" w:rsidRDefault="005A5834" w:rsidP="00A609D1">
      <w:pPr>
        <w:pStyle w:val="SingleTxtG"/>
      </w:pPr>
      <w:r>
        <w:tab/>
      </w:r>
      <w:r w:rsidR="002C3F2D" w:rsidRPr="008F61D3">
        <w:t>(a)</w:t>
      </w:r>
      <w:r w:rsidR="002C3F2D" w:rsidRPr="008F61D3">
        <w:tab/>
        <w:t>Measures taken to protect indigenous population</w:t>
      </w:r>
      <w:r w:rsidR="00495642">
        <w:t>s</w:t>
      </w:r>
      <w:r w:rsidR="002C3F2D" w:rsidRPr="008F61D3">
        <w:t xml:space="preserve"> from discrimination and marginalization (A/HRC/WG.6/16/CMR/3, para. 104);</w:t>
      </w:r>
    </w:p>
    <w:p w:rsidR="002C3F2D" w:rsidRPr="008F61D3" w:rsidRDefault="005A5834" w:rsidP="00A609D1">
      <w:pPr>
        <w:pStyle w:val="SingleTxtG"/>
      </w:pPr>
      <w:r>
        <w:tab/>
      </w:r>
      <w:r w:rsidR="002C3F2D" w:rsidRPr="008F61D3">
        <w:t>(b)</w:t>
      </w:r>
      <w:r w:rsidR="002C3F2D" w:rsidRPr="008F61D3">
        <w:tab/>
        <w:t>Additional measures taken to ensure that all indigenous persons are registered, especially children;</w:t>
      </w:r>
    </w:p>
    <w:p w:rsidR="002C3F2D" w:rsidRPr="008F61D3" w:rsidRDefault="005A5834" w:rsidP="00A609D1">
      <w:pPr>
        <w:pStyle w:val="SingleTxtG"/>
      </w:pPr>
      <w:r>
        <w:tab/>
      </w:r>
      <w:r w:rsidR="002C3F2D" w:rsidRPr="008F61D3">
        <w:t>(c)</w:t>
      </w:r>
      <w:r w:rsidR="002C3F2D" w:rsidRPr="008F61D3">
        <w:tab/>
        <w:t>Specific measures to adapt the school system to indigenous culture;</w:t>
      </w:r>
    </w:p>
    <w:p w:rsidR="002C3F2D" w:rsidRPr="008F61D3" w:rsidRDefault="005A5834" w:rsidP="00A609D1">
      <w:pPr>
        <w:pStyle w:val="SingleTxtG"/>
      </w:pPr>
      <w:r>
        <w:tab/>
      </w:r>
      <w:r w:rsidR="002C3F2D" w:rsidRPr="008F61D3">
        <w:t>(d)</w:t>
      </w:r>
      <w:r w:rsidR="002C3F2D" w:rsidRPr="008F61D3">
        <w:tab/>
      </w:r>
      <w:r w:rsidR="00385721">
        <w:t>Effective</w:t>
      </w:r>
      <w:r w:rsidR="002C3F2D" w:rsidRPr="008F61D3">
        <w:t xml:space="preserve"> participation of indigenous communities in political and public life.</w:t>
      </w:r>
    </w:p>
    <w:p w:rsidR="002C3F2D" w:rsidRPr="008F61D3" w:rsidRDefault="005A5834" w:rsidP="005A5834">
      <w:pPr>
        <w:pStyle w:val="H23G"/>
      </w:pPr>
      <w:r>
        <w:tab/>
      </w:r>
      <w:r w:rsidR="002C3F2D" w:rsidRPr="008F61D3">
        <w:t>3.</w:t>
      </w:r>
      <w:r w:rsidR="002C3F2D" w:rsidRPr="008F61D3">
        <w:tab/>
        <w:t>Economic, social and cultural rights of minority ethnic groups and other vulnerable groups (art. 5)</w:t>
      </w:r>
    </w:p>
    <w:p w:rsidR="002C3F2D" w:rsidRPr="008F61D3" w:rsidRDefault="00B8028C" w:rsidP="00A609D1">
      <w:pPr>
        <w:pStyle w:val="SingleTxtG"/>
      </w:pPr>
      <w:r>
        <w:tab/>
      </w:r>
      <w:r w:rsidR="002C3F2D" w:rsidRPr="008F61D3">
        <w:t>(a)</w:t>
      </w:r>
      <w:r w:rsidR="002C3F2D" w:rsidRPr="008F61D3">
        <w:tab/>
        <w:t>Impact of the measures taken to combat discrimination in education and access to health-care services by persons belonging to minorities (CERD/C/CMR/CO/15-18, paras.</w:t>
      </w:r>
      <w:r w:rsidR="00836873">
        <w:t xml:space="preserve"> </w:t>
      </w:r>
      <w:r w:rsidR="002C3F2D" w:rsidRPr="008F61D3">
        <w:t>16 (b) and (c));</w:t>
      </w:r>
    </w:p>
    <w:p w:rsidR="002C3F2D" w:rsidRPr="008F61D3" w:rsidRDefault="00B8028C" w:rsidP="00A609D1">
      <w:pPr>
        <w:pStyle w:val="SingleTxtG"/>
      </w:pPr>
      <w:r>
        <w:tab/>
      </w:r>
      <w:r w:rsidR="002C3F2D" w:rsidRPr="008F61D3">
        <w:t>(b)</w:t>
      </w:r>
      <w:r w:rsidR="002C3F2D" w:rsidRPr="008F61D3">
        <w:tab/>
        <w:t>Specific measures taken for the benefit of indigenous women and women belonging to minority groups.</w:t>
      </w:r>
    </w:p>
    <w:p w:rsidR="002C3F2D" w:rsidRPr="008F61D3" w:rsidRDefault="00B8028C" w:rsidP="00B8028C">
      <w:pPr>
        <w:pStyle w:val="H23G"/>
      </w:pPr>
      <w:r>
        <w:tab/>
      </w:r>
      <w:r w:rsidR="002C3F2D" w:rsidRPr="008F61D3">
        <w:t>4.</w:t>
      </w:r>
      <w:r w:rsidR="002C3F2D" w:rsidRPr="008F61D3">
        <w:tab/>
        <w:t>Situation of foreign nationals, especially migrants, refugees and asylum seekers (arts. 5 and 6)</w:t>
      </w:r>
    </w:p>
    <w:p w:rsidR="002C3F2D" w:rsidRPr="008F61D3" w:rsidRDefault="005D2165" w:rsidP="00A609D1">
      <w:pPr>
        <w:pStyle w:val="SingleTxtG"/>
      </w:pPr>
      <w:r>
        <w:tab/>
      </w:r>
      <w:r w:rsidR="002C3F2D" w:rsidRPr="008F61D3">
        <w:t>(a)</w:t>
      </w:r>
      <w:r w:rsidR="002C3F2D" w:rsidRPr="008F61D3">
        <w:tab/>
        <w:t>Legislative progress achieved regarding these categories of people;</w:t>
      </w:r>
    </w:p>
    <w:p w:rsidR="002C3F2D" w:rsidRPr="008F61D3" w:rsidRDefault="005D2165" w:rsidP="00A609D1">
      <w:pPr>
        <w:pStyle w:val="SingleTxtG"/>
      </w:pPr>
      <w:r>
        <w:tab/>
      </w:r>
      <w:r w:rsidR="002C3F2D" w:rsidRPr="008F61D3">
        <w:t>(b)</w:t>
      </w:r>
      <w:r w:rsidR="002C3F2D" w:rsidRPr="008F61D3">
        <w:tab/>
        <w:t xml:space="preserve">Data on integration and non-discrimination in the treatment of foreign nationals (migrants and refugees); </w:t>
      </w:r>
      <w:r w:rsidR="00620459">
        <w:t xml:space="preserve">effective </w:t>
      </w:r>
      <w:r w:rsidR="002C3F2D" w:rsidRPr="008F61D3">
        <w:t>enjoyment of their social and economic rights, including access to employment.</w:t>
      </w:r>
    </w:p>
    <w:p w:rsidR="002C3F2D" w:rsidRPr="008F61D3" w:rsidRDefault="005D2165" w:rsidP="005D2165">
      <w:pPr>
        <w:pStyle w:val="H23G"/>
      </w:pPr>
      <w:r>
        <w:tab/>
      </w:r>
      <w:r w:rsidR="002C3F2D" w:rsidRPr="008F61D3">
        <w:t>5.</w:t>
      </w:r>
      <w:r w:rsidR="002C3F2D" w:rsidRPr="008F61D3">
        <w:tab/>
        <w:t>Awareness-raising to combat prejudices and promote understanding (art. 7)</w:t>
      </w:r>
    </w:p>
    <w:p w:rsidR="002C3F2D" w:rsidRPr="008F61D3" w:rsidRDefault="005D2165" w:rsidP="00A609D1">
      <w:pPr>
        <w:pStyle w:val="SingleTxtG"/>
      </w:pPr>
      <w:r>
        <w:tab/>
      </w:r>
      <w:r w:rsidR="002C3F2D" w:rsidRPr="008F61D3">
        <w:t>(a)</w:t>
      </w:r>
      <w:r w:rsidR="002C3F2D" w:rsidRPr="008F61D3">
        <w:tab/>
        <w:t>Impact on law</w:t>
      </w:r>
      <w:r w:rsidR="0031070A">
        <w:t xml:space="preserve"> </w:t>
      </w:r>
      <w:r w:rsidR="002C3F2D" w:rsidRPr="008F61D3">
        <w:t>enforcement personnel of measures to raise their awareness of human rights, especially the Convention;</w:t>
      </w:r>
    </w:p>
    <w:p w:rsidR="002C3F2D" w:rsidRDefault="005D2165" w:rsidP="00A609D1">
      <w:pPr>
        <w:pStyle w:val="SingleTxtG"/>
      </w:pPr>
      <w:r>
        <w:tab/>
      </w:r>
      <w:r w:rsidR="002C3F2D" w:rsidRPr="008F61D3">
        <w:t>(b)</w:t>
      </w:r>
      <w:r w:rsidR="002C3F2D" w:rsidRPr="008F61D3">
        <w:tab/>
        <w:t>Public awareness-raising.</w:t>
      </w:r>
    </w:p>
    <w:p w:rsidR="005D2165" w:rsidRPr="00106A43" w:rsidRDefault="005D216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D2165" w:rsidRPr="00106A43" w:rsidSect="00E92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86" w:rsidRDefault="002C4086"/>
  </w:endnote>
  <w:endnote w:type="continuationSeparator" w:id="0">
    <w:p w:rsidR="002C4086" w:rsidRDefault="002C4086"/>
  </w:endnote>
  <w:endnote w:type="continuationNotice" w:id="1">
    <w:p w:rsidR="002C4086" w:rsidRDefault="002C40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2D" w:rsidRPr="00E92704" w:rsidRDefault="002C3F2D" w:rsidP="00E92704">
    <w:pPr>
      <w:pStyle w:val="Footer"/>
      <w:tabs>
        <w:tab w:val="right" w:pos="9598"/>
      </w:tabs>
    </w:pPr>
    <w:r w:rsidRPr="00E92704">
      <w:rPr>
        <w:b/>
        <w:sz w:val="18"/>
      </w:rPr>
      <w:fldChar w:fldCharType="begin"/>
    </w:r>
    <w:r w:rsidRPr="00E92704">
      <w:rPr>
        <w:b/>
        <w:sz w:val="18"/>
      </w:rPr>
      <w:instrText xml:space="preserve"> PAGE  \* MERGEFORMAT </w:instrText>
    </w:r>
    <w:r w:rsidRPr="00E92704">
      <w:rPr>
        <w:b/>
        <w:sz w:val="18"/>
      </w:rPr>
      <w:fldChar w:fldCharType="separate"/>
    </w:r>
    <w:r w:rsidR="00D62C4D">
      <w:rPr>
        <w:b/>
        <w:noProof/>
        <w:sz w:val="18"/>
      </w:rPr>
      <w:t>2</w:t>
    </w:r>
    <w:r w:rsidRPr="00E92704">
      <w:rPr>
        <w:b/>
        <w:sz w:val="18"/>
      </w:rPr>
      <w:fldChar w:fldCharType="end"/>
    </w:r>
    <w:r>
      <w:rPr>
        <w:sz w:val="18"/>
      </w:rPr>
      <w:tab/>
    </w:r>
    <w:r>
      <w:t>GE.14-07464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2D" w:rsidRPr="00E92704" w:rsidRDefault="002C3F2D" w:rsidP="00E92704">
    <w:pPr>
      <w:pStyle w:val="Footer"/>
      <w:tabs>
        <w:tab w:val="right" w:pos="9598"/>
      </w:tabs>
      <w:rPr>
        <w:b/>
        <w:sz w:val="18"/>
      </w:rPr>
    </w:pPr>
    <w:r>
      <w:t>GE.14-07464</w:t>
    </w:r>
    <w:r>
      <w:tab/>
    </w:r>
    <w:r w:rsidRPr="00E92704">
      <w:rPr>
        <w:b/>
        <w:sz w:val="18"/>
      </w:rPr>
      <w:fldChar w:fldCharType="begin"/>
    </w:r>
    <w:r w:rsidRPr="00E92704">
      <w:rPr>
        <w:b/>
        <w:sz w:val="18"/>
      </w:rPr>
      <w:instrText xml:space="preserve"> PAGE  \* MERGEFORMAT </w:instrText>
    </w:r>
    <w:r w:rsidRPr="00E9270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92704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2D" w:rsidRDefault="002C3F2D" w:rsidP="009B4A1B">
    <w:pPr>
      <w:pStyle w:val="Footer"/>
      <w:rPr>
        <w:sz w:val="20"/>
      </w:rPr>
    </w:pPr>
    <w:r>
      <w:rPr>
        <w:sz w:val="20"/>
      </w:rPr>
      <w:t>GE.</w: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32.55pt;margin-top:623.6pt;width:50.25pt;height:50.25pt;z-index:2;mso-position-horizontal-relative:margin;mso-position-vertical-relative:margin" o:allowoverlap="f">
          <v:imagedata r:id="rId1" o:title="19-21&amp;Size=2 &amp;Lang=E"/>
          <w10:wrap anchorx="margin" anchory="margin"/>
        </v:shape>
      </w:pict>
    </w:r>
    <w:r>
      <w:rPr>
        <w:noProof/>
        <w:lang w:val="en-US" w:eastAsia="zh-CN"/>
      </w:rPr>
      <w:pict>
        <v:shape id="_x0000_s2053" type="#_x0000_t75" style="position:absolute;margin-left:345.8pt;margin-top:646.25pt;width:73.25pt;height:18.15pt;z-index:1;mso-position-horizontal-relative:margin;mso-position-vertical-relative:margin">
          <v:imagedata r:id="rId2" o:title="recycle_English"/>
          <w10:wrap type="square" anchorx="margin" anchory="margin"/>
          <w10:anchorlock/>
        </v:shape>
      </w:pict>
    </w:r>
    <w:r>
      <w:rPr>
        <w:sz w:val="20"/>
      </w:rPr>
      <w:t>14-07464  (E)</w:t>
    </w:r>
    <w:r w:rsidR="00FA343B">
      <w:rPr>
        <w:sz w:val="20"/>
      </w:rPr>
      <w:t xml:space="preserve">    160714    170714</w:t>
    </w:r>
  </w:p>
  <w:p w:rsidR="002C3F2D" w:rsidRPr="00E92704" w:rsidRDefault="002C3F2D" w:rsidP="009B4A1B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86" w:rsidRPr="000B175B" w:rsidRDefault="002C408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4086" w:rsidRPr="00FC68B7" w:rsidRDefault="002C408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C4086" w:rsidRDefault="002C40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2D" w:rsidRPr="00E92704" w:rsidRDefault="002C3F2D" w:rsidP="00E92704">
    <w:pPr>
      <w:pStyle w:val="Header"/>
    </w:pPr>
    <w:r w:rsidRPr="00E92704">
      <w:t>CERD/C/CMR/Q/19-21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2D" w:rsidRPr="00E92704" w:rsidRDefault="002C3F2D" w:rsidP="00E92704">
    <w:pPr>
      <w:pStyle w:val="Header"/>
      <w:jc w:val="right"/>
    </w:pPr>
    <w:r w:rsidRPr="00E92704">
      <w:t>CERD/C/CMR/Q/19-21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3B" w:rsidRDefault="00FA34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C222FB"/>
    <w:multiLevelType w:val="multilevel"/>
    <w:tmpl w:val="1E889F86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1212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431D71"/>
    <w:multiLevelType w:val="hybridMultilevel"/>
    <w:tmpl w:val="4B00A394"/>
    <w:lvl w:ilvl="0" w:tplc="F558ED82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>
    <w:nsid w:val="2B645B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EE137A6"/>
    <w:multiLevelType w:val="hybridMultilevel"/>
    <w:tmpl w:val="32E840B0"/>
    <w:lvl w:ilvl="0" w:tplc="19D69D98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6">
    <w:nsid w:val="31A12325"/>
    <w:multiLevelType w:val="hybridMultilevel"/>
    <w:tmpl w:val="FF0E5B48"/>
    <w:lvl w:ilvl="0" w:tplc="6D5E22D8">
      <w:start w:val="1"/>
      <w:numFmt w:val="bullet"/>
      <w:pStyle w:val="EndnoteTex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9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1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2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3034E71"/>
    <w:multiLevelType w:val="hybridMultilevel"/>
    <w:tmpl w:val="163C6DCC"/>
    <w:lvl w:ilvl="0" w:tplc="7148736E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5">
    <w:nsid w:val="5DBD60B6"/>
    <w:multiLevelType w:val="multilevel"/>
    <w:tmpl w:val="56E2A324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54105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2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1"/>
  </w:num>
  <w:num w:numId="2">
    <w:abstractNumId w:val="22"/>
  </w:num>
  <w:num w:numId="3">
    <w:abstractNumId w:val="41"/>
  </w:num>
  <w:num w:numId="4">
    <w:abstractNumId w:val="22"/>
  </w:num>
  <w:num w:numId="5">
    <w:abstractNumId w:val="13"/>
  </w:num>
  <w:num w:numId="6">
    <w:abstractNumId w:val="27"/>
  </w:num>
  <w:num w:numId="7">
    <w:abstractNumId w:val="29"/>
  </w:num>
  <w:num w:numId="8">
    <w:abstractNumId w:val="39"/>
  </w:num>
  <w:num w:numId="9">
    <w:abstractNumId w:val="32"/>
  </w:num>
  <w:num w:numId="10">
    <w:abstractNumId w:val="42"/>
  </w:num>
  <w:num w:numId="11">
    <w:abstractNumId w:val="29"/>
  </w:num>
  <w:num w:numId="12">
    <w:abstractNumId w:val="31"/>
  </w:num>
  <w:num w:numId="13">
    <w:abstractNumId w:val="31"/>
  </w:num>
  <w:num w:numId="14">
    <w:abstractNumId w:val="37"/>
  </w:num>
  <w:num w:numId="15">
    <w:abstractNumId w:val="28"/>
  </w:num>
  <w:num w:numId="16">
    <w:abstractNumId w:val="28"/>
  </w:num>
  <w:num w:numId="17">
    <w:abstractNumId w:val="41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7"/>
  </w:num>
  <w:num w:numId="24">
    <w:abstractNumId w:val="14"/>
  </w:num>
  <w:num w:numId="25">
    <w:abstractNumId w:val="30"/>
  </w:num>
  <w:num w:numId="26">
    <w:abstractNumId w:val="34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40"/>
  </w:num>
  <w:num w:numId="37">
    <w:abstractNumId w:val="24"/>
  </w:num>
  <w:num w:numId="38">
    <w:abstractNumId w:val="21"/>
  </w:num>
  <w:num w:numId="39">
    <w:abstractNumId w:val="33"/>
  </w:num>
  <w:num w:numId="40">
    <w:abstractNumId w:val="26"/>
  </w:num>
  <w:num w:numId="41">
    <w:abstractNumId w:val="18"/>
  </w:num>
  <w:num w:numId="42">
    <w:abstractNumId w:val="10"/>
  </w:num>
  <w:num w:numId="43">
    <w:abstractNumId w:val="23"/>
  </w:num>
  <w:num w:numId="44">
    <w:abstractNumId w:val="20"/>
  </w:num>
  <w:num w:numId="45">
    <w:abstractNumId w:val="35"/>
  </w:num>
  <w:num w:numId="46">
    <w:abstractNumId w:val="19"/>
  </w:num>
  <w:num w:numId="47">
    <w:abstractNumId w:val="38"/>
  </w:num>
  <w:num w:numId="48">
    <w:abstractNumId w:val="36"/>
  </w:num>
  <w:num w:numId="49">
    <w:abstractNumId w:val="1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GB" w:vendorID="64" w:dllVersion="131077" w:nlCheck="1" w:checkStyle="1"/>
  <w:activeWritingStyle w:appName="MSWord" w:lang="en-GB" w:vendorID="64" w:dllVersion="131078" w:nlCheck="1" w:checkStyle="1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CF6"/>
    <w:rsid w:val="00032FF2"/>
    <w:rsid w:val="00050F6B"/>
    <w:rsid w:val="000551DC"/>
    <w:rsid w:val="00072C8C"/>
    <w:rsid w:val="000733B5"/>
    <w:rsid w:val="00077485"/>
    <w:rsid w:val="000814F4"/>
    <w:rsid w:val="000931C0"/>
    <w:rsid w:val="000A5D3B"/>
    <w:rsid w:val="000B175B"/>
    <w:rsid w:val="000B3A0F"/>
    <w:rsid w:val="000B4EF7"/>
    <w:rsid w:val="000C1462"/>
    <w:rsid w:val="000C2D2E"/>
    <w:rsid w:val="000E0415"/>
    <w:rsid w:val="001103AA"/>
    <w:rsid w:val="00155467"/>
    <w:rsid w:val="00180D95"/>
    <w:rsid w:val="0018711F"/>
    <w:rsid w:val="001B4B04"/>
    <w:rsid w:val="001C11D8"/>
    <w:rsid w:val="001C6663"/>
    <w:rsid w:val="001C7895"/>
    <w:rsid w:val="001D26DF"/>
    <w:rsid w:val="001E5AA0"/>
    <w:rsid w:val="00202DA8"/>
    <w:rsid w:val="00206627"/>
    <w:rsid w:val="00211E0B"/>
    <w:rsid w:val="002B0464"/>
    <w:rsid w:val="002C3F2D"/>
    <w:rsid w:val="002C4086"/>
    <w:rsid w:val="002F175C"/>
    <w:rsid w:val="0031070A"/>
    <w:rsid w:val="003229D8"/>
    <w:rsid w:val="003305AB"/>
    <w:rsid w:val="00352709"/>
    <w:rsid w:val="00371178"/>
    <w:rsid w:val="00385721"/>
    <w:rsid w:val="003A4810"/>
    <w:rsid w:val="003A6810"/>
    <w:rsid w:val="003C2CC4"/>
    <w:rsid w:val="003D4B23"/>
    <w:rsid w:val="00405DDC"/>
    <w:rsid w:val="00410C89"/>
    <w:rsid w:val="004325CB"/>
    <w:rsid w:val="0045495B"/>
    <w:rsid w:val="00481CF6"/>
    <w:rsid w:val="0049279D"/>
    <w:rsid w:val="00495642"/>
    <w:rsid w:val="004978B8"/>
    <w:rsid w:val="004D25E4"/>
    <w:rsid w:val="00517B36"/>
    <w:rsid w:val="005420F2"/>
    <w:rsid w:val="005A5834"/>
    <w:rsid w:val="005B3DB3"/>
    <w:rsid w:val="005C6A79"/>
    <w:rsid w:val="005D2165"/>
    <w:rsid w:val="006001EE"/>
    <w:rsid w:val="006050D0"/>
    <w:rsid w:val="00611FC4"/>
    <w:rsid w:val="006176FB"/>
    <w:rsid w:val="00620459"/>
    <w:rsid w:val="00640B26"/>
    <w:rsid w:val="00651C78"/>
    <w:rsid w:val="006C3989"/>
    <w:rsid w:val="006E3CE5"/>
    <w:rsid w:val="006E564B"/>
    <w:rsid w:val="0072632A"/>
    <w:rsid w:val="007B112D"/>
    <w:rsid w:val="007B6BA5"/>
    <w:rsid w:val="007C3390"/>
    <w:rsid w:val="007C4F4B"/>
    <w:rsid w:val="007E4EE7"/>
    <w:rsid w:val="007F6462"/>
    <w:rsid w:val="007F6611"/>
    <w:rsid w:val="008242D7"/>
    <w:rsid w:val="00832D01"/>
    <w:rsid w:val="00836873"/>
    <w:rsid w:val="00856741"/>
    <w:rsid w:val="008979B1"/>
    <w:rsid w:val="008A6B25"/>
    <w:rsid w:val="008A6C4F"/>
    <w:rsid w:val="008B2335"/>
    <w:rsid w:val="00916443"/>
    <w:rsid w:val="009223CA"/>
    <w:rsid w:val="009369F6"/>
    <w:rsid w:val="00940F93"/>
    <w:rsid w:val="009603EF"/>
    <w:rsid w:val="009A3D56"/>
    <w:rsid w:val="009B4A1B"/>
    <w:rsid w:val="009C0EE8"/>
    <w:rsid w:val="009C14AA"/>
    <w:rsid w:val="009E65F8"/>
    <w:rsid w:val="00A01489"/>
    <w:rsid w:val="00A609D1"/>
    <w:rsid w:val="00A61CCD"/>
    <w:rsid w:val="00A64909"/>
    <w:rsid w:val="00A72F22"/>
    <w:rsid w:val="00A7414A"/>
    <w:rsid w:val="00A748A6"/>
    <w:rsid w:val="00A776B4"/>
    <w:rsid w:val="00A94361"/>
    <w:rsid w:val="00AC1552"/>
    <w:rsid w:val="00B06775"/>
    <w:rsid w:val="00B30179"/>
    <w:rsid w:val="00B56E9C"/>
    <w:rsid w:val="00B64B1F"/>
    <w:rsid w:val="00B6553F"/>
    <w:rsid w:val="00B8028C"/>
    <w:rsid w:val="00B81E12"/>
    <w:rsid w:val="00B938F1"/>
    <w:rsid w:val="00BC74E9"/>
    <w:rsid w:val="00BF68A8"/>
    <w:rsid w:val="00C3206E"/>
    <w:rsid w:val="00C463DD"/>
    <w:rsid w:val="00C4724C"/>
    <w:rsid w:val="00C475AB"/>
    <w:rsid w:val="00C53A77"/>
    <w:rsid w:val="00C629A0"/>
    <w:rsid w:val="00C745C3"/>
    <w:rsid w:val="00C75FB9"/>
    <w:rsid w:val="00C95018"/>
    <w:rsid w:val="00CC00AC"/>
    <w:rsid w:val="00CC24D2"/>
    <w:rsid w:val="00CC3F8B"/>
    <w:rsid w:val="00CE4A8F"/>
    <w:rsid w:val="00D06422"/>
    <w:rsid w:val="00D2031B"/>
    <w:rsid w:val="00D218CB"/>
    <w:rsid w:val="00D25FE2"/>
    <w:rsid w:val="00D261AC"/>
    <w:rsid w:val="00D43252"/>
    <w:rsid w:val="00D51E7F"/>
    <w:rsid w:val="00D62C4D"/>
    <w:rsid w:val="00D7767E"/>
    <w:rsid w:val="00D978C6"/>
    <w:rsid w:val="00DA3C1C"/>
    <w:rsid w:val="00DA4CE7"/>
    <w:rsid w:val="00E109FB"/>
    <w:rsid w:val="00E147CF"/>
    <w:rsid w:val="00E63389"/>
    <w:rsid w:val="00E71BC8"/>
    <w:rsid w:val="00E7260F"/>
    <w:rsid w:val="00E74D35"/>
    <w:rsid w:val="00E92704"/>
    <w:rsid w:val="00E96630"/>
    <w:rsid w:val="00ED32A3"/>
    <w:rsid w:val="00ED616A"/>
    <w:rsid w:val="00ED7A2A"/>
    <w:rsid w:val="00EF1D7F"/>
    <w:rsid w:val="00F32B3C"/>
    <w:rsid w:val="00F34583"/>
    <w:rsid w:val="00F504DF"/>
    <w:rsid w:val="00FA271C"/>
    <w:rsid w:val="00FA343B"/>
    <w:rsid w:val="00FC68B7"/>
    <w:rsid w:val="00FD05BE"/>
    <w:rsid w:val="00FE7ADA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C320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numbering" w:styleId="ArticleSection">
    <w:name w:val="Outline List 3"/>
    <w:basedOn w:val="NoList"/>
    <w:semiHidden/>
    <w:rsid w:val="008A6C4F"/>
    <w:pPr>
      <w:numPr>
        <w:numId w:val="50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30"/>
      </w:numPr>
    </w:pPr>
  </w:style>
  <w:style w:type="paragraph" w:styleId="ListBullet2">
    <w:name w:val="List Bullet 2"/>
    <w:basedOn w:val="Normal"/>
    <w:semiHidden/>
    <w:rsid w:val="008A6C4F"/>
    <w:pPr>
      <w:numPr>
        <w:numId w:val="31"/>
      </w:numPr>
    </w:pPr>
  </w:style>
  <w:style w:type="paragraph" w:styleId="ListBullet3">
    <w:name w:val="List Bullet 3"/>
    <w:basedOn w:val="Normal"/>
    <w:semiHidden/>
    <w:rsid w:val="008A6C4F"/>
    <w:pPr>
      <w:numPr>
        <w:numId w:val="32"/>
      </w:numPr>
    </w:pPr>
  </w:style>
  <w:style w:type="paragraph" w:styleId="ListBullet4">
    <w:name w:val="List Bullet 4"/>
    <w:basedOn w:val="Normal"/>
    <w:semiHidden/>
    <w:rsid w:val="008A6C4F"/>
    <w:pPr>
      <w:numPr>
        <w:numId w:val="33"/>
      </w:numPr>
    </w:pPr>
  </w:style>
  <w:style w:type="paragraph" w:styleId="ListBullet5">
    <w:name w:val="List Bullet 5"/>
    <w:basedOn w:val="Normal"/>
    <w:semiHidden/>
    <w:rsid w:val="008A6C4F"/>
    <w:pPr>
      <w:numPr>
        <w:numId w:val="34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29"/>
      </w:numPr>
    </w:pPr>
  </w:style>
  <w:style w:type="paragraph" w:styleId="ListNumber2">
    <w:name w:val="List Number 2"/>
    <w:basedOn w:val="Normal"/>
    <w:semiHidden/>
    <w:rsid w:val="008A6C4F"/>
    <w:pPr>
      <w:numPr>
        <w:numId w:val="28"/>
      </w:numPr>
    </w:pPr>
  </w:style>
  <w:style w:type="paragraph" w:styleId="ListNumber3">
    <w:name w:val="List Number 3"/>
    <w:basedOn w:val="Normal"/>
    <w:semiHidden/>
    <w:rsid w:val="008A6C4F"/>
    <w:pPr>
      <w:numPr>
        <w:numId w:val="27"/>
      </w:numPr>
    </w:pPr>
  </w:style>
  <w:style w:type="paragraph" w:styleId="ListNumber4">
    <w:name w:val="List Number 4"/>
    <w:basedOn w:val="Normal"/>
    <w:semiHidden/>
    <w:rsid w:val="008A6C4F"/>
    <w:pPr>
      <w:numPr>
        <w:numId w:val="19"/>
      </w:numPr>
    </w:pPr>
  </w:style>
  <w:style w:type="paragraph" w:styleId="ListNumber5">
    <w:name w:val="List Number 5"/>
    <w:basedOn w:val="Normal"/>
    <w:semiHidden/>
    <w:rsid w:val="008A6C4F"/>
    <w:pPr>
      <w:numPr>
        <w:numId w:val="20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F504DF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1</TotalTime>
  <Pages>2</Pages>
  <Words>480</Words>
  <Characters>2833</Characters>
  <Application>Microsoft Office Outlook</Application>
  <DocSecurity>4</DocSecurity>
  <Lines>69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1407464</vt:lpstr>
    </vt:vector>
  </TitlesOfParts>
  <Company>CSD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1407464</dc:title>
  <dc:subject>CERD/C/CMR/Q/19-21</dc:subject>
  <dc:creator>cg</dc:creator>
  <cp:keywords/>
  <dc:description>Final_x000d_
</dc:description>
  <cp:lastModifiedBy>cg</cp:lastModifiedBy>
  <cp:revision>2</cp:revision>
  <cp:lastPrinted>2014-07-17T06:56:00Z</cp:lastPrinted>
  <dcterms:created xsi:type="dcterms:W3CDTF">2014-07-17T07:21:00Z</dcterms:created>
  <dcterms:modified xsi:type="dcterms:W3CDTF">2014-07-17T07:21:00Z</dcterms:modified>
</cp:coreProperties>
</file>