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7462D">
        <w:trPr>
          <w:trHeight w:hRule="exact" w:val="851"/>
        </w:trPr>
        <w:tc>
          <w:tcPr>
            <w:tcW w:w="1280" w:type="dxa"/>
            <w:tcBorders>
              <w:bottom w:val="single" w:sz="4" w:space="0" w:color="auto"/>
            </w:tcBorders>
          </w:tcPr>
          <w:p w:rsidR="00C7462D" w:rsidRDefault="00C7462D">
            <w:pPr>
              <w:rPr>
                <w:rFonts w:hint="eastAsia"/>
              </w:rPr>
            </w:pPr>
          </w:p>
        </w:tc>
        <w:tc>
          <w:tcPr>
            <w:tcW w:w="2273" w:type="dxa"/>
            <w:tcBorders>
              <w:bottom w:val="single" w:sz="4" w:space="0" w:color="auto"/>
            </w:tcBorders>
            <w:vAlign w:val="bottom"/>
          </w:tcPr>
          <w:p w:rsidR="00C7462D" w:rsidRDefault="00C7462D">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7462D" w:rsidRDefault="00C7462D" w:rsidP="00B51E7A">
            <w:pPr>
              <w:spacing w:line="240" w:lineRule="atLeast"/>
              <w:jc w:val="right"/>
              <w:rPr>
                <w:rFonts w:hint="eastAsia"/>
                <w:szCs w:val="21"/>
              </w:rPr>
            </w:pPr>
            <w:r>
              <w:rPr>
                <w:rFonts w:hint="eastAsia"/>
                <w:sz w:val="40"/>
                <w:szCs w:val="40"/>
              </w:rPr>
              <w:t>CCPR</w:t>
            </w:r>
            <w:r w:rsidR="008A0274">
              <w:rPr>
                <w:sz w:val="20"/>
              </w:rPr>
              <w:t>/</w:t>
            </w:r>
            <w:r w:rsidR="00714B74">
              <w:rPr>
                <w:rFonts w:hint="eastAsia"/>
                <w:sz w:val="20"/>
              </w:rPr>
              <w:t>C</w:t>
            </w:r>
            <w:r w:rsidR="008A0274">
              <w:rPr>
                <w:rFonts w:hint="eastAsia"/>
                <w:sz w:val="20"/>
              </w:rPr>
              <w:t>/</w:t>
            </w:r>
            <w:r w:rsidR="00714B74">
              <w:rPr>
                <w:rFonts w:hint="eastAsia"/>
                <w:sz w:val="20"/>
              </w:rPr>
              <w:t>98</w:t>
            </w:r>
            <w:r w:rsidR="008A0274">
              <w:rPr>
                <w:rFonts w:hint="eastAsia"/>
                <w:sz w:val="20"/>
              </w:rPr>
              <w:t>/</w:t>
            </w:r>
            <w:r w:rsidR="00714B74">
              <w:rPr>
                <w:rFonts w:hint="eastAsia"/>
                <w:sz w:val="20"/>
              </w:rPr>
              <w:t>D</w:t>
            </w:r>
            <w:r w:rsidR="008A0274">
              <w:rPr>
                <w:rFonts w:hint="eastAsia"/>
                <w:sz w:val="20"/>
              </w:rPr>
              <w:t>/</w:t>
            </w:r>
            <w:r w:rsidR="00714B74">
              <w:rPr>
                <w:rFonts w:hint="eastAsia"/>
                <w:sz w:val="20"/>
              </w:rPr>
              <w:t>1522</w:t>
            </w:r>
            <w:r w:rsidR="008A0274">
              <w:rPr>
                <w:rFonts w:hint="eastAsia"/>
                <w:sz w:val="20"/>
              </w:rPr>
              <w:t>/</w:t>
            </w:r>
            <w:r w:rsidR="00714B74">
              <w:rPr>
                <w:rFonts w:hint="eastAsia"/>
                <w:sz w:val="20"/>
              </w:rPr>
              <w:t>2006</w:t>
            </w:r>
          </w:p>
        </w:tc>
      </w:tr>
      <w:tr w:rsidR="00C7462D">
        <w:trPr>
          <w:trHeight w:hRule="exact" w:val="2835"/>
        </w:trPr>
        <w:tc>
          <w:tcPr>
            <w:tcW w:w="1280" w:type="dxa"/>
            <w:tcBorders>
              <w:top w:val="single" w:sz="4" w:space="0" w:color="auto"/>
              <w:bottom w:val="single" w:sz="12" w:space="0" w:color="auto"/>
            </w:tcBorders>
          </w:tcPr>
          <w:p w:rsidR="00C7462D" w:rsidRDefault="00C7462D">
            <w:pPr>
              <w:spacing w:line="120" w:lineRule="atLeast"/>
              <w:rPr>
                <w:sz w:val="10"/>
                <w:szCs w:val="10"/>
              </w:rPr>
            </w:pPr>
          </w:p>
          <w:p w:rsidR="00C7462D" w:rsidRDefault="00C7462D">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7462D" w:rsidRDefault="00C7462D">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7462D" w:rsidRPr="00BB67F9" w:rsidRDefault="008540AC" w:rsidP="00BB67F9">
            <w:pPr>
              <w:spacing w:before="240" w:line="240" w:lineRule="atLeast"/>
              <w:rPr>
                <w:sz w:val="20"/>
              </w:rPr>
            </w:pPr>
            <w:r>
              <w:rPr>
                <w:sz w:val="20"/>
              </w:rPr>
              <w:t xml:space="preserve">Distr.: </w:t>
            </w:r>
            <w:r w:rsidR="00C7462D" w:rsidRPr="00BB67F9">
              <w:rPr>
                <w:sz w:val="20"/>
              </w:rPr>
              <w:t>Restricted</w:t>
            </w:r>
            <w:r w:rsidR="000511D6" w:rsidRPr="000511D6">
              <w:rPr>
                <w:rStyle w:val="FootnoteReference"/>
                <w:vertAlign w:val="baseline"/>
              </w:rPr>
              <w:footnoteReference w:customMarkFollows="1" w:id="1"/>
              <w:sym w:font="Symbol" w:char="F02A"/>
            </w:r>
          </w:p>
          <w:p w:rsidR="00C7462D" w:rsidRPr="00BB67F9" w:rsidRDefault="00714B74" w:rsidP="00BB67F9">
            <w:pPr>
              <w:spacing w:line="240" w:lineRule="atLeast"/>
              <w:rPr>
                <w:rFonts w:hint="eastAsia"/>
                <w:sz w:val="20"/>
              </w:rPr>
            </w:pPr>
            <w:r>
              <w:rPr>
                <w:rFonts w:hint="eastAsia"/>
                <w:sz w:val="20"/>
              </w:rPr>
              <w:t xml:space="preserve">11 </w:t>
            </w:r>
            <w:r w:rsidRPr="00714B74">
              <w:rPr>
                <w:sz w:val="20"/>
              </w:rPr>
              <w:t>May</w:t>
            </w:r>
            <w:r w:rsidR="00911A84">
              <w:rPr>
                <w:sz w:val="20"/>
              </w:rPr>
              <w:t xml:space="preserve"> 20</w:t>
            </w:r>
            <w:r w:rsidR="00911A84">
              <w:rPr>
                <w:rFonts w:hint="eastAsia"/>
                <w:sz w:val="20"/>
              </w:rPr>
              <w:t>10</w:t>
            </w:r>
          </w:p>
          <w:p w:rsidR="00C7462D" w:rsidRPr="00BB67F9" w:rsidRDefault="00C7462D" w:rsidP="00BB67F9">
            <w:pPr>
              <w:spacing w:line="240" w:lineRule="atLeast"/>
              <w:rPr>
                <w:sz w:val="20"/>
              </w:rPr>
            </w:pPr>
            <w:r w:rsidRPr="00BB67F9">
              <w:rPr>
                <w:sz w:val="20"/>
              </w:rPr>
              <w:t xml:space="preserve">Chinese </w:t>
            </w:r>
          </w:p>
          <w:p w:rsidR="00C7462D" w:rsidRPr="00BB67F9" w:rsidRDefault="008540AC" w:rsidP="00BB67F9">
            <w:pPr>
              <w:spacing w:line="240" w:lineRule="atLeast"/>
              <w:rPr>
                <w:rFonts w:hint="eastAsia"/>
                <w:sz w:val="20"/>
              </w:rPr>
            </w:pPr>
            <w:r>
              <w:rPr>
                <w:sz w:val="20"/>
              </w:rPr>
              <w:t xml:space="preserve">Original: </w:t>
            </w:r>
            <w:r w:rsidR="00C7462D" w:rsidRPr="00BB67F9">
              <w:rPr>
                <w:sz w:val="20"/>
              </w:rPr>
              <w:t>English</w:t>
            </w:r>
          </w:p>
        </w:tc>
      </w:tr>
    </w:tbl>
    <w:p w:rsidR="00C7462D" w:rsidRDefault="00C7462D">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7462D" w:rsidRDefault="00C7462D">
      <w:pPr>
        <w:rPr>
          <w:rFonts w:eastAsia="SimHei" w:hint="eastAsia"/>
        </w:rPr>
      </w:pPr>
      <w:r w:rsidRPr="00BE01D0">
        <w:rPr>
          <w:rFonts w:eastAsia="SimHei" w:hint="eastAsia"/>
        </w:rPr>
        <w:t>第</w:t>
      </w:r>
      <w:r w:rsidR="00714B74">
        <w:rPr>
          <w:rFonts w:eastAsia="SimHei" w:hint="eastAsia"/>
        </w:rPr>
        <w:t>九十八</w:t>
      </w:r>
      <w:r w:rsidRPr="00BE01D0">
        <w:rPr>
          <w:rFonts w:eastAsia="SimHei" w:hint="eastAsia"/>
        </w:rPr>
        <w:t>届会议</w:t>
      </w:r>
    </w:p>
    <w:p w:rsidR="00BE01D0" w:rsidRPr="00BE01D0" w:rsidRDefault="00911A84">
      <w:pPr>
        <w:rPr>
          <w:rFonts w:hint="eastAsia"/>
          <w:snapToGrid/>
        </w:rPr>
      </w:pPr>
      <w:r>
        <w:rPr>
          <w:rFonts w:hint="eastAsia"/>
          <w:snapToGrid/>
        </w:rPr>
        <w:t>2010</w:t>
      </w:r>
      <w:r w:rsidR="009E146E">
        <w:rPr>
          <w:rFonts w:hint="eastAsia"/>
          <w:snapToGrid/>
        </w:rPr>
        <w:t>年</w:t>
      </w:r>
      <w:r w:rsidR="001C404D">
        <w:rPr>
          <w:rFonts w:hint="eastAsia"/>
          <w:snapToGrid/>
        </w:rPr>
        <w:t>3</w:t>
      </w:r>
      <w:r w:rsidR="009E146E">
        <w:rPr>
          <w:rFonts w:hint="eastAsia"/>
          <w:snapToGrid/>
        </w:rPr>
        <w:t>月</w:t>
      </w:r>
      <w:r w:rsidR="001C404D">
        <w:rPr>
          <w:rFonts w:hint="eastAsia"/>
          <w:snapToGrid/>
        </w:rPr>
        <w:t>8</w:t>
      </w:r>
      <w:r w:rsidR="009E146E">
        <w:rPr>
          <w:rFonts w:hint="eastAsia"/>
          <w:snapToGrid/>
        </w:rPr>
        <w:t>日至</w:t>
      </w:r>
      <w:r w:rsidR="001C404D">
        <w:rPr>
          <w:rFonts w:hint="eastAsia"/>
          <w:snapToGrid/>
        </w:rPr>
        <w:t>26</w:t>
      </w:r>
      <w:r w:rsidR="009E146E">
        <w:rPr>
          <w:rFonts w:hint="eastAsia"/>
          <w:snapToGrid/>
        </w:rPr>
        <w:t>日</w:t>
      </w:r>
    </w:p>
    <w:p w:rsidR="00C7462D" w:rsidRDefault="00334EDE" w:rsidP="000475C3">
      <w:pPr>
        <w:pStyle w:val="HChGC"/>
      </w:pPr>
      <w:r>
        <w:tab/>
      </w:r>
      <w:r>
        <w:tab/>
      </w:r>
      <w:r w:rsidR="00C7462D">
        <w:rPr>
          <w:rFonts w:hint="eastAsia"/>
        </w:rPr>
        <w:t>决定</w:t>
      </w:r>
    </w:p>
    <w:p w:rsidR="00C7462D" w:rsidRDefault="00C7462D" w:rsidP="000475C3">
      <w:pPr>
        <w:pStyle w:val="H1GC"/>
        <w:rPr>
          <w:rFonts w:hint="eastAsia"/>
        </w:rPr>
      </w:pPr>
      <w:r>
        <w:tab/>
      </w:r>
      <w:r>
        <w:tab/>
      </w:r>
      <w:r>
        <w:rPr>
          <w:rFonts w:hint="eastAsia"/>
        </w:rPr>
        <w:t>第</w:t>
      </w:r>
      <w:r w:rsidR="00CA47D2">
        <w:rPr>
          <w:rFonts w:hint="eastAsia"/>
        </w:rPr>
        <w:t>1522</w:t>
      </w:r>
      <w:r w:rsidR="008A0274">
        <w:rPr>
          <w:rFonts w:hint="eastAsia"/>
        </w:rPr>
        <w:t>/</w:t>
      </w:r>
      <w:r w:rsidR="00CA47D2">
        <w:rPr>
          <w:rFonts w:hint="eastAsia"/>
        </w:rPr>
        <w:t>2006</w:t>
      </w:r>
      <w:r>
        <w:rPr>
          <w:rFonts w:hint="eastAsia"/>
        </w:rPr>
        <w:t>号来文</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47"/>
        <w:gridCol w:w="4884"/>
      </w:tblGrid>
      <w:tr w:rsidR="009E146E" w:rsidTr="00273000">
        <w:trPr>
          <w:cantSplit/>
        </w:trPr>
        <w:tc>
          <w:tcPr>
            <w:tcW w:w="2047" w:type="dxa"/>
          </w:tcPr>
          <w:p w:rsidR="009E146E" w:rsidRPr="00C74FB6" w:rsidRDefault="009E146E" w:rsidP="00CC6B5C">
            <w:pPr>
              <w:pStyle w:val="SingleTxtGC"/>
              <w:ind w:left="0" w:right="0"/>
              <w:rPr>
                <w:rFonts w:eastAsia="KaiTi_GB2312"/>
              </w:rPr>
            </w:pPr>
            <w:r w:rsidRPr="00B115C8">
              <w:rPr>
                <w:rFonts w:ascii="Time New Roman" w:eastAsia="KaiTi_GB2312" w:hAnsi="Time New Roman" w:hint="eastAsia"/>
              </w:rPr>
              <w:t>提交人</w:t>
            </w:r>
            <w:r w:rsidR="008A0274">
              <w:rPr>
                <w:rFonts w:eastAsia="KaiTi_GB2312" w:hint="eastAsia"/>
              </w:rPr>
              <w:t>：</w:t>
            </w:r>
          </w:p>
        </w:tc>
        <w:tc>
          <w:tcPr>
            <w:tcW w:w="4884" w:type="dxa"/>
          </w:tcPr>
          <w:p w:rsidR="009E146E" w:rsidRPr="00C74FB6" w:rsidRDefault="00CA47D2" w:rsidP="00CC6B5C">
            <w:pPr>
              <w:pStyle w:val="SingleTxtGC"/>
              <w:ind w:left="0" w:right="0"/>
            </w:pPr>
            <w:r>
              <w:rPr>
                <w:lang w:val="en-GB"/>
              </w:rPr>
              <w:t>N.</w:t>
            </w:r>
            <w:r w:rsidRPr="00CA47D2">
              <w:rPr>
                <w:lang w:val="en-GB"/>
              </w:rPr>
              <w:t>T.</w:t>
            </w:r>
            <w:r w:rsidR="008A0274">
              <w:rPr>
                <w:rFonts w:hint="eastAsia"/>
              </w:rPr>
              <w:t>(</w:t>
            </w:r>
            <w:r>
              <w:rPr>
                <w:rFonts w:hint="eastAsia"/>
              </w:rPr>
              <w:t>无</w:t>
            </w:r>
            <w:r w:rsidR="009E146E" w:rsidRPr="00C74FB6">
              <w:rPr>
                <w:rFonts w:hint="eastAsia"/>
              </w:rPr>
              <w:t>律师代理</w:t>
            </w:r>
            <w:r w:rsidR="008A0274">
              <w:rPr>
                <w:rFonts w:hint="eastAsia"/>
              </w:rPr>
              <w:t>)</w:t>
            </w:r>
          </w:p>
        </w:tc>
      </w:tr>
      <w:tr w:rsidR="009E146E" w:rsidTr="00273000">
        <w:trPr>
          <w:cantSplit/>
        </w:trPr>
        <w:tc>
          <w:tcPr>
            <w:tcW w:w="2047"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据称受害人</w:t>
            </w:r>
            <w:r w:rsidR="008A0274">
              <w:rPr>
                <w:rFonts w:ascii="Time New Roman" w:eastAsia="KaiTi_GB2312" w:hAnsi="Time New Roman" w:hint="eastAsia"/>
              </w:rPr>
              <w:t>：</w:t>
            </w:r>
          </w:p>
        </w:tc>
        <w:tc>
          <w:tcPr>
            <w:tcW w:w="4884" w:type="dxa"/>
          </w:tcPr>
          <w:p w:rsidR="009E146E" w:rsidRPr="00C74FB6" w:rsidRDefault="009E146E" w:rsidP="00CC6B5C">
            <w:pPr>
              <w:pStyle w:val="SingleTxtGC"/>
              <w:ind w:left="0" w:right="0"/>
            </w:pPr>
            <w:r w:rsidRPr="00C74FB6">
              <w:rPr>
                <w:rFonts w:hint="eastAsia"/>
              </w:rPr>
              <w:t>提交人</w:t>
            </w:r>
          </w:p>
        </w:tc>
      </w:tr>
      <w:tr w:rsidR="009E146E" w:rsidTr="00273000">
        <w:trPr>
          <w:cantSplit/>
        </w:trPr>
        <w:tc>
          <w:tcPr>
            <w:tcW w:w="2047"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所涉缔约国</w:t>
            </w:r>
            <w:r w:rsidR="008A0274">
              <w:rPr>
                <w:rFonts w:ascii="Time New Roman" w:eastAsia="KaiTi_GB2312" w:hAnsi="Time New Roman" w:hint="eastAsia"/>
              </w:rPr>
              <w:t>：</w:t>
            </w:r>
          </w:p>
        </w:tc>
        <w:tc>
          <w:tcPr>
            <w:tcW w:w="4884" w:type="dxa"/>
          </w:tcPr>
          <w:p w:rsidR="009E146E" w:rsidRPr="00C74FB6" w:rsidRDefault="00CA47D2" w:rsidP="00CC6B5C">
            <w:pPr>
              <w:pStyle w:val="SingleTxtGC"/>
              <w:ind w:left="0" w:right="0"/>
              <w:rPr>
                <w:rFonts w:hint="eastAsia"/>
              </w:rPr>
            </w:pPr>
            <w:r>
              <w:rPr>
                <w:rFonts w:hint="eastAsia"/>
              </w:rPr>
              <w:t>吉尔吉斯斯坦</w:t>
            </w:r>
          </w:p>
        </w:tc>
      </w:tr>
      <w:tr w:rsidR="009E146E" w:rsidTr="00273000">
        <w:trPr>
          <w:cantSplit/>
        </w:trPr>
        <w:tc>
          <w:tcPr>
            <w:tcW w:w="2047" w:type="dxa"/>
          </w:tcPr>
          <w:p w:rsidR="009E146E" w:rsidRPr="005749F7" w:rsidRDefault="009E146E" w:rsidP="00CC6B5C">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008A0274">
              <w:rPr>
                <w:rFonts w:ascii="Time New Roman" w:eastAsia="KaiTi_GB2312" w:hAnsi="Time New Roman" w:hint="eastAsia"/>
              </w:rPr>
              <w:t>：</w:t>
            </w:r>
          </w:p>
        </w:tc>
        <w:tc>
          <w:tcPr>
            <w:tcW w:w="4884" w:type="dxa"/>
          </w:tcPr>
          <w:p w:rsidR="009E146E" w:rsidRPr="00C74FB6" w:rsidRDefault="00CA47D2" w:rsidP="00CC6B5C">
            <w:pPr>
              <w:pStyle w:val="SingleTxtGC"/>
              <w:ind w:left="0" w:right="0"/>
              <w:rPr>
                <w:rFonts w:hint="eastAsia"/>
              </w:rPr>
            </w:pPr>
            <w:r w:rsidRPr="00CA47D2">
              <w:rPr>
                <w:lang w:val="en-GB"/>
              </w:rPr>
              <w:t>2006</w:t>
            </w:r>
            <w:r w:rsidRPr="00CA47D2">
              <w:rPr>
                <w:rFonts w:hint="eastAsia"/>
                <w:lang w:val="en-GB"/>
              </w:rPr>
              <w:t>年</w:t>
            </w:r>
            <w:r w:rsidRPr="00CA47D2">
              <w:rPr>
                <w:rFonts w:hint="eastAsia"/>
                <w:lang w:val="en-GB"/>
              </w:rPr>
              <w:t>6</w:t>
            </w:r>
            <w:r w:rsidRPr="00CA47D2">
              <w:rPr>
                <w:rFonts w:hint="eastAsia"/>
                <w:lang w:val="en-GB"/>
              </w:rPr>
              <w:t>月</w:t>
            </w:r>
            <w:r w:rsidRPr="00CA47D2">
              <w:rPr>
                <w:rFonts w:hint="eastAsia"/>
                <w:lang w:val="en-GB"/>
              </w:rPr>
              <w:t>26</w:t>
            </w:r>
            <w:r w:rsidRPr="00CA47D2">
              <w:rPr>
                <w:rFonts w:hint="eastAsia"/>
                <w:lang w:val="en-GB"/>
              </w:rPr>
              <w:t>日</w:t>
            </w:r>
            <w:r w:rsidR="00292345">
              <w:rPr>
                <w:rFonts w:hint="eastAsia"/>
              </w:rPr>
              <w:t>(</w:t>
            </w:r>
            <w:r w:rsidR="009E146E" w:rsidRPr="00C74FB6">
              <w:rPr>
                <w:rFonts w:hint="eastAsia"/>
              </w:rPr>
              <w:t>首次提交</w:t>
            </w:r>
            <w:r w:rsidR="008A0274">
              <w:rPr>
                <w:rFonts w:hint="eastAsia"/>
              </w:rPr>
              <w:t>)</w:t>
            </w:r>
          </w:p>
        </w:tc>
      </w:tr>
      <w:tr w:rsidR="009E146E" w:rsidTr="00273000">
        <w:trPr>
          <w:cantSplit/>
        </w:trPr>
        <w:tc>
          <w:tcPr>
            <w:tcW w:w="2047" w:type="dxa"/>
          </w:tcPr>
          <w:p w:rsidR="009E146E" w:rsidRPr="00B115C8" w:rsidRDefault="009E146E" w:rsidP="00CC6B5C">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008A0274">
              <w:rPr>
                <w:rFonts w:ascii="Time New Roman" w:eastAsia="KaiTi_GB2312" w:hAnsi="Time New Roman" w:hint="eastAsia"/>
              </w:rPr>
              <w:t>：</w:t>
            </w:r>
          </w:p>
        </w:tc>
        <w:tc>
          <w:tcPr>
            <w:tcW w:w="4884" w:type="dxa"/>
          </w:tcPr>
          <w:p w:rsidR="009E146E" w:rsidRPr="00C74FB6" w:rsidRDefault="00CA47D2" w:rsidP="00CA47D2">
            <w:pPr>
              <w:pStyle w:val="SingleTxtGC"/>
              <w:ind w:left="0" w:right="0"/>
              <w:rPr>
                <w:rFonts w:hint="eastAsia"/>
                <w:lang w:val="fr-CH"/>
              </w:rPr>
            </w:pPr>
            <w:r w:rsidRPr="00CA47D2">
              <w:rPr>
                <w:rFonts w:hint="eastAsia"/>
                <w:lang w:val="fr-CH"/>
              </w:rPr>
              <w:t>特别报告员根据议事规则第</w:t>
            </w:r>
            <w:r w:rsidRPr="00CA47D2">
              <w:rPr>
                <w:rFonts w:hint="eastAsia"/>
                <w:lang w:val="en-GB"/>
              </w:rPr>
              <w:t>92</w:t>
            </w:r>
            <w:r w:rsidR="008A0274">
              <w:rPr>
                <w:rFonts w:hint="eastAsia"/>
                <w:lang w:val="en-GB"/>
              </w:rPr>
              <w:t>/</w:t>
            </w:r>
            <w:r w:rsidRPr="00CA47D2">
              <w:rPr>
                <w:rFonts w:hint="eastAsia"/>
                <w:lang w:val="en-GB"/>
              </w:rPr>
              <w:t>97</w:t>
            </w:r>
            <w:r w:rsidRPr="00CA47D2">
              <w:rPr>
                <w:rFonts w:hint="eastAsia"/>
                <w:lang w:val="fr-CH"/>
              </w:rPr>
              <w:t>条作出的决定</w:t>
            </w:r>
            <w:r w:rsidR="008A0274">
              <w:rPr>
                <w:rFonts w:hint="eastAsia"/>
                <w:lang w:val="en-GB"/>
              </w:rPr>
              <w:t>，</w:t>
            </w:r>
            <w:r w:rsidRPr="00CA47D2">
              <w:rPr>
                <w:rFonts w:hint="eastAsia"/>
                <w:lang w:val="fr-CH"/>
              </w:rPr>
              <w:t>于</w:t>
            </w:r>
            <w:r w:rsidRPr="00CA47D2">
              <w:rPr>
                <w:rFonts w:hint="eastAsia"/>
                <w:lang w:val="en-GB"/>
              </w:rPr>
              <w:t>2006</w:t>
            </w:r>
            <w:r w:rsidRPr="00CA47D2">
              <w:rPr>
                <w:rFonts w:hint="eastAsia"/>
                <w:lang w:val="fr-CH"/>
              </w:rPr>
              <w:t>年</w:t>
            </w:r>
            <w:r w:rsidRPr="00CA47D2">
              <w:rPr>
                <w:rFonts w:hint="eastAsia"/>
                <w:lang w:val="en-GB"/>
              </w:rPr>
              <w:t>11</w:t>
            </w:r>
            <w:r w:rsidRPr="00CA47D2">
              <w:rPr>
                <w:rFonts w:hint="eastAsia"/>
                <w:lang w:val="fr-CH"/>
              </w:rPr>
              <w:t>月</w:t>
            </w:r>
            <w:r w:rsidRPr="00CA47D2">
              <w:rPr>
                <w:rFonts w:hint="eastAsia"/>
                <w:lang w:val="en-GB"/>
              </w:rPr>
              <w:t>27</w:t>
            </w:r>
            <w:r w:rsidRPr="00CA47D2">
              <w:rPr>
                <w:rFonts w:hint="eastAsia"/>
                <w:lang w:val="fr-CH"/>
              </w:rPr>
              <w:t>日转交缔约国</w:t>
            </w:r>
            <w:r w:rsidR="008A0274">
              <w:rPr>
                <w:rFonts w:hint="eastAsia"/>
                <w:lang w:val="en-GB"/>
              </w:rPr>
              <w:t>(</w:t>
            </w:r>
            <w:r w:rsidRPr="00CA47D2">
              <w:rPr>
                <w:rFonts w:hint="eastAsia"/>
                <w:lang w:val="fr-CH"/>
              </w:rPr>
              <w:t>未以文件形式印发</w:t>
            </w:r>
            <w:r w:rsidR="008A0274">
              <w:rPr>
                <w:rFonts w:hint="eastAsia"/>
                <w:lang w:val="en-GB"/>
              </w:rPr>
              <w:t>)</w:t>
            </w:r>
          </w:p>
        </w:tc>
      </w:tr>
      <w:tr w:rsidR="009E146E" w:rsidTr="00273000">
        <w:trPr>
          <w:cantSplit/>
        </w:trPr>
        <w:tc>
          <w:tcPr>
            <w:tcW w:w="2047" w:type="dxa"/>
          </w:tcPr>
          <w:p w:rsidR="009E146E" w:rsidRPr="00B115C8" w:rsidRDefault="00CA47D2" w:rsidP="00CC6B5C">
            <w:pPr>
              <w:pStyle w:val="SingleTxtGC"/>
              <w:ind w:left="0" w:right="0"/>
              <w:rPr>
                <w:rFonts w:ascii="Time New Roman" w:eastAsia="KaiTi_GB2312" w:hAnsi="Time New Roman" w:hint="eastAsia"/>
              </w:rPr>
            </w:pPr>
            <w:r>
              <w:rPr>
                <w:rFonts w:ascii="Time New Roman" w:eastAsia="KaiTi_GB2312" w:hAnsi="Time New Roman" w:hint="eastAsia"/>
              </w:rPr>
              <w:t>通过本</w:t>
            </w:r>
            <w:r w:rsidR="009E146E" w:rsidRPr="005749F7">
              <w:rPr>
                <w:rFonts w:ascii="Time New Roman" w:eastAsia="KaiTi_GB2312" w:hAnsi="Time New Roman" w:hint="eastAsia"/>
              </w:rPr>
              <w:t>决定</w:t>
            </w:r>
            <w:r w:rsidR="00B83681">
              <w:rPr>
                <w:rFonts w:ascii="Time New Roman" w:eastAsia="KaiTi_GB2312" w:hAnsi="Time New Roman" w:hint="eastAsia"/>
              </w:rPr>
              <w:t>的</w:t>
            </w:r>
            <w:r w:rsidR="009E146E" w:rsidRPr="005749F7">
              <w:rPr>
                <w:rFonts w:ascii="Time New Roman" w:eastAsia="KaiTi_GB2312" w:hAnsi="Time New Roman" w:hint="eastAsia"/>
              </w:rPr>
              <w:t>日期</w:t>
            </w:r>
            <w:r w:rsidR="008A0274">
              <w:rPr>
                <w:rFonts w:ascii="Time New Roman" w:eastAsia="KaiTi_GB2312" w:hAnsi="Time New Roman" w:hint="eastAsia"/>
              </w:rPr>
              <w:t>：</w:t>
            </w:r>
          </w:p>
        </w:tc>
        <w:tc>
          <w:tcPr>
            <w:tcW w:w="4884" w:type="dxa"/>
          </w:tcPr>
          <w:p w:rsidR="009E146E" w:rsidRPr="00C74FB6" w:rsidRDefault="00CA47D2" w:rsidP="00CC6B5C">
            <w:pPr>
              <w:pStyle w:val="SingleTxtGC"/>
              <w:ind w:left="0" w:right="0"/>
              <w:rPr>
                <w:rFonts w:hint="eastAsia"/>
                <w:lang w:val="fr-CH"/>
              </w:rPr>
            </w:pPr>
            <w:r>
              <w:rPr>
                <w:rFonts w:hint="eastAsia"/>
                <w:snapToGrid/>
              </w:rPr>
              <w:t>2010</w:t>
            </w:r>
            <w:r w:rsidR="009E146E">
              <w:rPr>
                <w:rFonts w:hint="eastAsia"/>
                <w:snapToGrid/>
              </w:rPr>
              <w:t>年</w:t>
            </w:r>
            <w:r>
              <w:rPr>
                <w:rFonts w:hint="eastAsia"/>
                <w:snapToGrid/>
              </w:rPr>
              <w:t>3</w:t>
            </w:r>
            <w:r w:rsidR="009E146E">
              <w:rPr>
                <w:rFonts w:hint="eastAsia"/>
                <w:snapToGrid/>
              </w:rPr>
              <w:t>月</w:t>
            </w:r>
            <w:r>
              <w:rPr>
                <w:rFonts w:hint="eastAsia"/>
                <w:snapToGrid/>
              </w:rPr>
              <w:t>19</w:t>
            </w:r>
            <w:r w:rsidR="009E146E">
              <w:rPr>
                <w:rFonts w:hint="eastAsia"/>
                <w:snapToGrid/>
              </w:rPr>
              <w:t>日</w:t>
            </w:r>
          </w:p>
        </w:tc>
      </w:tr>
      <w:tr w:rsidR="009E146E" w:rsidTr="00273000">
        <w:trPr>
          <w:cantSplit/>
        </w:trPr>
        <w:tc>
          <w:tcPr>
            <w:tcW w:w="2047" w:type="dxa"/>
          </w:tcPr>
          <w:p w:rsidR="009E146E" w:rsidRPr="005749F7" w:rsidRDefault="009E146E" w:rsidP="00CC6B5C">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sidR="008A0274">
              <w:rPr>
                <w:rFonts w:hint="eastAsia"/>
                <w:snapToGrid/>
              </w:rPr>
              <w:t>：</w:t>
            </w:r>
          </w:p>
        </w:tc>
        <w:tc>
          <w:tcPr>
            <w:tcW w:w="4884" w:type="dxa"/>
          </w:tcPr>
          <w:p w:rsidR="009E146E" w:rsidRPr="00C74FB6" w:rsidRDefault="00662D00" w:rsidP="00CC6B5C">
            <w:pPr>
              <w:pStyle w:val="SingleTxtGC"/>
              <w:ind w:left="0" w:right="0"/>
              <w:rPr>
                <w:rFonts w:hint="eastAsia"/>
                <w:snapToGrid/>
              </w:rPr>
            </w:pPr>
            <w:r>
              <w:rPr>
                <w:rFonts w:hint="eastAsia"/>
                <w:lang w:val="en-GB"/>
              </w:rPr>
              <w:t>公共</w:t>
            </w:r>
            <w:r w:rsidRPr="00CA47D2">
              <w:rPr>
                <w:rFonts w:hint="eastAsia"/>
                <w:lang w:val="en-GB"/>
              </w:rPr>
              <w:t>行政部门的申诉受理制度</w:t>
            </w:r>
          </w:p>
        </w:tc>
      </w:tr>
      <w:tr w:rsidR="009E146E" w:rsidTr="00273000">
        <w:trPr>
          <w:cantSplit/>
        </w:trPr>
        <w:tc>
          <w:tcPr>
            <w:tcW w:w="2047" w:type="dxa"/>
          </w:tcPr>
          <w:p w:rsidR="009E146E" w:rsidRPr="000475C3" w:rsidRDefault="009E146E" w:rsidP="00CC6B5C">
            <w:pPr>
              <w:pStyle w:val="SingleTxtGC"/>
              <w:ind w:left="0" w:right="0"/>
              <w:rPr>
                <w:rFonts w:ascii="Time New Roman" w:eastAsia="KaiTi_GB2312" w:hAnsi="Time New Roman" w:hint="eastAsia"/>
              </w:rPr>
            </w:pPr>
            <w:r>
              <w:rPr>
                <w:rFonts w:eastAsia="KaiTi_GB2312" w:hint="eastAsia"/>
                <w:snapToGrid/>
              </w:rPr>
              <w:t>程序性问题</w:t>
            </w:r>
            <w:r w:rsidR="008A0274">
              <w:rPr>
                <w:rFonts w:hint="eastAsia"/>
                <w:snapToGrid/>
              </w:rPr>
              <w:t>：</w:t>
            </w:r>
          </w:p>
        </w:tc>
        <w:tc>
          <w:tcPr>
            <w:tcW w:w="4884" w:type="dxa"/>
          </w:tcPr>
          <w:p w:rsidR="009E146E" w:rsidRPr="00C74FB6" w:rsidRDefault="00662D00" w:rsidP="00CC6B5C">
            <w:pPr>
              <w:pStyle w:val="SingleTxtGC"/>
              <w:ind w:left="0" w:right="0"/>
              <w:rPr>
                <w:rFonts w:hint="eastAsia"/>
                <w:snapToGrid/>
              </w:rPr>
            </w:pPr>
            <w:r w:rsidRPr="00CA47D2">
              <w:rPr>
                <w:rFonts w:hint="eastAsia"/>
                <w:lang w:val="en-GB"/>
              </w:rPr>
              <w:t>证据不足</w:t>
            </w:r>
          </w:p>
        </w:tc>
      </w:tr>
      <w:tr w:rsidR="009E146E" w:rsidTr="00273000">
        <w:trPr>
          <w:cantSplit/>
        </w:trPr>
        <w:tc>
          <w:tcPr>
            <w:tcW w:w="2047" w:type="dxa"/>
          </w:tcPr>
          <w:p w:rsidR="009E146E" w:rsidRPr="00C74FB6" w:rsidRDefault="009E146E" w:rsidP="00CC6B5C">
            <w:pPr>
              <w:pStyle w:val="SingleTxtGC"/>
              <w:ind w:left="0" w:right="0"/>
              <w:rPr>
                <w:rFonts w:eastAsia="KaiTi_GB2312" w:hint="eastAsia"/>
                <w:snapToGrid/>
                <w:lang w:val="fr-CH"/>
              </w:rPr>
            </w:pPr>
            <w:r w:rsidRPr="00C74FB6">
              <w:rPr>
                <w:rFonts w:eastAsia="KaiTi_GB2312"/>
                <w:snapToGrid/>
              </w:rPr>
              <w:t>实质性问题</w:t>
            </w:r>
            <w:r w:rsidR="008A0274">
              <w:rPr>
                <w:rFonts w:eastAsia="KaiTi_GB2312" w:hint="eastAsia"/>
                <w:snapToGrid/>
                <w:lang w:val="fr-CH"/>
              </w:rPr>
              <w:t>：</w:t>
            </w:r>
          </w:p>
        </w:tc>
        <w:tc>
          <w:tcPr>
            <w:tcW w:w="4884" w:type="dxa"/>
          </w:tcPr>
          <w:p w:rsidR="009E146E" w:rsidRPr="00C657A9" w:rsidRDefault="00662D00" w:rsidP="00CC6B5C">
            <w:pPr>
              <w:pStyle w:val="SingleTxtGC"/>
              <w:ind w:left="0" w:right="0"/>
              <w:rPr>
                <w:rFonts w:hint="eastAsia"/>
                <w:snapToGrid/>
              </w:rPr>
            </w:pPr>
            <w:r w:rsidRPr="00CA47D2">
              <w:rPr>
                <w:rFonts w:hint="eastAsia"/>
                <w:lang w:val="en-GB"/>
              </w:rPr>
              <w:t>获得公正审讯的权利</w:t>
            </w:r>
          </w:p>
        </w:tc>
      </w:tr>
      <w:tr w:rsidR="009E146E" w:rsidTr="00273000">
        <w:trPr>
          <w:cantSplit/>
        </w:trPr>
        <w:tc>
          <w:tcPr>
            <w:tcW w:w="2047" w:type="dxa"/>
          </w:tcPr>
          <w:p w:rsidR="009E146E" w:rsidRPr="00C74FB6" w:rsidRDefault="009E146E" w:rsidP="00CC6B5C">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sidR="008A0274">
              <w:rPr>
                <w:rFonts w:hint="eastAsia"/>
                <w:snapToGrid/>
              </w:rPr>
              <w:t>：</w:t>
            </w:r>
          </w:p>
        </w:tc>
        <w:tc>
          <w:tcPr>
            <w:tcW w:w="4884" w:type="dxa"/>
          </w:tcPr>
          <w:p w:rsidR="009E146E" w:rsidRPr="00C657A9" w:rsidRDefault="00662D00" w:rsidP="00CC6B5C">
            <w:pPr>
              <w:pStyle w:val="SingleTxtGC"/>
              <w:ind w:left="0" w:right="0"/>
              <w:rPr>
                <w:rFonts w:hint="eastAsia"/>
                <w:snapToGrid/>
              </w:rPr>
            </w:pPr>
            <w:r w:rsidRPr="00CA47D2">
              <w:rPr>
                <w:rFonts w:hint="eastAsia"/>
                <w:lang w:val="en-GB"/>
              </w:rPr>
              <w:t>第二条和第十四条第</w:t>
            </w:r>
            <w:r w:rsidRPr="00CA47D2">
              <w:rPr>
                <w:rFonts w:hint="eastAsia"/>
                <w:lang w:val="en-GB"/>
              </w:rPr>
              <w:t>1</w:t>
            </w:r>
            <w:r w:rsidRPr="00CA47D2">
              <w:rPr>
                <w:rFonts w:hint="eastAsia"/>
                <w:lang w:val="en-GB"/>
              </w:rPr>
              <w:t>款</w:t>
            </w:r>
          </w:p>
        </w:tc>
      </w:tr>
      <w:tr w:rsidR="009E146E" w:rsidTr="00273000">
        <w:trPr>
          <w:cantSplit/>
        </w:trPr>
        <w:tc>
          <w:tcPr>
            <w:tcW w:w="2047" w:type="dxa"/>
          </w:tcPr>
          <w:p w:rsidR="009E146E" w:rsidRPr="000475C3" w:rsidRDefault="009E146E" w:rsidP="00CC6B5C">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sidR="008A0274">
              <w:rPr>
                <w:rFonts w:hint="eastAsia"/>
                <w:snapToGrid/>
              </w:rPr>
              <w:t>：</w:t>
            </w:r>
          </w:p>
        </w:tc>
        <w:tc>
          <w:tcPr>
            <w:tcW w:w="4884" w:type="dxa"/>
          </w:tcPr>
          <w:p w:rsidR="009E146E" w:rsidRDefault="00662D00" w:rsidP="00CC6B5C">
            <w:pPr>
              <w:pStyle w:val="SingleTxtGC"/>
              <w:ind w:left="0" w:right="0"/>
              <w:rPr>
                <w:rFonts w:hint="eastAsia"/>
                <w:snapToGrid/>
              </w:rPr>
            </w:pPr>
            <w:r w:rsidRPr="00CA47D2">
              <w:rPr>
                <w:rFonts w:hint="eastAsia"/>
                <w:lang w:val="en-GB"/>
              </w:rPr>
              <w:t>第二条</w:t>
            </w:r>
          </w:p>
        </w:tc>
      </w:tr>
    </w:tbl>
    <w:p w:rsidR="009E146E" w:rsidRPr="009E146E" w:rsidRDefault="008A0274" w:rsidP="001C404D">
      <w:pPr>
        <w:pStyle w:val="SingleTxtGC"/>
        <w:spacing w:before="120"/>
        <w:rPr>
          <w:rFonts w:hint="eastAsia"/>
        </w:rPr>
      </w:pPr>
      <w:r>
        <w:rPr>
          <w:rFonts w:hint="eastAsia"/>
        </w:rPr>
        <w:t>[</w:t>
      </w:r>
      <w:r w:rsidR="009E146E">
        <w:rPr>
          <w:rFonts w:hint="eastAsia"/>
        </w:rPr>
        <w:t>附件</w:t>
      </w:r>
      <w:r>
        <w:rPr>
          <w:rFonts w:hint="eastAsia"/>
        </w:rPr>
        <w:t>]</w:t>
      </w:r>
    </w:p>
    <w:p w:rsidR="00662D00" w:rsidRDefault="00662D00" w:rsidP="00662D00">
      <w:pPr>
        <w:pStyle w:val="HChGC"/>
        <w:rPr>
          <w:rFonts w:hint="eastAsia"/>
        </w:rPr>
      </w:pPr>
      <w:r>
        <w:rPr>
          <w:rFonts w:hint="eastAsia"/>
        </w:rPr>
        <w:t>附件</w:t>
      </w:r>
    </w:p>
    <w:p w:rsidR="00662D00" w:rsidRDefault="00662D00" w:rsidP="00662D00">
      <w:pPr>
        <w:pStyle w:val="HChGC"/>
      </w:pPr>
      <w:r>
        <w:rPr>
          <w:rFonts w:hint="eastAsia"/>
        </w:rPr>
        <w:tab/>
      </w:r>
      <w:r>
        <w:rPr>
          <w:rFonts w:hint="eastAsia"/>
        </w:rPr>
        <w:tab/>
      </w:r>
      <w:r>
        <w:rPr>
          <w:rFonts w:hint="eastAsia"/>
        </w:rPr>
        <w:t>人权事务委员会根据《公民权利和政治权利国际公约</w:t>
      </w:r>
      <w:r>
        <w:br/>
      </w:r>
      <w:r>
        <w:rPr>
          <w:rFonts w:hint="eastAsia"/>
        </w:rPr>
        <w:t>任择议定书》在第九十八届会议上</w:t>
      </w:r>
    </w:p>
    <w:p w:rsidR="00662D00" w:rsidRDefault="00662D00" w:rsidP="00662D00">
      <w:pPr>
        <w:pStyle w:val="SingleTxtGC"/>
      </w:pPr>
      <w:r>
        <w:rPr>
          <w:rFonts w:hint="eastAsia"/>
        </w:rPr>
        <w:t>作出的关于</w:t>
      </w:r>
    </w:p>
    <w:p w:rsidR="00662D00" w:rsidRDefault="00662D00" w:rsidP="00662D00">
      <w:pPr>
        <w:pStyle w:val="H1GC"/>
        <w:rPr>
          <w:rFonts w:hint="eastAsia"/>
        </w:rPr>
      </w:pPr>
      <w:r>
        <w:rPr>
          <w:rFonts w:hint="eastAsia"/>
        </w:rPr>
        <w:tab/>
      </w:r>
      <w:r>
        <w:rPr>
          <w:rFonts w:hint="eastAsia"/>
        </w:rPr>
        <w:tab/>
      </w:r>
      <w:r>
        <w:rPr>
          <w:rFonts w:hint="eastAsia"/>
        </w:rPr>
        <w:t>第</w:t>
      </w:r>
      <w:r w:rsidR="008B4B69" w:rsidRPr="00273000">
        <w:rPr>
          <w:rFonts w:hint="eastAsia"/>
        </w:rPr>
        <w:t>1522</w:t>
      </w:r>
      <w:r w:rsidR="008A0274">
        <w:rPr>
          <w:rFonts w:hint="eastAsia"/>
        </w:rPr>
        <w:t>/</w:t>
      </w:r>
      <w:r w:rsidR="008B4B69" w:rsidRPr="00273000">
        <w:rPr>
          <w:rFonts w:hint="eastAsia"/>
        </w:rPr>
        <w:t>2006</w:t>
      </w:r>
      <w:r w:rsidR="008B4B69" w:rsidRPr="008B4B69">
        <w:rPr>
          <w:rStyle w:val="FootnoteReference"/>
          <w:vertAlign w:val="baseline"/>
        </w:rPr>
        <w:footnoteReference w:customMarkFollows="1" w:id="2"/>
        <w:sym w:font="Symbol" w:char="F02A"/>
      </w:r>
      <w:r w:rsidR="008B4B69" w:rsidRPr="008B4B69">
        <w:rPr>
          <w:rStyle w:val="FootnoteReference"/>
          <w:vertAlign w:val="baseline"/>
        </w:rPr>
        <w:sym w:font="Symbol" w:char="F02A"/>
      </w:r>
      <w:r>
        <w:rPr>
          <w:rFonts w:hint="eastAsia"/>
        </w:rPr>
        <w:t>号来文的决定</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01"/>
        <w:gridCol w:w="5431"/>
      </w:tblGrid>
      <w:tr w:rsidR="00662D00" w:rsidRPr="00C74FB6" w:rsidTr="00B90D4C">
        <w:trPr>
          <w:cantSplit/>
        </w:trPr>
        <w:tc>
          <w:tcPr>
            <w:tcW w:w="1501" w:type="dxa"/>
          </w:tcPr>
          <w:p w:rsidR="00662D00" w:rsidRPr="00C74FB6" w:rsidRDefault="00662D00" w:rsidP="00B90D4C">
            <w:pPr>
              <w:pStyle w:val="SingleTxtGC"/>
              <w:ind w:left="0" w:right="0"/>
              <w:rPr>
                <w:rFonts w:eastAsia="KaiTi_GB2312"/>
              </w:rPr>
            </w:pPr>
            <w:r w:rsidRPr="00B115C8">
              <w:rPr>
                <w:rFonts w:ascii="Time New Roman" w:eastAsia="KaiTi_GB2312" w:hAnsi="Time New Roman" w:hint="eastAsia"/>
              </w:rPr>
              <w:t>提交人</w:t>
            </w:r>
            <w:r w:rsidR="008A0274">
              <w:rPr>
                <w:rFonts w:eastAsia="KaiTi_GB2312" w:hint="eastAsia"/>
              </w:rPr>
              <w:t>：</w:t>
            </w:r>
          </w:p>
        </w:tc>
        <w:tc>
          <w:tcPr>
            <w:tcW w:w="5431" w:type="dxa"/>
          </w:tcPr>
          <w:p w:rsidR="00662D00" w:rsidRPr="00C74FB6" w:rsidRDefault="008B4B69" w:rsidP="00B90D4C">
            <w:pPr>
              <w:pStyle w:val="SingleTxtGC"/>
              <w:ind w:left="0" w:right="0"/>
            </w:pPr>
            <w:r>
              <w:rPr>
                <w:bCs/>
                <w:lang w:val="en-GB"/>
              </w:rPr>
              <w:t>N.</w:t>
            </w:r>
            <w:r w:rsidRPr="00CA47D2">
              <w:rPr>
                <w:bCs/>
                <w:lang w:val="en-GB"/>
              </w:rPr>
              <w:t>T.</w:t>
            </w:r>
            <w:r w:rsidR="008A0274">
              <w:rPr>
                <w:rFonts w:hint="eastAsia"/>
              </w:rPr>
              <w:t>(</w:t>
            </w:r>
            <w:r>
              <w:rPr>
                <w:rFonts w:hint="eastAsia"/>
              </w:rPr>
              <w:t>无</w:t>
            </w:r>
            <w:r w:rsidR="00662D00" w:rsidRPr="00C74FB6">
              <w:rPr>
                <w:rFonts w:hint="eastAsia"/>
              </w:rPr>
              <w:t>律师代理</w:t>
            </w:r>
            <w:r w:rsidR="008A0274">
              <w:rPr>
                <w:rFonts w:hint="eastAsia"/>
              </w:rPr>
              <w:t>)</w:t>
            </w:r>
          </w:p>
        </w:tc>
      </w:tr>
      <w:tr w:rsidR="00662D00" w:rsidRPr="00C74FB6" w:rsidTr="00B90D4C">
        <w:trPr>
          <w:cantSplit/>
        </w:trPr>
        <w:tc>
          <w:tcPr>
            <w:tcW w:w="1501" w:type="dxa"/>
          </w:tcPr>
          <w:p w:rsidR="00662D00" w:rsidRPr="00C74FB6" w:rsidRDefault="00662D00" w:rsidP="00B90D4C">
            <w:pPr>
              <w:pStyle w:val="SingleTxtGC"/>
              <w:ind w:left="0" w:right="0"/>
              <w:rPr>
                <w:rFonts w:eastAsia="KaiTi_GB2312"/>
              </w:rPr>
            </w:pPr>
            <w:r w:rsidRPr="005749F7">
              <w:rPr>
                <w:rFonts w:ascii="Time New Roman" w:eastAsia="KaiTi_GB2312" w:hAnsi="Time New Roman" w:hint="eastAsia"/>
              </w:rPr>
              <w:t>据称受害人</w:t>
            </w:r>
            <w:r w:rsidR="008A0274">
              <w:rPr>
                <w:rFonts w:ascii="Time New Roman" w:eastAsia="KaiTi_GB2312" w:hAnsi="Time New Roman" w:hint="eastAsia"/>
              </w:rPr>
              <w:t>：</w:t>
            </w:r>
          </w:p>
        </w:tc>
        <w:tc>
          <w:tcPr>
            <w:tcW w:w="5431" w:type="dxa"/>
          </w:tcPr>
          <w:p w:rsidR="00662D00" w:rsidRPr="00C74FB6" w:rsidRDefault="00662D00" w:rsidP="00B90D4C">
            <w:pPr>
              <w:pStyle w:val="SingleTxtGC"/>
              <w:ind w:left="0" w:right="0"/>
            </w:pPr>
            <w:r w:rsidRPr="00C74FB6">
              <w:rPr>
                <w:rFonts w:hint="eastAsia"/>
              </w:rPr>
              <w:t>提交人</w:t>
            </w:r>
          </w:p>
        </w:tc>
      </w:tr>
      <w:tr w:rsidR="00662D00" w:rsidRPr="00C74FB6" w:rsidTr="00B90D4C">
        <w:trPr>
          <w:cantSplit/>
        </w:trPr>
        <w:tc>
          <w:tcPr>
            <w:tcW w:w="1501" w:type="dxa"/>
          </w:tcPr>
          <w:p w:rsidR="00662D00" w:rsidRPr="00C74FB6" w:rsidRDefault="00662D00" w:rsidP="00B90D4C">
            <w:pPr>
              <w:pStyle w:val="SingleTxtGC"/>
              <w:ind w:left="0" w:right="0"/>
              <w:rPr>
                <w:rFonts w:eastAsia="KaiTi_GB2312"/>
              </w:rPr>
            </w:pPr>
            <w:r w:rsidRPr="005749F7">
              <w:rPr>
                <w:rFonts w:ascii="Time New Roman" w:eastAsia="KaiTi_GB2312" w:hAnsi="Time New Roman" w:hint="eastAsia"/>
              </w:rPr>
              <w:t>所涉缔约国</w:t>
            </w:r>
            <w:r w:rsidR="008A0274">
              <w:rPr>
                <w:rFonts w:ascii="Time New Roman" w:eastAsia="KaiTi_GB2312" w:hAnsi="Time New Roman" w:hint="eastAsia"/>
              </w:rPr>
              <w:t>：</w:t>
            </w:r>
          </w:p>
        </w:tc>
        <w:tc>
          <w:tcPr>
            <w:tcW w:w="5431" w:type="dxa"/>
          </w:tcPr>
          <w:p w:rsidR="00662D00" w:rsidRPr="00C74FB6" w:rsidRDefault="008B4B69" w:rsidP="00B90D4C">
            <w:pPr>
              <w:pStyle w:val="SingleTxtGC"/>
              <w:ind w:left="0" w:right="0"/>
            </w:pPr>
            <w:r w:rsidRPr="00CA47D2">
              <w:rPr>
                <w:lang w:val="en-GB"/>
              </w:rPr>
              <w:t>吉尔吉斯斯坦</w:t>
            </w:r>
          </w:p>
        </w:tc>
      </w:tr>
      <w:tr w:rsidR="00662D00" w:rsidRPr="00C74FB6" w:rsidTr="00B90D4C">
        <w:trPr>
          <w:cantSplit/>
        </w:trPr>
        <w:tc>
          <w:tcPr>
            <w:tcW w:w="1501" w:type="dxa"/>
          </w:tcPr>
          <w:p w:rsidR="00662D00" w:rsidRPr="005749F7" w:rsidRDefault="00662D00" w:rsidP="00B90D4C">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008A0274">
              <w:rPr>
                <w:rFonts w:ascii="Time New Roman" w:eastAsia="KaiTi_GB2312" w:hAnsi="Time New Roman" w:hint="eastAsia"/>
              </w:rPr>
              <w:t>：</w:t>
            </w:r>
          </w:p>
        </w:tc>
        <w:tc>
          <w:tcPr>
            <w:tcW w:w="5431" w:type="dxa"/>
          </w:tcPr>
          <w:p w:rsidR="008B4B69" w:rsidRPr="00C74FB6" w:rsidRDefault="008B4B69" w:rsidP="00B90D4C">
            <w:pPr>
              <w:pStyle w:val="SingleTxtGC"/>
              <w:ind w:left="0" w:right="0"/>
              <w:rPr>
                <w:rFonts w:hint="eastAsia"/>
              </w:rPr>
            </w:pPr>
            <w:r w:rsidRPr="00CA47D2">
              <w:rPr>
                <w:lang w:val="en-GB"/>
              </w:rPr>
              <w:t>2006</w:t>
            </w:r>
            <w:r w:rsidRPr="00CA47D2">
              <w:rPr>
                <w:rFonts w:hint="eastAsia"/>
                <w:lang w:val="en-GB"/>
              </w:rPr>
              <w:t>年</w:t>
            </w:r>
            <w:r w:rsidRPr="00CA47D2">
              <w:rPr>
                <w:rFonts w:hint="eastAsia"/>
                <w:lang w:val="en-GB"/>
              </w:rPr>
              <w:t>6</w:t>
            </w:r>
            <w:r w:rsidRPr="00CA47D2">
              <w:rPr>
                <w:rFonts w:hint="eastAsia"/>
                <w:lang w:val="en-GB"/>
              </w:rPr>
              <w:t>月</w:t>
            </w:r>
            <w:r w:rsidRPr="00CA47D2">
              <w:rPr>
                <w:rFonts w:hint="eastAsia"/>
                <w:lang w:val="en-GB"/>
              </w:rPr>
              <w:t>26</w:t>
            </w:r>
            <w:r w:rsidRPr="00CA47D2">
              <w:rPr>
                <w:rFonts w:hint="eastAsia"/>
                <w:lang w:val="en-GB"/>
              </w:rPr>
              <w:t>日</w:t>
            </w:r>
            <w:r w:rsidR="008A0274">
              <w:rPr>
                <w:lang w:val="en-GB"/>
              </w:rPr>
              <w:t>(</w:t>
            </w:r>
            <w:r w:rsidRPr="00CA47D2">
              <w:rPr>
                <w:rFonts w:hint="eastAsia"/>
                <w:lang w:val="en-GB"/>
              </w:rPr>
              <w:t>首次提交</w:t>
            </w:r>
            <w:r w:rsidR="008A0274">
              <w:rPr>
                <w:lang w:val="en-GB"/>
              </w:rPr>
              <w:t>)</w:t>
            </w:r>
            <w:r w:rsidRPr="00C74FB6">
              <w:rPr>
                <w:rFonts w:hint="eastAsia"/>
              </w:rPr>
              <w:t xml:space="preserve"> </w:t>
            </w:r>
          </w:p>
        </w:tc>
      </w:tr>
    </w:tbl>
    <w:p w:rsidR="00662D00" w:rsidRDefault="00662D00" w:rsidP="008540AC">
      <w:pPr>
        <w:pStyle w:val="SingleTxtGC"/>
        <w:spacing w:before="120"/>
        <w:ind w:left="1565"/>
        <w:rPr>
          <w:rFonts w:hint="eastAsia"/>
        </w:rPr>
      </w:pPr>
      <w:r>
        <w:rPr>
          <w:rFonts w:hint="eastAsia"/>
        </w:rPr>
        <w:t>根据《公民权利和政治权利国际公约》第二十八条设立的</w:t>
      </w:r>
      <w:r w:rsidRPr="00F25F14">
        <w:rPr>
          <w:rFonts w:eastAsia="KaiTi_GB2312" w:hint="eastAsia"/>
          <w:snapToGrid/>
        </w:rPr>
        <w:t>人权事务委员会</w:t>
      </w:r>
      <w:r w:rsidR="008A0274">
        <w:rPr>
          <w:rFonts w:hint="eastAsia"/>
        </w:rPr>
        <w:t>，</w:t>
      </w:r>
    </w:p>
    <w:p w:rsidR="00662D00" w:rsidRDefault="00662D00" w:rsidP="00662D00">
      <w:pPr>
        <w:pStyle w:val="SingleTxtGC"/>
        <w:ind w:left="1565"/>
        <w:rPr>
          <w:rFonts w:hint="eastAsia"/>
        </w:rPr>
      </w:pPr>
      <w:r>
        <w:rPr>
          <w:rFonts w:hint="eastAsia"/>
        </w:rPr>
        <w:t>于</w:t>
      </w:r>
      <w:r w:rsidR="008B4B69" w:rsidRPr="00CA47D2">
        <w:rPr>
          <w:lang w:val="en-GB"/>
        </w:rPr>
        <w:t>20</w:t>
      </w:r>
      <w:r w:rsidR="008B4B69" w:rsidRPr="00CA47D2">
        <w:rPr>
          <w:rFonts w:hint="eastAsia"/>
          <w:lang w:val="en-GB"/>
        </w:rPr>
        <w:t>1</w:t>
      </w:r>
      <w:r w:rsidR="008B4B69" w:rsidRPr="00CA47D2">
        <w:rPr>
          <w:lang w:val="en-GB"/>
        </w:rPr>
        <w:t>0</w:t>
      </w:r>
      <w:r w:rsidR="008B4B69" w:rsidRPr="00CA47D2">
        <w:rPr>
          <w:lang w:val="en-GB"/>
        </w:rPr>
        <w:t>年</w:t>
      </w:r>
      <w:r w:rsidR="008B4B69" w:rsidRPr="00CA47D2">
        <w:rPr>
          <w:rFonts w:hint="eastAsia"/>
          <w:lang w:val="en-GB"/>
        </w:rPr>
        <w:t>3</w:t>
      </w:r>
      <w:r w:rsidR="008B4B69" w:rsidRPr="00CA47D2">
        <w:rPr>
          <w:lang w:val="en-GB"/>
        </w:rPr>
        <w:t>月</w:t>
      </w:r>
      <w:r w:rsidR="008B4B69" w:rsidRPr="00CA47D2">
        <w:rPr>
          <w:rFonts w:hint="eastAsia"/>
          <w:lang w:val="en-GB"/>
        </w:rPr>
        <w:t>19</w:t>
      </w:r>
      <w:r w:rsidR="008B4B69" w:rsidRPr="00CA47D2">
        <w:rPr>
          <w:lang w:val="en-GB"/>
        </w:rPr>
        <w:t>日</w:t>
      </w:r>
      <w:r w:rsidRPr="00F25F14">
        <w:rPr>
          <w:rFonts w:eastAsia="KaiTi_GB2312" w:hint="eastAsia"/>
          <w:snapToGrid/>
        </w:rPr>
        <w:t>举行会议</w:t>
      </w:r>
      <w:r w:rsidR="008A0274">
        <w:rPr>
          <w:rFonts w:hint="eastAsia"/>
        </w:rPr>
        <w:t>，</w:t>
      </w:r>
    </w:p>
    <w:p w:rsidR="00662D00" w:rsidRDefault="00662D00" w:rsidP="00662D00">
      <w:pPr>
        <w:pStyle w:val="SingleTxtGC"/>
        <w:ind w:left="1565"/>
      </w:pPr>
      <w:r w:rsidRPr="00AF3863">
        <w:rPr>
          <w:rFonts w:eastAsia="KaiTi_GB2312" w:hint="eastAsia"/>
          <w:snapToGrid/>
        </w:rPr>
        <w:t>通过</w:t>
      </w:r>
      <w:r>
        <w:rPr>
          <w:rFonts w:hint="eastAsia"/>
        </w:rPr>
        <w:t>以下</w:t>
      </w:r>
      <w:r w:rsidR="008A0274">
        <w:rPr>
          <w:rFonts w:hint="eastAsia"/>
        </w:rPr>
        <w:t>：</w:t>
      </w:r>
    </w:p>
    <w:p w:rsidR="00662D00" w:rsidRDefault="00662D00" w:rsidP="008B4B69">
      <w:pPr>
        <w:pStyle w:val="H1GC"/>
        <w:rPr>
          <w:rFonts w:hint="eastAsia"/>
        </w:rPr>
      </w:pPr>
      <w:r>
        <w:rPr>
          <w:rFonts w:hint="eastAsia"/>
        </w:rPr>
        <w:tab/>
      </w:r>
      <w:r>
        <w:rPr>
          <w:rFonts w:hint="eastAsia"/>
        </w:rPr>
        <w:tab/>
      </w:r>
      <w:r>
        <w:rPr>
          <w:rFonts w:hint="eastAsia"/>
        </w:rPr>
        <w:t>关于可否受理的决定</w:t>
      </w:r>
    </w:p>
    <w:p w:rsidR="00CA47D2" w:rsidRPr="00CA47D2" w:rsidRDefault="008A0274" w:rsidP="008B4B69">
      <w:pPr>
        <w:pStyle w:val="SingleTxtGC"/>
        <w:rPr>
          <w:rFonts w:hint="eastAsia"/>
        </w:rPr>
      </w:pPr>
      <w:r>
        <w:t>1.</w:t>
      </w:r>
      <w:r w:rsidR="008B4B69">
        <w:t xml:space="preserve"> </w:t>
      </w:r>
      <w:r w:rsidR="008B4B69">
        <w:rPr>
          <w:rFonts w:hint="eastAsia"/>
        </w:rPr>
        <w:t xml:space="preserve"> </w:t>
      </w:r>
      <w:r w:rsidR="00CA47D2" w:rsidRPr="00CA47D2">
        <w:rPr>
          <w:rFonts w:hint="eastAsia"/>
        </w:rPr>
        <w:t>来文提交人</w:t>
      </w:r>
      <w:r w:rsidR="00273000">
        <w:t>N.</w:t>
      </w:r>
      <w:r w:rsidR="00CA47D2" w:rsidRPr="00CA47D2">
        <w:t>T</w:t>
      </w:r>
      <w:r w:rsidR="00E32EAD">
        <w:rPr>
          <w:rFonts w:hint="eastAsia"/>
        </w:rPr>
        <w:t>.</w:t>
      </w:r>
      <w:r w:rsidR="00CA47D2" w:rsidRPr="00CA47D2">
        <w:rPr>
          <w:rFonts w:hint="eastAsia"/>
        </w:rPr>
        <w:t>是</w:t>
      </w:r>
      <w:r w:rsidR="00CA47D2" w:rsidRPr="00CA47D2">
        <w:t>吉尔吉斯斯坦</w:t>
      </w:r>
      <w:r w:rsidR="00CA47D2" w:rsidRPr="00CA47D2">
        <w:rPr>
          <w:rFonts w:hint="eastAsia"/>
        </w:rPr>
        <w:t>公民</w:t>
      </w:r>
      <w:r>
        <w:rPr>
          <w:rFonts w:hint="eastAsia"/>
        </w:rPr>
        <w:t>，</w:t>
      </w:r>
      <w:r w:rsidR="00CA47D2" w:rsidRPr="00CA47D2">
        <w:rPr>
          <w:rFonts w:hint="eastAsia"/>
        </w:rPr>
        <w:t>他声称缔约国侵犯了他根据《公约》第二条和第十四条第</w:t>
      </w:r>
      <w:r w:rsidR="00CA47D2" w:rsidRPr="00CA47D2">
        <w:rPr>
          <w:rFonts w:hint="eastAsia"/>
        </w:rPr>
        <w:t>1</w:t>
      </w:r>
      <w:r w:rsidR="00CA47D2" w:rsidRPr="00CA47D2">
        <w:rPr>
          <w:rFonts w:hint="eastAsia"/>
        </w:rPr>
        <w:t>款所享有的权利</w:t>
      </w:r>
      <w:r>
        <w:rPr>
          <w:rFonts w:hint="eastAsia"/>
        </w:rPr>
        <w:t>，</w:t>
      </w:r>
      <w:r w:rsidR="00CA47D2" w:rsidRPr="00CA47D2">
        <w:rPr>
          <w:rFonts w:hint="eastAsia"/>
        </w:rPr>
        <w:t>是受害者。提交人无律师代理。</w:t>
      </w:r>
    </w:p>
    <w:p w:rsidR="00CA47D2" w:rsidRPr="00CA47D2" w:rsidRDefault="008B4B69" w:rsidP="008B4B69">
      <w:pPr>
        <w:pStyle w:val="H23GC"/>
        <w:rPr>
          <w:rFonts w:hint="eastAsia"/>
        </w:rPr>
      </w:pPr>
      <w:r>
        <w:rPr>
          <w:rFonts w:hint="eastAsia"/>
        </w:rPr>
        <w:tab/>
      </w:r>
      <w:r>
        <w:rPr>
          <w:rFonts w:hint="eastAsia"/>
        </w:rPr>
        <w:tab/>
      </w:r>
      <w:r w:rsidR="00CA47D2" w:rsidRPr="00CA47D2">
        <w:rPr>
          <w:rFonts w:hint="eastAsia"/>
        </w:rPr>
        <w:t>提交人陈述的事实</w:t>
      </w:r>
    </w:p>
    <w:p w:rsidR="00CA47D2" w:rsidRPr="00E7126F" w:rsidRDefault="008A0274" w:rsidP="008B4B69">
      <w:pPr>
        <w:pStyle w:val="SingleTxtGC"/>
        <w:rPr>
          <w:rFonts w:hint="eastAsia"/>
          <w:spacing w:val="-4"/>
          <w:lang w:val="en-GB"/>
        </w:rPr>
      </w:pPr>
      <w:r>
        <w:rPr>
          <w:lang w:val="en-GB"/>
        </w:rPr>
        <w:t>2.</w:t>
      </w:r>
      <w:r w:rsidR="008B4B69">
        <w:rPr>
          <w:lang w:val="en-GB"/>
        </w:rPr>
        <w:t xml:space="preserve">1 </w:t>
      </w:r>
      <w:r w:rsidR="008B4B69">
        <w:rPr>
          <w:rFonts w:hint="eastAsia"/>
          <w:lang w:val="en-GB"/>
        </w:rPr>
        <w:t xml:space="preserve"> </w:t>
      </w:r>
      <w:r w:rsidR="00CA47D2" w:rsidRPr="00CA47D2">
        <w:rPr>
          <w:lang w:val="en-GB"/>
        </w:rPr>
        <w:t>2006</w:t>
      </w:r>
      <w:r w:rsidR="00CA47D2" w:rsidRPr="00CA47D2">
        <w:rPr>
          <w:rFonts w:hint="eastAsia"/>
          <w:lang w:val="en-GB"/>
        </w:rPr>
        <w:t>年</w:t>
      </w:r>
      <w:r w:rsidR="00CA47D2" w:rsidRPr="00CA47D2">
        <w:rPr>
          <w:rFonts w:hint="eastAsia"/>
          <w:lang w:val="en-GB"/>
        </w:rPr>
        <w:t>2</w:t>
      </w:r>
      <w:r w:rsidR="00CA47D2" w:rsidRPr="00CA47D2">
        <w:rPr>
          <w:rFonts w:hint="eastAsia"/>
          <w:lang w:val="en-GB"/>
        </w:rPr>
        <w:t>月</w:t>
      </w:r>
      <w:r w:rsidR="00CA47D2" w:rsidRPr="00CA47D2">
        <w:rPr>
          <w:rFonts w:hint="eastAsia"/>
          <w:lang w:val="en-GB"/>
        </w:rPr>
        <w:t>15</w:t>
      </w:r>
      <w:r w:rsidR="00CA47D2" w:rsidRPr="00CA47D2">
        <w:rPr>
          <w:rFonts w:hint="eastAsia"/>
          <w:lang w:val="en-GB"/>
        </w:rPr>
        <w:t>日</w:t>
      </w:r>
      <w:r>
        <w:rPr>
          <w:rFonts w:hint="eastAsia"/>
          <w:lang w:val="en-GB"/>
        </w:rPr>
        <w:t>，</w:t>
      </w:r>
      <w:r w:rsidR="00CA47D2" w:rsidRPr="00CA47D2">
        <w:rPr>
          <w:rFonts w:hint="eastAsia"/>
          <w:lang w:val="en-GB"/>
        </w:rPr>
        <w:t>提交人赴财政部送交对该部工作的一份申诉书。提交人未获准进入财政部大楼</w:t>
      </w:r>
      <w:r>
        <w:rPr>
          <w:rFonts w:hint="eastAsia"/>
          <w:lang w:val="en-GB"/>
        </w:rPr>
        <w:t>，</w:t>
      </w:r>
      <w:r w:rsidR="00CA47D2" w:rsidRPr="00CA47D2">
        <w:rPr>
          <w:rFonts w:hint="eastAsia"/>
          <w:lang w:val="en-GB"/>
        </w:rPr>
        <w:t>而是被告知将申诉书放到门厅专为接收申诉书所设的箱子里。提交人拒绝接受。他拨打负责受理申诉部门的电话</w:t>
      </w:r>
      <w:r>
        <w:rPr>
          <w:rFonts w:hint="eastAsia"/>
          <w:lang w:val="en-GB"/>
        </w:rPr>
        <w:t>，</w:t>
      </w:r>
      <w:r w:rsidR="00CA47D2" w:rsidRPr="00CA47D2">
        <w:rPr>
          <w:rFonts w:hint="eastAsia"/>
          <w:lang w:val="en-GB"/>
        </w:rPr>
        <w:t>要求当面送交申诉</w:t>
      </w:r>
      <w:r>
        <w:rPr>
          <w:rFonts w:hint="eastAsia"/>
          <w:lang w:val="en-GB"/>
        </w:rPr>
        <w:t>，</w:t>
      </w:r>
      <w:r w:rsidR="00CA47D2" w:rsidRPr="00E7126F">
        <w:rPr>
          <w:rFonts w:hint="eastAsia"/>
          <w:spacing w:val="-4"/>
          <w:lang w:val="en-GB"/>
        </w:rPr>
        <w:t>并要求向其出具收条和受理号。该部门的官员拒绝亲自接受申诉</w:t>
      </w:r>
      <w:r>
        <w:rPr>
          <w:rFonts w:hint="eastAsia"/>
          <w:spacing w:val="-4"/>
          <w:lang w:val="en-GB"/>
        </w:rPr>
        <w:t>，</w:t>
      </w:r>
      <w:r w:rsidR="00CA47D2" w:rsidRPr="00E7126F">
        <w:rPr>
          <w:rFonts w:hint="eastAsia"/>
          <w:spacing w:val="-4"/>
          <w:lang w:val="en-GB"/>
        </w:rPr>
        <w:t>解释说部长特别指令中规定了提交个人申诉的程序</w:t>
      </w:r>
      <w:r>
        <w:rPr>
          <w:rFonts w:hint="eastAsia"/>
          <w:spacing w:val="-4"/>
          <w:lang w:val="en-GB"/>
        </w:rPr>
        <w:t>，</w:t>
      </w:r>
      <w:r w:rsidR="00CA47D2" w:rsidRPr="00E7126F">
        <w:rPr>
          <w:rFonts w:hint="eastAsia"/>
          <w:spacing w:val="-4"/>
          <w:lang w:val="en-GB"/>
        </w:rPr>
        <w:t>按照程序申诉应放置在大楼门厅的箱子里。</w:t>
      </w:r>
    </w:p>
    <w:p w:rsidR="00CA47D2" w:rsidRPr="00CA47D2" w:rsidRDefault="008A0274" w:rsidP="000C14A8">
      <w:pPr>
        <w:pStyle w:val="SingleTxtGC"/>
        <w:rPr>
          <w:rFonts w:hint="eastAsia"/>
          <w:lang w:val="en-GB"/>
        </w:rPr>
      </w:pPr>
      <w:r>
        <w:rPr>
          <w:lang w:val="en-GB"/>
        </w:rPr>
        <w:t>2.</w:t>
      </w:r>
      <w:r w:rsidR="008B4B69">
        <w:rPr>
          <w:lang w:val="en-GB"/>
        </w:rPr>
        <w:t xml:space="preserve">2 </w:t>
      </w:r>
      <w:r w:rsidR="008B4B69">
        <w:rPr>
          <w:rFonts w:hint="eastAsia"/>
          <w:lang w:val="en-GB"/>
        </w:rPr>
        <w:t xml:space="preserve">  </w:t>
      </w:r>
      <w:r w:rsidR="00CA47D2" w:rsidRPr="00CA47D2">
        <w:rPr>
          <w:rFonts w:hint="eastAsia"/>
          <w:lang w:val="en-GB"/>
        </w:rPr>
        <w:t>最后</w:t>
      </w:r>
      <w:r>
        <w:rPr>
          <w:rFonts w:hint="eastAsia"/>
          <w:lang w:val="en-GB"/>
        </w:rPr>
        <w:t>，</w:t>
      </w:r>
      <w:r w:rsidR="00CA47D2" w:rsidRPr="00CA47D2">
        <w:rPr>
          <w:rFonts w:hint="eastAsia"/>
          <w:lang w:val="en-GB"/>
        </w:rPr>
        <w:t>提交人将申诉书放到箱子里。次日</w:t>
      </w:r>
      <w:r>
        <w:rPr>
          <w:rFonts w:hint="eastAsia"/>
          <w:lang w:val="en-GB"/>
        </w:rPr>
        <w:t>，</w:t>
      </w:r>
      <w:r w:rsidR="00CA47D2" w:rsidRPr="00CA47D2">
        <w:rPr>
          <w:rFonts w:hint="eastAsia"/>
          <w:lang w:val="en-GB"/>
        </w:rPr>
        <w:t>他与负责申诉部门的官员联系</w:t>
      </w:r>
      <w:r>
        <w:rPr>
          <w:rFonts w:hint="eastAsia"/>
          <w:lang w:val="en-GB"/>
        </w:rPr>
        <w:t>，</w:t>
      </w:r>
      <w:r w:rsidR="00CA47D2" w:rsidRPr="00CA47D2">
        <w:rPr>
          <w:rFonts w:hint="eastAsia"/>
          <w:lang w:val="en-GB"/>
        </w:rPr>
        <w:t>再次要求对方提供申诉受理号。这位官员答复说并未收到提交人的申诉书。</w:t>
      </w:r>
    </w:p>
    <w:p w:rsidR="00CA47D2" w:rsidRPr="00CA47D2" w:rsidRDefault="008A0274" w:rsidP="000C14A8">
      <w:pPr>
        <w:pStyle w:val="SingleTxtGC"/>
        <w:rPr>
          <w:rFonts w:hint="eastAsia"/>
          <w:lang w:val="en-GB"/>
        </w:rPr>
      </w:pPr>
      <w:r>
        <w:rPr>
          <w:lang w:val="en-GB"/>
        </w:rPr>
        <w:t>2.</w:t>
      </w:r>
      <w:r w:rsidR="00CA47D2" w:rsidRPr="00CA47D2">
        <w:rPr>
          <w:lang w:val="en-GB"/>
        </w:rPr>
        <w:t xml:space="preserve">3 </w:t>
      </w:r>
      <w:r w:rsidR="008B4B69">
        <w:rPr>
          <w:rFonts w:hint="eastAsia"/>
          <w:lang w:val="en-GB"/>
        </w:rPr>
        <w:t xml:space="preserve"> </w:t>
      </w:r>
      <w:r w:rsidR="00CA47D2" w:rsidRPr="00CA47D2">
        <w:rPr>
          <w:lang w:val="en-GB"/>
        </w:rPr>
        <w:t>2006</w:t>
      </w:r>
      <w:r w:rsidR="00CA47D2" w:rsidRPr="00CA47D2">
        <w:rPr>
          <w:rFonts w:hint="eastAsia"/>
          <w:lang w:val="en-GB"/>
        </w:rPr>
        <w:t>年</w:t>
      </w:r>
      <w:r w:rsidR="00CA47D2" w:rsidRPr="00CA47D2">
        <w:rPr>
          <w:rFonts w:hint="eastAsia"/>
          <w:lang w:val="en-GB"/>
        </w:rPr>
        <w:t>2</w:t>
      </w:r>
      <w:r w:rsidR="00CA47D2" w:rsidRPr="00CA47D2">
        <w:rPr>
          <w:rFonts w:hint="eastAsia"/>
          <w:lang w:val="en-GB"/>
        </w:rPr>
        <w:t>月</w:t>
      </w:r>
      <w:r w:rsidR="00CA47D2" w:rsidRPr="00CA47D2">
        <w:rPr>
          <w:rFonts w:hint="eastAsia"/>
          <w:lang w:val="en-GB"/>
        </w:rPr>
        <w:t>16</w:t>
      </w:r>
      <w:r w:rsidR="00CA47D2" w:rsidRPr="00CA47D2">
        <w:rPr>
          <w:rFonts w:hint="eastAsia"/>
          <w:lang w:val="en-GB"/>
        </w:rPr>
        <w:t>日</w:t>
      </w:r>
      <w:r>
        <w:rPr>
          <w:rFonts w:hint="eastAsia"/>
          <w:lang w:val="en-GB"/>
        </w:rPr>
        <w:t>，</w:t>
      </w:r>
      <w:r w:rsidR="00CA47D2" w:rsidRPr="00CA47D2">
        <w:rPr>
          <w:rFonts w:hint="eastAsia"/>
          <w:lang w:val="en-GB"/>
        </w:rPr>
        <w:t>提交人通过邮局致信财政部</w:t>
      </w:r>
      <w:r>
        <w:rPr>
          <w:rFonts w:hint="eastAsia"/>
          <w:lang w:val="en-GB"/>
        </w:rPr>
        <w:t>，</w:t>
      </w:r>
      <w:r w:rsidR="00CA47D2" w:rsidRPr="00CA47D2">
        <w:rPr>
          <w:rFonts w:hint="eastAsia"/>
          <w:lang w:val="en-GB"/>
        </w:rPr>
        <w:t>称该部的申诉受理</w:t>
      </w:r>
      <w:r w:rsidR="008B4B69">
        <w:rPr>
          <w:rFonts w:hint="eastAsia"/>
          <w:lang w:val="en-GB"/>
        </w:rPr>
        <w:t>制度由</w:t>
      </w:r>
      <w:r w:rsidR="00CA47D2" w:rsidRPr="00CA47D2">
        <w:rPr>
          <w:rFonts w:hint="eastAsia"/>
          <w:lang w:val="en-GB"/>
        </w:rPr>
        <w:t>官员自行处理</w:t>
      </w:r>
      <w:r>
        <w:rPr>
          <w:rFonts w:hint="eastAsia"/>
          <w:lang w:val="en-GB"/>
        </w:rPr>
        <w:t>，</w:t>
      </w:r>
      <w:r w:rsidR="00CA47D2" w:rsidRPr="00CA47D2">
        <w:rPr>
          <w:rFonts w:hint="eastAsia"/>
          <w:lang w:val="en-GB"/>
        </w:rPr>
        <w:t>官员们可以无视申诉。财政部答复说</w:t>
      </w:r>
      <w:r>
        <w:rPr>
          <w:rFonts w:hint="eastAsia"/>
          <w:lang w:val="en-GB"/>
        </w:rPr>
        <w:t>，</w:t>
      </w:r>
      <w:r w:rsidR="00CA47D2" w:rsidRPr="00CA47D2">
        <w:rPr>
          <w:rFonts w:hint="eastAsia"/>
          <w:lang w:val="en-GB"/>
        </w:rPr>
        <w:t>这一制度并不违法</w:t>
      </w:r>
      <w:r>
        <w:rPr>
          <w:rFonts w:hint="eastAsia"/>
          <w:lang w:val="en-GB"/>
        </w:rPr>
        <w:t>，</w:t>
      </w:r>
      <w:r w:rsidR="00CA47D2" w:rsidRPr="00CA47D2">
        <w:rPr>
          <w:rFonts w:hint="eastAsia"/>
          <w:lang w:val="en-GB"/>
        </w:rPr>
        <w:t>并称公务员具有高度的职业道德操守。</w:t>
      </w:r>
    </w:p>
    <w:p w:rsidR="00CA47D2" w:rsidRPr="00CA47D2" w:rsidRDefault="008A0274" w:rsidP="000C14A8">
      <w:pPr>
        <w:pStyle w:val="SingleTxtGC"/>
        <w:rPr>
          <w:rFonts w:hint="eastAsia"/>
          <w:lang w:val="en-GB"/>
        </w:rPr>
      </w:pPr>
      <w:r>
        <w:rPr>
          <w:lang w:val="en-GB"/>
        </w:rPr>
        <w:t>2.</w:t>
      </w:r>
      <w:r w:rsidR="000C14A8">
        <w:rPr>
          <w:lang w:val="en-GB"/>
        </w:rPr>
        <w:t xml:space="preserve">4 </w:t>
      </w:r>
      <w:r w:rsidR="000C14A8">
        <w:rPr>
          <w:rFonts w:hint="eastAsia"/>
          <w:lang w:val="en-GB"/>
        </w:rPr>
        <w:t xml:space="preserve"> </w:t>
      </w:r>
      <w:r w:rsidR="00CA47D2" w:rsidRPr="00CA47D2">
        <w:rPr>
          <w:lang w:val="en-GB"/>
        </w:rPr>
        <w:t>2006</w:t>
      </w:r>
      <w:r w:rsidR="00CA47D2" w:rsidRPr="00CA47D2">
        <w:rPr>
          <w:rFonts w:hint="eastAsia"/>
          <w:lang w:val="en-GB"/>
        </w:rPr>
        <w:t>年</w:t>
      </w:r>
      <w:r w:rsidR="00CA47D2" w:rsidRPr="00CA47D2">
        <w:rPr>
          <w:rFonts w:hint="eastAsia"/>
          <w:lang w:val="en-GB"/>
        </w:rPr>
        <w:t>3</w:t>
      </w:r>
      <w:r w:rsidR="00CA47D2" w:rsidRPr="00CA47D2">
        <w:rPr>
          <w:rFonts w:hint="eastAsia"/>
          <w:lang w:val="en-GB"/>
        </w:rPr>
        <w:t>月</w:t>
      </w:r>
      <w:r w:rsidR="00CA47D2" w:rsidRPr="00CA47D2">
        <w:rPr>
          <w:rFonts w:hint="eastAsia"/>
          <w:lang w:val="en-GB"/>
        </w:rPr>
        <w:t>22</w:t>
      </w:r>
      <w:r w:rsidR="00E7126F">
        <w:rPr>
          <w:rFonts w:hint="eastAsia"/>
          <w:lang w:val="en-GB"/>
        </w:rPr>
        <w:t>日</w:t>
      </w:r>
      <w:r>
        <w:rPr>
          <w:rFonts w:hint="eastAsia"/>
          <w:lang w:val="en-GB"/>
        </w:rPr>
        <w:t>，</w:t>
      </w:r>
      <w:r w:rsidR="00E7126F">
        <w:rPr>
          <w:rFonts w:hint="eastAsia"/>
          <w:lang w:val="en-GB"/>
        </w:rPr>
        <w:t>提交人向</w:t>
      </w:r>
      <w:r w:rsidR="00CA47D2" w:rsidRPr="00CA47D2">
        <w:rPr>
          <w:rFonts w:hint="eastAsia"/>
          <w:lang w:val="en-GB"/>
        </w:rPr>
        <w:t>比什凯克地区间法院</w:t>
      </w:r>
      <w:r w:rsidR="00E7126F">
        <w:rPr>
          <w:rFonts w:hint="eastAsia"/>
          <w:lang w:val="en-GB"/>
        </w:rPr>
        <w:t>提出申诉</w:t>
      </w:r>
      <w:r>
        <w:rPr>
          <w:rFonts w:hint="eastAsia"/>
          <w:lang w:val="en-GB"/>
        </w:rPr>
        <w:t>，</w:t>
      </w:r>
      <w:r w:rsidR="00CA47D2" w:rsidRPr="00CA47D2">
        <w:rPr>
          <w:rFonts w:hint="eastAsia"/>
          <w:lang w:val="en-GB"/>
        </w:rPr>
        <w:t>称这一程序违法。</w:t>
      </w:r>
      <w:r w:rsidR="00CA47D2" w:rsidRPr="00CA47D2">
        <w:rPr>
          <w:rFonts w:hint="eastAsia"/>
          <w:lang w:val="en-GB"/>
        </w:rPr>
        <w:t>2006</w:t>
      </w:r>
      <w:r w:rsidR="00CA47D2" w:rsidRPr="00CA47D2">
        <w:rPr>
          <w:rFonts w:hint="eastAsia"/>
          <w:lang w:val="en-GB"/>
        </w:rPr>
        <w:t>年</w:t>
      </w:r>
      <w:r w:rsidR="00CA47D2" w:rsidRPr="00CA47D2">
        <w:rPr>
          <w:rFonts w:hint="eastAsia"/>
          <w:lang w:val="en-GB"/>
        </w:rPr>
        <w:t>4</w:t>
      </w:r>
      <w:r w:rsidR="00CA47D2" w:rsidRPr="00CA47D2">
        <w:rPr>
          <w:rFonts w:hint="eastAsia"/>
          <w:lang w:val="en-GB"/>
        </w:rPr>
        <w:t>月</w:t>
      </w:r>
      <w:r w:rsidR="00CA47D2" w:rsidRPr="00CA47D2">
        <w:rPr>
          <w:rFonts w:hint="eastAsia"/>
          <w:lang w:val="en-GB"/>
        </w:rPr>
        <w:t>5</w:t>
      </w:r>
      <w:r w:rsidR="00CA47D2" w:rsidRPr="00CA47D2">
        <w:rPr>
          <w:rFonts w:hint="eastAsia"/>
          <w:lang w:val="en-GB"/>
        </w:rPr>
        <w:t>日</w:t>
      </w:r>
      <w:r>
        <w:rPr>
          <w:rFonts w:hint="eastAsia"/>
          <w:lang w:val="en-GB"/>
        </w:rPr>
        <w:t>，</w:t>
      </w:r>
      <w:r w:rsidR="00CA47D2" w:rsidRPr="00CA47D2">
        <w:rPr>
          <w:rFonts w:hint="eastAsia"/>
          <w:lang w:val="en-GB"/>
        </w:rPr>
        <w:t>比什凯克地区间法院以证据不足为由驳回他的申请。</w:t>
      </w:r>
    </w:p>
    <w:p w:rsidR="00CA47D2" w:rsidRPr="00CA47D2" w:rsidRDefault="008A0274" w:rsidP="000C14A8">
      <w:pPr>
        <w:pStyle w:val="SingleTxtGC"/>
        <w:rPr>
          <w:rFonts w:hint="eastAsia"/>
          <w:lang w:val="en-GB"/>
        </w:rPr>
      </w:pPr>
      <w:r>
        <w:rPr>
          <w:lang w:val="en-GB"/>
        </w:rPr>
        <w:t>2.</w:t>
      </w:r>
      <w:r w:rsidR="00CA47D2" w:rsidRPr="00CA47D2">
        <w:rPr>
          <w:lang w:val="en-GB"/>
        </w:rPr>
        <w:t xml:space="preserve">5 </w:t>
      </w:r>
      <w:r w:rsidR="00E7126F">
        <w:rPr>
          <w:rFonts w:hint="eastAsia"/>
          <w:lang w:val="en-GB"/>
        </w:rPr>
        <w:t xml:space="preserve"> </w:t>
      </w:r>
      <w:r w:rsidR="00CA47D2" w:rsidRPr="00CA47D2">
        <w:rPr>
          <w:lang w:val="en-GB"/>
        </w:rPr>
        <w:t>2006</w:t>
      </w:r>
      <w:r w:rsidR="00CA47D2" w:rsidRPr="00CA47D2">
        <w:rPr>
          <w:rFonts w:hint="eastAsia"/>
          <w:lang w:val="en-GB"/>
        </w:rPr>
        <w:t>年</w:t>
      </w:r>
      <w:r w:rsidR="00CA47D2" w:rsidRPr="00CA47D2">
        <w:rPr>
          <w:rFonts w:hint="eastAsia"/>
          <w:lang w:val="en-GB"/>
        </w:rPr>
        <w:t>4</w:t>
      </w:r>
      <w:r w:rsidR="00CA47D2" w:rsidRPr="00CA47D2">
        <w:rPr>
          <w:rFonts w:hint="eastAsia"/>
          <w:lang w:val="en-GB"/>
        </w:rPr>
        <w:t>月</w:t>
      </w:r>
      <w:r w:rsidR="00CA47D2" w:rsidRPr="00CA47D2">
        <w:rPr>
          <w:rFonts w:hint="eastAsia"/>
          <w:lang w:val="en-GB"/>
        </w:rPr>
        <w:t>12</w:t>
      </w:r>
      <w:r w:rsidR="00CA47D2" w:rsidRPr="00CA47D2">
        <w:rPr>
          <w:rFonts w:hint="eastAsia"/>
          <w:lang w:val="en-GB"/>
        </w:rPr>
        <w:t>日</w:t>
      </w:r>
      <w:r>
        <w:rPr>
          <w:rFonts w:hint="eastAsia"/>
          <w:lang w:val="en-GB"/>
        </w:rPr>
        <w:t>，</w:t>
      </w:r>
      <w:r w:rsidR="00CA47D2" w:rsidRPr="00CA47D2">
        <w:rPr>
          <w:rFonts w:hint="eastAsia"/>
          <w:lang w:val="en-GB"/>
        </w:rPr>
        <w:t>提交人向比什凯克市级法院提出上诉。</w:t>
      </w:r>
      <w:r w:rsidR="00CA47D2" w:rsidRPr="00CA47D2">
        <w:rPr>
          <w:rFonts w:hint="eastAsia"/>
          <w:lang w:val="en-GB"/>
        </w:rPr>
        <w:t>2006</w:t>
      </w:r>
      <w:r w:rsidR="00CA47D2" w:rsidRPr="00CA47D2">
        <w:rPr>
          <w:rFonts w:hint="eastAsia"/>
          <w:lang w:val="en-GB"/>
        </w:rPr>
        <w:t>年</w:t>
      </w:r>
      <w:r w:rsidR="00CA47D2" w:rsidRPr="00CA47D2">
        <w:rPr>
          <w:rFonts w:hint="eastAsia"/>
          <w:lang w:val="en-GB"/>
        </w:rPr>
        <w:t>5</w:t>
      </w:r>
      <w:r w:rsidR="00CA47D2" w:rsidRPr="00CA47D2">
        <w:rPr>
          <w:rFonts w:hint="eastAsia"/>
          <w:lang w:val="en-GB"/>
        </w:rPr>
        <w:t>月</w:t>
      </w:r>
      <w:r w:rsidR="00CA47D2" w:rsidRPr="00CA47D2">
        <w:rPr>
          <w:rFonts w:hint="eastAsia"/>
          <w:lang w:val="en-GB"/>
        </w:rPr>
        <w:t>25</w:t>
      </w:r>
      <w:r w:rsidR="00CA47D2" w:rsidRPr="00CA47D2">
        <w:rPr>
          <w:rFonts w:hint="eastAsia"/>
          <w:lang w:val="en-GB"/>
        </w:rPr>
        <w:t>日</w:t>
      </w:r>
      <w:r>
        <w:rPr>
          <w:rFonts w:hint="eastAsia"/>
          <w:lang w:val="en-GB"/>
        </w:rPr>
        <w:t>，</w:t>
      </w:r>
      <w:r w:rsidR="00CA47D2" w:rsidRPr="00CA47D2">
        <w:rPr>
          <w:rFonts w:hint="eastAsia"/>
          <w:lang w:val="en-GB"/>
        </w:rPr>
        <w:t>比什凯克市级法院维持一审法院的判决。提交人称</w:t>
      </w:r>
      <w:r>
        <w:rPr>
          <w:rFonts w:hint="eastAsia"/>
          <w:lang w:val="en-GB"/>
        </w:rPr>
        <w:t>，</w:t>
      </w:r>
      <w:r w:rsidR="00CA47D2" w:rsidRPr="00CA47D2">
        <w:rPr>
          <w:rFonts w:hint="eastAsia"/>
          <w:lang w:val="en-GB"/>
        </w:rPr>
        <w:t>比什凯克市级法院的判决是终审判决</w:t>
      </w:r>
      <w:r>
        <w:rPr>
          <w:rFonts w:hint="eastAsia"/>
          <w:lang w:val="en-GB"/>
        </w:rPr>
        <w:t>，</w:t>
      </w:r>
      <w:r w:rsidR="00CA47D2" w:rsidRPr="00CA47D2">
        <w:rPr>
          <w:rFonts w:hint="eastAsia"/>
          <w:lang w:val="en-GB"/>
        </w:rPr>
        <w:t>不能再继续上诉。</w:t>
      </w:r>
    </w:p>
    <w:p w:rsidR="008B4B69" w:rsidRDefault="00E7126F" w:rsidP="00E7126F">
      <w:pPr>
        <w:pStyle w:val="H23GC"/>
        <w:rPr>
          <w:rFonts w:hint="eastAsia"/>
          <w:lang w:val="en-GB"/>
        </w:rPr>
      </w:pPr>
      <w:r>
        <w:rPr>
          <w:rFonts w:hint="eastAsia"/>
          <w:lang w:val="en-GB"/>
        </w:rPr>
        <w:tab/>
      </w:r>
      <w:r>
        <w:rPr>
          <w:rFonts w:hint="eastAsia"/>
          <w:lang w:val="en-GB"/>
        </w:rPr>
        <w:tab/>
      </w:r>
      <w:r w:rsidR="00CA47D2" w:rsidRPr="00CA47D2">
        <w:rPr>
          <w:rFonts w:hint="eastAsia"/>
          <w:lang w:val="en-GB"/>
        </w:rPr>
        <w:t>申诉</w:t>
      </w:r>
    </w:p>
    <w:p w:rsidR="00CA47D2" w:rsidRPr="008B4B69" w:rsidRDefault="008A0274" w:rsidP="008B4B69">
      <w:pPr>
        <w:pStyle w:val="SingleTxtGC"/>
        <w:rPr>
          <w:rFonts w:hint="eastAsia"/>
          <w:b/>
          <w:lang w:val="en-GB"/>
        </w:rPr>
      </w:pPr>
      <w:r>
        <w:rPr>
          <w:lang w:val="en-GB"/>
        </w:rPr>
        <w:t>3.</w:t>
      </w:r>
      <w:r w:rsidR="00E7126F">
        <w:rPr>
          <w:lang w:val="en-GB"/>
        </w:rPr>
        <w:t xml:space="preserve"> </w:t>
      </w:r>
      <w:r w:rsidR="00E7126F">
        <w:rPr>
          <w:rFonts w:hint="eastAsia"/>
          <w:lang w:val="en-GB"/>
        </w:rPr>
        <w:t xml:space="preserve"> </w:t>
      </w:r>
      <w:r w:rsidR="00CA47D2" w:rsidRPr="00CA47D2">
        <w:rPr>
          <w:rFonts w:hint="eastAsia"/>
          <w:lang w:val="en-GB"/>
        </w:rPr>
        <w:t>提交人称</w:t>
      </w:r>
      <w:r>
        <w:rPr>
          <w:rFonts w:hint="eastAsia"/>
          <w:lang w:val="en-GB"/>
        </w:rPr>
        <w:t>，</w:t>
      </w:r>
      <w:r w:rsidR="00CA47D2" w:rsidRPr="00CA47D2">
        <w:rPr>
          <w:rFonts w:hint="eastAsia"/>
          <w:lang w:val="en-GB"/>
        </w:rPr>
        <w:t>他根据《公约》第二条第</w:t>
      </w:r>
      <w:r w:rsidR="00CA47D2" w:rsidRPr="00CA47D2">
        <w:rPr>
          <w:rFonts w:hint="eastAsia"/>
          <w:lang w:val="en-GB"/>
        </w:rPr>
        <w:t>3</w:t>
      </w:r>
      <w:r w:rsidR="00CA47D2" w:rsidRPr="00CA47D2">
        <w:rPr>
          <w:rFonts w:hint="eastAsia"/>
          <w:lang w:val="en-GB"/>
        </w:rPr>
        <w:t>款和第十四条第</w:t>
      </w:r>
      <w:r w:rsidR="00CA47D2" w:rsidRPr="00CA47D2">
        <w:rPr>
          <w:rFonts w:hint="eastAsia"/>
          <w:lang w:val="en-GB"/>
        </w:rPr>
        <w:t>1</w:t>
      </w:r>
      <w:r w:rsidR="00CA47D2" w:rsidRPr="00CA47D2">
        <w:rPr>
          <w:rFonts w:hint="eastAsia"/>
          <w:lang w:val="en-GB"/>
        </w:rPr>
        <w:t>款享有的权利受到侵犯</w:t>
      </w:r>
      <w:r>
        <w:rPr>
          <w:rFonts w:hint="eastAsia"/>
          <w:lang w:val="en-GB"/>
        </w:rPr>
        <w:t>，</w:t>
      </w:r>
      <w:r w:rsidR="00CA47D2" w:rsidRPr="00CA47D2">
        <w:rPr>
          <w:rFonts w:hint="eastAsia"/>
          <w:lang w:val="en-GB"/>
        </w:rPr>
        <w:t>因为法院无视他的申诉。</w:t>
      </w:r>
    </w:p>
    <w:p w:rsidR="008B4B69" w:rsidRDefault="00E7126F" w:rsidP="00E7126F">
      <w:pPr>
        <w:pStyle w:val="H23GC"/>
        <w:rPr>
          <w:rFonts w:hint="eastAsia"/>
          <w:lang w:val="en-GB"/>
        </w:rPr>
      </w:pPr>
      <w:r>
        <w:rPr>
          <w:rFonts w:hint="eastAsia"/>
          <w:lang w:val="en-GB"/>
        </w:rPr>
        <w:tab/>
      </w:r>
      <w:r>
        <w:rPr>
          <w:rFonts w:hint="eastAsia"/>
          <w:lang w:val="en-GB"/>
        </w:rPr>
        <w:tab/>
      </w:r>
      <w:r w:rsidR="00CA47D2" w:rsidRPr="00CA47D2">
        <w:rPr>
          <w:rFonts w:hint="eastAsia"/>
          <w:lang w:val="en-GB"/>
        </w:rPr>
        <w:t>缔约国未予合作</w:t>
      </w:r>
    </w:p>
    <w:p w:rsidR="00CA47D2" w:rsidRPr="008B4B69" w:rsidRDefault="008A0274" w:rsidP="008B4B69">
      <w:pPr>
        <w:pStyle w:val="SingleTxtGC"/>
        <w:rPr>
          <w:b/>
          <w:bCs/>
          <w:lang w:val="en-GB"/>
        </w:rPr>
      </w:pPr>
      <w:r>
        <w:rPr>
          <w:lang w:val="en-GB"/>
        </w:rPr>
        <w:t>4.</w:t>
      </w:r>
      <w:r w:rsidR="00E7126F">
        <w:rPr>
          <w:lang w:val="en-GB"/>
        </w:rPr>
        <w:t xml:space="preserve"> </w:t>
      </w:r>
      <w:r w:rsidR="00E7126F">
        <w:rPr>
          <w:rFonts w:hint="eastAsia"/>
          <w:lang w:val="en-GB"/>
        </w:rPr>
        <w:t xml:space="preserve"> </w:t>
      </w:r>
      <w:r w:rsidR="00CA47D2" w:rsidRPr="00CA47D2">
        <w:rPr>
          <w:rFonts w:hint="eastAsia"/>
          <w:lang w:val="en-GB"/>
        </w:rPr>
        <w:t>2006</w:t>
      </w:r>
      <w:r w:rsidR="00CA47D2" w:rsidRPr="00CA47D2">
        <w:rPr>
          <w:rFonts w:hint="eastAsia"/>
          <w:lang w:val="en-GB"/>
        </w:rPr>
        <w:t>年</w:t>
      </w:r>
      <w:r w:rsidR="00CA47D2" w:rsidRPr="00CA47D2">
        <w:rPr>
          <w:rFonts w:hint="eastAsia"/>
          <w:lang w:val="en-GB"/>
        </w:rPr>
        <w:t>11</w:t>
      </w:r>
      <w:r w:rsidR="00CA47D2" w:rsidRPr="00CA47D2">
        <w:rPr>
          <w:rFonts w:hint="eastAsia"/>
          <w:lang w:val="en-GB"/>
        </w:rPr>
        <w:t>月</w:t>
      </w:r>
      <w:r>
        <w:rPr>
          <w:rFonts w:hint="eastAsia"/>
          <w:lang w:val="en-GB"/>
        </w:rPr>
        <w:t>，</w:t>
      </w:r>
      <w:r w:rsidR="00CA47D2" w:rsidRPr="00CA47D2">
        <w:rPr>
          <w:rFonts w:hint="eastAsia"/>
          <w:lang w:val="en-GB"/>
        </w:rPr>
        <w:t>委员会请缔约国就来文可否受理问题或</w:t>
      </w:r>
      <w:r>
        <w:rPr>
          <w:rFonts w:hint="eastAsia"/>
          <w:lang w:val="en-GB"/>
        </w:rPr>
        <w:t>/</w:t>
      </w:r>
      <w:r w:rsidR="00CA47D2" w:rsidRPr="00CA47D2">
        <w:rPr>
          <w:rFonts w:hint="eastAsia"/>
          <w:lang w:val="en-GB"/>
        </w:rPr>
        <w:t>和来文的是非曲直提出意见</w:t>
      </w:r>
      <w:r>
        <w:rPr>
          <w:rFonts w:hint="eastAsia"/>
          <w:lang w:val="en-GB"/>
        </w:rPr>
        <w:t>，</w:t>
      </w:r>
      <w:r w:rsidR="00CA47D2" w:rsidRPr="00CA47D2">
        <w:rPr>
          <w:rFonts w:hint="eastAsia"/>
          <w:lang w:val="en-GB"/>
        </w:rPr>
        <w:t>此后又于</w:t>
      </w:r>
      <w:r w:rsidR="00CA47D2" w:rsidRPr="00CA47D2">
        <w:rPr>
          <w:rFonts w:hint="eastAsia"/>
          <w:lang w:val="en-GB"/>
        </w:rPr>
        <w:t>2009</w:t>
      </w:r>
      <w:r w:rsidR="00CA47D2" w:rsidRPr="00CA47D2">
        <w:rPr>
          <w:rFonts w:hint="eastAsia"/>
          <w:lang w:val="en-GB"/>
        </w:rPr>
        <w:t>年</w:t>
      </w:r>
      <w:r w:rsidR="00CA47D2" w:rsidRPr="00CA47D2">
        <w:rPr>
          <w:rFonts w:hint="eastAsia"/>
          <w:lang w:val="en-GB"/>
        </w:rPr>
        <w:t>2</w:t>
      </w:r>
      <w:r w:rsidR="00CA47D2" w:rsidRPr="00CA47D2">
        <w:rPr>
          <w:rFonts w:hint="eastAsia"/>
          <w:lang w:val="en-GB"/>
        </w:rPr>
        <w:t>月和</w:t>
      </w:r>
      <w:r w:rsidR="00CA47D2" w:rsidRPr="00CA47D2">
        <w:rPr>
          <w:rFonts w:hint="eastAsia"/>
          <w:lang w:val="en-GB"/>
        </w:rPr>
        <w:t>2009</w:t>
      </w:r>
      <w:r w:rsidR="00CA47D2" w:rsidRPr="00CA47D2">
        <w:rPr>
          <w:rFonts w:hint="eastAsia"/>
          <w:lang w:val="en-GB"/>
        </w:rPr>
        <w:t>年</w:t>
      </w:r>
      <w:r w:rsidR="00CA47D2" w:rsidRPr="00CA47D2">
        <w:rPr>
          <w:rFonts w:hint="eastAsia"/>
          <w:lang w:val="en-GB"/>
        </w:rPr>
        <w:t>10</w:t>
      </w:r>
      <w:r w:rsidR="00CA47D2" w:rsidRPr="00CA47D2">
        <w:rPr>
          <w:rFonts w:hint="eastAsia"/>
          <w:lang w:val="en-GB"/>
        </w:rPr>
        <w:t>月发出的催促信。委员会注意到</w:t>
      </w:r>
      <w:r>
        <w:rPr>
          <w:rFonts w:hint="eastAsia"/>
          <w:lang w:val="en-GB"/>
        </w:rPr>
        <w:t>，</w:t>
      </w:r>
      <w:r w:rsidR="00CA47D2" w:rsidRPr="00CA47D2">
        <w:rPr>
          <w:rFonts w:hint="eastAsia"/>
          <w:lang w:val="en-GB"/>
        </w:rPr>
        <w:t>没有收到相关的资料</w:t>
      </w:r>
      <w:r>
        <w:rPr>
          <w:rFonts w:hint="eastAsia"/>
          <w:lang w:val="en-GB"/>
        </w:rPr>
        <w:t>，</w:t>
      </w:r>
      <w:r w:rsidR="00CA47D2" w:rsidRPr="00CA47D2">
        <w:rPr>
          <w:rFonts w:hint="eastAsia"/>
          <w:lang w:val="en-GB"/>
        </w:rPr>
        <w:t>委员会对缔约国未能就提交人的申诉是否可以受理及申诉的实质内容提供任何信息表示遗憾。委员会回顾</w:t>
      </w:r>
      <w:r>
        <w:rPr>
          <w:rFonts w:hint="eastAsia"/>
          <w:lang w:val="en-GB"/>
        </w:rPr>
        <w:t>，</w:t>
      </w:r>
      <w:r w:rsidR="00CA47D2" w:rsidRPr="00CA47D2">
        <w:rPr>
          <w:rFonts w:hint="eastAsia"/>
          <w:lang w:val="en-GB"/>
        </w:rPr>
        <w:t>根据《任择议定书》</w:t>
      </w:r>
      <w:r>
        <w:rPr>
          <w:rFonts w:hint="eastAsia"/>
          <w:lang w:val="en-GB"/>
        </w:rPr>
        <w:t>，</w:t>
      </w:r>
      <w:r w:rsidR="00CA47D2" w:rsidRPr="00CA47D2">
        <w:rPr>
          <w:rFonts w:hint="eastAsia"/>
          <w:lang w:val="en-GB"/>
        </w:rPr>
        <w:t>相关的缔约国需向委员会提交书面解释或声明</w:t>
      </w:r>
      <w:r>
        <w:rPr>
          <w:rFonts w:hint="eastAsia"/>
          <w:lang w:val="en-GB"/>
        </w:rPr>
        <w:t>，</w:t>
      </w:r>
      <w:r w:rsidR="00CA47D2" w:rsidRPr="00CA47D2">
        <w:rPr>
          <w:rFonts w:hint="eastAsia"/>
          <w:lang w:val="en-GB"/>
        </w:rPr>
        <w:t>澄清问题并说明提供的任何补救办法。由于缔约国未作答复</w:t>
      </w:r>
      <w:r>
        <w:rPr>
          <w:rFonts w:hint="eastAsia"/>
          <w:lang w:val="en-GB"/>
        </w:rPr>
        <w:t>，</w:t>
      </w:r>
      <w:r w:rsidR="00CA47D2" w:rsidRPr="00CA47D2">
        <w:rPr>
          <w:rFonts w:hint="eastAsia"/>
          <w:lang w:val="en-GB"/>
        </w:rPr>
        <w:t>因此必须对提交人的指控给予应有的重视</w:t>
      </w:r>
      <w:r>
        <w:rPr>
          <w:rFonts w:hint="eastAsia"/>
          <w:lang w:val="en-GB"/>
        </w:rPr>
        <w:t>，</w:t>
      </w:r>
      <w:r w:rsidR="00CA47D2" w:rsidRPr="00CA47D2">
        <w:rPr>
          <w:rFonts w:hint="eastAsia"/>
          <w:lang w:val="en-GB"/>
        </w:rPr>
        <w:t>视之为已获得适当的证实。</w:t>
      </w:r>
    </w:p>
    <w:p w:rsidR="00CA47D2" w:rsidRPr="00CA47D2" w:rsidRDefault="00E7126F" w:rsidP="00E7126F">
      <w:pPr>
        <w:pStyle w:val="H23GC"/>
      </w:pPr>
      <w:r>
        <w:rPr>
          <w:rFonts w:hint="eastAsia"/>
          <w:lang w:val="en-GB"/>
        </w:rPr>
        <w:tab/>
      </w:r>
      <w:r>
        <w:rPr>
          <w:rFonts w:hint="eastAsia"/>
          <w:lang w:val="en-GB"/>
        </w:rPr>
        <w:tab/>
      </w:r>
      <w:r w:rsidR="00CA47D2" w:rsidRPr="00CA47D2">
        <w:rPr>
          <w:rFonts w:hint="eastAsia"/>
          <w:lang w:val="en-GB"/>
        </w:rPr>
        <w:t>委员会需处理的问题和议事情况</w:t>
      </w:r>
    </w:p>
    <w:p w:rsidR="008B4B69" w:rsidRDefault="00E7126F" w:rsidP="00E7126F">
      <w:pPr>
        <w:pStyle w:val="H23GC"/>
        <w:rPr>
          <w:rFonts w:hint="eastAsia"/>
          <w:lang w:val="en-GB"/>
        </w:rPr>
      </w:pPr>
      <w:r>
        <w:rPr>
          <w:rFonts w:hint="eastAsia"/>
          <w:lang w:val="en-GB"/>
        </w:rPr>
        <w:tab/>
      </w:r>
      <w:r>
        <w:rPr>
          <w:rFonts w:hint="eastAsia"/>
          <w:lang w:val="en-GB"/>
        </w:rPr>
        <w:tab/>
      </w:r>
      <w:r w:rsidR="00CA47D2" w:rsidRPr="00CA47D2">
        <w:rPr>
          <w:rFonts w:hint="eastAsia"/>
          <w:lang w:val="en-GB"/>
        </w:rPr>
        <w:t>对可否受理问题的审议</w:t>
      </w:r>
    </w:p>
    <w:p w:rsidR="00CA47D2" w:rsidRPr="008B4B69" w:rsidRDefault="008A0274" w:rsidP="008B4B69">
      <w:pPr>
        <w:pStyle w:val="SingleTxtGC"/>
        <w:rPr>
          <w:rFonts w:hint="eastAsia"/>
          <w:b/>
          <w:lang w:val="en-GB"/>
        </w:rPr>
      </w:pPr>
      <w:r>
        <w:t>5.</w:t>
      </w:r>
      <w:r w:rsidR="00E7126F">
        <w:t>1</w:t>
      </w:r>
      <w:r w:rsidR="00E7126F">
        <w:rPr>
          <w:rFonts w:hint="eastAsia"/>
        </w:rPr>
        <w:t xml:space="preserve">  </w:t>
      </w:r>
      <w:r w:rsidR="00CA47D2" w:rsidRPr="00CA47D2">
        <w:rPr>
          <w:rFonts w:hint="eastAsia"/>
          <w:lang w:val="en-GB"/>
        </w:rPr>
        <w:t>在审议来文所载的任何申诉之前</w:t>
      </w:r>
      <w:r>
        <w:rPr>
          <w:rFonts w:hint="eastAsia"/>
          <w:lang w:val="en-GB"/>
        </w:rPr>
        <w:t>，</w:t>
      </w:r>
      <w:r w:rsidR="00CA47D2" w:rsidRPr="00CA47D2">
        <w:rPr>
          <w:rFonts w:hint="eastAsia"/>
          <w:lang w:val="en-GB"/>
        </w:rPr>
        <w:t>人权事务理事会必须根据其议事规则第</w:t>
      </w:r>
      <w:r w:rsidR="00CA47D2" w:rsidRPr="00CA47D2">
        <w:rPr>
          <w:rFonts w:hint="eastAsia"/>
          <w:lang w:val="en-GB"/>
        </w:rPr>
        <w:t>93</w:t>
      </w:r>
      <w:r w:rsidR="00CA47D2" w:rsidRPr="00CA47D2">
        <w:rPr>
          <w:rFonts w:hint="eastAsia"/>
          <w:lang w:val="en-GB"/>
        </w:rPr>
        <w:t>条</w:t>
      </w:r>
      <w:r>
        <w:rPr>
          <w:rFonts w:hint="eastAsia"/>
          <w:lang w:val="en-GB"/>
        </w:rPr>
        <w:t>，</w:t>
      </w:r>
      <w:r w:rsidR="00CA47D2" w:rsidRPr="00CA47D2">
        <w:rPr>
          <w:rFonts w:hint="eastAsia"/>
          <w:lang w:val="en-GB"/>
        </w:rPr>
        <w:t>确定来文是否符合《任择议定书》规定的受理条件。根据《任择议定书》第五条第</w:t>
      </w:r>
      <w:r w:rsidR="00CA47D2" w:rsidRPr="00CA47D2">
        <w:rPr>
          <w:rFonts w:hint="eastAsia"/>
          <w:lang w:val="en-GB"/>
        </w:rPr>
        <w:t>2</w:t>
      </w:r>
      <w:r w:rsidR="00CA47D2" w:rsidRPr="00CA47D2">
        <w:rPr>
          <w:rFonts w:hint="eastAsia"/>
          <w:lang w:val="en-GB"/>
        </w:rPr>
        <w:t>款</w:t>
      </w:r>
      <w:r>
        <w:rPr>
          <w:rFonts w:hint="eastAsia"/>
          <w:lang w:val="en-GB"/>
        </w:rPr>
        <w:t>(</w:t>
      </w:r>
      <w:r w:rsidR="00CA47D2" w:rsidRPr="00CA47D2">
        <w:rPr>
          <w:rFonts w:hint="eastAsia"/>
          <w:lang w:val="en-GB"/>
        </w:rPr>
        <w:t>子</w:t>
      </w:r>
      <w:r>
        <w:rPr>
          <w:rFonts w:hint="eastAsia"/>
          <w:lang w:val="en-GB"/>
        </w:rPr>
        <w:t>)</w:t>
      </w:r>
      <w:r w:rsidR="00CA47D2" w:rsidRPr="00CA47D2">
        <w:rPr>
          <w:rFonts w:hint="eastAsia"/>
          <w:lang w:val="en-GB"/>
        </w:rPr>
        <w:t>项规定</w:t>
      </w:r>
      <w:r>
        <w:rPr>
          <w:rFonts w:hint="eastAsia"/>
          <w:lang w:val="en-GB"/>
        </w:rPr>
        <w:t>，</w:t>
      </w:r>
      <w:r w:rsidR="00CA47D2" w:rsidRPr="00CA47D2">
        <w:rPr>
          <w:rFonts w:hint="eastAsia"/>
          <w:lang w:val="en-GB"/>
        </w:rPr>
        <w:t>委员会确定同一事项不在其他国际调查或解决程序的审理之中。</w:t>
      </w:r>
    </w:p>
    <w:p w:rsidR="00CA47D2" w:rsidRPr="00CA47D2" w:rsidRDefault="008A0274" w:rsidP="001C404D">
      <w:pPr>
        <w:pStyle w:val="SingleTxtGC"/>
        <w:rPr>
          <w:lang w:val="en-GB"/>
        </w:rPr>
      </w:pPr>
      <w:r>
        <w:rPr>
          <w:lang w:val="en-GB"/>
        </w:rPr>
        <w:t>5.</w:t>
      </w:r>
      <w:r w:rsidR="001C404D">
        <w:rPr>
          <w:lang w:val="en-GB"/>
        </w:rPr>
        <w:t>2</w:t>
      </w:r>
      <w:r w:rsidR="001C404D">
        <w:rPr>
          <w:rFonts w:hint="eastAsia"/>
          <w:lang w:val="en-GB"/>
        </w:rPr>
        <w:t xml:space="preserve">  </w:t>
      </w:r>
      <w:r w:rsidR="00CA47D2" w:rsidRPr="00CA47D2">
        <w:rPr>
          <w:rFonts w:hint="eastAsia"/>
          <w:lang w:val="en-GB"/>
        </w:rPr>
        <w:t>委员会注意到</w:t>
      </w:r>
      <w:r>
        <w:rPr>
          <w:rFonts w:hint="eastAsia"/>
          <w:lang w:val="en-GB"/>
        </w:rPr>
        <w:t>，</w:t>
      </w:r>
      <w:r w:rsidR="00CA47D2" w:rsidRPr="00CA47D2">
        <w:rPr>
          <w:rFonts w:hint="eastAsia"/>
          <w:lang w:val="en-GB"/>
        </w:rPr>
        <w:t>提交人声称他根据《公约》第二条第</w:t>
      </w:r>
      <w:r w:rsidR="00CA47D2" w:rsidRPr="00CA47D2">
        <w:rPr>
          <w:rFonts w:hint="eastAsia"/>
          <w:lang w:val="en-GB"/>
        </w:rPr>
        <w:t>3</w:t>
      </w:r>
      <w:r w:rsidR="00CA47D2" w:rsidRPr="00CA47D2">
        <w:rPr>
          <w:rFonts w:hint="eastAsia"/>
          <w:lang w:val="en-GB"/>
        </w:rPr>
        <w:t>款所享有的获得有效救济的权利受到侵犯。委员会指出</w:t>
      </w:r>
      <w:r>
        <w:rPr>
          <w:rFonts w:hint="eastAsia"/>
          <w:lang w:val="en-GB"/>
        </w:rPr>
        <w:t>，</w:t>
      </w:r>
      <w:r w:rsidR="00CA47D2" w:rsidRPr="00CA47D2">
        <w:rPr>
          <w:rFonts w:hint="eastAsia"/>
          <w:lang w:val="en-GB"/>
        </w:rPr>
        <w:t>《公约》第二条的各项条款规定了缔约国的总体义务</w:t>
      </w:r>
      <w:r>
        <w:rPr>
          <w:rFonts w:hint="eastAsia"/>
          <w:lang w:val="en-GB"/>
        </w:rPr>
        <w:t>，</w:t>
      </w:r>
      <w:r w:rsidR="00CA47D2" w:rsidRPr="00CA47D2">
        <w:rPr>
          <w:rFonts w:hint="eastAsia"/>
          <w:lang w:val="en-GB"/>
        </w:rPr>
        <w:t>但仅靠这些条款并不能构成根据《任择议定书》以来文形式提出申诉的理由。</w:t>
      </w:r>
      <w:r w:rsidR="00CA47D2" w:rsidRPr="008B4B69">
        <w:rPr>
          <w:color w:val="0000FF"/>
          <w:vertAlign w:val="superscript"/>
          <w:lang w:val="en-GB"/>
        </w:rPr>
        <w:footnoteReference w:id="3"/>
      </w:r>
      <w:r w:rsidR="00CA47D2" w:rsidRPr="00CA47D2">
        <w:rPr>
          <w:lang w:val="en-GB"/>
        </w:rPr>
        <w:t xml:space="preserve"> </w:t>
      </w:r>
      <w:r w:rsidR="00CA47D2" w:rsidRPr="00CA47D2">
        <w:rPr>
          <w:rFonts w:hint="eastAsia"/>
          <w:lang w:val="en-GB"/>
        </w:rPr>
        <w:t>委员会认为</w:t>
      </w:r>
      <w:r>
        <w:rPr>
          <w:rFonts w:hint="eastAsia"/>
          <w:lang w:val="en-GB"/>
        </w:rPr>
        <w:t>，</w:t>
      </w:r>
      <w:r w:rsidR="00CA47D2" w:rsidRPr="00CA47D2">
        <w:rPr>
          <w:rFonts w:hint="eastAsia"/>
          <w:lang w:val="en-GB"/>
        </w:rPr>
        <w:t>提交人在这方面的主张根据《任择议定书》第二条不可受理。</w:t>
      </w:r>
      <w:r w:rsidR="00CA47D2" w:rsidRPr="00CA47D2">
        <w:rPr>
          <w:lang w:val="en-GB"/>
        </w:rPr>
        <w:tab/>
      </w:r>
    </w:p>
    <w:p w:rsidR="00CA47D2" w:rsidRPr="00CA47D2" w:rsidRDefault="008A0274" w:rsidP="001C404D">
      <w:pPr>
        <w:pStyle w:val="SingleTxtGC"/>
        <w:rPr>
          <w:rFonts w:hint="eastAsia"/>
        </w:rPr>
      </w:pPr>
      <w:r>
        <w:t>5.</w:t>
      </w:r>
      <w:r w:rsidR="001C404D">
        <w:t xml:space="preserve">3 </w:t>
      </w:r>
      <w:r w:rsidR="001C404D">
        <w:rPr>
          <w:rFonts w:hint="eastAsia"/>
        </w:rPr>
        <w:t xml:space="preserve"> </w:t>
      </w:r>
      <w:r w:rsidR="00CA47D2" w:rsidRPr="00CA47D2">
        <w:rPr>
          <w:rFonts w:hint="eastAsia"/>
        </w:rPr>
        <w:t>提交人声称他根据《公约》第十四条第</w:t>
      </w:r>
      <w:r w:rsidR="00CA47D2" w:rsidRPr="00CA47D2">
        <w:rPr>
          <w:rFonts w:hint="eastAsia"/>
        </w:rPr>
        <w:t>1</w:t>
      </w:r>
      <w:r w:rsidR="00CA47D2" w:rsidRPr="00CA47D2">
        <w:rPr>
          <w:rFonts w:hint="eastAsia"/>
        </w:rPr>
        <w:t>款享有的权利受到侵犯</w:t>
      </w:r>
      <w:r>
        <w:rPr>
          <w:rFonts w:hint="eastAsia"/>
        </w:rPr>
        <w:t>，</w:t>
      </w:r>
      <w:r w:rsidR="00CA47D2" w:rsidRPr="00CA47D2">
        <w:rPr>
          <w:rFonts w:hint="eastAsia"/>
        </w:rPr>
        <w:t>因为国内法院无视他对财政部申诉受理程序提出的起诉。鉴于这方面没有任何进一步资料或解释</w:t>
      </w:r>
      <w:r>
        <w:rPr>
          <w:rFonts w:hint="eastAsia"/>
        </w:rPr>
        <w:t>，</w:t>
      </w:r>
      <w:r w:rsidR="00CA47D2" w:rsidRPr="00CA47D2">
        <w:rPr>
          <w:rFonts w:hint="eastAsia"/>
        </w:rPr>
        <w:t>委员会认为</w:t>
      </w:r>
      <w:r>
        <w:rPr>
          <w:rFonts w:hint="eastAsia"/>
        </w:rPr>
        <w:t>，</w:t>
      </w:r>
      <w:r w:rsidR="00CA47D2" w:rsidRPr="00CA47D2">
        <w:rPr>
          <w:rFonts w:hint="eastAsia"/>
          <w:lang w:val="en-GB"/>
        </w:rPr>
        <w:t>就可受理性而言</w:t>
      </w:r>
      <w:r>
        <w:rPr>
          <w:rFonts w:hint="eastAsia"/>
          <w:lang w:val="en-GB"/>
        </w:rPr>
        <w:t>，</w:t>
      </w:r>
      <w:r w:rsidR="00CA47D2" w:rsidRPr="00CA47D2">
        <w:rPr>
          <w:rFonts w:hint="eastAsia"/>
        </w:rPr>
        <w:t>提交人未能充分证实他的申诉</w:t>
      </w:r>
      <w:r>
        <w:rPr>
          <w:rFonts w:hint="eastAsia"/>
        </w:rPr>
        <w:t>，</w:t>
      </w:r>
      <w:r w:rsidR="00CA47D2" w:rsidRPr="00CA47D2">
        <w:rPr>
          <w:rFonts w:hint="eastAsia"/>
        </w:rPr>
        <w:t>因此宣布</w:t>
      </w:r>
      <w:r w:rsidR="00CA47D2" w:rsidRPr="00CA47D2">
        <w:rPr>
          <w:rFonts w:hint="eastAsia"/>
          <w:lang w:val="en-GB"/>
        </w:rPr>
        <w:t>来文的这一部分根据《任择议定书》第二条不可受理。</w:t>
      </w:r>
    </w:p>
    <w:p w:rsidR="00CA47D2" w:rsidRPr="00CA47D2" w:rsidRDefault="008A0274" w:rsidP="001C404D">
      <w:pPr>
        <w:pStyle w:val="SingleTxtGC"/>
        <w:rPr>
          <w:rFonts w:hint="eastAsia"/>
          <w:lang w:val="en-GB"/>
        </w:rPr>
      </w:pPr>
      <w:r>
        <w:rPr>
          <w:lang w:val="en-GB"/>
        </w:rPr>
        <w:t>6.</w:t>
      </w:r>
      <w:r w:rsidR="001C404D">
        <w:rPr>
          <w:lang w:val="en-GB"/>
        </w:rPr>
        <w:t xml:space="preserve"> </w:t>
      </w:r>
      <w:r w:rsidR="001C404D">
        <w:rPr>
          <w:rFonts w:hint="eastAsia"/>
          <w:lang w:val="en-GB"/>
        </w:rPr>
        <w:t xml:space="preserve"> </w:t>
      </w:r>
      <w:r w:rsidR="00CA47D2" w:rsidRPr="00CA47D2">
        <w:rPr>
          <w:rFonts w:hint="eastAsia"/>
          <w:lang w:val="en-GB"/>
        </w:rPr>
        <w:t>因此</w:t>
      </w:r>
      <w:r>
        <w:rPr>
          <w:rFonts w:hint="eastAsia"/>
          <w:lang w:val="en-GB"/>
        </w:rPr>
        <w:t>，</w:t>
      </w:r>
      <w:r w:rsidR="00CA47D2" w:rsidRPr="00CA47D2">
        <w:rPr>
          <w:rFonts w:hint="eastAsia"/>
          <w:lang w:val="en-GB"/>
        </w:rPr>
        <w:t>委员会决定</w:t>
      </w:r>
      <w:r>
        <w:rPr>
          <w:rFonts w:hint="eastAsia"/>
          <w:lang w:val="en-GB"/>
        </w:rPr>
        <w:t>：</w:t>
      </w:r>
    </w:p>
    <w:p w:rsidR="00CA47D2" w:rsidRPr="00CA47D2" w:rsidRDefault="00CA47D2" w:rsidP="001C404D">
      <w:pPr>
        <w:pStyle w:val="SingleTxtGC"/>
        <w:numPr>
          <w:ilvl w:val="0"/>
          <w:numId w:val="43"/>
        </w:numPr>
        <w:rPr>
          <w:lang w:val="en-GB"/>
        </w:rPr>
      </w:pPr>
      <w:r w:rsidRPr="00CA47D2">
        <w:rPr>
          <w:rFonts w:hint="eastAsia"/>
          <w:lang w:val="en-GB"/>
        </w:rPr>
        <w:t>根据《任择议定书》第二条</w:t>
      </w:r>
      <w:r w:rsidR="008A0274">
        <w:rPr>
          <w:rFonts w:hint="eastAsia"/>
          <w:lang w:val="en-GB"/>
        </w:rPr>
        <w:t>，</w:t>
      </w:r>
      <w:r w:rsidRPr="00CA47D2">
        <w:rPr>
          <w:rFonts w:hint="eastAsia"/>
          <w:lang w:val="en-GB"/>
        </w:rPr>
        <w:t>来文不予受理</w:t>
      </w:r>
      <w:r w:rsidR="008A0274">
        <w:rPr>
          <w:rFonts w:hint="eastAsia"/>
          <w:lang w:val="en-GB"/>
        </w:rPr>
        <w:t>；</w:t>
      </w:r>
    </w:p>
    <w:p w:rsidR="00CA47D2" w:rsidRPr="00CA47D2" w:rsidRDefault="00CA47D2" w:rsidP="001C404D">
      <w:pPr>
        <w:pStyle w:val="SingleTxtGC"/>
        <w:numPr>
          <w:ilvl w:val="0"/>
          <w:numId w:val="43"/>
        </w:numPr>
        <w:rPr>
          <w:lang w:val="en-GB"/>
        </w:rPr>
      </w:pPr>
      <w:r w:rsidRPr="00CA47D2">
        <w:rPr>
          <w:rFonts w:hint="eastAsia"/>
          <w:lang w:val="en-GB"/>
        </w:rPr>
        <w:t>将本决定通知缔约国和提交人。</w:t>
      </w:r>
    </w:p>
    <w:p w:rsidR="00CA47D2" w:rsidRPr="00CA47D2" w:rsidRDefault="008A0274" w:rsidP="001C404D">
      <w:pPr>
        <w:pStyle w:val="SingleTxtGC"/>
        <w:rPr>
          <w:lang w:val="en-GB"/>
        </w:rPr>
      </w:pPr>
      <w:r>
        <w:rPr>
          <w:lang w:val="en-GB"/>
        </w:rPr>
        <w:t>[</w:t>
      </w:r>
      <w:r w:rsidR="00CA47D2" w:rsidRPr="00CA47D2">
        <w:rPr>
          <w:rFonts w:hint="eastAsia"/>
          <w:lang w:val="en-GB"/>
        </w:rPr>
        <w:t>通过时有英文、法文和西班牙文本</w:t>
      </w:r>
      <w:r>
        <w:rPr>
          <w:rFonts w:hint="eastAsia"/>
          <w:lang w:val="en-GB"/>
        </w:rPr>
        <w:t>，</w:t>
      </w:r>
      <w:r w:rsidR="00CA47D2" w:rsidRPr="00CA47D2">
        <w:rPr>
          <w:rFonts w:hint="eastAsia"/>
          <w:lang w:val="en-GB"/>
        </w:rPr>
        <w:t>其中英文本为原文。随后还将印发阿拉伯文、中文和俄文本</w:t>
      </w:r>
      <w:r>
        <w:rPr>
          <w:rFonts w:hint="eastAsia"/>
          <w:lang w:val="en-GB"/>
        </w:rPr>
        <w:t>，</w:t>
      </w:r>
      <w:r w:rsidR="00CA47D2" w:rsidRPr="00CA47D2">
        <w:rPr>
          <w:rFonts w:hint="eastAsia"/>
          <w:lang w:val="en-GB"/>
        </w:rPr>
        <w:t>作为委员会提交大会的年度报告的一部分。</w:t>
      </w:r>
      <w:r>
        <w:rPr>
          <w:lang w:val="en-GB"/>
        </w:rPr>
        <w:t>]</w:t>
      </w:r>
    </w:p>
    <w:p w:rsidR="00C7462D" w:rsidRDefault="00C7462D" w:rsidP="004303A9">
      <w:pPr>
        <w:pStyle w:val="SingleTxtGC"/>
        <w:rPr>
          <w:lang w:val="fr-CH"/>
        </w:rPr>
      </w:pPr>
    </w:p>
    <w:p w:rsidR="008B4B69" w:rsidRPr="002D6A9C" w:rsidRDefault="008B4B6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B4B69"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E5C" w:rsidRPr="008C40EB" w:rsidRDefault="003D2E5C" w:rsidP="008C40EB">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3D2E5C" w:rsidRDefault="003D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14" w:rsidRPr="004A2A72" w:rsidRDefault="00813014">
    <w:pPr>
      <w:pStyle w:val="Footer"/>
      <w:tabs>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290C62">
      <w:rPr>
        <w:rStyle w:val="PageNumber"/>
        <w:noProof/>
      </w:rPr>
      <w:t>2</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4A2A72">
      <w:rPr>
        <w:rFonts w:eastAsia="SimSun"/>
      </w:rPr>
      <w:t>GE.10-42445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14" w:rsidRDefault="00813014">
    <w:pPr>
      <w:pStyle w:val="Footer"/>
      <w:tabs>
        <w:tab w:val="right" w:pos="9639"/>
      </w:tabs>
    </w:pPr>
    <w:r w:rsidRPr="004A2A72">
      <w:rPr>
        <w:rFonts w:eastAsia="SimSun"/>
      </w:rPr>
      <w:t>GE.10-42445</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290C62">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14" w:rsidRPr="00FA3CA8" w:rsidRDefault="00813014" w:rsidP="00FA3CA8">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Pr>
        <w:rFonts w:eastAsia="SimSun"/>
        <w:sz w:val="20"/>
        <w:lang w:eastAsia="zh-CN"/>
      </w:rPr>
      <w:t>-</w:t>
    </w:r>
    <w:r>
      <w:rPr>
        <w:rFonts w:eastAsia="SimSun" w:hint="eastAsia"/>
        <w:sz w:val="20"/>
        <w:lang w:eastAsia="zh-CN"/>
      </w:rPr>
      <w:t>42445</w:t>
    </w:r>
    <w:r w:rsidRPr="00EE277A">
      <w:rPr>
        <w:rFonts w:eastAsia="SimSun"/>
        <w:sz w:val="20"/>
        <w:lang w:eastAsia="zh-CN"/>
      </w:rPr>
      <w:t xml:space="preserve"> (C)</w:t>
    </w:r>
    <w:r>
      <w:rPr>
        <w:rFonts w:eastAsia="SimSun"/>
        <w:sz w:val="20"/>
        <w:lang w:eastAsia="zh-CN"/>
      </w:rPr>
      <w:tab/>
    </w:r>
    <w:r>
      <w:rPr>
        <w:rFonts w:eastAsia="SimSun" w:hint="eastAsia"/>
        <w:sz w:val="20"/>
        <w:lang w:eastAsia="zh-CN"/>
      </w:rPr>
      <w:t>28</w:t>
    </w:r>
    <w:r>
      <w:rPr>
        <w:rFonts w:eastAsia="SimSun"/>
        <w:sz w:val="20"/>
        <w:lang w:eastAsia="zh-CN"/>
      </w:rPr>
      <w:t>0</w:t>
    </w:r>
    <w:r>
      <w:rPr>
        <w:rFonts w:eastAsia="SimSun" w:hint="eastAsia"/>
        <w:sz w:val="20"/>
        <w:lang w:eastAsia="zh-CN"/>
      </w:rPr>
      <w:t>510</w:t>
    </w:r>
    <w:r>
      <w:rPr>
        <w:rFonts w:eastAsia="SimSun"/>
        <w:sz w:val="20"/>
        <w:lang w:eastAsia="zh-CN"/>
      </w:rPr>
      <w:tab/>
    </w:r>
    <w:r>
      <w:rPr>
        <w:rFonts w:eastAsia="SimSun" w:hint="eastAsia"/>
        <w:sz w:val="20"/>
        <w:lang w:eastAsia="zh-CN"/>
      </w:rPr>
      <w:t>16</w:t>
    </w:r>
    <w:r>
      <w:rPr>
        <w:rFonts w:eastAsia="SimSun"/>
        <w:sz w:val="20"/>
        <w:lang w:eastAsia="zh-CN"/>
      </w:rPr>
      <w:t>0</w:t>
    </w:r>
    <w:r>
      <w:rPr>
        <w:rFonts w:eastAsia="SimSun" w:hint="eastAsia"/>
        <w:sz w:val="20"/>
        <w:lang w:eastAsia="zh-CN"/>
      </w:rPr>
      <w:t>610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E5C" w:rsidRPr="005749F7" w:rsidRDefault="003D2E5C"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3D2E5C" w:rsidRPr="005749F7" w:rsidRDefault="003D2E5C"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813014" w:rsidRDefault="00813014">
      <w:pPr>
        <w:pStyle w:val="FootnoteText"/>
        <w:rPr>
          <w:rFonts w:hint="eastAsia"/>
        </w:rPr>
      </w:pPr>
      <w:r>
        <w:rPr>
          <w:rFonts w:hint="eastAsia"/>
        </w:rPr>
        <w:tab/>
      </w:r>
      <w:r w:rsidRPr="000511D6">
        <w:rPr>
          <w:rStyle w:val="FootnoteReference"/>
          <w:vertAlign w:val="baseline"/>
        </w:rPr>
        <w:sym w:font="Symbol" w:char="F02A"/>
      </w:r>
      <w:r>
        <w:rPr>
          <w:rFonts w:hint="eastAsia"/>
        </w:rPr>
        <w:tab/>
      </w:r>
      <w:r>
        <w:rPr>
          <w:rFonts w:hint="eastAsia"/>
        </w:rPr>
        <w:t>根据人权事务委员会的决定公布。</w:t>
      </w:r>
    </w:p>
  </w:footnote>
  <w:footnote w:id="2">
    <w:p w:rsidR="00813014" w:rsidRDefault="00813014" w:rsidP="008C02ED">
      <w:pPr>
        <w:pStyle w:val="EndnoteText"/>
        <w:rPr>
          <w:rFonts w:hint="eastAsia"/>
        </w:rPr>
      </w:pPr>
      <w:r>
        <w:rPr>
          <w:rFonts w:hint="eastAsia"/>
        </w:rPr>
        <w:tab/>
      </w:r>
      <w:r w:rsidRPr="00646449">
        <w:rPr>
          <w:rStyle w:val="FootnoteReference"/>
          <w:vertAlign w:val="baseline"/>
        </w:rPr>
        <w:sym w:font="Symbol" w:char="F02A"/>
      </w:r>
      <w:r w:rsidRPr="00646449">
        <w:rPr>
          <w:rStyle w:val="FootnoteReference"/>
          <w:vertAlign w:val="baseline"/>
        </w:rPr>
        <w:sym w:font="Symbol" w:char="F02A"/>
      </w:r>
      <w:r>
        <w:rPr>
          <w:rFonts w:hint="eastAsia"/>
        </w:rPr>
        <w:tab/>
      </w:r>
      <w:r w:rsidRPr="008B4B69">
        <w:rPr>
          <w:rFonts w:hint="eastAsia"/>
        </w:rPr>
        <w:t>委员会下列委员参加了对这项来文的审议</w:t>
      </w:r>
      <w:r>
        <w:rPr>
          <w:rFonts w:hint="eastAsia"/>
        </w:rPr>
        <w:t>：</w:t>
      </w:r>
      <w:r w:rsidRPr="008B4B69">
        <w:t>阿卜杜勒法塔赫</w:t>
      </w:r>
      <w:r>
        <w:rPr>
          <w:rFonts w:hint="eastAsia"/>
        </w:rPr>
        <w:t>·</w:t>
      </w:r>
      <w:r w:rsidRPr="008B4B69">
        <w:t>奥马尔先生</w:t>
      </w:r>
      <w:r w:rsidRPr="008B4B69">
        <w:rPr>
          <w:rFonts w:hint="eastAsia"/>
        </w:rPr>
        <w:t>、拉扎里·布兹德先生、</w:t>
      </w:r>
      <w:r w:rsidRPr="008B4B69">
        <w:t>克里斯蒂娜</w:t>
      </w:r>
      <w:r>
        <w:rPr>
          <w:rFonts w:hint="eastAsia"/>
        </w:rPr>
        <w:t>·</w:t>
      </w:r>
      <w:r w:rsidRPr="008B4B69">
        <w:t>沙内女士</w:t>
      </w:r>
      <w:r w:rsidRPr="008B4B69">
        <w:rPr>
          <w:rFonts w:hint="eastAsia"/>
        </w:rPr>
        <w:t>、</w:t>
      </w:r>
      <w:r w:rsidRPr="008B4B69">
        <w:t>马哈吉卜</w:t>
      </w:r>
      <w:r>
        <w:rPr>
          <w:rFonts w:hint="eastAsia"/>
        </w:rPr>
        <w:t>·</w:t>
      </w:r>
      <w:r w:rsidRPr="008B4B69">
        <w:t>埃尔</w:t>
      </w:r>
      <w:r>
        <w:rPr>
          <w:rFonts w:hint="eastAsia"/>
        </w:rPr>
        <w:t>·</w:t>
      </w:r>
      <w:r w:rsidRPr="008B4B69">
        <w:rPr>
          <w:rFonts w:hint="eastAsia"/>
        </w:rPr>
        <w:t>哈伊巴先生、艾哈迈德·阿明·法萨拉先生、</w:t>
      </w:r>
      <w:r w:rsidRPr="008B4B69">
        <w:t>岩泽雄司先生</w:t>
      </w:r>
      <w:r w:rsidRPr="008B4B69">
        <w:rPr>
          <w:rFonts w:hint="eastAsia"/>
        </w:rPr>
        <w:t>、</w:t>
      </w:r>
      <w:r w:rsidRPr="008B4B69">
        <w:t>海伦</w:t>
      </w:r>
      <w:r>
        <w:rPr>
          <w:rFonts w:hint="eastAsia"/>
        </w:rPr>
        <w:t>·</w:t>
      </w:r>
      <w:r w:rsidRPr="008B4B69">
        <w:t>凯勒女士</w:t>
      </w:r>
      <w:r w:rsidRPr="008B4B69">
        <w:rPr>
          <w:rFonts w:hint="eastAsia"/>
        </w:rPr>
        <w:t>、</w:t>
      </w:r>
      <w:r w:rsidRPr="008B4B69">
        <w:t>拉杰苏默</w:t>
      </w:r>
      <w:r>
        <w:rPr>
          <w:rFonts w:hint="eastAsia"/>
        </w:rPr>
        <w:t>·</w:t>
      </w:r>
      <w:r w:rsidRPr="008B4B69">
        <w:t>拉拉赫先生</w:t>
      </w:r>
      <w:r w:rsidRPr="008B4B69">
        <w:rPr>
          <w:rFonts w:hint="eastAsia"/>
        </w:rPr>
        <w:t>、赞克·扎内莱·马约迪纳女士、</w:t>
      </w:r>
      <w:r w:rsidRPr="008B4B69">
        <w:t>尤利亚</w:t>
      </w:r>
      <w:r>
        <w:rPr>
          <w:rFonts w:hint="eastAsia"/>
        </w:rPr>
        <w:t>·</w:t>
      </w:r>
      <w:r w:rsidRPr="008B4B69">
        <w:t>安托阿尼拉</w:t>
      </w:r>
      <w:r>
        <w:rPr>
          <w:rFonts w:hint="eastAsia"/>
        </w:rPr>
        <w:t>·</w:t>
      </w:r>
      <w:r w:rsidRPr="008B4B69">
        <w:t>莫托科女士</w:t>
      </w:r>
      <w:r w:rsidRPr="008B4B69">
        <w:rPr>
          <w:rFonts w:hint="eastAsia"/>
        </w:rPr>
        <w:t>、</w:t>
      </w:r>
      <w:r w:rsidRPr="008B4B69">
        <w:t>迈克尔</w:t>
      </w:r>
      <w:r>
        <w:rPr>
          <w:rFonts w:hint="eastAsia"/>
        </w:rPr>
        <w:t>·</w:t>
      </w:r>
      <w:r w:rsidRPr="008B4B69">
        <w:t>奥弗莱厄蒂先生</w:t>
      </w:r>
      <w:r w:rsidRPr="008B4B69">
        <w:rPr>
          <w:rFonts w:hint="eastAsia"/>
        </w:rPr>
        <w:t>、何塞·路易斯·佩雷斯－桑切斯－塞罗先生、</w:t>
      </w:r>
      <w:r w:rsidRPr="008B4B69">
        <w:t>拉斐尔</w:t>
      </w:r>
      <w:r>
        <w:rPr>
          <w:rFonts w:hint="eastAsia"/>
        </w:rPr>
        <w:t>·</w:t>
      </w:r>
      <w:r w:rsidRPr="008B4B69">
        <w:t>里瓦斯</w:t>
      </w:r>
      <w:r>
        <w:rPr>
          <w:rFonts w:hint="eastAsia"/>
        </w:rPr>
        <w:t>·</w:t>
      </w:r>
      <w:r w:rsidRPr="008B4B69">
        <w:t>波萨达先生</w:t>
      </w:r>
      <w:r w:rsidRPr="008B4B69">
        <w:rPr>
          <w:rFonts w:hint="eastAsia"/>
        </w:rPr>
        <w:t>、</w:t>
      </w:r>
      <w:r w:rsidRPr="008B4B69">
        <w:t>奈杰尔</w:t>
      </w:r>
      <w:r>
        <w:rPr>
          <w:rFonts w:hint="eastAsia"/>
        </w:rPr>
        <w:t>·</w:t>
      </w:r>
      <w:r w:rsidRPr="008B4B69">
        <w:t>罗德利爵士</w:t>
      </w:r>
      <w:r w:rsidRPr="008B4B69">
        <w:rPr>
          <w:rFonts w:hint="eastAsia"/>
        </w:rPr>
        <w:t>、</w:t>
      </w:r>
      <w:r w:rsidRPr="008B4B69">
        <w:t>费边</w:t>
      </w:r>
      <w:r>
        <w:rPr>
          <w:rFonts w:hint="eastAsia"/>
        </w:rPr>
        <w:t>·</w:t>
      </w:r>
      <w:r w:rsidRPr="008B4B69">
        <w:t>奥马尔</w:t>
      </w:r>
      <w:r>
        <w:rPr>
          <w:rFonts w:hint="eastAsia"/>
        </w:rPr>
        <w:t>·</w:t>
      </w:r>
      <w:r w:rsidRPr="008B4B69">
        <w:t>萨尔维奥利先生</w:t>
      </w:r>
      <w:r w:rsidRPr="008B4B69">
        <w:rPr>
          <w:rFonts w:hint="eastAsia"/>
        </w:rPr>
        <w:t>和</w:t>
      </w:r>
      <w:r w:rsidRPr="008B4B69">
        <w:t>克里斯特</w:t>
      </w:r>
      <w:r>
        <w:rPr>
          <w:rFonts w:hint="eastAsia"/>
        </w:rPr>
        <w:t>·</w:t>
      </w:r>
      <w:r w:rsidRPr="008B4B69">
        <w:t>特林先生</w:t>
      </w:r>
      <w:r w:rsidRPr="008B4B69">
        <w:rPr>
          <w:rFonts w:hint="eastAsia"/>
        </w:rPr>
        <w:t>。</w:t>
      </w:r>
    </w:p>
  </w:footnote>
  <w:footnote w:id="3">
    <w:p w:rsidR="00813014" w:rsidRPr="007622B6" w:rsidRDefault="00813014" w:rsidP="008B4B69">
      <w:pPr>
        <w:pStyle w:val="EndnoteText"/>
      </w:pPr>
      <w:r>
        <w:tab/>
      </w:r>
      <w:r w:rsidRPr="007622B6">
        <w:rPr>
          <w:rStyle w:val="FootnoteReference"/>
        </w:rPr>
        <w:footnoteRef/>
      </w:r>
      <w:r>
        <w:rPr>
          <w:rFonts w:hint="eastAsia"/>
        </w:rPr>
        <w:tab/>
      </w:r>
      <w:r w:rsidRPr="008B4B69">
        <w:rPr>
          <w:iCs/>
        </w:rPr>
        <w:t>C.E.A.</w:t>
      </w:r>
      <w:r w:rsidRPr="008B4B69">
        <w:rPr>
          <w:rFonts w:hint="eastAsia"/>
          <w:iCs/>
        </w:rPr>
        <w:t>诉芬兰</w:t>
      </w:r>
      <w:r>
        <w:rPr>
          <w:rFonts w:hint="eastAsia"/>
          <w:i/>
          <w:iCs/>
        </w:rPr>
        <w:t>，</w:t>
      </w:r>
      <w:r w:rsidRPr="008B4B69">
        <w:rPr>
          <w:rFonts w:hint="eastAsia"/>
          <w:iCs/>
        </w:rPr>
        <w:t>第</w:t>
      </w:r>
      <w:r w:rsidRPr="007622B6">
        <w:t>316</w:t>
      </w:r>
      <w:r>
        <w:t>/</w:t>
      </w:r>
      <w:r w:rsidRPr="007622B6">
        <w:t>1988</w:t>
      </w:r>
      <w:r>
        <w:rPr>
          <w:rFonts w:hint="eastAsia"/>
        </w:rPr>
        <w:t>号案，</w:t>
      </w:r>
      <w:r>
        <w:rPr>
          <w:rFonts w:hint="eastAsia"/>
        </w:rPr>
        <w:t>1991</w:t>
      </w:r>
      <w:r>
        <w:rPr>
          <w:rFonts w:hint="eastAsia"/>
        </w:rPr>
        <w:t>年</w:t>
      </w:r>
      <w:r>
        <w:rPr>
          <w:rFonts w:hint="eastAsia"/>
        </w:rPr>
        <w:t>7</w:t>
      </w:r>
      <w:r>
        <w:rPr>
          <w:rFonts w:hint="eastAsia"/>
        </w:rPr>
        <w:t>月</w:t>
      </w:r>
      <w:r>
        <w:rPr>
          <w:rFonts w:hint="eastAsia"/>
        </w:rPr>
        <w:t>10</w:t>
      </w:r>
      <w:r>
        <w:rPr>
          <w:rFonts w:hint="eastAsia"/>
        </w:rPr>
        <w:t>日的决定，第</w:t>
      </w:r>
      <w:r>
        <w:t>6.</w:t>
      </w:r>
      <w:r w:rsidRPr="007622B6">
        <w:t>2</w:t>
      </w:r>
      <w:r>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14" w:rsidRPr="004A2A72" w:rsidRDefault="00813014">
    <w:pPr>
      <w:pStyle w:val="Header"/>
    </w:pPr>
    <w:r w:rsidRPr="004A2A72">
      <w:t>CCPR/C/98/D/1522/2006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14" w:rsidRPr="004A2A72" w:rsidRDefault="00813014">
    <w:pPr>
      <w:pStyle w:val="Header"/>
      <w:jc w:val="right"/>
    </w:pPr>
    <w:r w:rsidRPr="004A2A72">
      <w:t>CCPR/C/98/D/1522/2006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14" w:rsidRDefault="00813014">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9B45D4B"/>
    <w:multiLevelType w:val="hybridMultilevel"/>
    <w:tmpl w:val="AAF036F4"/>
    <w:lvl w:ilvl="0" w:tplc="CCE27AD6">
      <w:start w:val="1"/>
      <w:numFmt w:val="lowerLetter"/>
      <w:lvlRestart w:val="0"/>
      <w:lvlText w:val="(%1)"/>
      <w:lvlJc w:val="right"/>
      <w:pPr>
        <w:tabs>
          <w:tab w:val="num" w:pos="2431"/>
        </w:tabs>
        <w:ind w:left="2431" w:hanging="205"/>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70A66AC"/>
    <w:multiLevelType w:val="hybridMultilevel"/>
    <w:tmpl w:val="C55AC51A"/>
    <w:lvl w:ilvl="0" w:tplc="EB6AEDA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5952B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0">
    <w:nsid w:val="3F67148B"/>
    <w:multiLevelType w:val="hybridMultilevel"/>
    <w:tmpl w:val="7A18681A"/>
    <w:lvl w:ilvl="0" w:tplc="CCE27AD6">
      <w:start w:val="1"/>
      <w:numFmt w:val="lowerLetter"/>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3067C7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nsid w:val="49417F43"/>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AB307BF"/>
    <w:multiLevelType w:val="hybridMultilevel"/>
    <w:tmpl w:val="A4ACE6C0"/>
    <w:lvl w:ilvl="0" w:tplc="80E0721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22"/>
  </w:num>
  <w:num w:numId="14">
    <w:abstractNumId w:val="12"/>
  </w:num>
  <w:num w:numId="15">
    <w:abstractNumId w:val="13"/>
  </w:num>
  <w:num w:numId="16">
    <w:abstractNumId w:val="25"/>
  </w:num>
  <w:num w:numId="17">
    <w:abstractNumId w:val="12"/>
  </w:num>
  <w:num w:numId="18">
    <w:abstractNumId w:val="12"/>
  </w:num>
  <w:num w:numId="19">
    <w:abstractNumId w:val="25"/>
  </w:num>
  <w:num w:numId="20">
    <w:abstractNumId w:val="13"/>
  </w:num>
  <w:num w:numId="21">
    <w:abstractNumId w:val="13"/>
  </w:num>
  <w:num w:numId="22">
    <w:abstractNumId w:val="18"/>
  </w:num>
  <w:num w:numId="23">
    <w:abstractNumId w:val="10"/>
  </w:num>
  <w:num w:numId="24">
    <w:abstractNumId w:val="16"/>
  </w:num>
  <w:num w:numId="25">
    <w:abstractNumId w:val="24"/>
  </w:num>
  <w:num w:numId="26">
    <w:abstractNumId w:val="17"/>
  </w:num>
  <w:num w:numId="27">
    <w:abstractNumId w:val="14"/>
  </w:num>
  <w:num w:numId="28">
    <w:abstractNumId w:val="18"/>
  </w:num>
  <w:num w:numId="29">
    <w:abstractNumId w:val="10"/>
  </w:num>
  <w:num w:numId="30">
    <w:abstractNumId w:val="16"/>
  </w:num>
  <w:num w:numId="31">
    <w:abstractNumId w:val="27"/>
  </w:num>
  <w:num w:numId="32">
    <w:abstractNumId w:val="24"/>
  </w:num>
  <w:num w:numId="33">
    <w:abstractNumId w:val="17"/>
  </w:num>
  <w:num w:numId="34">
    <w:abstractNumId w:val="14"/>
  </w:num>
  <w:num w:numId="35">
    <w:abstractNumId w:val="18"/>
  </w:num>
  <w:num w:numId="36">
    <w:abstractNumId w:val="10"/>
  </w:num>
  <w:num w:numId="37">
    <w:abstractNumId w:val="16"/>
  </w:num>
  <w:num w:numId="38">
    <w:abstractNumId w:val="27"/>
  </w:num>
  <w:num w:numId="39">
    <w:abstractNumId w:val="20"/>
  </w:num>
  <w:num w:numId="40">
    <w:abstractNumId w:val="15"/>
  </w:num>
  <w:num w:numId="41">
    <w:abstractNumId w:val="11"/>
  </w:num>
  <w:num w:numId="42">
    <w:abstractNumId w:val="26"/>
  </w:num>
  <w:num w:numId="43">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B74"/>
    <w:rsid w:val="00014DCD"/>
    <w:rsid w:val="00020C87"/>
    <w:rsid w:val="00022C6D"/>
    <w:rsid w:val="00030AD2"/>
    <w:rsid w:val="000475C3"/>
    <w:rsid w:val="000511D6"/>
    <w:rsid w:val="00055382"/>
    <w:rsid w:val="0007052C"/>
    <w:rsid w:val="00085DDB"/>
    <w:rsid w:val="000B04E4"/>
    <w:rsid w:val="000B5C2E"/>
    <w:rsid w:val="000C14A8"/>
    <w:rsid w:val="000C3594"/>
    <w:rsid w:val="000C6A2D"/>
    <w:rsid w:val="000E4FF4"/>
    <w:rsid w:val="000F04AE"/>
    <w:rsid w:val="0012413E"/>
    <w:rsid w:val="001259F1"/>
    <w:rsid w:val="00145D56"/>
    <w:rsid w:val="00152893"/>
    <w:rsid w:val="0015394F"/>
    <w:rsid w:val="00172BD1"/>
    <w:rsid w:val="001C404D"/>
    <w:rsid w:val="001D0F8B"/>
    <w:rsid w:val="001D1874"/>
    <w:rsid w:val="001D5D23"/>
    <w:rsid w:val="001E0E36"/>
    <w:rsid w:val="001F2D62"/>
    <w:rsid w:val="00251218"/>
    <w:rsid w:val="0026330B"/>
    <w:rsid w:val="00273000"/>
    <w:rsid w:val="00290C62"/>
    <w:rsid w:val="00292345"/>
    <w:rsid w:val="00295F1A"/>
    <w:rsid w:val="0029644C"/>
    <w:rsid w:val="002A77DF"/>
    <w:rsid w:val="002D7642"/>
    <w:rsid w:val="002E1CDE"/>
    <w:rsid w:val="003024F1"/>
    <w:rsid w:val="00327B3E"/>
    <w:rsid w:val="0033248F"/>
    <w:rsid w:val="00334EDE"/>
    <w:rsid w:val="0035477D"/>
    <w:rsid w:val="00360908"/>
    <w:rsid w:val="0038336D"/>
    <w:rsid w:val="00384758"/>
    <w:rsid w:val="003D2E5C"/>
    <w:rsid w:val="003E130D"/>
    <w:rsid w:val="003F1942"/>
    <w:rsid w:val="00411F1E"/>
    <w:rsid w:val="004303A9"/>
    <w:rsid w:val="00487142"/>
    <w:rsid w:val="00496D5F"/>
    <w:rsid w:val="004A2A72"/>
    <w:rsid w:val="004B208D"/>
    <w:rsid w:val="005060D3"/>
    <w:rsid w:val="00511D61"/>
    <w:rsid w:val="00547E6A"/>
    <w:rsid w:val="00566A63"/>
    <w:rsid w:val="005749F7"/>
    <w:rsid w:val="0058774F"/>
    <w:rsid w:val="00587F08"/>
    <w:rsid w:val="005C3406"/>
    <w:rsid w:val="005D73FB"/>
    <w:rsid w:val="00646449"/>
    <w:rsid w:val="00662D00"/>
    <w:rsid w:val="00666AB7"/>
    <w:rsid w:val="0068582B"/>
    <w:rsid w:val="006D1BB2"/>
    <w:rsid w:val="00700C0F"/>
    <w:rsid w:val="00704F21"/>
    <w:rsid w:val="007109CC"/>
    <w:rsid w:val="00714B74"/>
    <w:rsid w:val="00741758"/>
    <w:rsid w:val="0075219B"/>
    <w:rsid w:val="00756446"/>
    <w:rsid w:val="00794610"/>
    <w:rsid w:val="007A39CF"/>
    <w:rsid w:val="007E15C7"/>
    <w:rsid w:val="007F752C"/>
    <w:rsid w:val="0080101E"/>
    <w:rsid w:val="00813014"/>
    <w:rsid w:val="00833FBA"/>
    <w:rsid w:val="00834F13"/>
    <w:rsid w:val="008540AC"/>
    <w:rsid w:val="00883F5B"/>
    <w:rsid w:val="008A0274"/>
    <w:rsid w:val="008B4B69"/>
    <w:rsid w:val="008C02ED"/>
    <w:rsid w:val="008C40EB"/>
    <w:rsid w:val="008E7C19"/>
    <w:rsid w:val="008F23EE"/>
    <w:rsid w:val="008F2A60"/>
    <w:rsid w:val="00911A84"/>
    <w:rsid w:val="0091645A"/>
    <w:rsid w:val="00932962"/>
    <w:rsid w:val="0096650C"/>
    <w:rsid w:val="00984AAB"/>
    <w:rsid w:val="00985AAE"/>
    <w:rsid w:val="009902E4"/>
    <w:rsid w:val="009E146E"/>
    <w:rsid w:val="00A11BC5"/>
    <w:rsid w:val="00A328C0"/>
    <w:rsid w:val="00A43331"/>
    <w:rsid w:val="00A93A29"/>
    <w:rsid w:val="00AE65DA"/>
    <w:rsid w:val="00AF3863"/>
    <w:rsid w:val="00B03657"/>
    <w:rsid w:val="00B063C6"/>
    <w:rsid w:val="00B115C8"/>
    <w:rsid w:val="00B51E7A"/>
    <w:rsid w:val="00B676D5"/>
    <w:rsid w:val="00B77980"/>
    <w:rsid w:val="00B80BBF"/>
    <w:rsid w:val="00B83681"/>
    <w:rsid w:val="00B90D4C"/>
    <w:rsid w:val="00BA27E0"/>
    <w:rsid w:val="00BB67F9"/>
    <w:rsid w:val="00BE01D0"/>
    <w:rsid w:val="00C53E8D"/>
    <w:rsid w:val="00C7462D"/>
    <w:rsid w:val="00C80503"/>
    <w:rsid w:val="00C84DDE"/>
    <w:rsid w:val="00CA47D2"/>
    <w:rsid w:val="00CC6B5C"/>
    <w:rsid w:val="00CE0E43"/>
    <w:rsid w:val="00CF59E4"/>
    <w:rsid w:val="00CF5A57"/>
    <w:rsid w:val="00CF7146"/>
    <w:rsid w:val="00D42589"/>
    <w:rsid w:val="00D4597B"/>
    <w:rsid w:val="00D62149"/>
    <w:rsid w:val="00D769E5"/>
    <w:rsid w:val="00D77D48"/>
    <w:rsid w:val="00D935F8"/>
    <w:rsid w:val="00DA74D3"/>
    <w:rsid w:val="00DB258F"/>
    <w:rsid w:val="00DC439D"/>
    <w:rsid w:val="00DD132F"/>
    <w:rsid w:val="00DF5FDF"/>
    <w:rsid w:val="00E12397"/>
    <w:rsid w:val="00E32EAD"/>
    <w:rsid w:val="00E7126F"/>
    <w:rsid w:val="00E77525"/>
    <w:rsid w:val="00EA3661"/>
    <w:rsid w:val="00EA62B1"/>
    <w:rsid w:val="00EB6660"/>
    <w:rsid w:val="00EF093E"/>
    <w:rsid w:val="00F1312C"/>
    <w:rsid w:val="00F25F14"/>
    <w:rsid w:val="00F377B3"/>
    <w:rsid w:val="00F418CC"/>
    <w:rsid w:val="00F81CE4"/>
    <w:rsid w:val="00F9137E"/>
    <w:rsid w:val="00FA3C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DE"/>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DB258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DB258F"/>
    <w:pPr>
      <w:tabs>
        <w:tab w:val="clear" w:pos="431"/>
        <w:tab w:val="right" w:pos="1021"/>
      </w:tabs>
      <w:spacing w:after="120" w:line="240" w:lineRule="exact"/>
      <w:ind w:left="1134" w:right="1134" w:hanging="1134"/>
    </w:pPr>
    <w:rPr>
      <w:sz w:val="18"/>
    </w:rPr>
  </w:style>
  <w:style w:type="character" w:styleId="FootnoteReference">
    <w:name w:val="footnote reference"/>
    <w:rsid w:val="00D935F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91645A"/>
    <w:pPr>
      <w:ind w:left="1565"/>
    </w:pPr>
  </w:style>
  <w:style w:type="paragraph" w:customStyle="1" w:styleId="a0">
    <w:name w:val="表中标题"/>
    <w:basedOn w:val="SingleTxtGC"/>
    <w:rsid w:val="00D42589"/>
    <w:pPr>
      <w:spacing w:before="80" w:after="80" w:line="200" w:lineRule="exact"/>
      <w:ind w:left="0" w:right="113"/>
    </w:pPr>
    <w:rPr>
      <w:rFonts w:eastAsia="KaiTi_GB2312"/>
      <w:sz w:val="18"/>
    </w:rPr>
  </w:style>
  <w:style w:type="paragraph" w:customStyle="1" w:styleId="a1">
    <w:name w:val="目录段页次"/>
    <w:basedOn w:val="Normal"/>
    <w:rsid w:val="003F1942"/>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3F1942"/>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D935F8"/>
    <w:pPr>
      <w:tabs>
        <w:tab w:val="right" w:pos="1021"/>
      </w:tabs>
    </w:pPr>
  </w:style>
  <w:style w:type="character" w:styleId="EndnoteReference">
    <w:name w:val="endnote reference"/>
    <w:basedOn w:val="FootnoteReference"/>
    <w:rsid w:val="00DB258F"/>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334EDE"/>
    <w:pPr>
      <w:spacing w:line="240" w:lineRule="auto"/>
    </w:pPr>
    <w:rPr>
      <w:rFonts w:eastAsia="Times New Roman"/>
      <w:sz w:val="16"/>
      <w:lang w:val="en-GB" w:eastAsia="en-US"/>
    </w:rPr>
  </w:style>
  <w:style w:type="character" w:styleId="PageNumber">
    <w:name w:val="page number"/>
    <w:rsid w:val="00334EDE"/>
    <w:rPr>
      <w:rFonts w:ascii="Times New Roman" w:hAnsi="Times New Roman"/>
      <w:b/>
      <w:spacing w:val="0"/>
      <w:kern w:val="0"/>
      <w:sz w:val="18"/>
    </w:rPr>
  </w:style>
  <w:style w:type="paragraph" w:styleId="Header">
    <w:name w:val="header"/>
    <w:basedOn w:val="Normal"/>
    <w:rsid w:val="00334EDE"/>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34EDE"/>
    <w:pPr>
      <w:numPr>
        <w:numId w:val="18"/>
      </w:numPr>
      <w:spacing w:after="120"/>
      <w:ind w:right="1134"/>
    </w:pPr>
  </w:style>
  <w:style w:type="paragraph" w:customStyle="1" w:styleId="Bullet2GC">
    <w:name w:val="_Bullet 2_GC"/>
    <w:basedOn w:val="Normal"/>
    <w:rsid w:val="00DB258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DD132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DD132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DD132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DD132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DD132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DD132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0475C3"/>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30AD2"/>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30AD2"/>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a3">
    <w:name w:val="悬挂"/>
    <w:basedOn w:val="SingleTxtGC"/>
    <w:rsid w:val="00F418CC"/>
    <w:pPr>
      <w:ind w:left="1565" w:hanging="431"/>
    </w:pPr>
  </w:style>
  <w:style w:type="paragraph" w:customStyle="1" w:styleId="a4">
    <w:name w:val="表中文字"/>
    <w:basedOn w:val="SingleTxtGC"/>
    <w:rsid w:val="00F81CE4"/>
    <w:pPr>
      <w:spacing w:before="40" w:line="240" w:lineRule="atLeast"/>
      <w:ind w:left="0" w:right="113"/>
    </w:pPr>
    <w:rPr>
      <w:sz w:val="18"/>
    </w:rPr>
  </w:style>
  <w:style w:type="paragraph" w:customStyle="1" w:styleId="a5">
    <w:name w:val="表数文字"/>
    <w:basedOn w:val="SingleTxtGC"/>
    <w:rsid w:val="00B676D5"/>
    <w:pPr>
      <w:spacing w:before="40" w:after="40" w:line="240" w:lineRule="atLeast"/>
      <w:ind w:left="0" w:right="113"/>
    </w:pPr>
    <w:rPr>
      <w:sz w:val="18"/>
    </w:rPr>
  </w:style>
  <w:style w:type="table" w:styleId="TableGrid">
    <w:name w:val="Table Grid"/>
    <w:basedOn w:val="TableNormal"/>
    <w:semiHidden/>
    <w:rsid w:val="009E146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Template>
  <TotalTime>0</TotalTime>
  <Pages>1</Pages>
  <Words>976</Words>
  <Characters>1075</Characters>
  <Application>Microsoft Office Word</Application>
  <DocSecurity>4</DocSecurity>
  <Lines>63</Lines>
  <Paragraphs>75</Paragraphs>
  <ScaleCrop>false</ScaleCrop>
  <Company>CSD</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jiay</dc:creator>
  <cp:keywords/>
  <dc:description/>
  <cp:lastModifiedBy>SI</cp:lastModifiedBy>
  <cp:revision>3</cp:revision>
  <cp:lastPrinted>2010-06-16T09:32:00Z</cp:lastPrinted>
  <dcterms:created xsi:type="dcterms:W3CDTF">2010-06-16T09:32:00Z</dcterms:created>
  <dcterms:modified xsi:type="dcterms:W3CDTF">2010-06-16T09:32:00Z</dcterms:modified>
</cp:coreProperties>
</file>