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377C2D">
                <w:t>C/98/D/1</w:t>
              </w:r>
              <w:r w:rsidR="00987ED2">
                <w:rPr>
                  <w:lang w:val="en-US"/>
                </w:rPr>
                <w:t>522</w:t>
              </w:r>
              <w:r w:rsidR="00377C2D">
                <w:t>/200</w:t>
              </w:r>
              <w:r w:rsidR="00987ED2">
                <w:rPr>
                  <w:lang w:val="en-US"/>
                </w:rPr>
                <w:t>6</w:t>
              </w:r>
            </w:fldSimple>
          </w:p>
        </w:tc>
      </w:tr>
      <w:tr w:rsidR="0084613B" w:rsidRPr="00987ED2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D121D7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987ED2">
              <w:rPr>
                <w:lang w:val="en-US"/>
              </w:rP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D121D7" w:rsidRPr="00987ED2">
              <w:rPr>
                <w:rStyle w:val="FootnoteReference"/>
                <w:szCs w:val="18"/>
                <w:vertAlign w:val="baseline"/>
                <w:lang w:val="en-US"/>
              </w:rPr>
              <w:footnoteReference w:customMarkFollows="1" w:id="1"/>
              <w:t>*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377C2D">
              <w:rPr>
                <w:lang w:val="en-US"/>
              </w:rPr>
              <w:fldChar w:fldCharType="separate"/>
            </w:r>
            <w:r w:rsidR="00377C2D">
              <w:rPr>
                <w:lang w:val="en-US"/>
              </w:rPr>
              <w:t>1</w:t>
            </w:r>
            <w:r w:rsidR="00987ED2">
              <w:rPr>
                <w:lang w:val="en-US"/>
              </w:rPr>
              <w:t>1</w:t>
            </w:r>
            <w:r w:rsidR="00377C2D">
              <w:rPr>
                <w:lang w:val="en-US"/>
              </w:rPr>
              <w:t xml:space="preserve"> </w:t>
            </w:r>
            <w:r w:rsidR="003D246B">
              <w:rPr>
                <w:lang w:val="en-US"/>
              </w:rPr>
              <w:t>May</w:t>
            </w:r>
            <w:r w:rsidR="00377C2D">
              <w:rPr>
                <w:lang w:val="en-US"/>
              </w:rPr>
              <w:t xml:space="preserve"> 2010</w:t>
            </w:r>
            <w:r>
              <w:rPr>
                <w:lang w:val="en-US"/>
              </w:rPr>
              <w:fldChar w:fldCharType="end"/>
            </w:r>
          </w:p>
          <w:p w:rsidR="0084613B" w:rsidRPr="00987ED2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4613B" w:rsidRPr="00987ED2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987ED2">
              <w:rPr>
                <w:lang w:val="en-US"/>
              </w:rPr>
              <w:t xml:space="preserve">: </w:t>
            </w:r>
            <w:r w:rsidR="00987ED2">
              <w:rPr>
                <w:lang w:val="en-US"/>
              </w:rPr>
              <w:t>English</w:t>
            </w:r>
          </w:p>
          <w:p w:rsidR="0084613B" w:rsidRPr="00987ED2" w:rsidRDefault="0084613B" w:rsidP="00D76358">
            <w:pPr>
              <w:rPr>
                <w:lang w:val="en-US"/>
              </w:rPr>
            </w:pPr>
          </w:p>
        </w:tc>
      </w:tr>
    </w:tbl>
    <w:p w:rsidR="00D121D7" w:rsidRPr="007D41F7" w:rsidRDefault="00D121D7" w:rsidP="00D121D7">
      <w:pPr>
        <w:spacing w:before="120"/>
        <w:rPr>
          <w:sz w:val="24"/>
        </w:rPr>
      </w:pPr>
      <w:r>
        <w:rPr>
          <w:b/>
          <w:sz w:val="24"/>
        </w:rPr>
        <w:t>Комитет по правам человека</w:t>
      </w:r>
      <w:r w:rsidR="00CC0A3B">
        <w:rPr>
          <w:b/>
          <w:sz w:val="24"/>
        </w:rPr>
        <w:br/>
      </w:r>
      <w:r w:rsidRPr="002105B1">
        <w:rPr>
          <w:b/>
        </w:rPr>
        <w:t>Девяносто восьмая сессия</w:t>
      </w:r>
      <w:r w:rsidRPr="002105B1">
        <w:rPr>
          <w:b/>
        </w:rPr>
        <w:br/>
      </w:r>
      <w:r w:rsidRPr="002105B1">
        <w:t>8−26 марта 2010 года</w:t>
      </w:r>
    </w:p>
    <w:p w:rsidR="00D121D7" w:rsidRDefault="00D121D7" w:rsidP="00D121D7">
      <w:pPr>
        <w:pStyle w:val="HChGR"/>
      </w:pPr>
      <w:r>
        <w:tab/>
      </w:r>
      <w:r>
        <w:tab/>
        <w:t>Решение</w:t>
      </w:r>
    </w:p>
    <w:p w:rsidR="00D121D7" w:rsidRPr="00987ED2" w:rsidRDefault="00D121D7" w:rsidP="00D121D7">
      <w:pPr>
        <w:pStyle w:val="H1GR"/>
        <w:rPr>
          <w:lang w:val="en-US"/>
        </w:rPr>
      </w:pPr>
      <w:r>
        <w:tab/>
      </w:r>
      <w:r>
        <w:tab/>
        <w:t xml:space="preserve">Сообщение </w:t>
      </w:r>
      <w:r w:rsidR="003301C3" w:rsidRPr="00536925">
        <w:t>№</w:t>
      </w:r>
      <w:r w:rsidR="003301C3" w:rsidRPr="00F85DDC">
        <w:t xml:space="preserve"> 1</w:t>
      </w:r>
      <w:r w:rsidR="00987ED2">
        <w:rPr>
          <w:lang w:val="en-US"/>
        </w:rPr>
        <w:t>522</w:t>
      </w:r>
      <w:r w:rsidR="00987ED2">
        <w:t>/200</w:t>
      </w:r>
      <w:r w:rsidR="00987ED2">
        <w:rPr>
          <w:lang w:val="en-US"/>
        </w:rPr>
        <w:t>6</w:t>
      </w:r>
    </w:p>
    <w:tbl>
      <w:tblPr>
        <w:tblStyle w:val="TableGrid"/>
        <w:tblW w:w="0" w:type="auto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619"/>
      </w:tblGrid>
      <w:tr w:rsidR="00B709E7" w:rsidRPr="00746FED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Представлено: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Н.Т. (не представлен адвокатом)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Предполагаемая жертва</w:t>
            </w:r>
            <w:r w:rsidRPr="002D3026">
              <w:rPr>
                <w:i/>
              </w:rPr>
              <w:t xml:space="preserve">: 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автор сообщения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Государство-участник:</w:t>
            </w:r>
            <w:r w:rsidRPr="002D3026">
              <w:rPr>
                <w:i/>
              </w:rPr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Кыргызстан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Дата сообщения: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26 июня 2006 года (первоначальное представление)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Справочная документация: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решение Специального докладчика в соответствии с правилом 92/97, препровожденное государству-участнику 27 ноября 2006 года (в</w:t>
            </w:r>
            <w:r w:rsidR="00C7593E">
              <w:t> </w:t>
            </w:r>
            <w:r w:rsidRPr="00C7593E">
              <w:t>виде документа не и</w:t>
            </w:r>
            <w:r w:rsidRPr="00C7593E">
              <w:t>з</w:t>
            </w:r>
            <w:r w:rsidRPr="00C7593E">
              <w:t>давалось)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Дата принятия </w:t>
            </w:r>
            <w:r w:rsidR="00C7593E">
              <w:rPr>
                <w:i/>
                <w:lang w:val="ru-RU"/>
              </w:rPr>
              <w:t xml:space="preserve">настоящего </w:t>
            </w:r>
            <w:r>
              <w:rPr>
                <w:i/>
                <w:lang w:val="ru-RU"/>
              </w:rPr>
              <w:t>решения: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19 марта 2010 года</w:t>
            </w:r>
          </w:p>
        </w:tc>
      </w:tr>
      <w:tr w:rsidR="00B709E7" w:rsidRPr="00746FED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>
              <w:rPr>
                <w:sz w:val="24"/>
                <w:lang w:val="en-US"/>
              </w:rPr>
              <w:br w:type="page"/>
            </w:r>
            <w:r>
              <w:rPr>
                <w:i/>
                <w:lang w:val="ru-RU"/>
              </w:rPr>
              <w:t>Тема сообщения: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 xml:space="preserve">система рассмотрения жалоб </w:t>
            </w:r>
            <w:r w:rsidR="00C7593E">
              <w:t xml:space="preserve">в </w:t>
            </w:r>
            <w:r w:rsidRPr="00C7593E">
              <w:t>государственны</w:t>
            </w:r>
            <w:r w:rsidR="00C7593E">
              <w:t>х</w:t>
            </w:r>
            <w:r w:rsidRPr="00C7593E">
              <w:t xml:space="preserve"> административны</w:t>
            </w:r>
            <w:r w:rsidR="00C7593E">
              <w:t>х</w:t>
            </w:r>
            <w:r w:rsidRPr="00C7593E">
              <w:t xml:space="preserve"> органа</w:t>
            </w:r>
            <w:r w:rsidR="00C7593E">
              <w:t>х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>
              <w:rPr>
                <w:i/>
                <w:lang w:val="ru-RU"/>
              </w:rPr>
              <w:t>Процедурные вопросы: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необоснованность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>
              <w:rPr>
                <w:i/>
                <w:lang w:val="ru-RU"/>
              </w:rPr>
              <w:t>Вопросы существа: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B709E7" w:rsidP="004A6268">
            <w:pPr>
              <w:spacing w:before="40" w:after="120"/>
            </w:pPr>
            <w:r w:rsidRPr="00C7593E">
              <w:t>право на справедливое судебное разбирательство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Статьи Пакта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C7593E" w:rsidP="004A6268">
            <w:pPr>
              <w:spacing w:before="40" w:after="120"/>
            </w:pPr>
            <w:r>
              <w:t xml:space="preserve">статья </w:t>
            </w:r>
            <w:r w:rsidR="00B709E7" w:rsidRPr="00C7593E">
              <w:t>2 и пункт 1</w:t>
            </w:r>
            <w:r w:rsidR="0016130B">
              <w:t xml:space="preserve"> статьи 14</w:t>
            </w:r>
          </w:p>
        </w:tc>
      </w:tr>
      <w:tr w:rsidR="00B709E7" w:rsidRPr="005518AC" w:rsidTr="006B3AFA">
        <w:tc>
          <w:tcPr>
            <w:tcW w:w="2828" w:type="dxa"/>
            <w:shd w:val="clear" w:color="auto" w:fill="auto"/>
          </w:tcPr>
          <w:p w:rsidR="00B709E7" w:rsidRPr="002D3026" w:rsidRDefault="00B709E7" w:rsidP="004A626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Стать</w:t>
            </w:r>
            <w:r w:rsidR="009C00FC">
              <w:rPr>
                <w:i/>
                <w:lang w:val="ru-RU"/>
              </w:rPr>
              <w:t>я</w:t>
            </w:r>
            <w:r>
              <w:rPr>
                <w:i/>
                <w:lang w:val="ru-RU"/>
              </w:rPr>
              <w:t xml:space="preserve"> Факультативного протокола</w:t>
            </w:r>
            <w:r w:rsidR="009C00FC">
              <w:rPr>
                <w:i/>
                <w:lang w:val="ru-RU"/>
              </w:rPr>
              <w:t>:</w:t>
            </w:r>
          </w:p>
        </w:tc>
        <w:tc>
          <w:tcPr>
            <w:tcW w:w="4619" w:type="dxa"/>
            <w:shd w:val="clear" w:color="auto" w:fill="auto"/>
          </w:tcPr>
          <w:p w:rsidR="00B709E7" w:rsidRPr="00C7593E" w:rsidRDefault="0016130B" w:rsidP="004A6268">
            <w:pPr>
              <w:spacing w:before="40" w:after="120"/>
            </w:pPr>
            <w:r>
              <w:t xml:space="preserve">статья </w:t>
            </w:r>
            <w:r w:rsidR="00C7593E" w:rsidRPr="00C7593E">
              <w:t>2</w:t>
            </w:r>
          </w:p>
        </w:tc>
      </w:tr>
    </w:tbl>
    <w:p w:rsidR="00D121D7" w:rsidRDefault="00D121D7" w:rsidP="00D121D7">
      <w:pPr>
        <w:pStyle w:val="SingleTxtGR"/>
        <w:spacing w:before="120"/>
      </w:pPr>
      <w:r w:rsidRPr="001947A5">
        <w:t>[Приложение]</w:t>
      </w:r>
    </w:p>
    <w:p w:rsidR="00D121D7" w:rsidRDefault="00D121D7" w:rsidP="00D121D7">
      <w:pPr>
        <w:pStyle w:val="HChGR"/>
      </w:pPr>
      <w:r>
        <w:t>Приложение</w:t>
      </w:r>
    </w:p>
    <w:p w:rsidR="00D121D7" w:rsidRPr="0016130B" w:rsidRDefault="00D121D7" w:rsidP="0016130B">
      <w:pPr>
        <w:pStyle w:val="HChGR"/>
      </w:pPr>
      <w:r>
        <w:tab/>
      </w:r>
      <w:r>
        <w:tab/>
      </w:r>
      <w:r w:rsidR="0016130B" w:rsidRPr="0016130B">
        <w:t>Решение Комитета по правам человека в соответствии с Факультативным протоколом к Международному пакту о гражданских и политических правах (девяносто восьмая сессия)</w:t>
      </w:r>
    </w:p>
    <w:p w:rsidR="00D121D7" w:rsidRDefault="00D121D7" w:rsidP="00D121D7">
      <w:pPr>
        <w:pStyle w:val="SingleTxtGR"/>
        <w:rPr>
          <w:lang w:eastAsia="ru-RU"/>
        </w:rPr>
      </w:pPr>
      <w:r>
        <w:rPr>
          <w:lang w:eastAsia="ru-RU"/>
        </w:rPr>
        <w:t>относительно</w:t>
      </w:r>
    </w:p>
    <w:p w:rsidR="00D121D7" w:rsidRDefault="00D121D7" w:rsidP="00DC602C">
      <w:pPr>
        <w:pStyle w:val="H1GR"/>
        <w:rPr>
          <w:szCs w:val="18"/>
        </w:rPr>
      </w:pPr>
      <w:r>
        <w:tab/>
      </w:r>
      <w:r>
        <w:tab/>
        <w:t xml:space="preserve">Сообщения № </w:t>
      </w:r>
      <w:r w:rsidR="005423C0">
        <w:t>1</w:t>
      </w:r>
      <w:r w:rsidR="00FF0997">
        <w:t>522</w:t>
      </w:r>
      <w:r w:rsidR="005423C0">
        <w:t>/200</w:t>
      </w:r>
      <w:r w:rsidR="00FF0997">
        <w:t>6</w:t>
      </w:r>
      <w:r w:rsidR="00234948" w:rsidRPr="00234948"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619"/>
      </w:tblGrid>
      <w:tr w:rsidR="00D121D7" w:rsidRPr="00746FED" w:rsidTr="006B3AFA">
        <w:tc>
          <w:tcPr>
            <w:tcW w:w="2828" w:type="dxa"/>
            <w:shd w:val="clear" w:color="auto" w:fill="auto"/>
          </w:tcPr>
          <w:p w:rsidR="00D121D7" w:rsidRPr="002D3026" w:rsidRDefault="00D121D7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Представлено:</w:t>
            </w:r>
          </w:p>
        </w:tc>
        <w:tc>
          <w:tcPr>
            <w:tcW w:w="4619" w:type="dxa"/>
            <w:shd w:val="clear" w:color="auto" w:fill="auto"/>
          </w:tcPr>
          <w:p w:rsidR="00D121D7" w:rsidRPr="00024B0D" w:rsidRDefault="00FF0997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864"/>
                <w:tab w:val="left" w:pos="1152"/>
              </w:tabs>
              <w:spacing w:before="40" w:line="240" w:lineRule="atLeast"/>
              <w:ind w:left="0" w:right="45" w:firstLine="28"/>
              <w:jc w:val="left"/>
              <w:rPr>
                <w:lang w:val="ru-RU"/>
              </w:rPr>
            </w:pPr>
            <w:r w:rsidRPr="00024B0D">
              <w:rPr>
                <w:lang w:val="ru-RU"/>
              </w:rPr>
              <w:t>Н.Т. (не представлен адвокатом)</w:t>
            </w:r>
          </w:p>
        </w:tc>
      </w:tr>
      <w:tr w:rsidR="00D121D7" w:rsidRPr="00376B52" w:rsidTr="006B3AFA">
        <w:tc>
          <w:tcPr>
            <w:tcW w:w="2828" w:type="dxa"/>
            <w:shd w:val="clear" w:color="auto" w:fill="auto"/>
          </w:tcPr>
          <w:p w:rsidR="00D121D7" w:rsidRPr="002D3026" w:rsidRDefault="00D121D7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Предполагаемая жертва</w:t>
            </w:r>
            <w:r w:rsidRPr="002D3026">
              <w:rPr>
                <w:i/>
              </w:rPr>
              <w:t xml:space="preserve">: </w:t>
            </w:r>
          </w:p>
        </w:tc>
        <w:tc>
          <w:tcPr>
            <w:tcW w:w="4619" w:type="dxa"/>
            <w:shd w:val="clear" w:color="auto" w:fill="auto"/>
          </w:tcPr>
          <w:p w:rsidR="00D121D7" w:rsidRPr="00024B0D" w:rsidRDefault="00FF0997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 w:rsidRPr="00024B0D">
              <w:t>автор сообщения</w:t>
            </w:r>
          </w:p>
        </w:tc>
      </w:tr>
      <w:tr w:rsidR="00D121D7" w:rsidRPr="00376B52" w:rsidTr="006B3AFA">
        <w:tc>
          <w:tcPr>
            <w:tcW w:w="2828" w:type="dxa"/>
            <w:shd w:val="clear" w:color="auto" w:fill="auto"/>
          </w:tcPr>
          <w:p w:rsidR="00D121D7" w:rsidRPr="002D3026" w:rsidRDefault="00D121D7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</w:rPr>
            </w:pPr>
            <w:r w:rsidRPr="002D3026">
              <w:rPr>
                <w:i/>
                <w:lang w:val="ru-RU"/>
              </w:rPr>
              <w:t>Государство-участник:</w:t>
            </w:r>
            <w:r w:rsidRPr="002D3026">
              <w:rPr>
                <w:i/>
              </w:rPr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D121D7" w:rsidRPr="00024B0D" w:rsidRDefault="00024B0D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 w:rsidRPr="00024B0D">
              <w:t>Кыргызстан</w:t>
            </w:r>
          </w:p>
        </w:tc>
      </w:tr>
      <w:tr w:rsidR="00D121D7" w:rsidRPr="007178B9" w:rsidTr="006B3AFA">
        <w:tc>
          <w:tcPr>
            <w:tcW w:w="2828" w:type="dxa"/>
            <w:shd w:val="clear" w:color="auto" w:fill="auto"/>
          </w:tcPr>
          <w:p w:rsidR="00D121D7" w:rsidRPr="002D3026" w:rsidRDefault="00D121D7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40"/>
              <w:rPr>
                <w:i/>
                <w:lang w:val="ru-RU"/>
              </w:rPr>
            </w:pPr>
            <w:r w:rsidRPr="002D3026">
              <w:rPr>
                <w:i/>
                <w:lang w:val="ru-RU"/>
              </w:rPr>
              <w:t>Дата сообщения:</w:t>
            </w:r>
          </w:p>
        </w:tc>
        <w:tc>
          <w:tcPr>
            <w:tcW w:w="4619" w:type="dxa"/>
            <w:shd w:val="clear" w:color="auto" w:fill="auto"/>
          </w:tcPr>
          <w:p w:rsidR="00D121D7" w:rsidRPr="00024B0D" w:rsidRDefault="00024B0D" w:rsidP="006B3A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atLeast"/>
              <w:ind w:left="0" w:right="0"/>
              <w:jc w:val="left"/>
              <w:rPr>
                <w:lang w:val="ru-RU"/>
              </w:rPr>
            </w:pPr>
            <w:r w:rsidRPr="00024B0D">
              <w:t>26 июня 2006 года (первоначальное представление)</w:t>
            </w:r>
          </w:p>
        </w:tc>
      </w:tr>
    </w:tbl>
    <w:p w:rsidR="009205ED" w:rsidRDefault="00A51CA0" w:rsidP="00DA7B51">
      <w:pPr>
        <w:pStyle w:val="SingleTxtGR"/>
      </w:pPr>
      <w:r w:rsidRPr="00A51CA0">
        <w:rPr>
          <w:b/>
        </w:rPr>
        <w:tab/>
      </w:r>
      <w:r w:rsidRPr="00A51CA0">
        <w:rPr>
          <w:i/>
        </w:rPr>
        <w:t>Комитет по правам человека</w:t>
      </w:r>
      <w:r w:rsidRPr="00A51CA0">
        <w:t>, учрежденный в соответствии со статьей 28 Международного пакта о гражданских и политических правах,</w:t>
      </w:r>
    </w:p>
    <w:p w:rsidR="009205ED" w:rsidRDefault="009205ED" w:rsidP="00A51CA0">
      <w:pPr>
        <w:pStyle w:val="SingleTxtGR"/>
      </w:pPr>
      <w:r>
        <w:tab/>
      </w:r>
      <w:r w:rsidR="00A51CA0" w:rsidRPr="009205ED">
        <w:rPr>
          <w:i/>
        </w:rPr>
        <w:t>на своем засед</w:t>
      </w:r>
      <w:r w:rsidR="00A51CA0" w:rsidRPr="009205ED">
        <w:rPr>
          <w:i/>
        </w:rPr>
        <w:t>а</w:t>
      </w:r>
      <w:r w:rsidR="00A51CA0" w:rsidRPr="009205ED">
        <w:rPr>
          <w:i/>
        </w:rPr>
        <w:t>нии</w:t>
      </w:r>
      <w:r w:rsidR="00A51CA0" w:rsidRPr="00A51CA0">
        <w:t xml:space="preserve"> 19 марта 2010 года,</w:t>
      </w:r>
    </w:p>
    <w:p w:rsidR="00A51CA0" w:rsidRPr="00A51CA0" w:rsidRDefault="009205ED" w:rsidP="00A51CA0">
      <w:pPr>
        <w:pStyle w:val="SingleTxtGR"/>
      </w:pPr>
      <w:r>
        <w:tab/>
      </w:r>
      <w:r w:rsidR="00A51CA0" w:rsidRPr="009205ED">
        <w:rPr>
          <w:i/>
        </w:rPr>
        <w:t>принимает следующее</w:t>
      </w:r>
      <w:r w:rsidR="00A51CA0" w:rsidRPr="00A51CA0">
        <w:t>:</w:t>
      </w:r>
    </w:p>
    <w:p w:rsidR="00A51CA0" w:rsidRPr="00A51CA0" w:rsidRDefault="00DC16CA" w:rsidP="00DC16CA">
      <w:pPr>
        <w:pStyle w:val="H1GR"/>
      </w:pPr>
      <w:r>
        <w:tab/>
      </w:r>
      <w:r>
        <w:tab/>
      </w:r>
      <w:r w:rsidR="00A51CA0" w:rsidRPr="00A51CA0">
        <w:t>Решение о приемлемости</w:t>
      </w:r>
    </w:p>
    <w:p w:rsidR="00A51CA0" w:rsidRPr="00A51CA0" w:rsidRDefault="00A51CA0" w:rsidP="00A51CA0">
      <w:pPr>
        <w:pStyle w:val="SingleTxtGR"/>
      </w:pPr>
      <w:r w:rsidRPr="00A51CA0">
        <w:t>1.</w:t>
      </w:r>
      <w:r w:rsidRPr="00A51CA0">
        <w:tab/>
        <w:t>Автором сообщения является Н.Т., гражданин Кыргызстана, который у</w:t>
      </w:r>
      <w:r w:rsidRPr="00A51CA0">
        <w:t>т</w:t>
      </w:r>
      <w:r w:rsidRPr="00A51CA0">
        <w:t>верждает, что является жертвой нарушения государством-участником его прав в соответствии со статьей 2 и пунктом 1 статьи 14 Пакта. Автор не представлен</w:t>
      </w:r>
      <w:r w:rsidR="009205ED">
        <w:t xml:space="preserve"> адвокатом</w:t>
      </w:r>
      <w:r w:rsidRPr="00A51CA0">
        <w:t>.</w:t>
      </w:r>
    </w:p>
    <w:p w:rsidR="00A51CA0" w:rsidRPr="00A51CA0" w:rsidRDefault="00DC16CA" w:rsidP="00DC16CA">
      <w:pPr>
        <w:pStyle w:val="H23GR"/>
      </w:pPr>
      <w:r>
        <w:tab/>
      </w:r>
      <w:r>
        <w:tab/>
      </w:r>
      <w:r w:rsidR="00A51CA0" w:rsidRPr="00A51CA0">
        <w:t>Факты в изложении автора</w:t>
      </w:r>
    </w:p>
    <w:p w:rsidR="00A51CA0" w:rsidRPr="00A51CA0" w:rsidRDefault="00A51CA0" w:rsidP="00A51CA0">
      <w:pPr>
        <w:pStyle w:val="SingleTxtGR"/>
      </w:pPr>
      <w:r w:rsidRPr="00A51CA0">
        <w:t>2.1</w:t>
      </w:r>
      <w:r w:rsidRPr="00A51CA0">
        <w:tab/>
        <w:t>15 февраля 2006 года автор направился в Министерство финансов с ц</w:t>
      </w:r>
      <w:r w:rsidRPr="00A51CA0">
        <w:t>е</w:t>
      </w:r>
      <w:r w:rsidRPr="00A51CA0">
        <w:t>лью пода</w:t>
      </w:r>
      <w:r w:rsidR="009205ED">
        <w:t>ть</w:t>
      </w:r>
      <w:r w:rsidRPr="00A51CA0">
        <w:t xml:space="preserve"> жалоб</w:t>
      </w:r>
      <w:r w:rsidR="009205ED">
        <w:t>у</w:t>
      </w:r>
      <w:r w:rsidRPr="00A51CA0">
        <w:t xml:space="preserve"> на деятельность этого </w:t>
      </w:r>
      <w:r w:rsidR="009205ED">
        <w:t>м</w:t>
      </w:r>
      <w:r w:rsidRPr="00A51CA0">
        <w:t xml:space="preserve">инистерства. Ему не разрешили войти в здание </w:t>
      </w:r>
      <w:r w:rsidR="009205ED">
        <w:t>м</w:t>
      </w:r>
      <w:r w:rsidRPr="00A51CA0">
        <w:t>инистерства и сказа</w:t>
      </w:r>
      <w:r w:rsidR="009205ED">
        <w:t>ли опустить</w:t>
      </w:r>
      <w:r w:rsidRPr="00A51CA0">
        <w:t xml:space="preserve"> жалобу в ящик, установле</w:t>
      </w:r>
      <w:r w:rsidRPr="00A51CA0">
        <w:t>н</w:t>
      </w:r>
      <w:r w:rsidRPr="00A51CA0">
        <w:t xml:space="preserve">ный для этой цели в </w:t>
      </w:r>
      <w:r w:rsidR="009205ED">
        <w:t>вестибюле</w:t>
      </w:r>
      <w:r w:rsidRPr="00A51CA0">
        <w:t xml:space="preserve">. Автор отказался это сделать. Он позвонил в </w:t>
      </w:r>
      <w:r w:rsidR="009205ED">
        <w:t>д</w:t>
      </w:r>
      <w:r w:rsidR="009205ED">
        <w:t>е</w:t>
      </w:r>
      <w:r w:rsidR="009205ED">
        <w:t>партамент</w:t>
      </w:r>
      <w:r w:rsidRPr="00A51CA0">
        <w:t xml:space="preserve"> </w:t>
      </w:r>
      <w:r w:rsidR="009205ED">
        <w:t>м</w:t>
      </w:r>
      <w:r w:rsidRPr="00A51CA0">
        <w:t xml:space="preserve">инистерства, отвечающий за рассмотрение жалоб, и </w:t>
      </w:r>
      <w:r w:rsidR="009205ED">
        <w:t>потребовал</w:t>
      </w:r>
      <w:r w:rsidRPr="00A51CA0">
        <w:t xml:space="preserve">, чтобы его жалоба была принята лично и чтобы ему была выдана квитанция и </w:t>
      </w:r>
      <w:r w:rsidR="00EC4F34">
        <w:t xml:space="preserve">сообщен </w:t>
      </w:r>
      <w:r w:rsidRPr="00A51CA0">
        <w:t xml:space="preserve">регистрационный номер. Сотрудник </w:t>
      </w:r>
      <w:r w:rsidR="006F216C">
        <w:t>департамента</w:t>
      </w:r>
      <w:r w:rsidRPr="00A51CA0">
        <w:t xml:space="preserve"> отказался принять жалобу лично и объяснил, что специальными правилами </w:t>
      </w:r>
      <w:r w:rsidR="00EC4F34">
        <w:t>м</w:t>
      </w:r>
      <w:r w:rsidRPr="00A51CA0">
        <w:t>инистерства уст</w:t>
      </w:r>
      <w:r w:rsidRPr="00A51CA0">
        <w:t>а</w:t>
      </w:r>
      <w:r w:rsidRPr="00A51CA0">
        <w:t xml:space="preserve">новлен порядок подачи индивидуальных </w:t>
      </w:r>
      <w:r w:rsidR="006F216C">
        <w:t>жалоб, в соответствии с которым</w:t>
      </w:r>
      <w:r w:rsidRPr="00A51CA0">
        <w:t xml:space="preserve"> ж</w:t>
      </w:r>
      <w:r w:rsidRPr="00A51CA0">
        <w:t>а</w:t>
      </w:r>
      <w:r w:rsidRPr="00A51CA0">
        <w:t xml:space="preserve">лобы </w:t>
      </w:r>
      <w:r w:rsidR="00EC4F34">
        <w:t>опу</w:t>
      </w:r>
      <w:r w:rsidR="00EC4F34">
        <w:t>с</w:t>
      </w:r>
      <w:r w:rsidR="00EC4F34">
        <w:t>каются</w:t>
      </w:r>
      <w:r w:rsidRPr="00A51CA0">
        <w:t xml:space="preserve"> в ящик, расположенный в вестибюле здания. </w:t>
      </w:r>
    </w:p>
    <w:p w:rsidR="00A51CA0" w:rsidRPr="00A51CA0" w:rsidRDefault="00A51CA0" w:rsidP="00A51CA0">
      <w:pPr>
        <w:pStyle w:val="SingleTxtGR"/>
      </w:pPr>
      <w:r w:rsidRPr="00A51CA0">
        <w:t>2.2</w:t>
      </w:r>
      <w:r w:rsidRPr="00A51CA0">
        <w:tab/>
        <w:t xml:space="preserve">В </w:t>
      </w:r>
      <w:r w:rsidR="00EC4F34">
        <w:t>итоге</w:t>
      </w:r>
      <w:r w:rsidRPr="00A51CA0">
        <w:t xml:space="preserve"> автор </w:t>
      </w:r>
      <w:r w:rsidR="00EC4F34">
        <w:t>опустил</w:t>
      </w:r>
      <w:r w:rsidRPr="00A51CA0">
        <w:t xml:space="preserve"> жалобу в обозначенный ящик</w:t>
      </w:r>
      <w:r w:rsidR="00EC4F34">
        <w:t>, а</w:t>
      </w:r>
      <w:r w:rsidRPr="00A51CA0">
        <w:t xml:space="preserve"> на следу</w:t>
      </w:r>
      <w:r w:rsidRPr="00A51CA0">
        <w:t>ю</w:t>
      </w:r>
      <w:r w:rsidRPr="00A51CA0">
        <w:t xml:space="preserve">щий день связался с сотрудником </w:t>
      </w:r>
      <w:r w:rsidR="00EC4F34">
        <w:t>департамента</w:t>
      </w:r>
      <w:r w:rsidRPr="00A51CA0">
        <w:t>, занимающегося рассмотрением ж</w:t>
      </w:r>
      <w:r w:rsidRPr="00A51CA0">
        <w:t>а</w:t>
      </w:r>
      <w:r w:rsidRPr="00A51CA0">
        <w:t xml:space="preserve">лоб, и </w:t>
      </w:r>
      <w:r w:rsidR="00EC4F34">
        <w:t xml:space="preserve">вновь </w:t>
      </w:r>
      <w:r w:rsidRPr="00A51CA0">
        <w:t>попросил сообщить ему регистрационный номер его жалобы. С</w:t>
      </w:r>
      <w:r w:rsidRPr="00A51CA0">
        <w:t>о</w:t>
      </w:r>
      <w:r w:rsidRPr="00A51CA0">
        <w:t>трудник ответил, что ж</w:t>
      </w:r>
      <w:r w:rsidRPr="00A51CA0">
        <w:t>а</w:t>
      </w:r>
      <w:r w:rsidRPr="00A51CA0">
        <w:t>лоба автора не была получена.</w:t>
      </w:r>
    </w:p>
    <w:p w:rsidR="002B6C12" w:rsidRDefault="002B6C12" w:rsidP="002B6C12">
      <w:pPr>
        <w:pStyle w:val="SingleTxtGR"/>
      </w:pPr>
      <w:r>
        <w:t>2.3</w:t>
      </w:r>
      <w:r>
        <w:tab/>
        <w:t xml:space="preserve">16 февраля 2006 года автор направил в </w:t>
      </w:r>
      <w:r w:rsidR="00DC3A65">
        <w:t>м</w:t>
      </w:r>
      <w:r>
        <w:t xml:space="preserve">инистерство </w:t>
      </w:r>
      <w:r w:rsidR="00DC3A65">
        <w:t xml:space="preserve">по </w:t>
      </w:r>
      <w:r>
        <w:t>почт</w:t>
      </w:r>
      <w:r w:rsidR="00DC3A65">
        <w:t>е</w:t>
      </w:r>
      <w:r>
        <w:t xml:space="preserve"> письмо, в котором утверждалось, что система рассмотрения жалоб в </w:t>
      </w:r>
      <w:r w:rsidR="00DC3A65">
        <w:t>м</w:t>
      </w:r>
      <w:r>
        <w:t>инистерстве оста</w:t>
      </w:r>
      <w:r>
        <w:t>в</w:t>
      </w:r>
      <w:r>
        <w:t>лен</w:t>
      </w:r>
      <w:r w:rsidR="00DC3A65">
        <w:t>а</w:t>
      </w:r>
      <w:r>
        <w:t xml:space="preserve"> на </w:t>
      </w:r>
      <w:r w:rsidR="00DC3A65">
        <w:t>у</w:t>
      </w:r>
      <w:r>
        <w:t>смотрение его сотрудников и позволяет им игнорировать жалобы. М</w:t>
      </w:r>
      <w:r>
        <w:t>и</w:t>
      </w:r>
      <w:r>
        <w:t>нистерство ответило, что эта система не нарушает никаких законов</w:t>
      </w:r>
      <w:r w:rsidR="00DC3A65">
        <w:t>,</w:t>
      </w:r>
      <w:r>
        <w:t xml:space="preserve"> и сосл</w:t>
      </w:r>
      <w:r>
        <w:t>а</w:t>
      </w:r>
      <w:r>
        <w:t>лось на высокую профе</w:t>
      </w:r>
      <w:r>
        <w:t>с</w:t>
      </w:r>
      <w:r>
        <w:t xml:space="preserve">сиональную этику государственных служащих. </w:t>
      </w:r>
    </w:p>
    <w:p w:rsidR="002B6C12" w:rsidRDefault="002B6C12" w:rsidP="002B6C12">
      <w:pPr>
        <w:pStyle w:val="SingleTxtGR"/>
      </w:pPr>
      <w:r>
        <w:t>2.4</w:t>
      </w:r>
      <w:r>
        <w:tab/>
        <w:t>22 марта 2006 года автор подал в Бишкекский межрайонный суд жалобу, в которой оспаривал</w:t>
      </w:r>
      <w:r w:rsidR="00DC3A65">
        <w:t>а</w:t>
      </w:r>
      <w:r>
        <w:t xml:space="preserve">сь законность </w:t>
      </w:r>
      <w:r w:rsidR="00DC3A65">
        <w:t xml:space="preserve">этой </w:t>
      </w:r>
      <w:r>
        <w:t>процедуры. 5 апреля 2006 года Бишке</w:t>
      </w:r>
      <w:r>
        <w:t>к</w:t>
      </w:r>
      <w:r>
        <w:t>ский межрайонный суд отклонил его жалобу как необоснованную.</w:t>
      </w:r>
    </w:p>
    <w:p w:rsidR="002B6C12" w:rsidRDefault="002B6C12" w:rsidP="002B6C12">
      <w:pPr>
        <w:pStyle w:val="SingleTxtGR"/>
      </w:pPr>
      <w:r>
        <w:t>2.5</w:t>
      </w:r>
      <w:r>
        <w:tab/>
        <w:t>12 апреля 2006 года автор подал апелляцию</w:t>
      </w:r>
      <w:r w:rsidR="00DC3A65" w:rsidRPr="00DC3A65">
        <w:t xml:space="preserve"> </w:t>
      </w:r>
      <w:r w:rsidR="00DC3A65">
        <w:t>в Бишкекский городской суд</w:t>
      </w:r>
      <w:r>
        <w:t>. 25 мая 2006 года Бишкекский городской суд оставил в силе решение суда пе</w:t>
      </w:r>
      <w:r>
        <w:t>р</w:t>
      </w:r>
      <w:r>
        <w:t>вой инстанции. Это решение Бишкекского городского суда, по мнению автора, является окончательным и дальнейш</w:t>
      </w:r>
      <w:r w:rsidR="00DC3A65">
        <w:t>ему</w:t>
      </w:r>
      <w:r>
        <w:t xml:space="preserve"> обжалованию не подлежит.</w:t>
      </w:r>
    </w:p>
    <w:p w:rsidR="002B6C12" w:rsidRDefault="00DC3A65" w:rsidP="00DC3A65">
      <w:pPr>
        <w:pStyle w:val="H23GR"/>
      </w:pPr>
      <w:r>
        <w:tab/>
      </w:r>
      <w:r>
        <w:tab/>
      </w:r>
      <w:r w:rsidR="002B6C12">
        <w:t>Жалоба</w:t>
      </w:r>
    </w:p>
    <w:p w:rsidR="002B6C12" w:rsidRDefault="002B6C12" w:rsidP="002B6C12">
      <w:pPr>
        <w:pStyle w:val="SingleTxtGR"/>
      </w:pPr>
      <w:r>
        <w:t>3.</w:t>
      </w:r>
      <w:r>
        <w:tab/>
        <w:t>Автор утверждает, что были нарушены его права в соответствии с пун</w:t>
      </w:r>
      <w:r>
        <w:t>к</w:t>
      </w:r>
      <w:r>
        <w:t>том 3 статьи 2 и пунктом 1 статьи 14 Пакта, так как его жалобы были проигн</w:t>
      </w:r>
      <w:r>
        <w:t>о</w:t>
      </w:r>
      <w:r>
        <w:t>рированы судами.</w:t>
      </w:r>
    </w:p>
    <w:p w:rsidR="002B6C12" w:rsidRDefault="00DC3A65" w:rsidP="00DC3A65">
      <w:pPr>
        <w:pStyle w:val="H23GR"/>
      </w:pPr>
      <w:r>
        <w:tab/>
      </w:r>
      <w:r>
        <w:tab/>
      </w:r>
      <w:r w:rsidR="002B6C12">
        <w:t>Отсутствие сотрудничества со стороны государства-участника</w:t>
      </w:r>
    </w:p>
    <w:p w:rsidR="002B6C12" w:rsidRDefault="002B6C12" w:rsidP="002B6C12">
      <w:pPr>
        <w:pStyle w:val="SingleTxtGR"/>
      </w:pPr>
      <w:r>
        <w:t>4.</w:t>
      </w:r>
      <w:r>
        <w:tab/>
        <w:t>В ноябре 2006 года государству-участнику было предложено представ</w:t>
      </w:r>
      <w:r w:rsidR="00843735">
        <w:t>ить свои замечания по вопросам</w:t>
      </w:r>
      <w:r>
        <w:t xml:space="preserve"> приемлемости и/или существа сообщения, а в фе</w:t>
      </w:r>
      <w:r>
        <w:t>в</w:t>
      </w:r>
      <w:r>
        <w:t>рале и октябре 2009 года в этой связи ему были направлены напоминания. К</w:t>
      </w:r>
      <w:r>
        <w:t>о</w:t>
      </w:r>
      <w:r>
        <w:t>митет отмечает, что запрошенная информация не была получена. Комитет в</w:t>
      </w:r>
      <w:r>
        <w:t>ы</w:t>
      </w:r>
      <w:r>
        <w:t>ражает сожаление в связи с непредставлением государством-участником к</w:t>
      </w:r>
      <w:r>
        <w:t>а</w:t>
      </w:r>
      <w:r>
        <w:t xml:space="preserve">кой-либо информации в отношении приемлемости или существа </w:t>
      </w:r>
      <w:r w:rsidR="00843735">
        <w:t>утверждений</w:t>
      </w:r>
      <w:r>
        <w:t xml:space="preserve"> авт</w:t>
      </w:r>
      <w:r>
        <w:t>о</w:t>
      </w:r>
      <w:r>
        <w:t>ра. Он напоминает, что в соответствии с Факультативным протоколом затраг</w:t>
      </w:r>
      <w:r>
        <w:t>и</w:t>
      </w:r>
      <w:r>
        <w:t xml:space="preserve">ваемое государство-участник представляет </w:t>
      </w:r>
      <w:r w:rsidR="00843735">
        <w:t xml:space="preserve">Комитету </w:t>
      </w:r>
      <w:r>
        <w:t>письменные объяснения и</w:t>
      </w:r>
      <w:r w:rsidR="00843735">
        <w:t>ли</w:t>
      </w:r>
      <w:r>
        <w:t xml:space="preserve"> заявления, разъясняющие этот вопрос и любые меры, если таковые имели место, которые могли бы быть приняты этим государством. С учетом отсутс</w:t>
      </w:r>
      <w:r>
        <w:t>т</w:t>
      </w:r>
      <w:r>
        <w:t>в</w:t>
      </w:r>
      <w:r w:rsidR="006F216C">
        <w:t>ия ответа государства-участника</w:t>
      </w:r>
      <w:r>
        <w:t xml:space="preserve"> утверждения автора следует считать дост</w:t>
      </w:r>
      <w:r>
        <w:t>а</w:t>
      </w:r>
      <w:r>
        <w:t>точно весомыми в той степени, в какой они были надлежащим образом обосн</w:t>
      </w:r>
      <w:r>
        <w:t>о</w:t>
      </w:r>
      <w:r>
        <w:t>ваны.</w:t>
      </w:r>
    </w:p>
    <w:p w:rsidR="002B6C12" w:rsidRDefault="00843735" w:rsidP="00843735">
      <w:pPr>
        <w:pStyle w:val="H23GR"/>
      </w:pPr>
      <w:r>
        <w:tab/>
      </w:r>
      <w:r>
        <w:tab/>
      </w:r>
      <w:r w:rsidR="002B6C12">
        <w:t>Вопросы и процедура их рассмотрения в Комитете</w:t>
      </w:r>
    </w:p>
    <w:p w:rsidR="002B6C12" w:rsidRDefault="00843735" w:rsidP="00843735">
      <w:pPr>
        <w:pStyle w:val="H4GR"/>
      </w:pPr>
      <w:r>
        <w:tab/>
      </w:r>
      <w:r>
        <w:tab/>
      </w:r>
      <w:r w:rsidR="002B6C12">
        <w:t>Рассмотрение вопроса о приемлемости сообщения</w:t>
      </w:r>
    </w:p>
    <w:p w:rsidR="002B6C12" w:rsidRDefault="002B6C12" w:rsidP="002B6C12">
      <w:pPr>
        <w:pStyle w:val="SingleTxtGR"/>
      </w:pPr>
      <w:r>
        <w:t>5.1</w:t>
      </w:r>
      <w:r>
        <w:tab/>
        <w:t>Прежде чем рассматривать какое-либо утверждение, содержащееся в с</w:t>
      </w:r>
      <w:r>
        <w:t>о</w:t>
      </w:r>
      <w:r>
        <w:t xml:space="preserve">общении, Комитет по правам человека должен в соответствии с правилом 93 своих правил процедуры принять решение о том, является ли это сообщение приемлемым согласно Факультативному протоколу к Пакту. Комитет, как того требует пункта 2 </w:t>
      </w:r>
      <w:r w:rsidR="00F4106C">
        <w:t xml:space="preserve">а) </w:t>
      </w:r>
      <w:r>
        <w:t>статьи 5 Факультативного протокола, удостов</w:t>
      </w:r>
      <w:r>
        <w:t>е</w:t>
      </w:r>
      <w:r>
        <w:t xml:space="preserve">рился, что этот же вопрос не рассматривается в рамках другой процедуры </w:t>
      </w:r>
      <w:r w:rsidR="00F4106C">
        <w:t>международн</w:t>
      </w:r>
      <w:r w:rsidR="00F4106C">
        <w:t>о</w:t>
      </w:r>
      <w:r w:rsidR="00F4106C">
        <w:t xml:space="preserve">го </w:t>
      </w:r>
      <w:r>
        <w:t>ра</w:t>
      </w:r>
      <w:r>
        <w:t>з</w:t>
      </w:r>
      <w:r>
        <w:t xml:space="preserve">бирательства или урегулирования. </w:t>
      </w:r>
    </w:p>
    <w:p w:rsidR="002B6C12" w:rsidRDefault="002B6C12" w:rsidP="002B6C12">
      <w:pPr>
        <w:pStyle w:val="SingleTxtGR"/>
      </w:pPr>
      <w:r>
        <w:t>5.2</w:t>
      </w:r>
      <w:r>
        <w:tab/>
        <w:t>Комитет принимает к сведению утверждения автора о нарушении пун</w:t>
      </w:r>
      <w:r>
        <w:t>к</w:t>
      </w:r>
      <w:r>
        <w:t>та</w:t>
      </w:r>
      <w:r w:rsidR="006F216C">
        <w:t> </w:t>
      </w:r>
      <w:r>
        <w:t>3 статьи 2 Пакта в связи с его правом на эффективное средство правовой з</w:t>
      </w:r>
      <w:r>
        <w:t>а</w:t>
      </w:r>
      <w:r>
        <w:t>щиты и отмечает, что положения статьи 2 Пакта, закрепляющие общие обяз</w:t>
      </w:r>
      <w:r>
        <w:t>а</w:t>
      </w:r>
      <w:r>
        <w:t>тельства государств-участников, сами по себе не могут служить поводом для изложения жалобы в каком-либо сообщении, представляемом в соответствии с Ф</w:t>
      </w:r>
      <w:r>
        <w:t>а</w:t>
      </w:r>
      <w:r>
        <w:t>культативным протоколом</w:t>
      </w:r>
      <w:r>
        <w:rPr>
          <w:rStyle w:val="FootnoteReference"/>
        </w:rPr>
        <w:footnoteReference w:id="3"/>
      </w:r>
      <w:r>
        <w:t>. Комитет считает, что утверждения автора в этой связи являются неприемлемыми согласно статьи 2 Ф</w:t>
      </w:r>
      <w:r>
        <w:t>а</w:t>
      </w:r>
      <w:r>
        <w:t xml:space="preserve">культативного протокола. </w:t>
      </w:r>
    </w:p>
    <w:p w:rsidR="002B6C12" w:rsidRDefault="002B6C12" w:rsidP="002B6C12">
      <w:pPr>
        <w:pStyle w:val="SingleTxtGR"/>
      </w:pPr>
      <w:r>
        <w:t>5.3</w:t>
      </w:r>
      <w:r>
        <w:tab/>
        <w:t>Автор утверждает, что его права в соответствии с пунктом 1 статьи 14 Пакта были нарушены, так как его жалоба в связи с процедурой рассмотрения жалоб Министерством финансов была проигнорирована национальными суд</w:t>
      </w:r>
      <w:r>
        <w:t>а</w:t>
      </w:r>
      <w:r w:rsidR="006F216C">
        <w:t>ми. В отсутствие</w:t>
      </w:r>
      <w:r>
        <w:t xml:space="preserve"> какой-либо дополнительной информации или разъяснений </w:t>
      </w:r>
      <w:r w:rsidR="00F4106C">
        <w:t>на этот счет</w:t>
      </w:r>
      <w:r>
        <w:t xml:space="preserve"> Комитет считает, что автор не обосновал достаточным образом свое утверждение для целей приемлемости, и объявляет эту часть сообщения непр</w:t>
      </w:r>
      <w:r>
        <w:t>и</w:t>
      </w:r>
      <w:r>
        <w:t>емлемой в соответствии со статьей 2 Факультативн</w:t>
      </w:r>
      <w:r>
        <w:t>о</w:t>
      </w:r>
      <w:r>
        <w:t>го протокола.</w:t>
      </w:r>
    </w:p>
    <w:p w:rsidR="002B6C12" w:rsidRDefault="002B6C12" w:rsidP="002B6C12">
      <w:pPr>
        <w:pStyle w:val="SingleTxtGR"/>
      </w:pPr>
      <w:r>
        <w:t>6.</w:t>
      </w:r>
      <w:r>
        <w:tab/>
        <w:t>Поэтому Комитет постановляет:</w:t>
      </w:r>
    </w:p>
    <w:p w:rsidR="002B6C12" w:rsidRDefault="002B6C12" w:rsidP="002B6C12">
      <w:pPr>
        <w:pStyle w:val="SingleTxtGR"/>
      </w:pPr>
      <w:r>
        <w:tab/>
      </w:r>
      <w:r>
        <w:rPr>
          <w:lang w:val="en-US"/>
        </w:rPr>
        <w:t>a</w:t>
      </w:r>
      <w:r w:rsidRPr="00FB46AC">
        <w:t>)</w:t>
      </w:r>
      <w:r>
        <w:tab/>
        <w:t>считать сообщение неприемлемым в соответствии со статьей 2 Ф</w:t>
      </w:r>
      <w:r>
        <w:t>а</w:t>
      </w:r>
      <w:r>
        <w:t>культати</w:t>
      </w:r>
      <w:r>
        <w:t>в</w:t>
      </w:r>
      <w:r>
        <w:t>ного протокола;</w:t>
      </w:r>
    </w:p>
    <w:p w:rsidR="002B6C12" w:rsidRDefault="002B6C12" w:rsidP="002B6C12">
      <w:pPr>
        <w:pStyle w:val="SingleTxtGR"/>
      </w:pPr>
      <w:r>
        <w:tab/>
      </w:r>
      <w:r>
        <w:rPr>
          <w:lang w:val="en-US"/>
        </w:rPr>
        <w:t>b</w:t>
      </w:r>
      <w:r w:rsidRPr="00FB46AC">
        <w:t>)</w:t>
      </w:r>
      <w:r>
        <w:tab/>
        <w:t xml:space="preserve">препроводить настоящее решение государству-участнику и автору. </w:t>
      </w:r>
    </w:p>
    <w:p w:rsidR="002B6C12" w:rsidRDefault="002B6C12" w:rsidP="002B6C12">
      <w:pPr>
        <w:pStyle w:val="SingleTxtGR"/>
      </w:pPr>
      <w:r w:rsidRPr="00FB46AC">
        <w:t>[</w:t>
      </w:r>
      <w:r>
        <w:t>Принято на английском, испанском и французском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</w:t>
      </w:r>
      <w:r w:rsidR="00F4106C">
        <w:t>е</w:t>
      </w:r>
      <w:r>
        <w:t>.</w:t>
      </w:r>
      <w:r w:rsidRPr="00FB46AC">
        <w:t>]</w:t>
      </w:r>
    </w:p>
    <w:p w:rsidR="00D121D7" w:rsidRPr="00F4106C" w:rsidRDefault="00F4106C" w:rsidP="00F410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21D7" w:rsidRPr="00F4106C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8B" w:rsidRDefault="000C438B">
      <w:r>
        <w:rPr>
          <w:lang w:val="en-US"/>
        </w:rPr>
        <w:tab/>
      </w:r>
      <w:r>
        <w:separator/>
      </w:r>
    </w:p>
  </w:endnote>
  <w:endnote w:type="continuationSeparator" w:id="0">
    <w:p w:rsidR="000C438B" w:rsidRDefault="000C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1B" w:rsidRPr="005F0588" w:rsidRDefault="004B791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C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GE.10-42448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1B" w:rsidRPr="005F0588" w:rsidRDefault="004B791B">
    <w:pPr>
      <w:pStyle w:val="Footer"/>
      <w:rPr>
        <w:lang w:val="en-US"/>
      </w:rPr>
    </w:pPr>
    <w:r>
      <w:rPr>
        <w:lang w:val="en-US"/>
      </w:rPr>
      <w:t>GE.10-424</w:t>
    </w:r>
    <w:r>
      <w:rPr>
        <w:lang w:val="ru-RU"/>
      </w:rPr>
      <w:t>48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CC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1B" w:rsidRPr="007B2C3F" w:rsidRDefault="004B791B">
    <w:pPr>
      <w:pStyle w:val="Footer"/>
      <w:rPr>
        <w:sz w:val="20"/>
        <w:lang w:val="en-US"/>
      </w:rPr>
    </w:pPr>
    <w:r>
      <w:rPr>
        <w:sz w:val="20"/>
        <w:lang w:val="en-US"/>
      </w:rPr>
      <w:t>GE.10-42448  (R)  090610  090610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8B" w:rsidRPr="00F71F63" w:rsidRDefault="000C438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C438B" w:rsidRPr="00F71F63" w:rsidRDefault="000C438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C438B" w:rsidRPr="00635E86" w:rsidRDefault="000C438B" w:rsidP="00635E86">
      <w:pPr>
        <w:pStyle w:val="Footer"/>
      </w:pPr>
    </w:p>
  </w:footnote>
  <w:footnote w:id="1">
    <w:p w:rsidR="004B791B" w:rsidRPr="00D121D7" w:rsidRDefault="004B791B">
      <w:pPr>
        <w:pStyle w:val="FootnoteText"/>
        <w:rPr>
          <w:lang w:val="ru-RU"/>
        </w:rPr>
      </w:pPr>
      <w:r>
        <w:tab/>
      </w:r>
      <w:r w:rsidRPr="00D121D7">
        <w:rPr>
          <w:rStyle w:val="FootnoteReference"/>
          <w:szCs w:val="18"/>
          <w:vertAlign w:val="baseline"/>
          <w:lang w:val="ru-RU"/>
        </w:rPr>
        <w:t>*</w:t>
      </w:r>
      <w:r w:rsidRPr="00D121D7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4B791B" w:rsidRPr="00A7454A" w:rsidRDefault="004B791B">
      <w:pPr>
        <w:pStyle w:val="FootnoteText"/>
        <w:rPr>
          <w:lang w:val="ru-RU"/>
        </w:rPr>
      </w:pPr>
      <w:r>
        <w:rPr>
          <w:lang w:val="ru-RU"/>
        </w:rPr>
        <w:tab/>
      </w:r>
      <w:r w:rsidRPr="00A7454A">
        <w:rPr>
          <w:rStyle w:val="FootnoteReference"/>
          <w:szCs w:val="18"/>
          <w:vertAlign w:val="baseline"/>
          <w:lang w:val="ru-RU"/>
        </w:rPr>
        <w:t>**</w:t>
      </w:r>
      <w:r w:rsidRPr="00234948">
        <w:rPr>
          <w:lang w:val="ru-RU"/>
        </w:rPr>
        <w:tab/>
      </w:r>
      <w:r>
        <w:rPr>
          <w:lang w:val="ru-RU"/>
        </w:rPr>
        <w:t>В рассмотрении данного сообщения участвовали следующие члены Комитета: г</w:t>
      </w:r>
      <w:r>
        <w:rPr>
          <w:lang w:val="ru-RU"/>
        </w:rPr>
        <w:noBreakHyphen/>
        <w:t>н Абдельфаттах Амор, г-н Лазхари Бузид, г-жа Кристина Шане, г-н Махджуб эль Хаиба, г-н Ахмад Амин Фаталла, г-н Юдзи Ивасава, г-жа Хелен Келлер, г</w:t>
      </w:r>
      <w:r>
        <w:rPr>
          <w:lang w:val="ru-RU"/>
        </w:rPr>
        <w:noBreakHyphen/>
        <w:t>н Раджсумер Лаллах, г-жа Зонке Занеле Майодина, г-жа Юлия Антоанелла Моток, г</w:t>
      </w:r>
      <w:r>
        <w:rPr>
          <w:lang w:val="ru-RU"/>
        </w:rPr>
        <w:noBreakHyphen/>
        <w:t>н Майкл О</w:t>
      </w:r>
      <w:r w:rsidRPr="0090265B">
        <w:rPr>
          <w:lang w:val="ru-RU"/>
        </w:rPr>
        <w:t>'</w:t>
      </w:r>
      <w:r>
        <w:rPr>
          <w:lang w:val="ru-RU"/>
        </w:rPr>
        <w:t>Флаэрти, г-н Хосе Луис Перес Санчес Серро, г-н Рафаэль Ривас Посада, сэр Найджел Родли, г-н Фабиан Омар Сальвиоли и г-н Кристер Телин.</w:t>
      </w:r>
    </w:p>
  </w:footnote>
  <w:footnote w:id="3">
    <w:p w:rsidR="004B791B" w:rsidRPr="003644FF" w:rsidRDefault="004B791B" w:rsidP="002B6C12">
      <w:pPr>
        <w:pStyle w:val="FootnoteText"/>
        <w:rPr>
          <w:lang w:val="ru-RU"/>
        </w:rPr>
      </w:pPr>
      <w:r w:rsidRPr="00CD35AB">
        <w:rPr>
          <w:lang w:val="ru-RU"/>
        </w:rPr>
        <w:tab/>
      </w:r>
      <w:r>
        <w:rPr>
          <w:rStyle w:val="FootnoteReference"/>
        </w:rPr>
        <w:footnoteRef/>
      </w:r>
      <w:r w:rsidRPr="003644FF">
        <w:rPr>
          <w:lang w:val="ru-RU"/>
        </w:rPr>
        <w:tab/>
      </w:r>
      <w:r>
        <w:rPr>
          <w:i/>
          <w:lang w:val="ru-RU"/>
        </w:rPr>
        <w:t>К.Э.А. против Финляндии</w:t>
      </w:r>
      <w:r>
        <w:rPr>
          <w:lang w:val="ru-RU"/>
        </w:rPr>
        <w:t>, сообщение № 316/1988, решение от 10 июля 1991 года, пункт 6.2.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1B" w:rsidRPr="00501952" w:rsidRDefault="004B791B">
    <w:pPr>
      <w:pStyle w:val="Header"/>
      <w:rPr>
        <w:lang w:val="en-US"/>
      </w:rPr>
    </w:pPr>
    <w:r>
      <w:rPr>
        <w:lang w:val="en-US"/>
      </w:rPr>
      <w:t>CCPR/C/98/D/1522/2006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1B" w:rsidRPr="005F0588" w:rsidRDefault="004B791B">
    <w:pPr>
      <w:pStyle w:val="Header"/>
      <w:rPr>
        <w:lang w:val="en-US"/>
      </w:rPr>
    </w:pPr>
    <w:r>
      <w:rPr>
        <w:lang w:val="en-US"/>
      </w:rPr>
      <w:tab/>
      <w:t>CCPR/C/98/D/1522/2006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C2D"/>
    <w:rsid w:val="000033D8"/>
    <w:rsid w:val="00005C1C"/>
    <w:rsid w:val="00016553"/>
    <w:rsid w:val="000233B3"/>
    <w:rsid w:val="00023E9E"/>
    <w:rsid w:val="00024B0D"/>
    <w:rsid w:val="00026B0C"/>
    <w:rsid w:val="0003638E"/>
    <w:rsid w:val="00036FF2"/>
    <w:rsid w:val="0004010A"/>
    <w:rsid w:val="00043D88"/>
    <w:rsid w:val="00046E4D"/>
    <w:rsid w:val="00051C80"/>
    <w:rsid w:val="0006401A"/>
    <w:rsid w:val="000656C8"/>
    <w:rsid w:val="00072C27"/>
    <w:rsid w:val="00086182"/>
    <w:rsid w:val="00090891"/>
    <w:rsid w:val="00092E62"/>
    <w:rsid w:val="00093116"/>
    <w:rsid w:val="00094617"/>
    <w:rsid w:val="00097975"/>
    <w:rsid w:val="000A31F3"/>
    <w:rsid w:val="000A3DDF"/>
    <w:rsid w:val="000A60A0"/>
    <w:rsid w:val="000C3688"/>
    <w:rsid w:val="000C438B"/>
    <w:rsid w:val="000D6863"/>
    <w:rsid w:val="00117AEE"/>
    <w:rsid w:val="00134F56"/>
    <w:rsid w:val="001463F7"/>
    <w:rsid w:val="0015769C"/>
    <w:rsid w:val="0016130B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4948"/>
    <w:rsid w:val="00237334"/>
    <w:rsid w:val="002444F4"/>
    <w:rsid w:val="002629A0"/>
    <w:rsid w:val="0028492B"/>
    <w:rsid w:val="00291C8F"/>
    <w:rsid w:val="002B6C12"/>
    <w:rsid w:val="002C5036"/>
    <w:rsid w:val="002C6A71"/>
    <w:rsid w:val="002C6D5F"/>
    <w:rsid w:val="002D15EA"/>
    <w:rsid w:val="002D6C07"/>
    <w:rsid w:val="002E0CE6"/>
    <w:rsid w:val="002E1163"/>
    <w:rsid w:val="002E43F3"/>
    <w:rsid w:val="003037C6"/>
    <w:rsid w:val="003215F5"/>
    <w:rsid w:val="003301C3"/>
    <w:rsid w:val="00331883"/>
    <w:rsid w:val="00332891"/>
    <w:rsid w:val="00356BB2"/>
    <w:rsid w:val="00360477"/>
    <w:rsid w:val="00367FC9"/>
    <w:rsid w:val="003711A1"/>
    <w:rsid w:val="00372123"/>
    <w:rsid w:val="00376A8B"/>
    <w:rsid w:val="00377C2D"/>
    <w:rsid w:val="00386581"/>
    <w:rsid w:val="00387100"/>
    <w:rsid w:val="003951D3"/>
    <w:rsid w:val="003978C6"/>
    <w:rsid w:val="003B00B4"/>
    <w:rsid w:val="003B40A9"/>
    <w:rsid w:val="003C016E"/>
    <w:rsid w:val="003C2309"/>
    <w:rsid w:val="003D246B"/>
    <w:rsid w:val="003D5EBD"/>
    <w:rsid w:val="003E6E7D"/>
    <w:rsid w:val="00401CE0"/>
    <w:rsid w:val="00403234"/>
    <w:rsid w:val="00407AC3"/>
    <w:rsid w:val="00414586"/>
    <w:rsid w:val="00415059"/>
    <w:rsid w:val="00422DA4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6268"/>
    <w:rsid w:val="004B19DA"/>
    <w:rsid w:val="004B791B"/>
    <w:rsid w:val="004C2A53"/>
    <w:rsid w:val="004C3B35"/>
    <w:rsid w:val="004C43EC"/>
    <w:rsid w:val="004E6729"/>
    <w:rsid w:val="004F0E47"/>
    <w:rsid w:val="00501952"/>
    <w:rsid w:val="0051339C"/>
    <w:rsid w:val="0051412F"/>
    <w:rsid w:val="00522B6F"/>
    <w:rsid w:val="0052430E"/>
    <w:rsid w:val="005276AD"/>
    <w:rsid w:val="00540A9A"/>
    <w:rsid w:val="005423C0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71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3AFA"/>
    <w:rsid w:val="006C1814"/>
    <w:rsid w:val="006C2F45"/>
    <w:rsid w:val="006C361A"/>
    <w:rsid w:val="006C5657"/>
    <w:rsid w:val="006D5E4E"/>
    <w:rsid w:val="006E6860"/>
    <w:rsid w:val="006E7183"/>
    <w:rsid w:val="006F216C"/>
    <w:rsid w:val="006F245B"/>
    <w:rsid w:val="006F5FBF"/>
    <w:rsid w:val="0070327E"/>
    <w:rsid w:val="00707502"/>
    <w:rsid w:val="00707B5F"/>
    <w:rsid w:val="00726E41"/>
    <w:rsid w:val="007314B4"/>
    <w:rsid w:val="00735602"/>
    <w:rsid w:val="0075279B"/>
    <w:rsid w:val="00753748"/>
    <w:rsid w:val="00762446"/>
    <w:rsid w:val="00781ACB"/>
    <w:rsid w:val="007A5C7D"/>
    <w:rsid w:val="007A79EB"/>
    <w:rsid w:val="007C6F89"/>
    <w:rsid w:val="007D4CA0"/>
    <w:rsid w:val="007D7A23"/>
    <w:rsid w:val="007E38C3"/>
    <w:rsid w:val="007E549E"/>
    <w:rsid w:val="007E71C9"/>
    <w:rsid w:val="007F03D6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3735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19F3"/>
    <w:rsid w:val="008E3E87"/>
    <w:rsid w:val="008E7F13"/>
    <w:rsid w:val="008F3185"/>
    <w:rsid w:val="0090265B"/>
    <w:rsid w:val="00915B0A"/>
    <w:rsid w:val="009205ED"/>
    <w:rsid w:val="00926904"/>
    <w:rsid w:val="009372F0"/>
    <w:rsid w:val="00955022"/>
    <w:rsid w:val="00957B4D"/>
    <w:rsid w:val="00964EEA"/>
    <w:rsid w:val="0097674F"/>
    <w:rsid w:val="00980C86"/>
    <w:rsid w:val="00987ED2"/>
    <w:rsid w:val="009B1D9B"/>
    <w:rsid w:val="009B4074"/>
    <w:rsid w:val="009C00FC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07E4"/>
    <w:rsid w:val="00A51CA0"/>
    <w:rsid w:val="00A724DB"/>
    <w:rsid w:val="00A7454A"/>
    <w:rsid w:val="00A800D1"/>
    <w:rsid w:val="00A92699"/>
    <w:rsid w:val="00AB5BF0"/>
    <w:rsid w:val="00AC1C95"/>
    <w:rsid w:val="00AC2CCB"/>
    <w:rsid w:val="00AC443A"/>
    <w:rsid w:val="00AE5A99"/>
    <w:rsid w:val="00AE60E2"/>
    <w:rsid w:val="00B0169F"/>
    <w:rsid w:val="00B05F21"/>
    <w:rsid w:val="00B14EA9"/>
    <w:rsid w:val="00B30A3C"/>
    <w:rsid w:val="00B47425"/>
    <w:rsid w:val="00B65A59"/>
    <w:rsid w:val="00B709E7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93E"/>
    <w:rsid w:val="00C75CB2"/>
    <w:rsid w:val="00C90723"/>
    <w:rsid w:val="00C90D5C"/>
    <w:rsid w:val="00CA609E"/>
    <w:rsid w:val="00CA7DA4"/>
    <w:rsid w:val="00CB31FB"/>
    <w:rsid w:val="00CC0A3B"/>
    <w:rsid w:val="00CD35AB"/>
    <w:rsid w:val="00CE3D6F"/>
    <w:rsid w:val="00CE79A5"/>
    <w:rsid w:val="00CF0042"/>
    <w:rsid w:val="00CF262F"/>
    <w:rsid w:val="00D025D5"/>
    <w:rsid w:val="00D121D7"/>
    <w:rsid w:val="00D26B13"/>
    <w:rsid w:val="00D26CC1"/>
    <w:rsid w:val="00D30662"/>
    <w:rsid w:val="00D32A0B"/>
    <w:rsid w:val="00D33B1B"/>
    <w:rsid w:val="00D6236B"/>
    <w:rsid w:val="00D63CC9"/>
    <w:rsid w:val="00D76358"/>
    <w:rsid w:val="00D809D1"/>
    <w:rsid w:val="00D84ECF"/>
    <w:rsid w:val="00DA2851"/>
    <w:rsid w:val="00DA2B7C"/>
    <w:rsid w:val="00DA5686"/>
    <w:rsid w:val="00DA7B51"/>
    <w:rsid w:val="00DB2FC0"/>
    <w:rsid w:val="00DC16CA"/>
    <w:rsid w:val="00DC3A65"/>
    <w:rsid w:val="00DC602C"/>
    <w:rsid w:val="00DC7068"/>
    <w:rsid w:val="00DF18FA"/>
    <w:rsid w:val="00DF49CA"/>
    <w:rsid w:val="00DF775B"/>
    <w:rsid w:val="00E007F3"/>
    <w:rsid w:val="00E00DEA"/>
    <w:rsid w:val="00E06EF0"/>
    <w:rsid w:val="00E1112C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4F34"/>
    <w:rsid w:val="00EC6B9F"/>
    <w:rsid w:val="00EE516D"/>
    <w:rsid w:val="00EF4D1B"/>
    <w:rsid w:val="00EF7295"/>
    <w:rsid w:val="00F069D1"/>
    <w:rsid w:val="00F1503D"/>
    <w:rsid w:val="00F20F3F"/>
    <w:rsid w:val="00F22712"/>
    <w:rsid w:val="00F275F5"/>
    <w:rsid w:val="00F33188"/>
    <w:rsid w:val="00F35BDE"/>
    <w:rsid w:val="00F4106C"/>
    <w:rsid w:val="00F52A0E"/>
    <w:rsid w:val="00F55087"/>
    <w:rsid w:val="00F71F63"/>
    <w:rsid w:val="00F87506"/>
    <w:rsid w:val="00F92C41"/>
    <w:rsid w:val="00FA5522"/>
    <w:rsid w:val="00FA6E4A"/>
    <w:rsid w:val="00FB2B35"/>
    <w:rsid w:val="00FC4AE1"/>
    <w:rsid w:val="00FD78A3"/>
    <w:rsid w:val="00FF0997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">
    <w:name w:val="__Single Txt"/>
    <w:basedOn w:val="Normal"/>
    <w:rsid w:val="00D121D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4</TotalTime>
  <Pages>1</Pages>
  <Words>1036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42448</vt:lpstr>
    </vt:vector>
  </TitlesOfParts>
  <Company>CSD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42448</dc:title>
  <dc:subject/>
  <dc:creator>Kostomarova</dc:creator>
  <cp:keywords/>
  <dc:description/>
  <cp:lastModifiedBy>Kostomarova</cp:lastModifiedBy>
  <cp:revision>4</cp:revision>
  <cp:lastPrinted>2010-06-09T15:20:00Z</cp:lastPrinted>
  <dcterms:created xsi:type="dcterms:W3CDTF">2010-06-09T15:20:00Z</dcterms:created>
  <dcterms:modified xsi:type="dcterms:W3CDTF">2010-06-09T15:23:00Z</dcterms:modified>
</cp:coreProperties>
</file>