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574B7" w:rsidRPr="00DB58B5" w:rsidTr="003B7F4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A574B7" w:rsidRPr="00DB58B5" w:rsidRDefault="00E21AE6" w:rsidP="00E21AE6">
            <w:pPr>
              <w:jc w:val="right"/>
            </w:pPr>
            <w:r w:rsidRPr="00E21AE6">
              <w:rPr>
                <w:sz w:val="40"/>
              </w:rPr>
              <w:t>CCPR</w:t>
            </w:r>
            <w:r w:rsidR="00A921FC">
              <w:t>/C/98/D</w:t>
            </w:r>
            <w:r>
              <w:t>/1572/2007</w:t>
            </w:r>
          </w:p>
        </w:tc>
      </w:tr>
      <w:tr w:rsidR="00A574B7" w:rsidRPr="00DB58B5" w:rsidTr="0067463C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:rsidR="00A574B7" w:rsidRPr="00A574B7" w:rsidRDefault="00A574B7" w:rsidP="00464EEE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21AE6" w:rsidRDefault="00F15F37" w:rsidP="00464EEE">
            <w:pPr>
              <w:spacing w:before="240"/>
            </w:pPr>
            <w:r w:rsidRPr="00DB58B5">
              <w:t xml:space="preserve">Distr. </w:t>
            </w:r>
            <w:r>
              <w:t>restreinte</w:t>
            </w:r>
            <w:r>
              <w:footnoteReference w:customMarkFollows="1" w:id="2"/>
              <w:t>*</w:t>
            </w:r>
          </w:p>
          <w:p w:rsidR="00E21AE6" w:rsidRDefault="00E21AE6" w:rsidP="00E21AE6">
            <w:pPr>
              <w:spacing w:line="240" w:lineRule="exact"/>
            </w:pPr>
            <w:r>
              <w:t>10 mai 2010</w:t>
            </w:r>
          </w:p>
          <w:p w:rsidR="00E21AE6" w:rsidRDefault="00E21AE6" w:rsidP="00E21AE6">
            <w:pPr>
              <w:spacing w:line="240" w:lineRule="exact"/>
            </w:pPr>
            <w:r>
              <w:t>Français</w:t>
            </w:r>
          </w:p>
          <w:p w:rsidR="00A574B7" w:rsidRPr="00DB58B5" w:rsidRDefault="00E21AE6" w:rsidP="00E21AE6">
            <w:pPr>
              <w:spacing w:line="240" w:lineRule="exact"/>
            </w:pPr>
            <w:r>
              <w:t>Original: anglais</w:t>
            </w:r>
          </w:p>
        </w:tc>
      </w:tr>
    </w:tbl>
    <w:p w:rsidR="00F15F37" w:rsidRPr="00FD511F" w:rsidRDefault="00F15F37" w:rsidP="00F15F37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>Comité des droits de l</w:t>
      </w:r>
      <w:r w:rsidR="00C03719">
        <w:rPr>
          <w:b/>
          <w:sz w:val="24"/>
          <w:szCs w:val="24"/>
        </w:rPr>
        <w:t>’</w:t>
      </w:r>
      <w:r w:rsidRPr="00FD511F">
        <w:rPr>
          <w:b/>
          <w:sz w:val="24"/>
          <w:szCs w:val="24"/>
        </w:rPr>
        <w:t>homme</w:t>
      </w:r>
    </w:p>
    <w:p w:rsidR="00F15F37" w:rsidRDefault="00E21AE6" w:rsidP="00F15F37">
      <w:pPr>
        <w:spacing w:line="240" w:lineRule="exact"/>
        <w:rPr>
          <w:b/>
        </w:rPr>
      </w:pPr>
      <w:r>
        <w:rPr>
          <w:b/>
        </w:rPr>
        <w:t>Quatre-vingt-dix-huitième</w:t>
      </w:r>
      <w:r w:rsidR="00F15F37">
        <w:rPr>
          <w:b/>
        </w:rPr>
        <w:t xml:space="preserve"> </w:t>
      </w:r>
      <w:r w:rsidR="00F15F37" w:rsidRPr="00FD511F">
        <w:rPr>
          <w:b/>
        </w:rPr>
        <w:t>session</w:t>
      </w:r>
    </w:p>
    <w:p w:rsidR="00F15F37" w:rsidRDefault="00E21AE6" w:rsidP="00F15F37">
      <w:pPr>
        <w:spacing w:line="240" w:lineRule="exact"/>
      </w:pPr>
      <w:r>
        <w:t>8-26 mars 2010</w:t>
      </w:r>
    </w:p>
    <w:p w:rsidR="00F15F37" w:rsidRPr="009F7F79" w:rsidRDefault="00F15F37" w:rsidP="00F15F37">
      <w:pPr>
        <w:pStyle w:val="HChG"/>
      </w:pPr>
      <w:r>
        <w:tab/>
      </w:r>
      <w:r>
        <w:tab/>
      </w:r>
      <w:r w:rsidR="00E21AE6">
        <w:t>Décision</w:t>
      </w:r>
    </w:p>
    <w:p w:rsidR="00F15F37" w:rsidRPr="009F7F79" w:rsidRDefault="00F15F37" w:rsidP="00F15F37">
      <w:pPr>
        <w:pStyle w:val="H1G"/>
      </w:pPr>
      <w:r>
        <w:tab/>
      </w:r>
      <w:r>
        <w:tab/>
        <w:t>Communication n</w:t>
      </w:r>
      <w:r>
        <w:rPr>
          <w:vertAlign w:val="superscript"/>
        </w:rPr>
        <w:t>o</w:t>
      </w:r>
      <w:r w:rsidR="00A921FC">
        <w:t xml:space="preserve"> </w:t>
      </w:r>
      <w:r w:rsidR="00E21AE6">
        <w:t>1572/2007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</w:tblGrid>
      <w:tr w:rsidR="00E21AE6" w:rsidTr="00E21AE6">
        <w:tc>
          <w:tcPr>
            <w:tcW w:w="2835" w:type="dxa"/>
          </w:tcPr>
          <w:p w:rsidR="00E21AE6" w:rsidRDefault="00E21AE6" w:rsidP="00966FB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Présentée par</w:t>
            </w:r>
            <w:r w:rsidRPr="00065ECB">
              <w:t>:</w:t>
            </w:r>
          </w:p>
        </w:tc>
        <w:tc>
          <w:tcPr>
            <w:tcW w:w="3969" w:type="dxa"/>
          </w:tcPr>
          <w:p w:rsidR="00E21AE6" w:rsidRPr="00145360" w:rsidRDefault="00E21AE6" w:rsidP="00966FB0">
            <w:pPr>
              <w:spacing w:after="120"/>
            </w:pPr>
            <w:r w:rsidRPr="00145360">
              <w:t>Panteleimon Mathioudakis (représenté pa</w:t>
            </w:r>
            <w:r w:rsidR="00A921FC">
              <w:t xml:space="preserve">r deux conseils, M. </w:t>
            </w:r>
            <w:r w:rsidRPr="00145360">
              <w:t>Yatagantzidis et M</w:t>
            </w:r>
            <w:r w:rsidRPr="00145360">
              <w:rPr>
                <w:vertAlign w:val="superscript"/>
              </w:rPr>
              <w:t>me</w:t>
            </w:r>
            <w:r w:rsidR="00A921FC">
              <w:rPr>
                <w:vertAlign w:val="superscript"/>
              </w:rPr>
              <w:t xml:space="preserve"> </w:t>
            </w:r>
            <w:r w:rsidRPr="00145360">
              <w:t>Metaxaki)</w:t>
            </w:r>
          </w:p>
        </w:tc>
      </w:tr>
      <w:tr w:rsidR="00E21AE6" w:rsidTr="00E21AE6">
        <w:tc>
          <w:tcPr>
            <w:tcW w:w="2835" w:type="dxa"/>
          </w:tcPr>
          <w:p w:rsidR="00E21AE6" w:rsidRPr="00FD511F" w:rsidRDefault="00E21AE6" w:rsidP="00966FB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 w:rsidRPr="00065ECB">
              <w:t>:</w:t>
            </w:r>
          </w:p>
        </w:tc>
        <w:tc>
          <w:tcPr>
            <w:tcW w:w="3969" w:type="dxa"/>
          </w:tcPr>
          <w:p w:rsidR="00E21AE6" w:rsidRPr="00145360" w:rsidRDefault="00E21AE6" w:rsidP="00966FB0">
            <w:pPr>
              <w:spacing w:after="120"/>
            </w:pPr>
            <w:r w:rsidRPr="00145360">
              <w:t>L</w:t>
            </w:r>
            <w:r w:rsidR="00C03719">
              <w:t>’</w:t>
            </w:r>
            <w:r w:rsidRPr="00145360">
              <w:t>auteur</w:t>
            </w:r>
          </w:p>
        </w:tc>
      </w:tr>
      <w:tr w:rsidR="00E21AE6" w:rsidTr="00E21AE6">
        <w:tc>
          <w:tcPr>
            <w:tcW w:w="2835" w:type="dxa"/>
          </w:tcPr>
          <w:p w:rsidR="00E21AE6" w:rsidRPr="00FD511F" w:rsidRDefault="00E21AE6" w:rsidP="00966FB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 w:rsidRPr="00065ECB">
              <w:t>:</w:t>
            </w:r>
          </w:p>
        </w:tc>
        <w:tc>
          <w:tcPr>
            <w:tcW w:w="3969" w:type="dxa"/>
          </w:tcPr>
          <w:p w:rsidR="00E21AE6" w:rsidRPr="00145360" w:rsidRDefault="00E21AE6" w:rsidP="00966FB0">
            <w:pPr>
              <w:spacing w:after="120"/>
            </w:pPr>
            <w:r w:rsidRPr="00145360">
              <w:t>Grèce</w:t>
            </w:r>
          </w:p>
        </w:tc>
      </w:tr>
      <w:tr w:rsidR="00E21AE6" w:rsidTr="00E21AE6">
        <w:tc>
          <w:tcPr>
            <w:tcW w:w="2835" w:type="dxa"/>
          </w:tcPr>
          <w:p w:rsidR="00E21AE6" w:rsidRPr="00FD511F" w:rsidRDefault="00E21AE6" w:rsidP="00966FB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Date de la communication</w:t>
            </w:r>
            <w:r w:rsidRPr="00065ECB">
              <w:t>:</w:t>
            </w:r>
          </w:p>
        </w:tc>
        <w:tc>
          <w:tcPr>
            <w:tcW w:w="3969" w:type="dxa"/>
          </w:tcPr>
          <w:p w:rsidR="00E21AE6" w:rsidRPr="00145360" w:rsidRDefault="00A921FC" w:rsidP="00966FB0">
            <w:pPr>
              <w:spacing w:after="120"/>
            </w:pPr>
            <w:r>
              <w:t xml:space="preserve">12 janvier et 12 </w:t>
            </w:r>
            <w:r w:rsidR="00E21AE6" w:rsidRPr="00145360">
              <w:t>novembre 2006 (dates des lettres initiales)</w:t>
            </w:r>
          </w:p>
        </w:tc>
      </w:tr>
      <w:tr w:rsidR="00E21AE6" w:rsidTr="00E21AE6">
        <w:tc>
          <w:tcPr>
            <w:tcW w:w="2835" w:type="dxa"/>
          </w:tcPr>
          <w:p w:rsidR="00E21AE6" w:rsidRPr="00FD511F" w:rsidRDefault="00E21AE6" w:rsidP="00966FB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</w:t>
            </w:r>
            <w:r>
              <w:rPr>
                <w:i/>
              </w:rPr>
              <w:t>la présente décision</w:t>
            </w:r>
            <w:r w:rsidRPr="00065ECB">
              <w:t>:</w:t>
            </w:r>
          </w:p>
        </w:tc>
        <w:tc>
          <w:tcPr>
            <w:tcW w:w="3969" w:type="dxa"/>
          </w:tcPr>
          <w:p w:rsidR="00E21AE6" w:rsidRPr="009F7744" w:rsidRDefault="00A921FC" w:rsidP="00966FB0">
            <w:pPr>
              <w:pStyle w:val="SingleTxtG"/>
              <w:ind w:left="0" w:right="0"/>
              <w:jc w:val="left"/>
            </w:pPr>
            <w:r>
              <w:t>19</w:t>
            </w:r>
            <w:r w:rsidR="009C6C7A">
              <w:t xml:space="preserve"> </w:t>
            </w:r>
            <w:r w:rsidR="009C6C7A" w:rsidRPr="00145360">
              <w:t>mars 2010</w:t>
            </w:r>
          </w:p>
        </w:tc>
      </w:tr>
      <w:tr w:rsidR="00E21AE6" w:rsidTr="00E21AE6">
        <w:tc>
          <w:tcPr>
            <w:tcW w:w="2835" w:type="dxa"/>
          </w:tcPr>
          <w:p w:rsidR="00E21AE6" w:rsidRPr="00FD511F" w:rsidRDefault="00E21AE6" w:rsidP="00966FB0">
            <w:pPr>
              <w:pStyle w:val="SingleTxtG"/>
              <w:ind w:left="0" w:right="0"/>
              <w:jc w:val="left"/>
              <w:rPr>
                <w:i/>
              </w:rPr>
            </w:pPr>
          </w:p>
        </w:tc>
        <w:tc>
          <w:tcPr>
            <w:tcW w:w="3969" w:type="dxa"/>
          </w:tcPr>
          <w:p w:rsidR="00E21AE6" w:rsidRPr="009F7744" w:rsidRDefault="00E21AE6" w:rsidP="00966FB0">
            <w:pPr>
              <w:pStyle w:val="SingleTxtG"/>
              <w:ind w:left="0" w:right="0"/>
              <w:jc w:val="left"/>
            </w:pPr>
          </w:p>
        </w:tc>
      </w:tr>
      <w:tr w:rsidR="009C6C7A" w:rsidTr="00E21AE6">
        <w:tc>
          <w:tcPr>
            <w:tcW w:w="2835" w:type="dxa"/>
          </w:tcPr>
          <w:p w:rsidR="009C6C7A" w:rsidRPr="00FD511F" w:rsidRDefault="009C6C7A" w:rsidP="00966FB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Objet</w:t>
            </w:r>
            <w:r>
              <w:t>:</w:t>
            </w:r>
          </w:p>
        </w:tc>
        <w:tc>
          <w:tcPr>
            <w:tcW w:w="3969" w:type="dxa"/>
          </w:tcPr>
          <w:p w:rsidR="009C6C7A" w:rsidRPr="00145360" w:rsidRDefault="009C6C7A" w:rsidP="00966FB0">
            <w:pPr>
              <w:spacing w:after="120"/>
            </w:pPr>
            <w:r w:rsidRPr="00145360">
              <w:t>Annulation du diplôme universitaire de l</w:t>
            </w:r>
            <w:r w:rsidR="00C03719">
              <w:t>’</w:t>
            </w:r>
            <w:r w:rsidRPr="00145360">
              <w:t>auteur pour falsification de documents</w:t>
            </w:r>
          </w:p>
        </w:tc>
      </w:tr>
      <w:tr w:rsidR="009C6C7A" w:rsidTr="00E21AE6">
        <w:tc>
          <w:tcPr>
            <w:tcW w:w="2835" w:type="dxa"/>
          </w:tcPr>
          <w:p w:rsidR="009C6C7A" w:rsidRDefault="009C6C7A" w:rsidP="00966FB0">
            <w:pPr>
              <w:pStyle w:val="SingleTxtG"/>
              <w:ind w:left="0" w:righ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Questions de procédure</w:t>
            </w:r>
            <w:r>
              <w:t>:</w:t>
            </w:r>
          </w:p>
        </w:tc>
        <w:tc>
          <w:tcPr>
            <w:tcW w:w="3969" w:type="dxa"/>
          </w:tcPr>
          <w:p w:rsidR="009C6C7A" w:rsidRPr="00145360" w:rsidRDefault="009C6C7A" w:rsidP="00966FB0">
            <w:pPr>
              <w:spacing w:after="120"/>
            </w:pPr>
            <w:r w:rsidRPr="00145360">
              <w:t>Incompatibilité des griefs avec les dispositions du Pacte; non-épuisement des recours internes</w:t>
            </w:r>
          </w:p>
        </w:tc>
      </w:tr>
      <w:tr w:rsidR="009C6C7A" w:rsidTr="00E21AE6">
        <w:tc>
          <w:tcPr>
            <w:tcW w:w="2835" w:type="dxa"/>
          </w:tcPr>
          <w:p w:rsidR="009C6C7A" w:rsidRDefault="009C6C7A" w:rsidP="00966FB0">
            <w:pPr>
              <w:pStyle w:val="SingleTxtG"/>
              <w:ind w:left="0" w:righ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Questions de fond</w:t>
            </w:r>
            <w:r>
              <w:t>:</w:t>
            </w:r>
          </w:p>
        </w:tc>
        <w:tc>
          <w:tcPr>
            <w:tcW w:w="3969" w:type="dxa"/>
          </w:tcPr>
          <w:p w:rsidR="009C6C7A" w:rsidRPr="00145360" w:rsidRDefault="009C6C7A" w:rsidP="00966FB0">
            <w:pPr>
              <w:spacing w:after="120"/>
            </w:pPr>
            <w:r w:rsidRPr="00145360">
              <w:t>Présomption d</w:t>
            </w:r>
            <w:r w:rsidR="00C03719">
              <w:t>’</w:t>
            </w:r>
            <w:r w:rsidRPr="00145360">
              <w:t>innocence; droit au réexamen d</w:t>
            </w:r>
            <w:r w:rsidR="00C03719">
              <w:t>’</w:t>
            </w:r>
            <w:r w:rsidRPr="00145360">
              <w:t>une décision par une juridiction supérieure</w:t>
            </w:r>
            <w:r>
              <w:t>,</w:t>
            </w:r>
            <w:r w:rsidRPr="00145360">
              <w:t xml:space="preserve"> conformément à la loi</w:t>
            </w:r>
          </w:p>
        </w:tc>
      </w:tr>
      <w:tr w:rsidR="009C6C7A" w:rsidTr="00E21AE6">
        <w:tc>
          <w:tcPr>
            <w:tcW w:w="2835" w:type="dxa"/>
          </w:tcPr>
          <w:p w:rsidR="009C6C7A" w:rsidRDefault="009C6C7A" w:rsidP="00966FB0">
            <w:pPr>
              <w:pStyle w:val="SingleTxtG"/>
              <w:ind w:left="0" w:righ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Article du Pacte</w:t>
            </w:r>
            <w:r>
              <w:t>:</w:t>
            </w:r>
          </w:p>
        </w:tc>
        <w:tc>
          <w:tcPr>
            <w:tcW w:w="3969" w:type="dxa"/>
          </w:tcPr>
          <w:p w:rsidR="009C6C7A" w:rsidRPr="00145360" w:rsidRDefault="00A921FC" w:rsidP="00966FB0">
            <w:pPr>
              <w:spacing w:after="120"/>
            </w:pPr>
            <w:r>
              <w:t xml:space="preserve">14 (par. </w:t>
            </w:r>
            <w:r w:rsidR="009C6C7A" w:rsidRPr="00145360">
              <w:t>2 et 5)</w:t>
            </w:r>
          </w:p>
        </w:tc>
      </w:tr>
      <w:tr w:rsidR="009C6C7A" w:rsidTr="00E21AE6">
        <w:tc>
          <w:tcPr>
            <w:tcW w:w="2835" w:type="dxa"/>
          </w:tcPr>
          <w:p w:rsidR="009C6C7A" w:rsidRDefault="009C6C7A" w:rsidP="00966FB0">
            <w:pPr>
              <w:pStyle w:val="SingleTxtG"/>
              <w:ind w:left="0" w:righ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Articles du Protocole facultatif</w:t>
            </w:r>
            <w:r>
              <w:t>:</w:t>
            </w:r>
          </w:p>
        </w:tc>
        <w:tc>
          <w:tcPr>
            <w:tcW w:w="3969" w:type="dxa"/>
          </w:tcPr>
          <w:p w:rsidR="009C6C7A" w:rsidRPr="00145360" w:rsidRDefault="009C6C7A" w:rsidP="00966FB0">
            <w:pPr>
              <w:spacing w:after="120"/>
            </w:pPr>
            <w:r>
              <w:t>3 et 5 (par.</w:t>
            </w:r>
            <w:r w:rsidR="00A921FC">
              <w:t xml:space="preserve"> 2 </w:t>
            </w:r>
            <w:r>
              <w:t>b))</w:t>
            </w:r>
          </w:p>
        </w:tc>
      </w:tr>
    </w:tbl>
    <w:p w:rsidR="00F15F37" w:rsidRDefault="00F15F37" w:rsidP="00F15F37">
      <w:pPr>
        <w:pStyle w:val="SingleTxtG"/>
      </w:pPr>
      <w:r>
        <w:t>[Annexe]</w:t>
      </w:r>
    </w:p>
    <w:p w:rsidR="00F15F37" w:rsidRDefault="00F15F37" w:rsidP="00F15F37">
      <w:pPr>
        <w:pStyle w:val="HChG"/>
      </w:pPr>
      <w:r>
        <w:br w:type="page"/>
        <w:t>Annexe</w:t>
      </w:r>
    </w:p>
    <w:p w:rsidR="00F15F37" w:rsidRDefault="00F15F37" w:rsidP="00F15F37">
      <w:pPr>
        <w:pStyle w:val="HChG"/>
      </w:pPr>
      <w:r>
        <w:tab/>
      </w:r>
      <w:r>
        <w:tab/>
        <w:t>Décision du Comité des droits de l</w:t>
      </w:r>
      <w:r w:rsidR="00C03719">
        <w:t>’</w:t>
      </w:r>
      <w:r>
        <w:t>homme en vertu du Protocole facultatif se rapportant au Pacte international relatif au</w:t>
      </w:r>
      <w:r w:rsidR="00A921FC">
        <w:t xml:space="preserve">x droits civils et </w:t>
      </w:r>
      <w:r w:rsidR="009C6C7A">
        <w:t>politiques (quatre-vingt-dix-huitième</w:t>
      </w:r>
      <w:r>
        <w:t xml:space="preserve"> session)</w:t>
      </w:r>
    </w:p>
    <w:p w:rsidR="00F15F37" w:rsidRDefault="00F15F37" w:rsidP="00F15F37">
      <w:pPr>
        <w:pStyle w:val="SingleTxtG"/>
      </w:pPr>
      <w:r>
        <w:t>concernant la</w:t>
      </w:r>
    </w:p>
    <w:p w:rsidR="00F15F37" w:rsidRDefault="00F15F37" w:rsidP="00F15F37">
      <w:pPr>
        <w:pStyle w:val="H1G"/>
      </w:pPr>
      <w:r>
        <w:tab/>
      </w:r>
      <w:r>
        <w:tab/>
        <w:t xml:space="preserve">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="009C6C7A">
        <w:t xml:space="preserve"> 1572/2007</w:t>
      </w:r>
      <w:r w:rsidR="009C6C7A" w:rsidRPr="009C6C7A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94"/>
      </w:tblGrid>
      <w:tr w:rsidR="007A6EEF" w:rsidRPr="005D29C8" w:rsidTr="007A6EEF">
        <w:tc>
          <w:tcPr>
            <w:tcW w:w="2410" w:type="dxa"/>
          </w:tcPr>
          <w:p w:rsidR="007A6EEF" w:rsidRPr="005D29C8" w:rsidRDefault="007A6EEF" w:rsidP="00966FB0">
            <w:pPr>
              <w:spacing w:after="120"/>
              <w:rPr>
                <w:i/>
              </w:rPr>
            </w:pPr>
            <w:r w:rsidRPr="005D29C8">
              <w:rPr>
                <w:i/>
              </w:rPr>
              <w:t>Présentée par</w:t>
            </w:r>
            <w:r w:rsidRPr="0000239C">
              <w:t>:</w:t>
            </w:r>
          </w:p>
        </w:tc>
        <w:tc>
          <w:tcPr>
            <w:tcW w:w="4394" w:type="dxa"/>
          </w:tcPr>
          <w:p w:rsidR="007A6EEF" w:rsidRPr="00145360" w:rsidRDefault="007A6EEF" w:rsidP="00966FB0">
            <w:pPr>
              <w:spacing w:after="120"/>
            </w:pPr>
            <w:r w:rsidRPr="00145360">
              <w:t>Panteleimon Mathioudakis (r</w:t>
            </w:r>
            <w:r w:rsidR="00A921FC">
              <w:t xml:space="preserve">eprésenté par deux conseils, M. </w:t>
            </w:r>
            <w:r w:rsidRPr="00145360">
              <w:t>Yatagantzidis et M</w:t>
            </w:r>
            <w:r w:rsidRPr="00145360">
              <w:rPr>
                <w:vertAlign w:val="superscript"/>
              </w:rPr>
              <w:t>me</w:t>
            </w:r>
            <w:r w:rsidR="00A921FC">
              <w:t xml:space="preserve"> </w:t>
            </w:r>
            <w:r w:rsidRPr="00145360">
              <w:t>Metaxaki)</w:t>
            </w:r>
          </w:p>
        </w:tc>
      </w:tr>
      <w:tr w:rsidR="007A6EEF" w:rsidRPr="005D29C8" w:rsidTr="007A6EEF">
        <w:tc>
          <w:tcPr>
            <w:tcW w:w="2410" w:type="dxa"/>
          </w:tcPr>
          <w:p w:rsidR="007A6EEF" w:rsidRPr="005D29C8" w:rsidRDefault="007A6EEF" w:rsidP="00966FB0">
            <w:pPr>
              <w:spacing w:after="120"/>
              <w:rPr>
                <w:i/>
              </w:rPr>
            </w:pPr>
            <w:r w:rsidRPr="005D29C8">
              <w:rPr>
                <w:i/>
              </w:rPr>
              <w:t>Au nom de</w:t>
            </w:r>
            <w:r w:rsidRPr="0000239C">
              <w:t>:</w:t>
            </w:r>
          </w:p>
        </w:tc>
        <w:tc>
          <w:tcPr>
            <w:tcW w:w="4394" w:type="dxa"/>
          </w:tcPr>
          <w:p w:rsidR="007A6EEF" w:rsidRPr="00145360" w:rsidRDefault="007A6EEF" w:rsidP="00966FB0">
            <w:pPr>
              <w:spacing w:after="120"/>
            </w:pPr>
            <w:r w:rsidRPr="00145360">
              <w:t>L</w:t>
            </w:r>
            <w:r w:rsidR="00C03719">
              <w:t>’</w:t>
            </w:r>
            <w:r w:rsidRPr="00145360">
              <w:t>auteur</w:t>
            </w:r>
          </w:p>
        </w:tc>
      </w:tr>
      <w:tr w:rsidR="007A6EEF" w:rsidRPr="005D29C8" w:rsidTr="007A6EEF">
        <w:tc>
          <w:tcPr>
            <w:tcW w:w="2410" w:type="dxa"/>
          </w:tcPr>
          <w:p w:rsidR="007A6EEF" w:rsidRPr="005D29C8" w:rsidRDefault="007A6EEF" w:rsidP="00966FB0">
            <w:pPr>
              <w:spacing w:after="120"/>
              <w:rPr>
                <w:i/>
              </w:rPr>
            </w:pPr>
            <w:r w:rsidRPr="005D29C8">
              <w:rPr>
                <w:i/>
              </w:rPr>
              <w:t>État partie</w:t>
            </w:r>
            <w:r w:rsidRPr="0000239C">
              <w:t>:</w:t>
            </w:r>
          </w:p>
        </w:tc>
        <w:tc>
          <w:tcPr>
            <w:tcW w:w="4394" w:type="dxa"/>
          </w:tcPr>
          <w:p w:rsidR="007A6EEF" w:rsidRPr="00145360" w:rsidRDefault="007A6EEF" w:rsidP="00966FB0">
            <w:pPr>
              <w:spacing w:after="120"/>
            </w:pPr>
            <w:r w:rsidRPr="00145360">
              <w:t>Grèce</w:t>
            </w:r>
          </w:p>
        </w:tc>
      </w:tr>
      <w:tr w:rsidR="007A6EEF" w:rsidRPr="005D29C8" w:rsidTr="007A6EEF">
        <w:tc>
          <w:tcPr>
            <w:tcW w:w="2410" w:type="dxa"/>
          </w:tcPr>
          <w:p w:rsidR="007A6EEF" w:rsidRPr="005D29C8" w:rsidRDefault="007A6EEF" w:rsidP="00966FB0">
            <w:pPr>
              <w:spacing w:after="120"/>
              <w:rPr>
                <w:i/>
              </w:rPr>
            </w:pPr>
            <w:r w:rsidRPr="005D29C8">
              <w:rPr>
                <w:i/>
              </w:rPr>
              <w:t>Date de la communication</w:t>
            </w:r>
            <w:r w:rsidRPr="0000239C">
              <w:t>:</w:t>
            </w:r>
          </w:p>
        </w:tc>
        <w:tc>
          <w:tcPr>
            <w:tcW w:w="4394" w:type="dxa"/>
          </w:tcPr>
          <w:p w:rsidR="007A6EEF" w:rsidRPr="00145360" w:rsidRDefault="00A921FC" w:rsidP="00966FB0">
            <w:pPr>
              <w:spacing w:after="120"/>
            </w:pPr>
            <w:r>
              <w:t xml:space="preserve">12 janvier et 12 </w:t>
            </w:r>
            <w:r w:rsidR="007A6EEF" w:rsidRPr="00145360">
              <w:t>novembre 2006 (dates des lettres initiales)</w:t>
            </w:r>
          </w:p>
        </w:tc>
      </w:tr>
    </w:tbl>
    <w:p w:rsidR="00F15F37" w:rsidRDefault="00F15F37" w:rsidP="00F15F37">
      <w:pPr>
        <w:pStyle w:val="SingleTxtG"/>
        <w:spacing w:before="120"/>
        <w:ind w:firstLine="567"/>
      </w:pPr>
      <w:r w:rsidRPr="00B57784">
        <w:rPr>
          <w:i/>
        </w:rPr>
        <w:t>Le Comité des droits de l</w:t>
      </w:r>
      <w:r w:rsidR="00C03719">
        <w:rPr>
          <w:i/>
        </w:rPr>
        <w:t>’</w:t>
      </w:r>
      <w:r w:rsidRPr="00B57784">
        <w:rPr>
          <w:i/>
        </w:rPr>
        <w:t>homme</w:t>
      </w:r>
      <w:r>
        <w:t>, institué en vertu de l</w:t>
      </w:r>
      <w:r w:rsidR="00C03719">
        <w:t>’</w:t>
      </w:r>
      <w:r w:rsidR="00A921FC">
        <w:t xml:space="preserve">article </w:t>
      </w:r>
      <w:r>
        <w:t>28 du Pacte international relatif aux droits civils et politiques,</w:t>
      </w:r>
    </w:p>
    <w:p w:rsidR="00F15F37" w:rsidRDefault="00F15F37" w:rsidP="00F15F37">
      <w:pPr>
        <w:pStyle w:val="SingleTxtG"/>
        <w:ind w:firstLine="567"/>
      </w:pPr>
      <w:r w:rsidRPr="00B57784">
        <w:rPr>
          <w:i/>
        </w:rPr>
        <w:t>Réuni</w:t>
      </w:r>
      <w:r w:rsidRPr="00065ECB">
        <w:rPr>
          <w:i/>
          <w:iCs/>
        </w:rPr>
        <w:t xml:space="preserve"> le</w:t>
      </w:r>
      <w:r w:rsidRPr="00B57784">
        <w:t xml:space="preserve"> </w:t>
      </w:r>
      <w:r w:rsidR="00BD7A39">
        <w:t>19 mars 2010</w:t>
      </w:r>
      <w:r>
        <w:t>,</w:t>
      </w:r>
    </w:p>
    <w:p w:rsidR="00F15F37" w:rsidRDefault="00F15F37" w:rsidP="00F15F37">
      <w:pPr>
        <w:pStyle w:val="SingleTxtG"/>
        <w:ind w:firstLine="567"/>
      </w:pPr>
      <w:r w:rsidRPr="00B57784">
        <w:rPr>
          <w:i/>
        </w:rPr>
        <w:t>Adopte</w:t>
      </w:r>
      <w:r>
        <w:t xml:space="preserve"> ce qui suit:</w:t>
      </w:r>
    </w:p>
    <w:p w:rsidR="00F15F37" w:rsidRDefault="00F15F37" w:rsidP="00F15F37">
      <w:pPr>
        <w:pStyle w:val="H1G"/>
      </w:pPr>
      <w:r>
        <w:tab/>
      </w:r>
      <w:r>
        <w:tab/>
        <w:t>Décision concernant la recevabilité</w:t>
      </w:r>
    </w:p>
    <w:p w:rsidR="00BD7A39" w:rsidRDefault="00BD7A39" w:rsidP="00BD7A39">
      <w:pPr>
        <w:pStyle w:val="SingleTxtG"/>
      </w:pPr>
      <w:r w:rsidRPr="00145360">
        <w:t>1.</w:t>
      </w:r>
      <w:r w:rsidRPr="00145360">
        <w:tab/>
        <w:t>L</w:t>
      </w:r>
      <w:r w:rsidR="00C03719">
        <w:t>’</w:t>
      </w:r>
      <w:r w:rsidRPr="00145360">
        <w:t>auteur de la communication, datée du 12</w:t>
      </w:r>
      <w:r w:rsidR="00A921FC">
        <w:t xml:space="preserve"> janvier et du 12 </w:t>
      </w:r>
      <w:r w:rsidRPr="00145360">
        <w:t>novembre 2006, est Panteleimon Mathioudakis, de nationalité grecque, né en 1968. Il se déclare victime d</w:t>
      </w:r>
      <w:r w:rsidR="00C03719">
        <w:t>’</w:t>
      </w:r>
      <w:r w:rsidRPr="00145360">
        <w:t>une violation par la Grèce du droit d</w:t>
      </w:r>
      <w:r w:rsidR="00C03719">
        <w:t>’</w:t>
      </w:r>
      <w:r w:rsidRPr="00145360">
        <w:t>être présumé innocent et du droit de faire réexaminer une décision par une juridiction supérieure, garantis respectivement aux paragraphes 2 et 5 de l</w:t>
      </w:r>
      <w:r w:rsidR="00C03719">
        <w:t>’</w:t>
      </w:r>
      <w:r w:rsidRPr="00145360">
        <w:t>article 14 du Pacte. L</w:t>
      </w:r>
      <w:r w:rsidR="00C03719">
        <w:t>’</w:t>
      </w:r>
      <w:r w:rsidRPr="00145360">
        <w:t xml:space="preserve">auteur est représenté par deux conseils, </w:t>
      </w:r>
      <w:r>
        <w:t xml:space="preserve">M. </w:t>
      </w:r>
      <w:r w:rsidRPr="00145360">
        <w:t xml:space="preserve">Panayotis Yatagantzidis et </w:t>
      </w:r>
      <w:r>
        <w:t>M</w:t>
      </w:r>
      <w:r w:rsidRPr="00D91DA2">
        <w:rPr>
          <w:vertAlign w:val="superscript"/>
        </w:rPr>
        <w:t>me</w:t>
      </w:r>
      <w:r w:rsidR="00A921FC">
        <w:t xml:space="preserve"> </w:t>
      </w:r>
      <w:r w:rsidRPr="00145360">
        <w:t>Eleni Metaxaki.</w:t>
      </w:r>
    </w:p>
    <w:p w:rsidR="00BD7A39" w:rsidRPr="00BD7A39" w:rsidRDefault="00BD7A39" w:rsidP="00BD7A39">
      <w:pPr>
        <w:pStyle w:val="H23G"/>
      </w:pPr>
      <w:r>
        <w:tab/>
      </w:r>
      <w:r>
        <w:tab/>
      </w:r>
      <w:r w:rsidRPr="00BD7A39">
        <w:t>Rappel des faits présentés par l</w:t>
      </w:r>
      <w:r w:rsidR="00C03719">
        <w:t>’</w:t>
      </w:r>
      <w:r w:rsidRPr="00BD7A39">
        <w:t>auteur</w:t>
      </w:r>
    </w:p>
    <w:p w:rsidR="00BD7A39" w:rsidRDefault="00BD7A39" w:rsidP="00BD7A39">
      <w:pPr>
        <w:pStyle w:val="SingleTxtG"/>
      </w:pPr>
      <w:r w:rsidRPr="00145360">
        <w:t>2.1</w:t>
      </w:r>
      <w:r w:rsidRPr="00145360">
        <w:tab/>
        <w:t>Le 15</w:t>
      </w:r>
      <w:r w:rsidR="00A921FC">
        <w:t xml:space="preserve"> </w:t>
      </w:r>
      <w:r w:rsidRPr="00145360">
        <w:t>mai 1998, le Sénat de l</w:t>
      </w:r>
      <w:r w:rsidR="00C03719">
        <w:t>’</w:t>
      </w:r>
      <w:r w:rsidRPr="00145360">
        <w:t>Université technique nationale d</w:t>
      </w:r>
      <w:r w:rsidR="00C03719">
        <w:t>’</w:t>
      </w:r>
      <w:r w:rsidRPr="00145360">
        <w:t>Athènes a annulé le diplôme en ingénierie électrique et informatique décerné à l</w:t>
      </w:r>
      <w:r w:rsidR="00C03719">
        <w:t>’</w:t>
      </w:r>
      <w:r w:rsidRPr="00145360">
        <w:t>auteur en 1995, au motif qu</w:t>
      </w:r>
      <w:r w:rsidR="00C03719">
        <w:t>’</w:t>
      </w:r>
      <w:r w:rsidRPr="00145360">
        <w:t>il n</w:t>
      </w:r>
      <w:r w:rsidR="00C03719">
        <w:t>’</w:t>
      </w:r>
      <w:r w:rsidRPr="00145360">
        <w:t>avait pas obtenu les notes nécessaires pour huit matières et que les notes de neuf autres matières avaient été falsifiées (augmentées), sans faire référence à la participation de l</w:t>
      </w:r>
      <w:r w:rsidR="00C03719">
        <w:t>’</w:t>
      </w:r>
      <w:r w:rsidRPr="00145360">
        <w:t>auteur dans la falsification. Il a en outre décidé l</w:t>
      </w:r>
      <w:r w:rsidR="00C03719">
        <w:t>’</w:t>
      </w:r>
      <w:r w:rsidRPr="00145360">
        <w:t>ouverture d</w:t>
      </w:r>
      <w:r w:rsidR="00C03719">
        <w:t>’</w:t>
      </w:r>
      <w:r w:rsidRPr="00145360">
        <w:t>une enquête administrative pour déterminer s</w:t>
      </w:r>
      <w:r w:rsidR="00C03719">
        <w:t>’</w:t>
      </w:r>
      <w:r w:rsidRPr="00145360">
        <w:t>il y avait lieu de prendre d</w:t>
      </w:r>
      <w:r w:rsidR="00C03719">
        <w:t>’</w:t>
      </w:r>
      <w:r w:rsidRPr="00145360">
        <w:t>autres mesures. Pour pouvoir postuler à un emploi, l</w:t>
      </w:r>
      <w:r w:rsidR="00C03719">
        <w:t>’</w:t>
      </w:r>
      <w:r w:rsidRPr="00145360">
        <w:t>auteur avait demandé à l</w:t>
      </w:r>
      <w:r w:rsidR="00C03719">
        <w:t>’</w:t>
      </w:r>
      <w:r w:rsidRPr="00145360">
        <w:t>Université technique nationale une attestation des notes obt</w:t>
      </w:r>
      <w:r w:rsidR="00A921FC">
        <w:t xml:space="preserve">enues pendant ses études. Le 14 </w:t>
      </w:r>
      <w:r w:rsidRPr="00145360">
        <w:t>novembre 2000, la cour administrative d</w:t>
      </w:r>
      <w:r w:rsidR="00C03719">
        <w:t>’</w:t>
      </w:r>
      <w:r w:rsidRPr="00145360">
        <w:t>appel d</w:t>
      </w:r>
      <w:r w:rsidR="00C03719">
        <w:t>’</w:t>
      </w:r>
      <w:r w:rsidRPr="00145360">
        <w:t>Athènes a annulé la décision du Sénat de l</w:t>
      </w:r>
      <w:r w:rsidR="00C03719">
        <w:t>’</w:t>
      </w:r>
      <w:r w:rsidRPr="00145360">
        <w:t>Université au motif que l</w:t>
      </w:r>
      <w:r w:rsidR="00C03719">
        <w:t>’</w:t>
      </w:r>
      <w:r w:rsidRPr="00145360">
        <w:t>auteur n</w:t>
      </w:r>
      <w:r w:rsidR="00C03719">
        <w:t>’</w:t>
      </w:r>
      <w:r w:rsidR="00A921FC">
        <w:t xml:space="preserve">avait pas été entendu. Le 26 </w:t>
      </w:r>
      <w:r w:rsidRPr="00145360">
        <w:t>janvier 2001, après avoir entendu l</w:t>
      </w:r>
      <w:r w:rsidR="00C03719">
        <w:t>’</w:t>
      </w:r>
      <w:r w:rsidRPr="00145360">
        <w:t>auteur, le Sénat de l</w:t>
      </w:r>
      <w:r w:rsidR="00C03719">
        <w:t>’</w:t>
      </w:r>
      <w:r w:rsidRPr="00145360">
        <w:t>Université a annulé son diplôme pour les raisons qui avaient justifié la première annulation. Le 1</w:t>
      </w:r>
      <w:r w:rsidRPr="00145360">
        <w:rPr>
          <w:vertAlign w:val="superscript"/>
        </w:rPr>
        <w:t>er</w:t>
      </w:r>
      <w:r w:rsidRPr="00145360">
        <w:t> février 2002, la cour administrative d</w:t>
      </w:r>
      <w:r w:rsidR="00C03719">
        <w:t>’</w:t>
      </w:r>
      <w:r w:rsidRPr="00145360">
        <w:t>appel a débouté l</w:t>
      </w:r>
      <w:r w:rsidR="00C03719">
        <w:t>’</w:t>
      </w:r>
      <w:r w:rsidRPr="00145360">
        <w:t>appel de l</w:t>
      </w:r>
      <w:r w:rsidR="00C03719">
        <w:t>’</w:t>
      </w:r>
      <w:r w:rsidRPr="00145360">
        <w:t>auteur. Elle a pris sa décision en se fondant en partie sur le jugement rendu le 1</w:t>
      </w:r>
      <w:r w:rsidRPr="00145360">
        <w:rPr>
          <w:vertAlign w:val="superscript"/>
        </w:rPr>
        <w:t>er</w:t>
      </w:r>
      <w:r w:rsidR="00A921FC">
        <w:t xml:space="preserve"> </w:t>
      </w:r>
      <w:r w:rsidRPr="00145360">
        <w:t>septembre 2000 par le tribunal correctionnel d</w:t>
      </w:r>
      <w:r w:rsidR="00C03719">
        <w:t>’</w:t>
      </w:r>
      <w:r w:rsidRPr="00145360">
        <w:t>Athènes qui, siégeant à juge unique, avait condamné l</w:t>
      </w:r>
      <w:r w:rsidR="00C03719">
        <w:t>’</w:t>
      </w:r>
      <w:r w:rsidRPr="00145360">
        <w:t>auteur à deux peines d</w:t>
      </w:r>
      <w:r w:rsidR="00C03719">
        <w:t>’</w:t>
      </w:r>
      <w:r w:rsidRPr="00145360">
        <w:t>emprisonnement</w:t>
      </w:r>
      <w:r>
        <w:t>, l</w:t>
      </w:r>
      <w:r w:rsidR="00C03719">
        <w:t>’</w:t>
      </w:r>
      <w:r>
        <w:t>une</w:t>
      </w:r>
      <w:r w:rsidRPr="00145360">
        <w:t xml:space="preserve"> de dix-huit mois et </w:t>
      </w:r>
      <w:r>
        <w:t>l</w:t>
      </w:r>
      <w:r w:rsidR="00C03719">
        <w:t>’</w:t>
      </w:r>
      <w:r>
        <w:t xml:space="preserve">autre </w:t>
      </w:r>
      <w:r w:rsidRPr="00145360">
        <w:t>de douze mois</w:t>
      </w:r>
      <w:r>
        <w:t xml:space="preserve">, </w:t>
      </w:r>
      <w:r w:rsidRPr="00145360">
        <w:t>pour les infractions de falsification de certificats et d</w:t>
      </w:r>
      <w:r w:rsidR="00C03719">
        <w:t>’</w:t>
      </w:r>
      <w:r w:rsidRPr="00145360">
        <w:t>obtention frauduleuse d</w:t>
      </w:r>
      <w:r w:rsidR="00C03719">
        <w:t>’</w:t>
      </w:r>
      <w:r w:rsidR="00A921FC">
        <w:t xml:space="preserve">un faux certificat (voir par. </w:t>
      </w:r>
      <w:r w:rsidRPr="00145360">
        <w:t>2.2). L</w:t>
      </w:r>
      <w:r w:rsidR="00C03719">
        <w:t>’</w:t>
      </w:r>
      <w:r w:rsidRPr="00145360">
        <w:t>auteur affirme qu</w:t>
      </w:r>
      <w:r w:rsidR="00C03719">
        <w:t>’</w:t>
      </w:r>
      <w:r w:rsidRPr="00145360">
        <w:t>un pourvoi en cassation devant le Conseil d</w:t>
      </w:r>
      <w:r w:rsidR="00C03719">
        <w:t>’</w:t>
      </w:r>
      <w:r w:rsidRPr="00145360">
        <w:t>État n</w:t>
      </w:r>
      <w:r w:rsidR="00C03719">
        <w:t>’</w:t>
      </w:r>
      <w:r w:rsidRPr="00145360">
        <w:t>aurait été d</w:t>
      </w:r>
      <w:r w:rsidR="00C03719">
        <w:t>’</w:t>
      </w:r>
      <w:r w:rsidRPr="00145360">
        <w:t>aucune utilité parce que cette juridiction ne tranche que les questions de droit et ne statue pas sur les faits.</w:t>
      </w:r>
    </w:p>
    <w:p w:rsidR="00BD7A39" w:rsidRDefault="00BD7A39" w:rsidP="00BD7A39">
      <w:pPr>
        <w:pStyle w:val="SingleTxtG"/>
      </w:pPr>
      <w:r w:rsidRPr="00145360">
        <w:t>2.2</w:t>
      </w:r>
      <w:r w:rsidRPr="00145360">
        <w:tab/>
        <w:t>Ainsi qu</w:t>
      </w:r>
      <w:r w:rsidR="00C03719">
        <w:t>’</w:t>
      </w:r>
      <w:r w:rsidRPr="00145360">
        <w:t>il a été indiqué, le 1</w:t>
      </w:r>
      <w:r w:rsidRPr="00145360">
        <w:rPr>
          <w:vertAlign w:val="superscript"/>
        </w:rPr>
        <w:t>er</w:t>
      </w:r>
      <w:r w:rsidR="00A921FC">
        <w:t xml:space="preserve"> </w:t>
      </w:r>
      <w:r>
        <w:t>septembre 2000</w:t>
      </w:r>
      <w:r w:rsidRPr="00145360">
        <w:t xml:space="preserve"> le tribunal correctionnel d</w:t>
      </w:r>
      <w:r w:rsidR="00C03719">
        <w:t>’</w:t>
      </w:r>
      <w:r w:rsidRPr="00145360">
        <w:t>Athènes, siégeant à juge unique, a condamné l</w:t>
      </w:r>
      <w:r w:rsidR="00C03719">
        <w:t>’</w:t>
      </w:r>
      <w:r w:rsidRPr="00145360">
        <w:t>auteur à deux peines d</w:t>
      </w:r>
      <w:r w:rsidR="00C03719">
        <w:t>’</w:t>
      </w:r>
      <w:r w:rsidRPr="00145360">
        <w:t>emprisonnement</w:t>
      </w:r>
      <w:r>
        <w:t>,</w:t>
      </w:r>
      <w:r w:rsidRPr="00145360">
        <w:t xml:space="preserve"> de dix-huit mois et de douze mois</w:t>
      </w:r>
      <w:r>
        <w:t>,</w:t>
      </w:r>
      <w:r w:rsidRPr="00145360">
        <w:t xml:space="preserve"> pour les infractions de falsification de certificats et d</w:t>
      </w:r>
      <w:r w:rsidR="00C03719">
        <w:t>’</w:t>
      </w:r>
      <w:r w:rsidRPr="00145360">
        <w:t>obtention frauduleuse d</w:t>
      </w:r>
      <w:r w:rsidR="00C03719">
        <w:t>’</w:t>
      </w:r>
      <w:r w:rsidRPr="00145360">
        <w:t>un faux certificat. Le tribunal a établi que l</w:t>
      </w:r>
      <w:r w:rsidR="00C03719">
        <w:t>’</w:t>
      </w:r>
      <w:r w:rsidRPr="00145360">
        <w:t>auteur avait falsifié le certificat qui lui avait été décerné par l</w:t>
      </w:r>
      <w:r w:rsidR="00C03719">
        <w:t>’</w:t>
      </w:r>
      <w:r w:rsidRPr="00145360">
        <w:t>Institut technologique et qui lui avait permis d</w:t>
      </w:r>
      <w:r w:rsidR="00C03719">
        <w:t>’</w:t>
      </w:r>
      <w:r w:rsidRPr="00145360">
        <w:t>entrer à l</w:t>
      </w:r>
      <w:r w:rsidR="00C03719">
        <w:t>’</w:t>
      </w:r>
      <w:r w:rsidRPr="00145360">
        <w:t>Université, et qu</w:t>
      </w:r>
      <w:r w:rsidR="00C03719">
        <w:t>’</w:t>
      </w:r>
      <w:r w:rsidRPr="00145360">
        <w:t>il avait obtenu son diplôme en ingénierie électrique et en informatique p</w:t>
      </w:r>
      <w:r w:rsidR="00A921FC">
        <w:t xml:space="preserve">ar des moyens frauduleux. Le 14 </w:t>
      </w:r>
      <w:r w:rsidRPr="00145360">
        <w:t>janvier 2003, le tribunal correctionnel d</w:t>
      </w:r>
      <w:r w:rsidR="00C03719">
        <w:t>’</w:t>
      </w:r>
      <w:r w:rsidRPr="00145360">
        <w:t>Athènes, siégeant à trois juges en tant que juridiction d</w:t>
      </w:r>
      <w:r w:rsidR="00C03719">
        <w:t>’</w:t>
      </w:r>
      <w:r w:rsidRPr="00145360">
        <w:t xml:space="preserve">appel, a confirmé </w:t>
      </w:r>
      <w:r>
        <w:t>l</w:t>
      </w:r>
      <w:r w:rsidRPr="00145360">
        <w:t>a condamnation. L</w:t>
      </w:r>
      <w:r w:rsidR="00C03719">
        <w:t>’</w:t>
      </w:r>
      <w:r w:rsidRPr="00145360">
        <w:t xml:space="preserve">auteur a formé recours devant la Cour suprême en </w:t>
      </w:r>
      <w:r>
        <w:t xml:space="preserve">faisant valoir </w:t>
      </w:r>
      <w:r w:rsidRPr="00145360">
        <w:t>que la décision du tribunal correctionnel n</w:t>
      </w:r>
      <w:r w:rsidR="00C03719">
        <w:t>’</w:t>
      </w:r>
      <w:r w:rsidRPr="00145360">
        <w:t>était pas fondée, étant donné que celui-ci n</w:t>
      </w:r>
      <w:r w:rsidR="00C03719">
        <w:t>’</w:t>
      </w:r>
      <w:r w:rsidRPr="00145360">
        <w:t>avait pas procédé à un nouvel examen des faits, et que le jugement n</w:t>
      </w:r>
      <w:r w:rsidR="00C03719">
        <w:t>’</w:t>
      </w:r>
      <w:r w:rsidRPr="00145360">
        <w:t>était pas motivé. Le recours a été rejeté en date du 16 juillet 2003.</w:t>
      </w:r>
    </w:p>
    <w:p w:rsidR="00BD7A39" w:rsidRDefault="00A921FC" w:rsidP="00BD7A39">
      <w:pPr>
        <w:pStyle w:val="SingleTxtG"/>
      </w:pPr>
      <w:r>
        <w:t>2.3</w:t>
      </w:r>
      <w:r>
        <w:tab/>
        <w:t xml:space="preserve">Le 5 </w:t>
      </w:r>
      <w:r w:rsidR="00BD7A39" w:rsidRPr="00145360">
        <w:t>novembre 2004, la Cour européenne des droits de l</w:t>
      </w:r>
      <w:r w:rsidR="00C03719">
        <w:t>’</w:t>
      </w:r>
      <w:r w:rsidR="00BD7A39" w:rsidRPr="00145360">
        <w:t>homme a déclaré irrecevable la requête que l</w:t>
      </w:r>
      <w:r w:rsidR="00C03719">
        <w:t>’</w:t>
      </w:r>
      <w:r w:rsidR="00BD7A39" w:rsidRPr="00145360">
        <w:t>auteur lui avait présentée</w:t>
      </w:r>
      <w:r w:rsidR="00BD7A39">
        <w:rPr>
          <w:rStyle w:val="FootnoteReference"/>
        </w:rPr>
        <w:footnoteReference w:id="4"/>
      </w:r>
      <w:r w:rsidR="00BD7A39" w:rsidRPr="00145360">
        <w:t>.</w:t>
      </w:r>
    </w:p>
    <w:p w:rsidR="00BD7A39" w:rsidRDefault="00BD7A39" w:rsidP="00BD7A39">
      <w:pPr>
        <w:pStyle w:val="H23G"/>
      </w:pPr>
      <w:r w:rsidRPr="00145360">
        <w:tab/>
      </w:r>
      <w:r w:rsidRPr="00145360">
        <w:tab/>
        <w:t>Teneur de la plainte</w:t>
      </w:r>
    </w:p>
    <w:p w:rsidR="00B71AEC" w:rsidRDefault="00BD7A39" w:rsidP="00C03719">
      <w:pPr>
        <w:pStyle w:val="SingleTxtG"/>
      </w:pPr>
      <w:r w:rsidRPr="00145360">
        <w:t>3.1</w:t>
      </w:r>
      <w:r w:rsidRPr="00145360">
        <w:tab/>
        <w:t>L</w:t>
      </w:r>
      <w:r w:rsidR="00C03719">
        <w:t>’</w:t>
      </w:r>
      <w:r w:rsidRPr="00145360">
        <w:t>auteur se déclare victime de violations par l</w:t>
      </w:r>
      <w:r w:rsidR="00C03719">
        <w:t>’</w:t>
      </w:r>
      <w:r w:rsidRPr="00145360">
        <w:t>État partie des paragraphes 2 et 5 de l</w:t>
      </w:r>
      <w:r w:rsidR="00C03719">
        <w:t>’</w:t>
      </w:r>
      <w:r w:rsidRPr="00145360">
        <w:t>article 14 du Pacte. Il affirme que la décision rendue par la cour administrative d</w:t>
      </w:r>
      <w:r w:rsidR="00C03719">
        <w:t>’</w:t>
      </w:r>
      <w:r w:rsidRPr="00145360">
        <w:t>appel a violé le principe de la présomption d</w:t>
      </w:r>
      <w:r w:rsidR="00C03719">
        <w:t>’</w:t>
      </w:r>
      <w:r w:rsidRPr="00145360">
        <w:t>innocence qui, selon lui, est examiné d</w:t>
      </w:r>
      <w:r w:rsidR="00C03719">
        <w:t>’</w:t>
      </w:r>
      <w:r w:rsidRPr="00145360">
        <w:t>office par les juges, étant donné que cette décision reposait entièrement sur le jugement rendu par le tribunal correctionnel siégeant à juge unique et que ce jugement faisait l</w:t>
      </w:r>
      <w:r w:rsidR="00C03719">
        <w:t>’</w:t>
      </w:r>
      <w:r w:rsidRPr="00145360">
        <w:t>objet d</w:t>
      </w:r>
      <w:r w:rsidR="00C03719">
        <w:t>’</w:t>
      </w:r>
      <w:r w:rsidRPr="00145360">
        <w:t>un appel qui n</w:t>
      </w:r>
      <w:r w:rsidR="00C03719">
        <w:t>’</w:t>
      </w:r>
      <w:r w:rsidRPr="00145360">
        <w:t>avait pas encore été examiné. L</w:t>
      </w:r>
      <w:r w:rsidR="00C03719">
        <w:t>’</w:t>
      </w:r>
      <w:r w:rsidRPr="00145360">
        <w:t>auteur affirme également que la décision de rejet d</w:t>
      </w:r>
      <w:r w:rsidR="00A921FC">
        <w:t xml:space="preserve">e la Cour suprême en date du 16 </w:t>
      </w:r>
      <w:r w:rsidRPr="00145360">
        <w:t>juillet 2003 porte atteinte au paragraphe 2 de l</w:t>
      </w:r>
      <w:r w:rsidR="00C03719">
        <w:t>’</w:t>
      </w:r>
      <w:r w:rsidRPr="00145360">
        <w:t>article 14 parce qu</w:t>
      </w:r>
      <w:r w:rsidR="00C03719">
        <w:t>’</w:t>
      </w:r>
      <w:r w:rsidRPr="00145360">
        <w:t>elle n</w:t>
      </w:r>
      <w:r w:rsidR="00C03719">
        <w:t>’</w:t>
      </w:r>
      <w:r w:rsidRPr="00145360">
        <w:t>est pas motivée. Il relève en outre que lorsqu</w:t>
      </w:r>
      <w:r w:rsidR="00C03719">
        <w:t>’</w:t>
      </w:r>
      <w:r w:rsidRPr="00145360">
        <w:t>il a rendu sa décision, le 1</w:t>
      </w:r>
      <w:r w:rsidRPr="00145360">
        <w:rPr>
          <w:vertAlign w:val="superscript"/>
        </w:rPr>
        <w:t>er</w:t>
      </w:r>
      <w:r w:rsidRPr="00145360">
        <w:t> septembre 2000, le tribunal correctionnel s</w:t>
      </w:r>
      <w:r w:rsidR="00C03719">
        <w:t>’</w:t>
      </w:r>
      <w:r w:rsidRPr="00145360">
        <w:t>est fondé entièrement sur l</w:t>
      </w:r>
      <w:r w:rsidR="00C03719">
        <w:t>’</w:t>
      </w:r>
      <w:r w:rsidRPr="00145360">
        <w:t>enquête administrative qui avait été menée et qu</w:t>
      </w:r>
      <w:r w:rsidR="00C03719">
        <w:t>’</w:t>
      </w:r>
      <w:r w:rsidRPr="00145360">
        <w:t>il n</w:t>
      </w:r>
      <w:r w:rsidR="00C03719">
        <w:t>’</w:t>
      </w:r>
      <w:r w:rsidRPr="00145360">
        <w:t>a pas procédé à un examen approfondi de l</w:t>
      </w:r>
      <w:r w:rsidR="00C03719">
        <w:t>’</w:t>
      </w:r>
      <w:r w:rsidRPr="00145360">
        <w:t>affaire. Enfin, il affirme que les juridictions nationales ont apprécié les faits et les éléments de preuve de façon arbitraire et qu</w:t>
      </w:r>
      <w:r w:rsidR="00C03719">
        <w:t>’</w:t>
      </w:r>
      <w:r w:rsidRPr="00145360">
        <w:t>elles n</w:t>
      </w:r>
      <w:r w:rsidR="00C03719">
        <w:t>’</w:t>
      </w:r>
      <w:r w:rsidRPr="00145360">
        <w:t>ont pas examiné la question de savoir s</w:t>
      </w:r>
      <w:r w:rsidR="00C03719">
        <w:t>’</w:t>
      </w:r>
      <w:r w:rsidRPr="00145360">
        <w:t xml:space="preserve">il avait connaissance du fait que le relevé de notes avait été falsifié, ce qui constitue un déni de justice. </w:t>
      </w:r>
    </w:p>
    <w:p w:rsidR="00BD7A39" w:rsidRDefault="00BD7A39" w:rsidP="00B71AEC">
      <w:pPr>
        <w:pStyle w:val="SingleTxtG"/>
      </w:pPr>
      <w:r w:rsidRPr="00145360">
        <w:t>3.2</w:t>
      </w:r>
      <w:r w:rsidRPr="00145360">
        <w:tab/>
        <w:t>L</w:t>
      </w:r>
      <w:r w:rsidR="00C03719">
        <w:t>’</w:t>
      </w:r>
      <w:r w:rsidRPr="00145360">
        <w:t>auteur fait valoir en outre que la loi n</w:t>
      </w:r>
      <w:r w:rsidRPr="00145360">
        <w:rPr>
          <w:vertAlign w:val="superscript"/>
        </w:rPr>
        <w:t>o</w:t>
      </w:r>
      <w:r w:rsidR="00A921FC">
        <w:t xml:space="preserve"> </w:t>
      </w:r>
      <w:r w:rsidRPr="00145360">
        <w:t>2944/2001, en vertu de laquelle les décisions de la cour administrative d</w:t>
      </w:r>
      <w:r w:rsidR="00C03719">
        <w:t>’</w:t>
      </w:r>
      <w:r w:rsidRPr="00145360">
        <w:t>appel ne sont pas susceptibles d</w:t>
      </w:r>
      <w:r w:rsidR="00DD7923">
        <w:t>e recours</w:t>
      </w:r>
      <w:r w:rsidRPr="00145360">
        <w:t>, est attentatoire au paragraphe 5 de l</w:t>
      </w:r>
      <w:r w:rsidR="00C03719">
        <w:t>’</w:t>
      </w:r>
      <w:r w:rsidRPr="00145360">
        <w:t>article 14 du Pacte. Il affirme qu</w:t>
      </w:r>
      <w:r w:rsidR="00C03719">
        <w:t>’</w:t>
      </w:r>
      <w:r w:rsidR="00DD7923">
        <w:t>un pourvoi en cassation ne pourr</w:t>
      </w:r>
      <w:r w:rsidRPr="00145360">
        <w:t xml:space="preserve">ait </w:t>
      </w:r>
      <w:r w:rsidR="00DD7923">
        <w:t xml:space="preserve">pas </w:t>
      </w:r>
      <w:r w:rsidRPr="00145360">
        <w:t>être considéré comme un recours utile puisque le Conseil d</w:t>
      </w:r>
      <w:r w:rsidR="00C03719">
        <w:t>’</w:t>
      </w:r>
      <w:r w:rsidRPr="00145360">
        <w:t>État ne statue pas sur les faits</w:t>
      </w:r>
      <w:r w:rsidR="00DD7923">
        <w:rPr>
          <w:rStyle w:val="FootnoteReference"/>
        </w:rPr>
        <w:footnoteReference w:id="5"/>
      </w:r>
      <w:r w:rsidRPr="00145360">
        <w:t>. Selon lui, bien que l</w:t>
      </w:r>
      <w:r w:rsidR="00C03719">
        <w:t>’</w:t>
      </w:r>
      <w:r w:rsidRPr="00145360">
        <w:t>action engagée devant la cour administrative d</w:t>
      </w:r>
      <w:r w:rsidR="00C03719">
        <w:t>’</w:t>
      </w:r>
      <w:r w:rsidRPr="00145360">
        <w:t>appel soit de nature administrative, les conséquences de l</w:t>
      </w:r>
      <w:r w:rsidR="00C03719">
        <w:t>’</w:t>
      </w:r>
      <w:r w:rsidRPr="00145360">
        <w:t>annulation de son diplôme universitaire − qui a entraîné sa marginalisation sociale et a limité sa capacité financière − devraient être considérées comme une peine</w:t>
      </w:r>
      <w:r w:rsidR="00DD7923">
        <w:rPr>
          <w:rStyle w:val="FootnoteReference"/>
        </w:rPr>
        <w:footnoteReference w:id="6"/>
      </w:r>
      <w:r w:rsidRPr="00145360">
        <w:t>. L</w:t>
      </w:r>
      <w:r w:rsidR="00C03719">
        <w:t>’</w:t>
      </w:r>
      <w:r w:rsidRPr="00145360">
        <w:t>auteur affirme que le fait qu</w:t>
      </w:r>
      <w:r w:rsidR="00C03719">
        <w:t>’</w:t>
      </w:r>
      <w:r w:rsidRPr="00145360">
        <w:t>il n</w:t>
      </w:r>
      <w:r w:rsidR="00C03719">
        <w:t>’</w:t>
      </w:r>
      <w:r w:rsidR="007611CD">
        <w:t xml:space="preserve">y ait aucune possibilité de recours contre </w:t>
      </w:r>
      <w:r w:rsidRPr="00145360">
        <w:t>une décision de la cour administrative d</w:t>
      </w:r>
      <w:r w:rsidR="00C03719">
        <w:t>’</w:t>
      </w:r>
      <w:r w:rsidRPr="00145360">
        <w:t>appel constitue une violation du paragraphe 5 de l</w:t>
      </w:r>
      <w:r w:rsidR="00C03719">
        <w:t>’</w:t>
      </w:r>
      <w:r w:rsidRPr="00145360">
        <w:t>article 14 du Pacte.</w:t>
      </w:r>
    </w:p>
    <w:p w:rsidR="00BD7A39" w:rsidRDefault="00BD7A39" w:rsidP="007611CD">
      <w:pPr>
        <w:pStyle w:val="H23G"/>
      </w:pPr>
      <w:r w:rsidRPr="00145360">
        <w:tab/>
      </w:r>
      <w:r w:rsidRPr="00145360">
        <w:tab/>
        <w:t>Délibérations du Comité</w:t>
      </w:r>
    </w:p>
    <w:p w:rsidR="00CF24E3" w:rsidRDefault="00BD7A39" w:rsidP="00CF24E3">
      <w:pPr>
        <w:pStyle w:val="SingleTxtG"/>
      </w:pPr>
      <w:r w:rsidRPr="00145360">
        <w:t>4.1</w:t>
      </w:r>
      <w:r w:rsidRPr="00145360">
        <w:tab/>
        <w:t>Avant d</w:t>
      </w:r>
      <w:r w:rsidR="00C03719">
        <w:t>’</w:t>
      </w:r>
      <w:r w:rsidRPr="00145360">
        <w:t>examiner toute plainte soumise dans une communication, le Comité des droits de l</w:t>
      </w:r>
      <w:r w:rsidR="00C03719">
        <w:t>’</w:t>
      </w:r>
      <w:r w:rsidRPr="00145360">
        <w:t>homme doit, conformément à l</w:t>
      </w:r>
      <w:r w:rsidR="00C03719">
        <w:t>’</w:t>
      </w:r>
      <w:r w:rsidRPr="00145360">
        <w:t>article 93 de son règlement intérieur, déterminer si la communication est recevable en vertu du Protocole facultatif se rapportant au Pacte.</w:t>
      </w:r>
    </w:p>
    <w:p w:rsidR="007A0D51" w:rsidRDefault="00BD7A39" w:rsidP="007A0D51">
      <w:pPr>
        <w:pStyle w:val="SingleTxtG"/>
      </w:pPr>
      <w:r w:rsidRPr="00145360">
        <w:t>4.2</w:t>
      </w:r>
      <w:r w:rsidRPr="00145360">
        <w:tab/>
        <w:t>Le Comité prend note du grief de l</w:t>
      </w:r>
      <w:r w:rsidR="00C03719">
        <w:t>’</w:t>
      </w:r>
      <w:r w:rsidRPr="00145360">
        <w:t>auteur qui affirme que la cour administrative d</w:t>
      </w:r>
      <w:r w:rsidR="00C03719">
        <w:t>’</w:t>
      </w:r>
      <w:r w:rsidRPr="00145360">
        <w:t>appel a rendu sa décision en se fondant sur le jugement de la juridiction du premier degré alors que son appel n</w:t>
      </w:r>
      <w:r w:rsidR="00C03719">
        <w:t>’</w:t>
      </w:r>
      <w:r w:rsidRPr="00145360">
        <w:t>avait pas encore été examiné, que le tribunal correctionnel, siégeant à juge unique, a fondé sa décision sur l</w:t>
      </w:r>
      <w:r w:rsidR="00C03719">
        <w:t>’</w:t>
      </w:r>
      <w:r w:rsidRPr="00145360">
        <w:t>enquête administrative menée par l</w:t>
      </w:r>
      <w:r w:rsidR="00C03719">
        <w:t>’</w:t>
      </w:r>
      <w:r w:rsidRPr="00145360">
        <w:t>Université, et que la décision rendue par la Cour suprême n</w:t>
      </w:r>
      <w:r w:rsidR="00C03719">
        <w:t>’</w:t>
      </w:r>
      <w:r w:rsidRPr="00145360">
        <w:t>était pas suffisamment motivée. Le Comité renvoie à son Observation générale n</w:t>
      </w:r>
      <w:r w:rsidRPr="00145360">
        <w:rPr>
          <w:vertAlign w:val="superscript"/>
        </w:rPr>
        <w:t>o</w:t>
      </w:r>
      <w:r w:rsidR="00A921FC">
        <w:t xml:space="preserve"> </w:t>
      </w:r>
      <w:r w:rsidRPr="00145360">
        <w:t>32 et à sa jurisprudence et rappelle que la présomption d</w:t>
      </w:r>
      <w:r w:rsidR="00C03719">
        <w:t>’</w:t>
      </w:r>
      <w:r w:rsidRPr="00145360">
        <w:t>innocence garantie au paragraphe 2 de l</w:t>
      </w:r>
      <w:r w:rsidR="00C03719">
        <w:t>’</w:t>
      </w:r>
      <w:r w:rsidRPr="00145360">
        <w:t>article 14 du Pacte n</w:t>
      </w:r>
      <w:r w:rsidR="007A0D51">
        <w:t>e s</w:t>
      </w:r>
      <w:r w:rsidR="00C03719">
        <w:t>’</w:t>
      </w:r>
      <w:r w:rsidR="007A0D51">
        <w:t xml:space="preserve">applique </w:t>
      </w:r>
      <w:r w:rsidRPr="00145360">
        <w:t>qu</w:t>
      </w:r>
      <w:r w:rsidR="00C03719">
        <w:t>’</w:t>
      </w:r>
      <w:r w:rsidRPr="00145360">
        <w:t xml:space="preserve">aux </w:t>
      </w:r>
      <w:r w:rsidR="007A0D51">
        <w:t xml:space="preserve">procédures </w:t>
      </w:r>
      <w:r w:rsidRPr="00145360">
        <w:t>pénale</w:t>
      </w:r>
      <w:r w:rsidR="007A0D51">
        <w:t>s</w:t>
      </w:r>
      <w:r w:rsidR="00CF24E3">
        <w:rPr>
          <w:rStyle w:val="FootnoteReference"/>
        </w:rPr>
        <w:footnoteReference w:id="7"/>
      </w:r>
      <w:r w:rsidRPr="00145360">
        <w:t>. Il considère donc que le grief de l</w:t>
      </w:r>
      <w:r w:rsidR="00C03719">
        <w:t>’</w:t>
      </w:r>
      <w:r w:rsidRPr="00145360">
        <w:t>auteur en ce qui concerne la procédure administrative est incompatible avec les dispositions du Pacte et, par conséquent, déclare cette partie de la communication irrecevable en vertu de l</w:t>
      </w:r>
      <w:r w:rsidR="00C03719">
        <w:t>’</w:t>
      </w:r>
      <w:r w:rsidRPr="00145360">
        <w:t xml:space="preserve">article 3 du Protocole facultatif. </w:t>
      </w:r>
    </w:p>
    <w:p w:rsidR="007A0D51" w:rsidRDefault="00BD7A39" w:rsidP="007A0D51">
      <w:pPr>
        <w:pStyle w:val="SingleTxtG"/>
      </w:pPr>
      <w:r w:rsidRPr="00145360">
        <w:t>4.3</w:t>
      </w:r>
      <w:r w:rsidRPr="00145360">
        <w:tab/>
        <w:t>En ce qui concerne l</w:t>
      </w:r>
      <w:r w:rsidR="00C03719">
        <w:t>’</w:t>
      </w:r>
      <w:r w:rsidRPr="00145360">
        <w:t>argument de l</w:t>
      </w:r>
      <w:r w:rsidR="00C03719">
        <w:t>’</w:t>
      </w:r>
      <w:r w:rsidRPr="00145360">
        <w:t>auteur qui affirme que l</w:t>
      </w:r>
      <w:r w:rsidR="00C03719">
        <w:t>’</w:t>
      </w:r>
      <w:r w:rsidRPr="00145360">
        <w:t>État partie a violé le paragraphe 2 de l</w:t>
      </w:r>
      <w:r w:rsidR="00C03719">
        <w:t>’</w:t>
      </w:r>
      <w:r w:rsidRPr="00145360">
        <w:t>article 14 du Pacte, le Comité relève que l</w:t>
      </w:r>
      <w:r w:rsidR="00C03719">
        <w:t>’</w:t>
      </w:r>
      <w:r w:rsidRPr="00145360">
        <w:t>auteur n</w:t>
      </w:r>
      <w:r w:rsidR="00C03719">
        <w:t>’</w:t>
      </w:r>
      <w:r w:rsidRPr="00145360">
        <w:t>a pas étayé sa plainte et déclare donc cette partie de la communication irrecevable, en vertu de l</w:t>
      </w:r>
      <w:r w:rsidR="00C03719">
        <w:t>’</w:t>
      </w:r>
      <w:r w:rsidRPr="00145360">
        <w:t>article 2 du Protocole facultatif.</w:t>
      </w:r>
    </w:p>
    <w:p w:rsidR="007A0D51" w:rsidRDefault="00BD7A39" w:rsidP="007A0D51">
      <w:pPr>
        <w:pStyle w:val="SingleTxtG"/>
      </w:pPr>
      <w:r w:rsidRPr="00145360">
        <w:t>4.4</w:t>
      </w:r>
      <w:r w:rsidRPr="00145360">
        <w:tab/>
        <w:t>Le Comité a pris note du grief de l</w:t>
      </w:r>
      <w:r w:rsidR="00C03719">
        <w:t>’</w:t>
      </w:r>
      <w:r w:rsidRPr="00145360">
        <w:t>auteur qui affirme que, bien que l</w:t>
      </w:r>
      <w:r w:rsidR="00C03719">
        <w:t>’</w:t>
      </w:r>
      <w:r w:rsidRPr="00145360">
        <w:t>action engagée devant la cour administrative d</w:t>
      </w:r>
      <w:r w:rsidR="00C03719">
        <w:t>’</w:t>
      </w:r>
      <w:r w:rsidRPr="00145360">
        <w:t>appel soit de nature administrative, l</w:t>
      </w:r>
      <w:r w:rsidR="00C03719">
        <w:t>’</w:t>
      </w:r>
      <w:r w:rsidRPr="00145360">
        <w:t>annulation de son diplôme universitaire devrait être considérée comme une peine. Il note également que l</w:t>
      </w:r>
      <w:r w:rsidR="00C03719">
        <w:t>’</w:t>
      </w:r>
      <w:r w:rsidRPr="00145360">
        <w:t>affaire a été examinée par un tribunal administratif et par un tribunal pénal. Le Comité rappelle son Observation générale n</w:t>
      </w:r>
      <w:r w:rsidRPr="00145360">
        <w:rPr>
          <w:vertAlign w:val="superscript"/>
        </w:rPr>
        <w:t>o</w:t>
      </w:r>
      <w:r w:rsidR="00A921FC">
        <w:t xml:space="preserve"> </w:t>
      </w:r>
      <w:r w:rsidRPr="00145360">
        <w:t>32 et souligne que le paragraphe 5 de l</w:t>
      </w:r>
      <w:r w:rsidR="00C03719">
        <w:t>’</w:t>
      </w:r>
      <w:r w:rsidRPr="00145360">
        <w:t>article 14 ne s</w:t>
      </w:r>
      <w:r w:rsidR="00C03719">
        <w:t>’</w:t>
      </w:r>
      <w:r w:rsidRPr="00145360">
        <w:t>applique pas aux procédures qui ne relèvent pas de la justice pénale</w:t>
      </w:r>
      <w:r w:rsidR="00CF24E3">
        <w:rPr>
          <w:rStyle w:val="FootnoteReference"/>
        </w:rPr>
        <w:footnoteReference w:id="8"/>
      </w:r>
      <w:r w:rsidRPr="00145360">
        <w:t xml:space="preserve">. Par conséquent, </w:t>
      </w:r>
      <w:r w:rsidR="007A0D51">
        <w:t xml:space="preserve">il </w:t>
      </w:r>
      <w:r w:rsidRPr="00145360">
        <w:t>considère que le grief tiré du paragraphe 5 de l</w:t>
      </w:r>
      <w:r w:rsidR="00C03719">
        <w:t>’</w:t>
      </w:r>
      <w:r w:rsidRPr="00145360">
        <w:t>article 14 est incompatible avec les dispositions du Pacte et déclare donc cette partie de la communication irrecevable en vertu de l</w:t>
      </w:r>
      <w:r w:rsidR="00C03719">
        <w:t>’</w:t>
      </w:r>
      <w:r w:rsidRPr="00145360">
        <w:t>article 3 du Protocole facultatif.</w:t>
      </w:r>
    </w:p>
    <w:p w:rsidR="007A0D51" w:rsidRDefault="00BD7A39" w:rsidP="007A0D51">
      <w:pPr>
        <w:pStyle w:val="SingleTxtG"/>
      </w:pPr>
      <w:r w:rsidRPr="00145360">
        <w:t>5.</w:t>
      </w:r>
      <w:r w:rsidRPr="00145360">
        <w:tab/>
        <w:t>En conséquence, le Comité des droits de l</w:t>
      </w:r>
      <w:r w:rsidR="00C03719">
        <w:t>’</w:t>
      </w:r>
      <w:r w:rsidRPr="00145360">
        <w:t>homme décide:</w:t>
      </w:r>
    </w:p>
    <w:p w:rsidR="007A0D51" w:rsidRDefault="00BD7A39" w:rsidP="007A0D51">
      <w:pPr>
        <w:pStyle w:val="SingleTxtG"/>
      </w:pPr>
      <w:r w:rsidRPr="00145360">
        <w:tab/>
        <w:t>a)</w:t>
      </w:r>
      <w:r w:rsidRPr="00145360">
        <w:tab/>
        <w:t>Que la communication est irrecevable en vertu des articles 2 et 3 du Protocole facultatif;</w:t>
      </w:r>
    </w:p>
    <w:p w:rsidR="007A0D51" w:rsidRDefault="00BD7A39" w:rsidP="007A0D51">
      <w:pPr>
        <w:pStyle w:val="SingleTxtG"/>
        <w:spacing w:after="360"/>
      </w:pPr>
      <w:r w:rsidRPr="00145360">
        <w:tab/>
        <w:t>b)</w:t>
      </w:r>
      <w:r w:rsidRPr="00145360">
        <w:tab/>
        <w:t>Que la présente décision sera communiquée à l</w:t>
      </w:r>
      <w:r w:rsidR="00C03719">
        <w:t>’</w:t>
      </w:r>
      <w:r w:rsidRPr="00145360">
        <w:t>État partie et à l</w:t>
      </w:r>
      <w:r w:rsidR="00C03719">
        <w:t>’</w:t>
      </w:r>
      <w:r w:rsidRPr="00145360">
        <w:t>auteur de la communication.</w:t>
      </w:r>
    </w:p>
    <w:p w:rsidR="00BD7A39" w:rsidRDefault="00BD7A39" w:rsidP="007A0D51">
      <w:pPr>
        <w:pStyle w:val="SingleTxtG"/>
      </w:pPr>
      <w:r w:rsidRPr="00145360">
        <w:t>[Adopté en anglais (version originale), en espagnol et en français. Paraîtra ultérieurement en arabe, en chinois et en russe dans le rapport annuel du Comité à l</w:t>
      </w:r>
      <w:r w:rsidR="00C03719">
        <w:t>’</w:t>
      </w:r>
      <w:r w:rsidRPr="00145360">
        <w:t>Assemblée générale.]</w:t>
      </w:r>
    </w:p>
    <w:p w:rsidR="003B0F4C" w:rsidRPr="00E56D4F" w:rsidRDefault="00E56D4F" w:rsidP="00E56D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0F4C" w:rsidRPr="00E56D4F" w:rsidSect="00E21AE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1C" w:rsidRDefault="00145B1C"/>
  </w:endnote>
  <w:endnote w:type="continuationSeparator" w:id="0">
    <w:p w:rsidR="00145B1C" w:rsidRDefault="00145B1C">
      <w:pPr>
        <w:pStyle w:val="Footer"/>
      </w:pPr>
    </w:p>
  </w:endnote>
  <w:endnote w:type="continuationNotice" w:id="1">
    <w:p w:rsidR="00145B1C" w:rsidRDefault="00145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1C" w:rsidRPr="00E21AE6" w:rsidRDefault="00145B1C" w:rsidP="00E21AE6">
    <w:pPr>
      <w:pStyle w:val="Footer"/>
      <w:tabs>
        <w:tab w:val="right" w:pos="9638"/>
      </w:tabs>
    </w:pPr>
    <w:r w:rsidRPr="00E21AE6">
      <w:rPr>
        <w:b/>
        <w:sz w:val="18"/>
      </w:rPr>
      <w:fldChar w:fldCharType="begin"/>
    </w:r>
    <w:r w:rsidRPr="00E21AE6">
      <w:rPr>
        <w:b/>
        <w:sz w:val="18"/>
      </w:rPr>
      <w:instrText xml:space="preserve"> PAGE  \* MERGEFORMAT </w:instrText>
    </w:r>
    <w:r w:rsidRPr="00E21AE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21AE6">
      <w:rPr>
        <w:b/>
        <w:sz w:val="18"/>
      </w:rPr>
      <w:fldChar w:fldCharType="end"/>
    </w:r>
    <w:r>
      <w:rPr>
        <w:b/>
        <w:sz w:val="18"/>
      </w:rPr>
      <w:tab/>
    </w:r>
    <w:r>
      <w:t>GE.10-42267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1C" w:rsidRPr="00E21AE6" w:rsidRDefault="00145B1C" w:rsidP="00E21AE6">
    <w:pPr>
      <w:pStyle w:val="Footer"/>
      <w:tabs>
        <w:tab w:val="right" w:pos="9638"/>
      </w:tabs>
      <w:rPr>
        <w:b/>
        <w:sz w:val="18"/>
      </w:rPr>
    </w:pPr>
    <w:r>
      <w:t>GE.10-42267</w:t>
    </w:r>
    <w:r>
      <w:tab/>
    </w:r>
    <w:r w:rsidRPr="00E21AE6">
      <w:rPr>
        <w:b/>
        <w:sz w:val="18"/>
      </w:rPr>
      <w:fldChar w:fldCharType="begin"/>
    </w:r>
    <w:r w:rsidRPr="00E21AE6">
      <w:rPr>
        <w:b/>
        <w:sz w:val="18"/>
      </w:rPr>
      <w:instrText xml:space="preserve"> PAGE  \* MERGEFORMAT </w:instrText>
    </w:r>
    <w:r w:rsidRPr="00E21AE6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E21A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1C" w:rsidRDefault="00145B1C">
    <w:pPr>
      <w:pStyle w:val="Footer"/>
    </w:pPr>
    <w:r>
      <w:rPr>
        <w:sz w:val="20"/>
      </w:rPr>
      <w:t>GE.10-42267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190510    200510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1C" w:rsidRPr="00D27D5E" w:rsidRDefault="00145B1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5B1C" w:rsidRPr="00FA3B8C" w:rsidRDefault="00145B1C" w:rsidP="00FA3B8C">
      <w:pPr>
        <w:tabs>
          <w:tab w:val="right" w:pos="2155"/>
        </w:tabs>
        <w:spacing w:after="80"/>
        <w:ind w:left="680"/>
        <w:rPr>
          <w:u w:val="single"/>
        </w:rPr>
      </w:pPr>
      <w:r w:rsidRPr="00FA3B8C">
        <w:rPr>
          <w:u w:val="single"/>
        </w:rPr>
        <w:tab/>
      </w:r>
    </w:p>
  </w:footnote>
  <w:footnote w:type="continuationNotice" w:id="1">
    <w:p w:rsidR="00145B1C" w:rsidRDefault="00145B1C"/>
  </w:footnote>
  <w:footnote w:id="2">
    <w:p w:rsidR="00145B1C" w:rsidRPr="00757D82" w:rsidRDefault="00145B1C" w:rsidP="00F15F37">
      <w:pPr>
        <w:pStyle w:val="FootnoteText"/>
        <w:rPr>
          <w:rStyle w:val="FootnoteTextChar"/>
        </w:rPr>
      </w:pPr>
      <w:r>
        <w:rPr>
          <w:rStyle w:val="FootnoteTextChar"/>
          <w:sz w:val="20"/>
        </w:rPr>
        <w:tab/>
      </w:r>
      <w:r w:rsidRPr="003C6783">
        <w:rPr>
          <w:rStyle w:val="FootnoteTextChar"/>
          <w:sz w:val="20"/>
        </w:rPr>
        <w:t>*</w:t>
      </w:r>
      <w:r>
        <w:rPr>
          <w:rStyle w:val="FootnoteTextChar"/>
        </w:rPr>
        <w:tab/>
      </w:r>
      <w:r>
        <w:t>Rendue publique sur décision du Comité des droits de l’homme.</w:t>
      </w:r>
    </w:p>
  </w:footnote>
  <w:footnote w:id="3">
    <w:p w:rsidR="00145B1C" w:rsidRPr="009C6C7A" w:rsidRDefault="00145B1C">
      <w:pPr>
        <w:pStyle w:val="FootnoteText"/>
      </w:pPr>
      <w:r>
        <w:tab/>
      </w:r>
      <w:r w:rsidRPr="009C6C7A">
        <w:rPr>
          <w:rStyle w:val="FootnoteReference"/>
          <w:sz w:val="20"/>
          <w:vertAlign w:val="baseline"/>
        </w:rPr>
        <w:t>**</w:t>
      </w:r>
      <w:r>
        <w:rPr>
          <w:sz w:val="20"/>
        </w:rPr>
        <w:tab/>
      </w:r>
      <w:r>
        <w:t>Les membres du Comité dont le nom suit ont participé à l’examen de la communication: M. Abdelfattah Amor, M. Lazhari Bouzid, M</w:t>
      </w:r>
      <w:r w:rsidRPr="00D91DA2">
        <w:rPr>
          <w:vertAlign w:val="superscript"/>
        </w:rPr>
        <w:t>me</w:t>
      </w:r>
      <w:r>
        <w:t> Christine Chanet, M. Mahjoub El Haiba, M. Ahmad Amin Fathalla, M. Yuji Iwasawa, M</w:t>
      </w:r>
      <w:r w:rsidRPr="00D91DA2">
        <w:rPr>
          <w:vertAlign w:val="superscript"/>
        </w:rPr>
        <w:t>me</w:t>
      </w:r>
      <w:r>
        <w:t> Helen Keller, M. Rajsoomer Lallah, M</w:t>
      </w:r>
      <w:r w:rsidRPr="00D91DA2">
        <w:rPr>
          <w:vertAlign w:val="superscript"/>
        </w:rPr>
        <w:t>me</w:t>
      </w:r>
      <w:r>
        <w:t> Zonke Zanele Majodina, M</w:t>
      </w:r>
      <w:r w:rsidRPr="00D91DA2">
        <w:rPr>
          <w:vertAlign w:val="superscript"/>
        </w:rPr>
        <w:t>me</w:t>
      </w:r>
      <w:r>
        <w:t> Iulia Antoanella Motoc, M. Michael O’Flaherty, M. José Luis Pérez Sánchez-Cerro, M. Rafael Rivas Posada, Sir Nigel Rodley, F. Fabián Omar Salvioli et M. Krister Thelin.</w:t>
      </w:r>
    </w:p>
  </w:footnote>
  <w:footnote w:id="4">
    <w:p w:rsidR="00145B1C" w:rsidRDefault="00145B1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La requête a été déclarée irrecevable en vertu des articles 34 et 35 de la Convention européenne des droits de l’homme.</w:t>
      </w:r>
    </w:p>
  </w:footnote>
  <w:footnote w:id="5">
    <w:p w:rsidR="00145B1C" w:rsidRDefault="00145B1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Voir communication n</w:t>
      </w:r>
      <w:r w:rsidRPr="003928D0">
        <w:rPr>
          <w:vertAlign w:val="superscript"/>
        </w:rPr>
        <w:t>o</w:t>
      </w:r>
      <w:r>
        <w:t xml:space="preserve"> 836/1198, </w:t>
      </w:r>
      <w:r w:rsidRPr="003928D0">
        <w:rPr>
          <w:i/>
        </w:rPr>
        <w:t>Gelazauskas</w:t>
      </w:r>
      <w:r>
        <w:t xml:space="preserve"> c. </w:t>
      </w:r>
      <w:r w:rsidRPr="003928D0">
        <w:rPr>
          <w:i/>
        </w:rPr>
        <w:t>Lithuanie</w:t>
      </w:r>
      <w:r>
        <w:t xml:space="preserve">, constatations adoptées le 17 mars 2003;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986/2001, </w:t>
      </w:r>
      <w:r w:rsidRPr="003928D0">
        <w:rPr>
          <w:i/>
        </w:rPr>
        <w:t>Joseph Semey</w:t>
      </w:r>
      <w:r>
        <w:t xml:space="preserve"> c. </w:t>
      </w:r>
      <w:r w:rsidRPr="003928D0">
        <w:rPr>
          <w:i/>
        </w:rPr>
        <w:t>Espagne</w:t>
      </w:r>
      <w:r>
        <w:t xml:space="preserve">, constatations adoptées le 30 juillet 2003;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1073/2002, </w:t>
      </w:r>
      <w:r>
        <w:rPr>
          <w:i/>
        </w:rPr>
        <w:t>Terró</w:t>
      </w:r>
      <w:r w:rsidRPr="003928D0">
        <w:rPr>
          <w:i/>
        </w:rPr>
        <w:t>n</w:t>
      </w:r>
      <w:r>
        <w:t xml:space="preserve"> c. </w:t>
      </w:r>
      <w:r w:rsidRPr="003928D0">
        <w:rPr>
          <w:i/>
        </w:rPr>
        <w:t>Espagne</w:t>
      </w:r>
      <w:r>
        <w:t>, constatations adoptées le 5 novembre 2004.</w:t>
      </w:r>
    </w:p>
  </w:footnote>
  <w:footnote w:id="6">
    <w:p w:rsidR="00145B1C" w:rsidRDefault="00145B1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Voir les arrêts de la Cour européenne des droits de l’homme dans les affaires suivantes: </w:t>
      </w:r>
      <w:r w:rsidRPr="00AD0E50">
        <w:rPr>
          <w:i/>
        </w:rPr>
        <w:t>Engel et consorts</w:t>
      </w:r>
      <w:r>
        <w:t xml:space="preserve"> c. </w:t>
      </w:r>
      <w:r w:rsidRPr="00AD0E50">
        <w:rPr>
          <w:i/>
        </w:rPr>
        <w:t>Pays-Bas</w:t>
      </w:r>
      <w:r>
        <w:t xml:space="preserve">, arrêt du 23 novembre 1976; </w:t>
      </w:r>
      <w:r w:rsidRPr="00AD0E50">
        <w:rPr>
          <w:i/>
        </w:rPr>
        <w:t>Albert et Le Compte</w:t>
      </w:r>
      <w:r>
        <w:t xml:space="preserve"> c. </w:t>
      </w:r>
      <w:r w:rsidRPr="00AD0E50">
        <w:rPr>
          <w:i/>
        </w:rPr>
        <w:t>Belgique</w:t>
      </w:r>
      <w:r>
        <w:t xml:space="preserve">, arrêt du 24 octobre 1983 et </w:t>
      </w:r>
      <w:r w:rsidRPr="00AD0E50">
        <w:rPr>
          <w:i/>
        </w:rPr>
        <w:t>Garyfallou Aebe</w:t>
      </w:r>
      <w:r>
        <w:t xml:space="preserve"> c. </w:t>
      </w:r>
      <w:r w:rsidRPr="00AD0E50">
        <w:rPr>
          <w:i/>
        </w:rPr>
        <w:t>Grèce</w:t>
      </w:r>
      <w:r>
        <w:t>, arrêt du 24 septembre 1997. Voir également la communication n</w:t>
      </w:r>
      <w:r w:rsidRPr="00AD0E50">
        <w:rPr>
          <w:vertAlign w:val="superscript"/>
        </w:rPr>
        <w:t>o</w:t>
      </w:r>
      <w:r>
        <w:t xml:space="preserve"> 50/1979, </w:t>
      </w:r>
      <w:r w:rsidRPr="00AD0E50">
        <w:rPr>
          <w:i/>
        </w:rPr>
        <w:t>Gordon D. van Duzen</w:t>
      </w:r>
      <w:r>
        <w:t xml:space="preserve"> c. </w:t>
      </w:r>
      <w:r w:rsidRPr="00AD0E50">
        <w:rPr>
          <w:i/>
        </w:rPr>
        <w:t>Canada</w:t>
      </w:r>
      <w:r>
        <w:t>, constatations adoptées le 7 avril 1982, par. 10.2.</w:t>
      </w:r>
    </w:p>
  </w:footnote>
  <w:footnote w:id="7">
    <w:p w:rsidR="00145B1C" w:rsidRDefault="00145B1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Voir CCPR/C/GC/32, par. 3.</w:t>
      </w:r>
    </w:p>
  </w:footnote>
  <w:footnote w:id="8">
    <w:p w:rsidR="00145B1C" w:rsidRDefault="00145B1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Voir CCPR/C/GC/32, par. 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1C" w:rsidRPr="00E21AE6" w:rsidRDefault="00145B1C">
    <w:pPr>
      <w:pStyle w:val="Header"/>
    </w:pPr>
    <w:r>
      <w:t>CCPR/C/98/D/1572/2007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1C" w:rsidRPr="00E21AE6" w:rsidRDefault="00145B1C" w:rsidP="00E21AE6">
    <w:pPr>
      <w:pStyle w:val="Header"/>
      <w:jc w:val="right"/>
    </w:pPr>
    <w:r>
      <w:t>CCPR/C/98/D/1572/2007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8B1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B7310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573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7"/>
  </w:num>
  <w:num w:numId="3">
    <w:abstractNumId w:val="39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7"/>
  </w:num>
  <w:num w:numId="9">
    <w:abstractNumId w:val="29"/>
  </w:num>
  <w:num w:numId="10">
    <w:abstractNumId w:val="40"/>
  </w:num>
  <w:num w:numId="11">
    <w:abstractNumId w:val="22"/>
  </w:num>
  <w:num w:numId="12">
    <w:abstractNumId w:val="27"/>
  </w:num>
  <w:num w:numId="13">
    <w:abstractNumId w:val="27"/>
  </w:num>
  <w:num w:numId="14">
    <w:abstractNumId w:val="33"/>
  </w:num>
  <w:num w:numId="15">
    <w:abstractNumId w:val="21"/>
  </w:num>
  <w:num w:numId="16">
    <w:abstractNumId w:val="21"/>
  </w:num>
  <w:num w:numId="17">
    <w:abstractNumId w:val="39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4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0"/>
  </w:num>
  <w:num w:numId="39">
    <w:abstractNumId w:val="26"/>
  </w:num>
  <w:num w:numId="40">
    <w:abstractNumId w:val="36"/>
  </w:num>
  <w:num w:numId="41">
    <w:abstractNumId w:val="15"/>
  </w:num>
  <w:num w:numId="42">
    <w:abstractNumId w:val="23"/>
  </w:num>
  <w:num w:numId="43">
    <w:abstractNumId w:val="34"/>
  </w:num>
  <w:num w:numId="44">
    <w:abstractNumId w:val="31"/>
  </w:num>
  <w:num w:numId="45">
    <w:abstractNumId w:val="32"/>
  </w:num>
  <w:num w:numId="46">
    <w:abstractNumId w:val="28"/>
  </w:num>
  <w:num w:numId="47">
    <w:abstractNumId w:val="25"/>
  </w:num>
  <w:num w:numId="48">
    <w:abstractNumId w:val="16"/>
  </w:num>
  <w:num w:numId="49">
    <w:abstractNumId w:val="3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DF3"/>
    <w:rsid w:val="00016AC5"/>
    <w:rsid w:val="000238F2"/>
    <w:rsid w:val="00097961"/>
    <w:rsid w:val="000A147A"/>
    <w:rsid w:val="000F41F2"/>
    <w:rsid w:val="000F5C15"/>
    <w:rsid w:val="00145B1C"/>
    <w:rsid w:val="00160540"/>
    <w:rsid w:val="00187742"/>
    <w:rsid w:val="00192EEB"/>
    <w:rsid w:val="001A20FB"/>
    <w:rsid w:val="001A3DE5"/>
    <w:rsid w:val="001D7F8A"/>
    <w:rsid w:val="001E3FEB"/>
    <w:rsid w:val="001E4A02"/>
    <w:rsid w:val="001F2D3C"/>
    <w:rsid w:val="00225A8C"/>
    <w:rsid w:val="0025625B"/>
    <w:rsid w:val="002659F1"/>
    <w:rsid w:val="0028096E"/>
    <w:rsid w:val="00287E79"/>
    <w:rsid w:val="002928F9"/>
    <w:rsid w:val="002A5D07"/>
    <w:rsid w:val="002D3645"/>
    <w:rsid w:val="003016B7"/>
    <w:rsid w:val="00346C97"/>
    <w:rsid w:val="003515AA"/>
    <w:rsid w:val="00374106"/>
    <w:rsid w:val="003976D5"/>
    <w:rsid w:val="003B0F4C"/>
    <w:rsid w:val="003B7F4C"/>
    <w:rsid w:val="003D6C68"/>
    <w:rsid w:val="004159D0"/>
    <w:rsid w:val="00425FD2"/>
    <w:rsid w:val="00441214"/>
    <w:rsid w:val="00447D18"/>
    <w:rsid w:val="00451C72"/>
    <w:rsid w:val="00464EEE"/>
    <w:rsid w:val="00543D5E"/>
    <w:rsid w:val="00571F41"/>
    <w:rsid w:val="005B2D70"/>
    <w:rsid w:val="005E5D1F"/>
    <w:rsid w:val="00600AB3"/>
    <w:rsid w:val="00610A32"/>
    <w:rsid w:val="00611D43"/>
    <w:rsid w:val="00612D48"/>
    <w:rsid w:val="00616B45"/>
    <w:rsid w:val="0062373B"/>
    <w:rsid w:val="00630D9B"/>
    <w:rsid w:val="00631953"/>
    <w:rsid w:val="006439EC"/>
    <w:rsid w:val="006605DB"/>
    <w:rsid w:val="0067463C"/>
    <w:rsid w:val="006B4590"/>
    <w:rsid w:val="006C340C"/>
    <w:rsid w:val="0070347C"/>
    <w:rsid w:val="007176C1"/>
    <w:rsid w:val="007611CD"/>
    <w:rsid w:val="00772949"/>
    <w:rsid w:val="007A0D51"/>
    <w:rsid w:val="007A6EEF"/>
    <w:rsid w:val="007F55CB"/>
    <w:rsid w:val="00844750"/>
    <w:rsid w:val="00872858"/>
    <w:rsid w:val="00873B3C"/>
    <w:rsid w:val="00875D9D"/>
    <w:rsid w:val="008B44C4"/>
    <w:rsid w:val="008E7FAE"/>
    <w:rsid w:val="00910930"/>
    <w:rsid w:val="00911BF7"/>
    <w:rsid w:val="0092346D"/>
    <w:rsid w:val="0094788F"/>
    <w:rsid w:val="00953A16"/>
    <w:rsid w:val="00966FB0"/>
    <w:rsid w:val="00977EC8"/>
    <w:rsid w:val="009C6C7A"/>
    <w:rsid w:val="009D3A8C"/>
    <w:rsid w:val="009E6F87"/>
    <w:rsid w:val="009E7956"/>
    <w:rsid w:val="00A2492E"/>
    <w:rsid w:val="00A574B7"/>
    <w:rsid w:val="00A720C2"/>
    <w:rsid w:val="00A921FC"/>
    <w:rsid w:val="00AB51C8"/>
    <w:rsid w:val="00AC67A1"/>
    <w:rsid w:val="00AC7977"/>
    <w:rsid w:val="00AE352C"/>
    <w:rsid w:val="00AF1CE8"/>
    <w:rsid w:val="00B32E2D"/>
    <w:rsid w:val="00B368F1"/>
    <w:rsid w:val="00B57215"/>
    <w:rsid w:val="00B61990"/>
    <w:rsid w:val="00B71AEC"/>
    <w:rsid w:val="00B917CD"/>
    <w:rsid w:val="00B95223"/>
    <w:rsid w:val="00BA595C"/>
    <w:rsid w:val="00BD2521"/>
    <w:rsid w:val="00BD7A39"/>
    <w:rsid w:val="00BF0556"/>
    <w:rsid w:val="00C03719"/>
    <w:rsid w:val="00C261F8"/>
    <w:rsid w:val="00C33100"/>
    <w:rsid w:val="00C92DE0"/>
    <w:rsid w:val="00CA6A02"/>
    <w:rsid w:val="00CD1A71"/>
    <w:rsid w:val="00CD1FBB"/>
    <w:rsid w:val="00CE58AF"/>
    <w:rsid w:val="00CF24E3"/>
    <w:rsid w:val="00D016B5"/>
    <w:rsid w:val="00D034F1"/>
    <w:rsid w:val="00D27D5E"/>
    <w:rsid w:val="00D35539"/>
    <w:rsid w:val="00D35B2D"/>
    <w:rsid w:val="00DB5DB2"/>
    <w:rsid w:val="00DD7923"/>
    <w:rsid w:val="00DE6D90"/>
    <w:rsid w:val="00DF002F"/>
    <w:rsid w:val="00E0244D"/>
    <w:rsid w:val="00E21AE6"/>
    <w:rsid w:val="00E2626F"/>
    <w:rsid w:val="00E305A6"/>
    <w:rsid w:val="00E52A69"/>
    <w:rsid w:val="00E56D4F"/>
    <w:rsid w:val="00E728B2"/>
    <w:rsid w:val="00E81E94"/>
    <w:rsid w:val="00E82607"/>
    <w:rsid w:val="00EF5431"/>
    <w:rsid w:val="00F15F37"/>
    <w:rsid w:val="00F25DF3"/>
    <w:rsid w:val="00F63499"/>
    <w:rsid w:val="00F953B4"/>
    <w:rsid w:val="00FA3B8C"/>
    <w:rsid w:val="00FA5A79"/>
    <w:rsid w:val="00FB0BFE"/>
    <w:rsid w:val="00FB2412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A6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3553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52A69"/>
    <w:pPr>
      <w:outlineLvl w:val="1"/>
    </w:pPr>
  </w:style>
  <w:style w:type="paragraph" w:styleId="Heading3">
    <w:name w:val="heading 3"/>
    <w:basedOn w:val="Normal"/>
    <w:next w:val="Normal"/>
    <w:qFormat/>
    <w:rsid w:val="00E52A69"/>
    <w:pPr>
      <w:outlineLvl w:val="2"/>
    </w:pPr>
  </w:style>
  <w:style w:type="paragraph" w:styleId="Heading4">
    <w:name w:val="heading 4"/>
    <w:basedOn w:val="Normal"/>
    <w:next w:val="Normal"/>
    <w:qFormat/>
    <w:rsid w:val="00E52A69"/>
    <w:pPr>
      <w:outlineLvl w:val="3"/>
    </w:pPr>
  </w:style>
  <w:style w:type="paragraph" w:styleId="Heading5">
    <w:name w:val="heading 5"/>
    <w:basedOn w:val="Normal"/>
    <w:next w:val="Normal"/>
    <w:qFormat/>
    <w:rsid w:val="00E52A69"/>
    <w:pPr>
      <w:outlineLvl w:val="4"/>
    </w:pPr>
  </w:style>
  <w:style w:type="paragraph" w:styleId="Heading6">
    <w:name w:val="heading 6"/>
    <w:basedOn w:val="Normal"/>
    <w:next w:val="Normal"/>
    <w:qFormat/>
    <w:rsid w:val="00E52A69"/>
    <w:pPr>
      <w:outlineLvl w:val="5"/>
    </w:pPr>
  </w:style>
  <w:style w:type="paragraph" w:styleId="Heading7">
    <w:name w:val="heading 7"/>
    <w:basedOn w:val="Normal"/>
    <w:next w:val="Normal"/>
    <w:qFormat/>
    <w:rsid w:val="00E52A69"/>
    <w:pPr>
      <w:outlineLvl w:val="6"/>
    </w:pPr>
  </w:style>
  <w:style w:type="paragraph" w:styleId="Heading8">
    <w:name w:val="heading 8"/>
    <w:basedOn w:val="Normal"/>
    <w:next w:val="Normal"/>
    <w:qFormat/>
    <w:rsid w:val="00E52A69"/>
    <w:pPr>
      <w:outlineLvl w:val="7"/>
    </w:pPr>
  </w:style>
  <w:style w:type="paragraph" w:styleId="Heading9">
    <w:name w:val="heading 9"/>
    <w:basedOn w:val="Normal"/>
    <w:next w:val="Normal"/>
    <w:qFormat/>
    <w:rsid w:val="00E52A69"/>
    <w:pPr>
      <w:outlineLvl w:val="8"/>
    </w:pPr>
  </w:style>
  <w:style w:type="character" w:default="1" w:styleId="DefaultParagraphFont">
    <w:name w:val="Default Paragraph Font"/>
    <w:semiHidden/>
    <w:rsid w:val="00E52A6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2A69"/>
  </w:style>
  <w:style w:type="paragraph" w:styleId="EndnoteText">
    <w:name w:val="endnote text"/>
    <w:aliases w:val="2_G"/>
    <w:basedOn w:val="FootnoteText"/>
    <w:rsid w:val="00E52A69"/>
  </w:style>
  <w:style w:type="paragraph" w:styleId="Footer">
    <w:name w:val="footer"/>
    <w:aliases w:val="3_G"/>
    <w:basedOn w:val="Normal"/>
    <w:next w:val="Normal"/>
    <w:rsid w:val="00E52A69"/>
    <w:pPr>
      <w:spacing w:line="240" w:lineRule="auto"/>
    </w:pPr>
    <w:rPr>
      <w:sz w:val="16"/>
    </w:rPr>
  </w:style>
  <w:style w:type="paragraph" w:customStyle="1" w:styleId="Rom1">
    <w:name w:val="Rom1"/>
    <w:basedOn w:val="SingleTxtG"/>
    <w:semiHidden/>
    <w:pPr>
      <w:numPr>
        <w:numId w:val="17"/>
      </w:numPr>
      <w:tabs>
        <w:tab w:val="clear" w:pos="1440"/>
      </w:tabs>
      <w:ind w:left="2268" w:hanging="397"/>
    </w:pPr>
  </w:style>
  <w:style w:type="paragraph" w:customStyle="1" w:styleId="Rom2">
    <w:name w:val="Rom2"/>
    <w:basedOn w:val="SingleTxtG"/>
    <w:semiHidden/>
    <w:pPr>
      <w:numPr>
        <w:numId w:val="18"/>
      </w:numPr>
      <w:tabs>
        <w:tab w:val="clear" w:pos="2160"/>
      </w:tabs>
      <w:ind w:left="2835" w:hanging="397"/>
    </w:pPr>
  </w:style>
  <w:style w:type="character" w:customStyle="1" w:styleId="FootnoteTextChar">
    <w:name w:val="Footnote Text Char"/>
    <w:aliases w:val="5_G Char"/>
    <w:link w:val="FootnoteText"/>
    <w:rsid w:val="00F15F37"/>
    <w:rPr>
      <w:sz w:val="18"/>
      <w:lang w:val="fr-CH" w:eastAsia="en-US" w:bidi="ar-SA"/>
    </w:rPr>
  </w:style>
  <w:style w:type="character" w:styleId="EndnoteReference">
    <w:name w:val="endnote reference"/>
    <w:aliases w:val="1_G"/>
    <w:basedOn w:val="FootnoteReference"/>
    <w:rsid w:val="00E52A69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E52A69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E52A69"/>
    <w:rPr>
      <w:rFonts w:ascii="Times New Roman" w:hAnsi="Times New Roman"/>
      <w:b/>
      <w:sz w:val="18"/>
      <w:lang w:val="fr-CH"/>
    </w:rPr>
  </w:style>
  <w:style w:type="paragraph" w:styleId="FootnoteText">
    <w:name w:val="footnote text"/>
    <w:aliases w:val="5_G"/>
    <w:basedOn w:val="Normal"/>
    <w:link w:val="FootnoteTextChar"/>
    <w:rsid w:val="00E52A6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Header">
    <w:name w:val="header"/>
    <w:aliases w:val="6_G"/>
    <w:basedOn w:val="Normal"/>
    <w:next w:val="Normal"/>
    <w:rsid w:val="00E52A69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E52A6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HChG">
    <w:name w:val="_ H _Ch_G"/>
    <w:basedOn w:val="Normal"/>
    <w:next w:val="Normal"/>
    <w:rsid w:val="00E52A6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E52A6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E52A6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52A6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52A6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E52A6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52A6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52A6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SingleTxtG">
    <w:name w:val="_ Single Txt_G"/>
    <w:basedOn w:val="Normal"/>
    <w:rsid w:val="00E52A69"/>
    <w:pPr>
      <w:spacing w:after="120"/>
      <w:ind w:left="1134" w:right="1134"/>
      <w:jc w:val="both"/>
    </w:pPr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XLargeG">
    <w:name w:val="__XLarge_G"/>
    <w:basedOn w:val="Normal"/>
    <w:next w:val="Normal"/>
    <w:rsid w:val="00E52A6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52A69"/>
    <w:pPr>
      <w:numPr>
        <w:numId w:val="49"/>
      </w:numPr>
      <w:spacing w:after="120"/>
      <w:ind w:right="1134"/>
      <w:jc w:val="both"/>
    </w:pPr>
  </w:style>
  <w:style w:type="numbering" w:styleId="111111">
    <w:name w:val="Outline List 2"/>
    <w:basedOn w:val="NoList"/>
    <w:semiHidden/>
    <w:rsid w:val="00160540"/>
    <w:pPr>
      <w:numPr>
        <w:numId w:val="42"/>
      </w:numPr>
    </w:pPr>
  </w:style>
  <w:style w:type="numbering" w:styleId="1ai">
    <w:name w:val="Outline List 1"/>
    <w:basedOn w:val="NoList"/>
    <w:semiHidden/>
    <w:rsid w:val="00160540"/>
    <w:pPr>
      <w:numPr>
        <w:numId w:val="43"/>
      </w:numPr>
    </w:pPr>
  </w:style>
  <w:style w:type="character" w:styleId="Emphasis">
    <w:name w:val="Emphasis"/>
    <w:qFormat/>
    <w:rsid w:val="00160540"/>
    <w:rPr>
      <w:i/>
      <w:iCs/>
    </w:rPr>
  </w:style>
  <w:style w:type="character" w:styleId="HTMLAcronym">
    <w:name w:val="HTML Acronym"/>
    <w:basedOn w:val="DefaultParagraphFont"/>
    <w:semiHidden/>
    <w:rsid w:val="00160540"/>
  </w:style>
  <w:style w:type="paragraph" w:styleId="EnvelopeAddress">
    <w:name w:val="envelope address"/>
    <w:basedOn w:val="Normal"/>
    <w:semiHidden/>
    <w:rsid w:val="0016054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160540"/>
    <w:rPr>
      <w:rFonts w:ascii="Arial" w:hAnsi="Arial" w:cs="Arial"/>
    </w:rPr>
  </w:style>
  <w:style w:type="paragraph" w:customStyle="1" w:styleId="Bullet2G">
    <w:name w:val="_Bullet 2_G"/>
    <w:basedOn w:val="Normal"/>
    <w:rsid w:val="00E52A69"/>
    <w:pPr>
      <w:numPr>
        <w:numId w:val="50"/>
      </w:numPr>
      <w:spacing w:after="120"/>
      <w:ind w:right="1134"/>
      <w:jc w:val="both"/>
    </w:pPr>
  </w:style>
  <w:style w:type="paragraph" w:styleId="HTMLAddress">
    <w:name w:val="HTML Address"/>
    <w:basedOn w:val="Normal"/>
    <w:semiHidden/>
    <w:rsid w:val="00160540"/>
    <w:rPr>
      <w:i/>
      <w:iCs/>
    </w:rPr>
  </w:style>
  <w:style w:type="numbering" w:styleId="ArticleSection">
    <w:name w:val="Outline List 3"/>
    <w:basedOn w:val="NoList"/>
    <w:semiHidden/>
    <w:rsid w:val="00160540"/>
    <w:pPr>
      <w:numPr>
        <w:numId w:val="44"/>
      </w:numPr>
    </w:pPr>
  </w:style>
  <w:style w:type="character" w:styleId="HTMLCite">
    <w:name w:val="HTML Cite"/>
    <w:semiHidden/>
    <w:rsid w:val="00160540"/>
    <w:rPr>
      <w:i/>
      <w:iCs/>
    </w:rPr>
  </w:style>
  <w:style w:type="table" w:styleId="TableClassic1">
    <w:name w:val="Table Classic 1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0540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16054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160540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semiHidden/>
    <w:rsid w:val="00160540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semiHidden/>
    <w:rsid w:val="00160540"/>
    <w:pPr>
      <w:spacing w:after="120" w:line="480" w:lineRule="auto"/>
    </w:pPr>
  </w:style>
  <w:style w:type="paragraph" w:styleId="BodyText3">
    <w:name w:val="Body Text 3"/>
    <w:basedOn w:val="Normal"/>
    <w:semiHidden/>
    <w:rsid w:val="0016054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60540"/>
  </w:style>
  <w:style w:type="character" w:styleId="HTMLDefinition">
    <w:name w:val="HTML Definition"/>
    <w:semiHidden/>
    <w:rsid w:val="00160540"/>
    <w:rPr>
      <w:i/>
      <w:iCs/>
    </w:rPr>
  </w:style>
  <w:style w:type="table" w:styleId="Table3Deffects2">
    <w:name w:val="Table 3D effects 2"/>
    <w:basedOn w:val="TableNormal"/>
    <w:semiHidden/>
    <w:rsid w:val="00160540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160540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0540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160540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160540"/>
    <w:rPr>
      <w:b/>
      <w:bCs/>
    </w:rPr>
  </w:style>
  <w:style w:type="paragraph" w:styleId="MessageHeader">
    <w:name w:val="Message Header"/>
    <w:basedOn w:val="Normal"/>
    <w:semiHidden/>
    <w:rsid w:val="00160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160540"/>
    <w:rPr>
      <w:rFonts w:ascii="Courier New" w:hAnsi="Courier New" w:cs="Courier New"/>
    </w:rPr>
  </w:style>
  <w:style w:type="paragraph" w:styleId="Closing">
    <w:name w:val="Closing"/>
    <w:basedOn w:val="Normal"/>
    <w:semiHidden/>
    <w:rsid w:val="00160540"/>
    <w:pPr>
      <w:ind w:left="4252"/>
    </w:pPr>
  </w:style>
  <w:style w:type="table" w:styleId="TableGrid1">
    <w:name w:val="Table Grid 1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0540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0540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0540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605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semiHidden/>
    <w:rsid w:val="00160540"/>
    <w:pPr>
      <w:ind w:left="283" w:hanging="283"/>
    </w:pPr>
  </w:style>
  <w:style w:type="paragraph" w:styleId="List2">
    <w:name w:val="List 2"/>
    <w:basedOn w:val="Normal"/>
    <w:semiHidden/>
    <w:rsid w:val="00160540"/>
    <w:pPr>
      <w:ind w:left="566" w:hanging="283"/>
    </w:pPr>
  </w:style>
  <w:style w:type="paragraph" w:styleId="List3">
    <w:name w:val="List 3"/>
    <w:basedOn w:val="Normal"/>
    <w:semiHidden/>
    <w:rsid w:val="00160540"/>
    <w:pPr>
      <w:ind w:left="849" w:hanging="283"/>
    </w:pPr>
  </w:style>
  <w:style w:type="paragraph" w:styleId="List4">
    <w:name w:val="List 4"/>
    <w:basedOn w:val="Normal"/>
    <w:semiHidden/>
    <w:rsid w:val="00160540"/>
    <w:pPr>
      <w:ind w:left="1132" w:hanging="283"/>
    </w:pPr>
  </w:style>
  <w:style w:type="paragraph" w:styleId="List5">
    <w:name w:val="List 5"/>
    <w:basedOn w:val="Normal"/>
    <w:semiHidden/>
    <w:rsid w:val="00160540"/>
    <w:pPr>
      <w:ind w:left="1415" w:hanging="283"/>
    </w:pPr>
  </w:style>
  <w:style w:type="paragraph" w:styleId="ListNumber">
    <w:name w:val="List Number"/>
    <w:basedOn w:val="Normal"/>
    <w:semiHidden/>
    <w:rsid w:val="00160540"/>
    <w:pPr>
      <w:numPr>
        <w:numId w:val="29"/>
      </w:numPr>
    </w:pPr>
  </w:style>
  <w:style w:type="paragraph" w:styleId="ListNumber2">
    <w:name w:val="List Number 2"/>
    <w:basedOn w:val="Normal"/>
    <w:semiHidden/>
    <w:rsid w:val="00160540"/>
    <w:pPr>
      <w:numPr>
        <w:numId w:val="28"/>
      </w:numPr>
    </w:pPr>
  </w:style>
  <w:style w:type="paragraph" w:styleId="ListNumber3">
    <w:name w:val="List Number 3"/>
    <w:basedOn w:val="Normal"/>
    <w:semiHidden/>
    <w:rsid w:val="00160540"/>
    <w:pPr>
      <w:numPr>
        <w:numId w:val="27"/>
      </w:numPr>
    </w:pPr>
  </w:style>
  <w:style w:type="paragraph" w:styleId="ListNumber4">
    <w:name w:val="List Number 4"/>
    <w:basedOn w:val="Normal"/>
    <w:semiHidden/>
    <w:rsid w:val="00160540"/>
    <w:pPr>
      <w:numPr>
        <w:numId w:val="19"/>
      </w:numPr>
    </w:pPr>
  </w:style>
  <w:style w:type="paragraph" w:styleId="ListNumber5">
    <w:name w:val="List Number 5"/>
    <w:basedOn w:val="Normal"/>
    <w:semiHidden/>
    <w:rsid w:val="00160540"/>
    <w:pPr>
      <w:numPr>
        <w:numId w:val="20"/>
      </w:numPr>
    </w:pPr>
  </w:style>
  <w:style w:type="paragraph" w:styleId="ListBullet">
    <w:name w:val="List Bullet"/>
    <w:basedOn w:val="Normal"/>
    <w:semiHidden/>
    <w:rsid w:val="00160540"/>
    <w:pPr>
      <w:numPr>
        <w:numId w:val="30"/>
      </w:numPr>
    </w:pPr>
  </w:style>
  <w:style w:type="paragraph" w:styleId="ListBullet2">
    <w:name w:val="List Bullet 2"/>
    <w:basedOn w:val="Normal"/>
    <w:semiHidden/>
    <w:rsid w:val="00160540"/>
    <w:pPr>
      <w:numPr>
        <w:numId w:val="31"/>
      </w:numPr>
    </w:pPr>
  </w:style>
  <w:style w:type="paragraph" w:styleId="ListBullet3">
    <w:name w:val="List Bullet 3"/>
    <w:basedOn w:val="Normal"/>
    <w:semiHidden/>
    <w:rsid w:val="00160540"/>
    <w:pPr>
      <w:numPr>
        <w:numId w:val="32"/>
      </w:numPr>
    </w:pPr>
  </w:style>
  <w:style w:type="paragraph" w:styleId="ListBullet4">
    <w:name w:val="List Bullet 4"/>
    <w:basedOn w:val="Normal"/>
    <w:semiHidden/>
    <w:rsid w:val="00160540"/>
    <w:pPr>
      <w:numPr>
        <w:numId w:val="33"/>
      </w:numPr>
    </w:pPr>
  </w:style>
  <w:style w:type="paragraph" w:styleId="ListBullet5">
    <w:name w:val="List Bullet 5"/>
    <w:basedOn w:val="Normal"/>
    <w:semiHidden/>
    <w:rsid w:val="00160540"/>
    <w:pPr>
      <w:numPr>
        <w:numId w:val="34"/>
      </w:numPr>
    </w:pPr>
  </w:style>
  <w:style w:type="paragraph" w:styleId="ListContinue">
    <w:name w:val="List Continue"/>
    <w:basedOn w:val="Normal"/>
    <w:semiHidden/>
    <w:rsid w:val="00160540"/>
    <w:pPr>
      <w:spacing w:after="120"/>
      <w:ind w:left="283"/>
    </w:pPr>
  </w:style>
  <w:style w:type="paragraph" w:styleId="ListContinue2">
    <w:name w:val="List Continue 2"/>
    <w:basedOn w:val="Normal"/>
    <w:semiHidden/>
    <w:rsid w:val="00160540"/>
    <w:pPr>
      <w:spacing w:after="120"/>
      <w:ind w:left="566"/>
    </w:pPr>
  </w:style>
  <w:style w:type="paragraph" w:styleId="ListContinue3">
    <w:name w:val="List Continue 3"/>
    <w:basedOn w:val="Normal"/>
    <w:semiHidden/>
    <w:rsid w:val="00160540"/>
    <w:pPr>
      <w:spacing w:after="120"/>
      <w:ind w:left="849"/>
    </w:pPr>
  </w:style>
  <w:style w:type="paragraph" w:styleId="ListContinue4">
    <w:name w:val="List Continue 4"/>
    <w:basedOn w:val="Normal"/>
    <w:semiHidden/>
    <w:rsid w:val="00160540"/>
    <w:pPr>
      <w:spacing w:after="120"/>
      <w:ind w:left="1132"/>
    </w:pPr>
  </w:style>
  <w:style w:type="paragraph" w:styleId="ListContinue5">
    <w:name w:val="List Continue 5"/>
    <w:basedOn w:val="Normal"/>
    <w:semiHidden/>
    <w:rsid w:val="00160540"/>
    <w:pPr>
      <w:spacing w:after="120"/>
      <w:ind w:left="1415"/>
    </w:pPr>
  </w:style>
  <w:style w:type="character" w:styleId="HTMLTypewriter">
    <w:name w:val="HTML Typewriter"/>
    <w:semiHidden/>
    <w:rsid w:val="001605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60540"/>
    <w:rPr>
      <w:sz w:val="24"/>
      <w:szCs w:val="24"/>
    </w:rPr>
  </w:style>
  <w:style w:type="table" w:styleId="TableSubtle1">
    <w:name w:val="Table Subtle 1"/>
    <w:basedOn w:val="TableNormal"/>
    <w:semiHidden/>
    <w:rsid w:val="00160540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0540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semiHidden/>
    <w:rsid w:val="00160540"/>
    <w:rPr>
      <w:rFonts w:ascii="Courier New" w:hAnsi="Courier New" w:cs="Courier New"/>
    </w:rPr>
  </w:style>
  <w:style w:type="table" w:styleId="TableProfessional">
    <w:name w:val="Table Professional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semiHidden/>
    <w:rsid w:val="00160540"/>
    <w:pPr>
      <w:spacing w:after="120"/>
      <w:ind w:firstLine="210"/>
    </w:pPr>
  </w:style>
  <w:style w:type="paragraph" w:styleId="BodyTextIndent2">
    <w:name w:val="Body Text Indent 2"/>
    <w:basedOn w:val="Normal"/>
    <w:semiHidden/>
    <w:rsid w:val="0016054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0540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160540"/>
    <w:pPr>
      <w:ind w:firstLine="210"/>
    </w:pPr>
  </w:style>
  <w:style w:type="paragraph" w:styleId="NormalIndent">
    <w:name w:val="Normal Indent"/>
    <w:basedOn w:val="Normal"/>
    <w:semiHidden/>
    <w:rsid w:val="00160540"/>
    <w:pPr>
      <w:ind w:left="567"/>
    </w:pPr>
  </w:style>
  <w:style w:type="paragraph" w:styleId="Salutation">
    <w:name w:val="Salutation"/>
    <w:basedOn w:val="Normal"/>
    <w:next w:val="Normal"/>
    <w:semiHidden/>
    <w:rsid w:val="00160540"/>
  </w:style>
  <w:style w:type="paragraph" w:styleId="Signature">
    <w:name w:val="Signature"/>
    <w:basedOn w:val="Normal"/>
    <w:semiHidden/>
    <w:rsid w:val="00160540"/>
    <w:pPr>
      <w:ind w:left="4252"/>
    </w:pPr>
  </w:style>
  <w:style w:type="paragraph" w:styleId="E-mailSignature">
    <w:name w:val="E-mail Signature"/>
    <w:basedOn w:val="Normal"/>
    <w:semiHidden/>
    <w:rsid w:val="00160540"/>
  </w:style>
  <w:style w:type="table" w:styleId="TableSimple1">
    <w:name w:val="Table Simple 1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0540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1605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List1">
    <w:name w:val="Table List 1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0540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1605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605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semiHidden/>
    <w:rsid w:val="00160540"/>
  </w:style>
  <w:style w:type="character" w:styleId="HTMLVariable">
    <w:name w:val="HTML Variable"/>
    <w:semiHidden/>
    <w:rsid w:val="00160540"/>
    <w:rPr>
      <w:i/>
      <w:iCs/>
    </w:rPr>
  </w:style>
  <w:style w:type="table" w:styleId="TableWeb1">
    <w:name w:val="Table Web 1"/>
    <w:basedOn w:val="TableNormal"/>
    <w:semiHidden/>
    <w:rsid w:val="00160540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0540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0540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492E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492E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492E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492E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semiHidden/>
    <w:rsid w:val="00A2492E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492E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492E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A2492E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441214"/>
    <w:rPr>
      <w:color w:val="auto"/>
      <w:u w:val="none"/>
    </w:rPr>
  </w:style>
  <w:style w:type="character" w:styleId="FollowedHyperlink">
    <w:name w:val="FollowedHyperlink"/>
    <w:rsid w:val="00441214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CCPR3</Template>
  <TotalTime>0</TotalTime>
  <Pages>5</Pages>
  <Words>1517</Words>
  <Characters>8108</Characters>
  <Application>Microsoft Office Word</Application>
  <DocSecurity>4</DocSecurity>
  <Lines>164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CCPR/C/98/DR/1572/2007</vt:lpstr>
    </vt:vector>
  </TitlesOfParts>
  <Company>CSD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CCPR/C/98/DR/1572/2007</dc:title>
  <dc:subject>Final</dc:subject>
  <dc:creator>Lamy</dc:creator>
  <cp:keywords/>
  <dc:description/>
  <cp:lastModifiedBy>Y.Gibert</cp:lastModifiedBy>
  <cp:revision>2</cp:revision>
  <cp:lastPrinted>2010-05-20T09:35:00Z</cp:lastPrinted>
  <dcterms:created xsi:type="dcterms:W3CDTF">2010-05-20T09:41:00Z</dcterms:created>
  <dcterms:modified xsi:type="dcterms:W3CDTF">2010-05-20T09:41:00Z</dcterms:modified>
</cp:coreProperties>
</file>