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proofErr w:type="spellStart"/>
            <w:r w:rsidRPr="000B4B07">
              <w:rPr>
                <w:sz w:val="40"/>
                <w:szCs w:val="40"/>
                <w:lang w:val="en-US"/>
              </w:rPr>
              <w:t>CCPR</w:t>
            </w:r>
            <w:proofErr w:type="spellEnd"/>
            <w:r>
              <w:rPr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CCPR/"  \* MERGEFORMAT </w:instrText>
            </w:r>
            <w:r>
              <w:fldChar w:fldCharType="separate"/>
            </w:r>
            <w:proofErr w:type="spellStart"/>
            <w:r w:rsidR="004D3AD9">
              <w:t>C</w:t>
            </w:r>
            <w:proofErr w:type="spellEnd"/>
            <w:r w:rsidR="004D3AD9">
              <w:t>/98/</w:t>
            </w:r>
            <w:proofErr w:type="spellStart"/>
            <w:r w:rsidR="004D3AD9">
              <w:t>D</w:t>
            </w:r>
            <w:proofErr w:type="spellEnd"/>
            <w:r w:rsidR="004D3AD9">
              <w:t>/1778/2008</w:t>
            </w:r>
            <w:r>
              <w:fldChar w:fldCharType="end"/>
            </w:r>
          </w:p>
        </w:tc>
      </w:tr>
      <w:tr w:rsidR="0084613B" w:rsidRPr="00AA5B39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 w:rsidRPr="00AA5B39">
              <w:rPr>
                <w:lang w:val="en-US"/>
              </w:rP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2"/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  <w:r w:rsidR="002A2D62" w:rsidRPr="007178B9">
              <w:rPr>
                <w:rStyle w:val="FootnoteReference"/>
                <w:sz w:val="20"/>
                <w:vertAlign w:val="baseline"/>
              </w:rPr>
              <w:footnoteReference w:customMarkFollows="1" w:id="1"/>
              <w:t>*</w:t>
            </w:r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4D3AD9">
              <w:rPr>
                <w:lang w:val="en-US"/>
              </w:rPr>
              <w:fldChar w:fldCharType="separate"/>
            </w:r>
            <w:r w:rsidR="004D3AD9">
              <w:rPr>
                <w:lang w:val="en-US"/>
              </w:rPr>
              <w:t>11 May 2010</w:t>
            </w:r>
            <w:r>
              <w:rPr>
                <w:lang w:val="en-US"/>
              </w:rPr>
              <w:fldChar w:fldCharType="end"/>
            </w:r>
          </w:p>
          <w:p w:rsidR="0084613B" w:rsidRPr="00AA5B39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4613B" w:rsidRPr="00AA5B39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 w:rsidRPr="00AA5B39">
              <w:rPr>
                <w:lang w:val="en-US"/>
              </w:rP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AA5B39" w:rsidRDefault="0084613B" w:rsidP="00D76358">
            <w:pPr>
              <w:rPr>
                <w:lang w:val="en-US"/>
              </w:rPr>
            </w:pPr>
          </w:p>
        </w:tc>
      </w:tr>
    </w:tbl>
    <w:p w:rsidR="004D3AD9" w:rsidRPr="004D3AD9" w:rsidRDefault="004D3AD9" w:rsidP="004D3AD9">
      <w:pPr>
        <w:spacing w:before="120"/>
        <w:rPr>
          <w:sz w:val="24"/>
        </w:rPr>
      </w:pPr>
      <w:r>
        <w:rPr>
          <w:b/>
          <w:sz w:val="24"/>
        </w:rPr>
        <w:t>Комитет по правам человека</w:t>
      </w:r>
      <w:r>
        <w:rPr>
          <w:b/>
          <w:sz w:val="24"/>
        </w:rPr>
        <w:br/>
      </w:r>
      <w:r w:rsidRPr="002105B1">
        <w:rPr>
          <w:b/>
        </w:rPr>
        <w:t>Девяносто восьмая сессия</w:t>
      </w:r>
      <w:r w:rsidRPr="002105B1">
        <w:rPr>
          <w:b/>
        </w:rPr>
        <w:br/>
      </w:r>
      <w:r w:rsidRPr="002105B1">
        <w:t>8−26 марта 2010 года</w:t>
      </w:r>
    </w:p>
    <w:p w:rsidR="004D3AD9" w:rsidRDefault="004D3AD9" w:rsidP="004D3AD9">
      <w:pPr>
        <w:pStyle w:val="HChGR"/>
      </w:pPr>
      <w:r>
        <w:tab/>
      </w:r>
      <w:r>
        <w:tab/>
        <w:t>Решение</w:t>
      </w:r>
    </w:p>
    <w:p w:rsidR="004D3AD9" w:rsidRDefault="004D3AD9" w:rsidP="004D3AD9">
      <w:pPr>
        <w:pStyle w:val="H1GR"/>
      </w:pPr>
      <w:r>
        <w:tab/>
      </w:r>
      <w:r>
        <w:tab/>
        <w:t>Сообщение № 1778/2008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4150"/>
      </w:tblGrid>
      <w:tr w:rsidR="004D3AD9" w:rsidRPr="00746FED" w:rsidTr="00935496">
        <w:tc>
          <w:tcPr>
            <w:tcW w:w="2828" w:type="dxa"/>
            <w:shd w:val="clear" w:color="auto" w:fill="auto"/>
          </w:tcPr>
          <w:p w:rsidR="004D3AD9" w:rsidRPr="002D3026" w:rsidRDefault="004D3AD9" w:rsidP="00770E1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40"/>
              <w:rPr>
                <w:i/>
                <w:lang w:val="ru-RU"/>
              </w:rPr>
            </w:pPr>
            <w:r w:rsidRPr="002D3026">
              <w:rPr>
                <w:i/>
                <w:lang w:val="ru-RU"/>
              </w:rPr>
              <w:t>Представлено:</w:t>
            </w:r>
          </w:p>
        </w:tc>
        <w:tc>
          <w:tcPr>
            <w:tcW w:w="4619" w:type="dxa"/>
            <w:shd w:val="clear" w:color="auto" w:fill="auto"/>
          </w:tcPr>
          <w:p w:rsidR="004D3AD9" w:rsidRPr="00746FED" w:rsidRDefault="004D3AD9" w:rsidP="00770E1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864"/>
                <w:tab w:val="left" w:pos="1152"/>
              </w:tabs>
              <w:spacing w:before="40" w:line="240" w:lineRule="atLeast"/>
              <w:ind w:left="0" w:right="45" w:firstLine="28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г-ном Ярославом </w:t>
            </w:r>
            <w:proofErr w:type="spellStart"/>
            <w:r>
              <w:rPr>
                <w:lang w:val="ru-RU"/>
              </w:rPr>
              <w:t>Новотным</w:t>
            </w:r>
            <w:proofErr w:type="spellEnd"/>
            <w:r>
              <w:rPr>
                <w:lang w:val="ru-RU"/>
              </w:rPr>
              <w:t xml:space="preserve"> (представлен адвокатом г-ном Давидом </w:t>
            </w:r>
            <w:proofErr w:type="spellStart"/>
            <w:r>
              <w:rPr>
                <w:lang w:val="ru-RU"/>
              </w:rPr>
              <w:t>Струп</w:t>
            </w:r>
            <w:r w:rsidR="002A203D">
              <w:rPr>
                <w:lang w:val="ru-RU"/>
              </w:rPr>
              <w:t>е</w:t>
            </w:r>
            <w:r>
              <w:rPr>
                <w:lang w:val="ru-RU"/>
              </w:rPr>
              <w:t>ком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4D3AD9" w:rsidRPr="005518AC" w:rsidTr="00935496">
        <w:tc>
          <w:tcPr>
            <w:tcW w:w="2828" w:type="dxa"/>
            <w:shd w:val="clear" w:color="auto" w:fill="auto"/>
          </w:tcPr>
          <w:p w:rsidR="004D3AD9" w:rsidRPr="002D3026" w:rsidRDefault="004D3AD9" w:rsidP="00770E1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40"/>
              <w:rPr>
                <w:i/>
              </w:rPr>
            </w:pPr>
            <w:r w:rsidRPr="002D3026">
              <w:rPr>
                <w:i/>
                <w:lang w:val="ru-RU"/>
              </w:rPr>
              <w:t>Предполагаемая жертва</w:t>
            </w:r>
            <w:r w:rsidRPr="002D3026">
              <w:rPr>
                <w:i/>
              </w:rPr>
              <w:t xml:space="preserve">: </w:t>
            </w:r>
          </w:p>
        </w:tc>
        <w:tc>
          <w:tcPr>
            <w:tcW w:w="4619" w:type="dxa"/>
            <w:shd w:val="clear" w:color="auto" w:fill="auto"/>
          </w:tcPr>
          <w:p w:rsidR="004D3AD9" w:rsidRPr="00376B52" w:rsidRDefault="004D3AD9" w:rsidP="00770E1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автор сообщения</w:t>
            </w:r>
          </w:p>
        </w:tc>
      </w:tr>
      <w:tr w:rsidR="004D3AD9" w:rsidRPr="005518AC" w:rsidTr="00935496">
        <w:tc>
          <w:tcPr>
            <w:tcW w:w="2828" w:type="dxa"/>
            <w:shd w:val="clear" w:color="auto" w:fill="auto"/>
          </w:tcPr>
          <w:p w:rsidR="004D3AD9" w:rsidRPr="002D3026" w:rsidRDefault="004D3AD9" w:rsidP="00770E1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40"/>
              <w:rPr>
                <w:i/>
              </w:rPr>
            </w:pPr>
            <w:r w:rsidRPr="002D3026">
              <w:rPr>
                <w:i/>
                <w:lang w:val="ru-RU"/>
              </w:rPr>
              <w:t>Государство-участник:</w:t>
            </w:r>
            <w:r w:rsidRPr="002D3026">
              <w:rPr>
                <w:i/>
              </w:rPr>
              <w:t xml:space="preserve"> </w:t>
            </w:r>
          </w:p>
        </w:tc>
        <w:tc>
          <w:tcPr>
            <w:tcW w:w="4619" w:type="dxa"/>
            <w:shd w:val="clear" w:color="auto" w:fill="auto"/>
          </w:tcPr>
          <w:p w:rsidR="004D3AD9" w:rsidRPr="00376B52" w:rsidRDefault="004D3AD9" w:rsidP="00770E1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Чешская Республика</w:t>
            </w:r>
          </w:p>
        </w:tc>
      </w:tr>
      <w:tr w:rsidR="004D3AD9" w:rsidRPr="005518AC" w:rsidTr="00935496">
        <w:tc>
          <w:tcPr>
            <w:tcW w:w="2828" w:type="dxa"/>
            <w:shd w:val="clear" w:color="auto" w:fill="auto"/>
          </w:tcPr>
          <w:p w:rsidR="004D3AD9" w:rsidRPr="002D3026" w:rsidRDefault="004D3AD9" w:rsidP="00770E1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40"/>
              <w:rPr>
                <w:i/>
                <w:lang w:val="ru-RU"/>
              </w:rPr>
            </w:pPr>
            <w:r w:rsidRPr="002D3026">
              <w:rPr>
                <w:i/>
                <w:lang w:val="ru-RU"/>
              </w:rPr>
              <w:t>Дата сообщения:</w:t>
            </w:r>
          </w:p>
        </w:tc>
        <w:tc>
          <w:tcPr>
            <w:tcW w:w="4619" w:type="dxa"/>
            <w:shd w:val="clear" w:color="auto" w:fill="auto"/>
          </w:tcPr>
          <w:p w:rsidR="004D3AD9" w:rsidRPr="007178B9" w:rsidRDefault="004D3AD9" w:rsidP="00770E1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18 марта 2008 года (первоначальное представление)</w:t>
            </w:r>
          </w:p>
        </w:tc>
      </w:tr>
      <w:tr w:rsidR="004D3AD9" w:rsidRPr="005518AC" w:rsidTr="00935496">
        <w:tc>
          <w:tcPr>
            <w:tcW w:w="2828" w:type="dxa"/>
            <w:shd w:val="clear" w:color="auto" w:fill="auto"/>
          </w:tcPr>
          <w:p w:rsidR="004D3AD9" w:rsidRPr="002D3026" w:rsidRDefault="004D3AD9" w:rsidP="00770E1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40"/>
              <w:rPr>
                <w:i/>
                <w:lang w:val="ru-RU"/>
              </w:rPr>
            </w:pPr>
            <w:r>
              <w:rPr>
                <w:i/>
                <w:lang w:val="ru-RU"/>
              </w:rPr>
              <w:t>Справочная документация:</w:t>
            </w:r>
          </w:p>
        </w:tc>
        <w:tc>
          <w:tcPr>
            <w:tcW w:w="4619" w:type="dxa"/>
            <w:shd w:val="clear" w:color="auto" w:fill="auto"/>
          </w:tcPr>
          <w:p w:rsidR="004D3AD9" w:rsidRPr="00630C05" w:rsidRDefault="004D3AD9" w:rsidP="00770E1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решение Специального докладчика в соответствии с правилом 97, препровожденное государству-участнику 8</w:t>
            </w:r>
            <w:r w:rsidR="00224C3A">
              <w:rPr>
                <w:lang w:val="en-US"/>
              </w:rPr>
              <w:t> </w:t>
            </w:r>
            <w:r>
              <w:rPr>
                <w:lang w:val="ru-RU"/>
              </w:rPr>
              <w:t>апреля 2008 года (в виде документа не издавалось)</w:t>
            </w:r>
          </w:p>
        </w:tc>
      </w:tr>
      <w:tr w:rsidR="004D3AD9" w:rsidRPr="005518AC" w:rsidTr="00935496">
        <w:tc>
          <w:tcPr>
            <w:tcW w:w="2828" w:type="dxa"/>
            <w:shd w:val="clear" w:color="auto" w:fill="auto"/>
          </w:tcPr>
          <w:p w:rsidR="004D3AD9" w:rsidRPr="002D3026" w:rsidRDefault="004D3AD9" w:rsidP="00770E1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4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Дата принятия решения:</w:t>
            </w:r>
          </w:p>
        </w:tc>
        <w:tc>
          <w:tcPr>
            <w:tcW w:w="4619" w:type="dxa"/>
            <w:shd w:val="clear" w:color="auto" w:fill="auto"/>
          </w:tcPr>
          <w:p w:rsidR="004D3AD9" w:rsidRPr="001947A5" w:rsidRDefault="004D3AD9" w:rsidP="00770E1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19 марта 2010 года</w:t>
            </w:r>
          </w:p>
        </w:tc>
      </w:tr>
      <w:tr w:rsidR="00A44915" w:rsidRPr="00746FED" w:rsidTr="00935496">
        <w:tc>
          <w:tcPr>
            <w:tcW w:w="2828" w:type="dxa"/>
            <w:shd w:val="clear" w:color="auto" w:fill="auto"/>
          </w:tcPr>
          <w:p w:rsidR="00A44915" w:rsidRPr="002D3026" w:rsidRDefault="00A44915" w:rsidP="00770E1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40"/>
              <w:rPr>
                <w:i/>
                <w:lang w:val="ru-RU"/>
              </w:rPr>
            </w:pPr>
            <w:r>
              <w:rPr>
                <w:i/>
                <w:lang w:val="ru-RU"/>
              </w:rPr>
              <w:t>Тема сообщения:</w:t>
            </w:r>
          </w:p>
        </w:tc>
        <w:tc>
          <w:tcPr>
            <w:tcW w:w="4619" w:type="dxa"/>
            <w:shd w:val="clear" w:color="auto" w:fill="auto"/>
          </w:tcPr>
          <w:p w:rsidR="00A44915" w:rsidRPr="00746FED" w:rsidRDefault="00A44915" w:rsidP="00770E1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864"/>
                <w:tab w:val="left" w:pos="1152"/>
              </w:tabs>
              <w:spacing w:before="40" w:line="240" w:lineRule="atLeast"/>
              <w:ind w:left="0" w:right="0" w:firstLine="28"/>
              <w:jc w:val="left"/>
              <w:rPr>
                <w:lang w:val="ru-RU"/>
              </w:rPr>
            </w:pPr>
            <w:r>
              <w:rPr>
                <w:lang w:val="ru-RU"/>
              </w:rPr>
              <w:t>вознаграждение труда заключенного за проделанную работу</w:t>
            </w:r>
          </w:p>
        </w:tc>
      </w:tr>
      <w:tr w:rsidR="00A44915" w:rsidRPr="005518AC" w:rsidTr="00935496">
        <w:tc>
          <w:tcPr>
            <w:tcW w:w="2828" w:type="dxa"/>
            <w:shd w:val="clear" w:color="auto" w:fill="auto"/>
          </w:tcPr>
          <w:p w:rsidR="00A44915" w:rsidRPr="002D3026" w:rsidRDefault="00A44915" w:rsidP="00770E1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40"/>
              <w:rPr>
                <w:i/>
              </w:rPr>
            </w:pPr>
            <w:r>
              <w:rPr>
                <w:i/>
                <w:lang w:val="ru-RU"/>
              </w:rPr>
              <w:t>Процедурные вопросы:</w:t>
            </w:r>
          </w:p>
        </w:tc>
        <w:tc>
          <w:tcPr>
            <w:tcW w:w="4619" w:type="dxa"/>
            <w:shd w:val="clear" w:color="auto" w:fill="auto"/>
          </w:tcPr>
          <w:p w:rsidR="00A44915" w:rsidRPr="00376B52" w:rsidRDefault="00A44915" w:rsidP="00770E1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недостаточное обоснование утверждений</w:t>
            </w:r>
          </w:p>
        </w:tc>
      </w:tr>
      <w:tr w:rsidR="00A44915" w:rsidRPr="005518AC" w:rsidTr="00935496">
        <w:tc>
          <w:tcPr>
            <w:tcW w:w="2828" w:type="dxa"/>
            <w:shd w:val="clear" w:color="auto" w:fill="auto"/>
          </w:tcPr>
          <w:p w:rsidR="00A44915" w:rsidRPr="002D3026" w:rsidRDefault="00A44915" w:rsidP="00770E1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40"/>
              <w:rPr>
                <w:i/>
              </w:rPr>
            </w:pPr>
            <w:r>
              <w:rPr>
                <w:i/>
                <w:lang w:val="ru-RU"/>
              </w:rPr>
              <w:t>Вопросы существа:</w:t>
            </w:r>
          </w:p>
        </w:tc>
        <w:tc>
          <w:tcPr>
            <w:tcW w:w="4619" w:type="dxa"/>
            <w:shd w:val="clear" w:color="auto" w:fill="auto"/>
          </w:tcPr>
          <w:p w:rsidR="00A44915" w:rsidRPr="00376B52" w:rsidRDefault="00A44915" w:rsidP="00770E1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дискриминация в отношении автора на основании его статуса</w:t>
            </w:r>
          </w:p>
        </w:tc>
      </w:tr>
      <w:tr w:rsidR="00A44915" w:rsidRPr="005518AC" w:rsidTr="00935496">
        <w:tc>
          <w:tcPr>
            <w:tcW w:w="2828" w:type="dxa"/>
            <w:shd w:val="clear" w:color="auto" w:fill="auto"/>
          </w:tcPr>
          <w:p w:rsidR="00A44915" w:rsidRPr="002D3026" w:rsidRDefault="00A44915" w:rsidP="00770E1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40"/>
              <w:rPr>
                <w:i/>
                <w:lang w:val="ru-RU"/>
              </w:rPr>
            </w:pPr>
            <w:r>
              <w:rPr>
                <w:i/>
                <w:lang w:val="ru-RU"/>
              </w:rPr>
              <w:t>Статьи Пакта</w:t>
            </w:r>
          </w:p>
        </w:tc>
        <w:tc>
          <w:tcPr>
            <w:tcW w:w="4619" w:type="dxa"/>
            <w:shd w:val="clear" w:color="auto" w:fill="auto"/>
          </w:tcPr>
          <w:p w:rsidR="00A44915" w:rsidRPr="007178B9" w:rsidRDefault="00A44915" w:rsidP="00770E1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</w:tr>
      <w:tr w:rsidR="00A44915" w:rsidRPr="005518AC" w:rsidTr="00935496">
        <w:tc>
          <w:tcPr>
            <w:tcW w:w="2828" w:type="dxa"/>
            <w:shd w:val="clear" w:color="auto" w:fill="auto"/>
          </w:tcPr>
          <w:p w:rsidR="00A44915" w:rsidRPr="002D3026" w:rsidRDefault="00A44915" w:rsidP="00770E1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40"/>
              <w:jc w:val="left"/>
              <w:rPr>
                <w:i/>
                <w:lang w:val="ru-RU"/>
              </w:rPr>
            </w:pPr>
            <w:r>
              <w:rPr>
                <w:i/>
                <w:lang w:val="ru-RU"/>
              </w:rPr>
              <w:t>Статьи Факультативного протокола</w:t>
            </w:r>
          </w:p>
        </w:tc>
        <w:tc>
          <w:tcPr>
            <w:tcW w:w="4619" w:type="dxa"/>
            <w:shd w:val="clear" w:color="auto" w:fill="auto"/>
          </w:tcPr>
          <w:p w:rsidR="00A44915" w:rsidRPr="00630C05" w:rsidRDefault="00A44915" w:rsidP="00770E1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AA5B39" w:rsidRDefault="00A44915" w:rsidP="00171569">
      <w:pPr>
        <w:pStyle w:val="SingleTxtGR"/>
        <w:spacing w:before="120"/>
      </w:pPr>
      <w:r w:rsidRPr="001947A5">
        <w:t>[Приложение]</w:t>
      </w:r>
    </w:p>
    <w:p w:rsidR="00A44915" w:rsidRDefault="00A44915" w:rsidP="00AA5B39">
      <w:pPr>
        <w:pStyle w:val="HChGR"/>
      </w:pPr>
      <w:r>
        <w:br w:type="page"/>
        <w:t>Приложение</w:t>
      </w:r>
    </w:p>
    <w:p w:rsidR="00A44915" w:rsidRDefault="00A44915" w:rsidP="00FA5735">
      <w:pPr>
        <w:pStyle w:val="HChGR"/>
      </w:pPr>
      <w:r>
        <w:tab/>
      </w:r>
      <w:r>
        <w:tab/>
        <w:t>Решение Комитета по правам человека в соответствии с</w:t>
      </w:r>
      <w:r w:rsidR="00285A93">
        <w:t> </w:t>
      </w:r>
      <w:r>
        <w:t>Факультативным протоколом к Международному пакту о</w:t>
      </w:r>
      <w:r w:rsidR="00285A93">
        <w:t> </w:t>
      </w:r>
      <w:r>
        <w:t>гражданских и политических правах (девяносто восьмая сессия)</w:t>
      </w:r>
    </w:p>
    <w:p w:rsidR="00A44915" w:rsidRDefault="00A44915" w:rsidP="00A44915">
      <w:pPr>
        <w:pStyle w:val="SingleTxtGR"/>
        <w:rPr>
          <w:lang w:eastAsia="ru-RU"/>
        </w:rPr>
      </w:pPr>
      <w:r>
        <w:rPr>
          <w:lang w:eastAsia="ru-RU"/>
        </w:rPr>
        <w:t>относительно</w:t>
      </w:r>
    </w:p>
    <w:p w:rsidR="00A44915" w:rsidRDefault="00A44915" w:rsidP="009152DD">
      <w:pPr>
        <w:pStyle w:val="H1GR"/>
        <w:rPr>
          <w:szCs w:val="18"/>
        </w:rPr>
      </w:pPr>
      <w:r>
        <w:tab/>
      </w:r>
      <w:r>
        <w:tab/>
        <w:t>Сообщения № 1778/2008</w:t>
      </w:r>
      <w:r w:rsidR="002A2D62" w:rsidRPr="00891EEF">
        <w:rPr>
          <w:rStyle w:val="FootnoteReference"/>
          <w:b w:val="0"/>
          <w:szCs w:val="18"/>
          <w:vertAlign w:val="baseline"/>
        </w:rPr>
        <w:footnoteReference w:customMarkFollows="1" w:id="2"/>
        <w:t>**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4166"/>
      </w:tblGrid>
      <w:tr w:rsidR="00A44915" w:rsidRPr="00746FED" w:rsidTr="00935496">
        <w:tc>
          <w:tcPr>
            <w:tcW w:w="2828" w:type="dxa"/>
            <w:shd w:val="clear" w:color="auto" w:fill="auto"/>
          </w:tcPr>
          <w:p w:rsidR="00A44915" w:rsidRPr="002D3026" w:rsidRDefault="00A44915" w:rsidP="00770E1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40"/>
              <w:rPr>
                <w:i/>
                <w:lang w:val="ru-RU"/>
              </w:rPr>
            </w:pPr>
            <w:r w:rsidRPr="002D3026">
              <w:rPr>
                <w:i/>
                <w:lang w:val="ru-RU"/>
              </w:rPr>
              <w:t>Представлено:</w:t>
            </w:r>
          </w:p>
        </w:tc>
        <w:tc>
          <w:tcPr>
            <w:tcW w:w="4619" w:type="dxa"/>
            <w:shd w:val="clear" w:color="auto" w:fill="auto"/>
          </w:tcPr>
          <w:p w:rsidR="00A44915" w:rsidRPr="00746FED" w:rsidRDefault="00A44915" w:rsidP="00770E1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864"/>
                <w:tab w:val="left" w:pos="1152"/>
              </w:tabs>
              <w:spacing w:before="40" w:line="240" w:lineRule="atLeast"/>
              <w:ind w:left="0" w:right="45" w:firstLine="28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г-ном Ярославом </w:t>
            </w:r>
            <w:proofErr w:type="spellStart"/>
            <w:r>
              <w:rPr>
                <w:lang w:val="ru-RU"/>
              </w:rPr>
              <w:t>Новотным</w:t>
            </w:r>
            <w:proofErr w:type="spellEnd"/>
            <w:r>
              <w:rPr>
                <w:lang w:val="ru-RU"/>
              </w:rPr>
              <w:t xml:space="preserve"> (представлен адвокатом г-ном Давидом </w:t>
            </w:r>
            <w:proofErr w:type="spellStart"/>
            <w:r>
              <w:rPr>
                <w:lang w:val="ru-RU"/>
              </w:rPr>
              <w:t>Струп</w:t>
            </w:r>
            <w:r w:rsidR="00285A93">
              <w:rPr>
                <w:lang w:val="ru-RU"/>
              </w:rPr>
              <w:t>е</w:t>
            </w:r>
            <w:r>
              <w:rPr>
                <w:lang w:val="ru-RU"/>
              </w:rPr>
              <w:t>ком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A44915" w:rsidRPr="00376B52" w:rsidTr="00935496">
        <w:tc>
          <w:tcPr>
            <w:tcW w:w="2828" w:type="dxa"/>
            <w:shd w:val="clear" w:color="auto" w:fill="auto"/>
          </w:tcPr>
          <w:p w:rsidR="00A44915" w:rsidRPr="002D3026" w:rsidRDefault="00A44915" w:rsidP="00770E1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40"/>
              <w:rPr>
                <w:i/>
              </w:rPr>
            </w:pPr>
            <w:r w:rsidRPr="002D3026">
              <w:rPr>
                <w:i/>
                <w:lang w:val="ru-RU"/>
              </w:rPr>
              <w:t>Предполагаемая жертва</w:t>
            </w:r>
            <w:r w:rsidRPr="002D3026">
              <w:rPr>
                <w:i/>
              </w:rPr>
              <w:t xml:space="preserve">: </w:t>
            </w:r>
          </w:p>
        </w:tc>
        <w:tc>
          <w:tcPr>
            <w:tcW w:w="4619" w:type="dxa"/>
            <w:shd w:val="clear" w:color="auto" w:fill="auto"/>
          </w:tcPr>
          <w:p w:rsidR="00A44915" w:rsidRPr="00376B52" w:rsidRDefault="00A44915" w:rsidP="00770E1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автор сообщения</w:t>
            </w:r>
          </w:p>
        </w:tc>
      </w:tr>
      <w:tr w:rsidR="00A44915" w:rsidRPr="00376B52" w:rsidTr="00935496">
        <w:tc>
          <w:tcPr>
            <w:tcW w:w="2828" w:type="dxa"/>
            <w:shd w:val="clear" w:color="auto" w:fill="auto"/>
          </w:tcPr>
          <w:p w:rsidR="00A44915" w:rsidRPr="002D3026" w:rsidRDefault="00A44915" w:rsidP="00770E1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40"/>
              <w:rPr>
                <w:i/>
              </w:rPr>
            </w:pPr>
            <w:r w:rsidRPr="002D3026">
              <w:rPr>
                <w:i/>
                <w:lang w:val="ru-RU"/>
              </w:rPr>
              <w:t>Государство-участник:</w:t>
            </w:r>
            <w:r w:rsidRPr="002D3026">
              <w:rPr>
                <w:i/>
              </w:rPr>
              <w:t xml:space="preserve"> </w:t>
            </w:r>
          </w:p>
        </w:tc>
        <w:tc>
          <w:tcPr>
            <w:tcW w:w="4619" w:type="dxa"/>
            <w:shd w:val="clear" w:color="auto" w:fill="auto"/>
          </w:tcPr>
          <w:p w:rsidR="00A44915" w:rsidRPr="00376B52" w:rsidRDefault="00A44915" w:rsidP="00770E1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Чешская Республика</w:t>
            </w:r>
          </w:p>
        </w:tc>
      </w:tr>
      <w:tr w:rsidR="00A44915" w:rsidRPr="007178B9" w:rsidTr="00935496">
        <w:tc>
          <w:tcPr>
            <w:tcW w:w="2828" w:type="dxa"/>
            <w:shd w:val="clear" w:color="auto" w:fill="auto"/>
          </w:tcPr>
          <w:p w:rsidR="00A44915" w:rsidRPr="002D3026" w:rsidRDefault="00A44915" w:rsidP="00770E1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40"/>
              <w:rPr>
                <w:i/>
                <w:lang w:val="ru-RU"/>
              </w:rPr>
            </w:pPr>
            <w:r w:rsidRPr="002D3026">
              <w:rPr>
                <w:i/>
                <w:lang w:val="ru-RU"/>
              </w:rPr>
              <w:t>Дата сообщения:</w:t>
            </w:r>
          </w:p>
        </w:tc>
        <w:tc>
          <w:tcPr>
            <w:tcW w:w="4619" w:type="dxa"/>
            <w:shd w:val="clear" w:color="auto" w:fill="auto"/>
          </w:tcPr>
          <w:p w:rsidR="00A44915" w:rsidRPr="007178B9" w:rsidRDefault="00A44915" w:rsidP="00770E1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18 марта 2008 года (первоначальное представление)</w:t>
            </w:r>
          </w:p>
        </w:tc>
      </w:tr>
    </w:tbl>
    <w:p w:rsidR="00A44915" w:rsidRDefault="00A44915" w:rsidP="009152DD">
      <w:pPr>
        <w:pStyle w:val="SingleTxtGR"/>
        <w:spacing w:before="120"/>
        <w:rPr>
          <w:lang w:eastAsia="ru-RU"/>
        </w:rPr>
      </w:pPr>
      <w:r>
        <w:rPr>
          <w:lang w:eastAsia="ru-RU"/>
        </w:rPr>
        <w:tab/>
      </w:r>
      <w:r>
        <w:rPr>
          <w:i/>
          <w:lang w:eastAsia="ru-RU"/>
        </w:rPr>
        <w:t>Комитет по правам человека</w:t>
      </w:r>
      <w:r>
        <w:rPr>
          <w:lang w:eastAsia="ru-RU"/>
        </w:rPr>
        <w:t>, учрежденный в соответствии со статьей 28 Международного пакта о гражданских и политических правах,</w:t>
      </w:r>
    </w:p>
    <w:p w:rsidR="00A44915" w:rsidRDefault="00A44915" w:rsidP="00A44915">
      <w:pPr>
        <w:pStyle w:val="SingleTxtGR"/>
        <w:rPr>
          <w:lang w:eastAsia="ru-RU"/>
        </w:rPr>
      </w:pPr>
      <w:r>
        <w:rPr>
          <w:lang w:eastAsia="ru-RU"/>
        </w:rPr>
        <w:tab/>
      </w:r>
      <w:r>
        <w:rPr>
          <w:i/>
          <w:lang w:eastAsia="ru-RU"/>
        </w:rPr>
        <w:t>на своем заседании</w:t>
      </w:r>
      <w:r>
        <w:rPr>
          <w:lang w:eastAsia="ru-RU"/>
        </w:rPr>
        <w:t xml:space="preserve"> 19 марта 2010 года,</w:t>
      </w:r>
    </w:p>
    <w:p w:rsidR="00A44915" w:rsidRDefault="00A44915" w:rsidP="00A44915">
      <w:pPr>
        <w:pStyle w:val="SingleTxtGR"/>
        <w:rPr>
          <w:i/>
          <w:lang w:eastAsia="ru-RU"/>
        </w:rPr>
      </w:pPr>
      <w:r>
        <w:rPr>
          <w:lang w:eastAsia="ru-RU"/>
        </w:rPr>
        <w:tab/>
      </w:r>
      <w:r>
        <w:rPr>
          <w:i/>
          <w:lang w:eastAsia="ru-RU"/>
        </w:rPr>
        <w:t>принимает следующее:</w:t>
      </w:r>
    </w:p>
    <w:p w:rsidR="00A44915" w:rsidRDefault="00A44915" w:rsidP="00A44915">
      <w:pPr>
        <w:pStyle w:val="H1GR"/>
        <w:rPr>
          <w:lang w:val="en-US"/>
        </w:rPr>
      </w:pPr>
      <w:r>
        <w:tab/>
      </w:r>
      <w:r>
        <w:tab/>
        <w:t>Решение о приемлемости</w:t>
      </w:r>
    </w:p>
    <w:p w:rsidR="006620EE" w:rsidRPr="007C3CC2" w:rsidRDefault="006620EE" w:rsidP="006620EE">
      <w:pPr>
        <w:pStyle w:val="SingleTxtGR"/>
        <w:rPr>
          <w:lang w:eastAsia="ru-RU"/>
        </w:rPr>
      </w:pPr>
      <w:r>
        <w:rPr>
          <w:lang w:eastAsia="ru-RU"/>
        </w:rPr>
        <w:t>1.</w:t>
      </w:r>
      <w:r>
        <w:rPr>
          <w:lang w:eastAsia="ru-RU"/>
        </w:rPr>
        <w:tab/>
        <w:t xml:space="preserve">Автором сообщения является Ярослав </w:t>
      </w:r>
      <w:proofErr w:type="spellStart"/>
      <w:r>
        <w:rPr>
          <w:lang w:eastAsia="ru-RU"/>
        </w:rPr>
        <w:t>Новотный</w:t>
      </w:r>
      <w:proofErr w:type="spellEnd"/>
      <w:r>
        <w:rPr>
          <w:lang w:eastAsia="ru-RU"/>
        </w:rPr>
        <w:t>, гражданин Чехии, к</w:t>
      </w:r>
      <w:r>
        <w:rPr>
          <w:lang w:eastAsia="ru-RU"/>
        </w:rPr>
        <w:t>о</w:t>
      </w:r>
      <w:r>
        <w:rPr>
          <w:lang w:eastAsia="ru-RU"/>
        </w:rPr>
        <w:t>торый на момент опис</w:t>
      </w:r>
      <w:r w:rsidR="00285A93">
        <w:rPr>
          <w:lang w:eastAsia="ru-RU"/>
        </w:rPr>
        <w:t>ываемых</w:t>
      </w:r>
      <w:r>
        <w:rPr>
          <w:lang w:eastAsia="ru-RU"/>
        </w:rPr>
        <w:t xml:space="preserve"> в сообщении</w:t>
      </w:r>
      <w:r w:rsidR="00285A93" w:rsidRPr="00285A93">
        <w:rPr>
          <w:lang w:eastAsia="ru-RU"/>
        </w:rPr>
        <w:t xml:space="preserve"> </w:t>
      </w:r>
      <w:r w:rsidR="00285A93">
        <w:rPr>
          <w:lang w:eastAsia="ru-RU"/>
        </w:rPr>
        <w:t>событий</w:t>
      </w:r>
      <w:r>
        <w:rPr>
          <w:lang w:eastAsia="ru-RU"/>
        </w:rPr>
        <w:t xml:space="preserve"> отбывал срок закл</w:t>
      </w:r>
      <w:r>
        <w:rPr>
          <w:lang w:eastAsia="ru-RU"/>
        </w:rPr>
        <w:t>ю</w:t>
      </w:r>
      <w:r>
        <w:rPr>
          <w:lang w:eastAsia="ru-RU"/>
        </w:rPr>
        <w:t xml:space="preserve">чения в тюрьме </w:t>
      </w:r>
      <w:r w:rsidR="00285A93">
        <w:rPr>
          <w:lang w:eastAsia="ru-RU"/>
        </w:rPr>
        <w:t xml:space="preserve">в </w:t>
      </w:r>
      <w:proofErr w:type="spellStart"/>
      <w:r>
        <w:rPr>
          <w:lang w:eastAsia="ru-RU"/>
        </w:rPr>
        <w:t>Иржице</w:t>
      </w:r>
      <w:proofErr w:type="spellEnd"/>
      <w:r>
        <w:rPr>
          <w:lang w:eastAsia="ru-RU"/>
        </w:rPr>
        <w:t xml:space="preserve"> в Чешской Республике. Он утверждает, что стал жертвой нарушения Чешской Республикой статьи 26 Международного пакта о гражда</w:t>
      </w:r>
      <w:r>
        <w:rPr>
          <w:lang w:eastAsia="ru-RU"/>
        </w:rPr>
        <w:t>н</w:t>
      </w:r>
      <w:r>
        <w:rPr>
          <w:lang w:eastAsia="ru-RU"/>
        </w:rPr>
        <w:t>ских и политических правах</w:t>
      </w:r>
      <w:r w:rsidR="00171569">
        <w:rPr>
          <w:rStyle w:val="FootnoteReference"/>
          <w:lang w:eastAsia="ru-RU"/>
        </w:rPr>
        <w:footnoteReference w:id="3"/>
      </w:r>
      <w:r>
        <w:rPr>
          <w:lang w:eastAsia="ru-RU"/>
        </w:rPr>
        <w:t xml:space="preserve">. Он представлен адвокатом г-ном Давидом </w:t>
      </w:r>
      <w:proofErr w:type="spellStart"/>
      <w:r>
        <w:rPr>
          <w:lang w:eastAsia="ru-RU"/>
        </w:rPr>
        <w:t>Стр</w:t>
      </w:r>
      <w:r>
        <w:rPr>
          <w:lang w:eastAsia="ru-RU"/>
        </w:rPr>
        <w:t>у</w:t>
      </w:r>
      <w:r>
        <w:rPr>
          <w:lang w:eastAsia="ru-RU"/>
        </w:rPr>
        <w:t>п</w:t>
      </w:r>
      <w:r w:rsidR="00285A93">
        <w:rPr>
          <w:lang w:eastAsia="ru-RU"/>
        </w:rPr>
        <w:t>е</w:t>
      </w:r>
      <w:r>
        <w:rPr>
          <w:lang w:eastAsia="ru-RU"/>
        </w:rPr>
        <w:t>ком</w:t>
      </w:r>
      <w:proofErr w:type="spellEnd"/>
      <w:r>
        <w:rPr>
          <w:lang w:eastAsia="ru-RU"/>
        </w:rPr>
        <w:t>.</w:t>
      </w:r>
    </w:p>
    <w:p w:rsidR="007C3CC2" w:rsidRPr="007C3CC2" w:rsidRDefault="007C3CC2" w:rsidP="007C3CC2">
      <w:pPr>
        <w:pStyle w:val="H23GR"/>
      </w:pPr>
      <w:r w:rsidRPr="00171569">
        <w:tab/>
      </w:r>
      <w:r w:rsidRPr="00171569">
        <w:tab/>
      </w:r>
      <w:r>
        <w:t>Факты в изложении автора</w:t>
      </w:r>
    </w:p>
    <w:p w:rsidR="007C3CC2" w:rsidRDefault="007C3CC2" w:rsidP="006620EE">
      <w:pPr>
        <w:pStyle w:val="SingleTxtGR"/>
        <w:rPr>
          <w:lang w:val="en-US" w:eastAsia="ru-RU"/>
        </w:rPr>
      </w:pPr>
      <w:r w:rsidRPr="007C3CC2">
        <w:rPr>
          <w:lang w:eastAsia="ru-RU"/>
        </w:rPr>
        <w:t>2.1</w:t>
      </w:r>
      <w:r w:rsidRPr="007C3CC2">
        <w:rPr>
          <w:lang w:eastAsia="ru-RU"/>
        </w:rPr>
        <w:tab/>
        <w:t>С 25 сентября по 10 ноября 2006 года автор являлся работником частной структуры в соответствии со статьей 30 Закона об исполнении наказаний в виде лишения свободы (</w:t>
      </w:r>
      <w:proofErr w:type="spellStart"/>
      <w:r w:rsidRPr="007C3CC2">
        <w:rPr>
          <w:lang w:eastAsia="ru-RU"/>
        </w:rPr>
        <w:t>ЗИНЛС</w:t>
      </w:r>
      <w:proofErr w:type="spellEnd"/>
      <w:r w:rsidRPr="007C3CC2">
        <w:rPr>
          <w:lang w:eastAsia="ru-RU"/>
        </w:rPr>
        <w:t>)</w:t>
      </w:r>
      <w:r>
        <w:rPr>
          <w:rStyle w:val="FootnoteReference"/>
          <w:lang w:eastAsia="ru-RU"/>
        </w:rPr>
        <w:footnoteReference w:id="4"/>
      </w:r>
      <w:r w:rsidRPr="007C3CC2">
        <w:rPr>
          <w:lang w:eastAsia="ru-RU"/>
        </w:rPr>
        <w:t>. В соответствии с решением, принятым директ</w:t>
      </w:r>
      <w:r w:rsidRPr="007C3CC2">
        <w:rPr>
          <w:lang w:eastAsia="ru-RU"/>
        </w:rPr>
        <w:t>о</w:t>
      </w:r>
      <w:r w:rsidRPr="007C3CC2">
        <w:rPr>
          <w:lang w:eastAsia="ru-RU"/>
        </w:rPr>
        <w:t>ром тюрьмы 21 се</w:t>
      </w:r>
      <w:r w:rsidR="00224C3A">
        <w:rPr>
          <w:lang w:eastAsia="ru-RU"/>
        </w:rPr>
        <w:t>нтября 2006 года</w:t>
      </w:r>
      <w:r w:rsidR="00BB7C27">
        <w:rPr>
          <w:lang w:eastAsia="ru-RU"/>
        </w:rPr>
        <w:t xml:space="preserve"> на основании П</w:t>
      </w:r>
      <w:r w:rsidRPr="007C3CC2">
        <w:rPr>
          <w:lang w:eastAsia="ru-RU"/>
        </w:rPr>
        <w:t>равительственного указа №</w:t>
      </w:r>
      <w:r w:rsidR="00BB7C27">
        <w:rPr>
          <w:lang w:eastAsia="ru-RU"/>
        </w:rPr>
        <w:t> </w:t>
      </w:r>
      <w:r w:rsidRPr="007C3CC2">
        <w:rPr>
          <w:lang w:eastAsia="ru-RU"/>
        </w:rPr>
        <w:t>365/</w:t>
      </w:r>
      <w:r w:rsidR="00BB7C27">
        <w:rPr>
          <w:lang w:eastAsia="ru-RU"/>
        </w:rPr>
        <w:t>19</w:t>
      </w:r>
      <w:r w:rsidRPr="007C3CC2">
        <w:rPr>
          <w:lang w:eastAsia="ru-RU"/>
        </w:rPr>
        <w:t>99, его ежемесячное вознаграждение составляло 4 500 крон. В тот же период установленный уровень ежемесячной минимальной заработной платы в Чешской Республике составлял 7 995 чешских крон.</w:t>
      </w:r>
    </w:p>
    <w:p w:rsidR="0065795D" w:rsidRPr="00AC51DD" w:rsidRDefault="0065795D" w:rsidP="0065795D">
      <w:pPr>
        <w:pStyle w:val="SingleTxtGR"/>
      </w:pPr>
      <w:r w:rsidRPr="00AC51DD">
        <w:t>2.2</w:t>
      </w:r>
      <w:r w:rsidRPr="00AC51DD">
        <w:tab/>
        <w:t xml:space="preserve">В </w:t>
      </w:r>
      <w:proofErr w:type="spellStart"/>
      <w:r w:rsidRPr="00AC51DD">
        <w:t>неуточненные</w:t>
      </w:r>
      <w:proofErr w:type="spellEnd"/>
      <w:r w:rsidRPr="00AC51DD">
        <w:t xml:space="preserve"> даты автор безуспешно обращался с жалобами к Ген</w:t>
      </w:r>
      <w:r w:rsidRPr="00AC51DD">
        <w:t>е</w:t>
      </w:r>
      <w:r w:rsidRPr="00AC51DD">
        <w:t xml:space="preserve">ральному директору </w:t>
      </w:r>
      <w:r w:rsidR="00BB7C27">
        <w:t>П</w:t>
      </w:r>
      <w:r w:rsidRPr="00AC51DD">
        <w:t>енитенциарной службы и к Уполномоченному по пр</w:t>
      </w:r>
      <w:r w:rsidRPr="00AC51DD">
        <w:t>а</w:t>
      </w:r>
      <w:r w:rsidRPr="00AC51DD">
        <w:t>вам человека по поводу неравенства оплаты его труда по сравнению с работн</w:t>
      </w:r>
      <w:r w:rsidRPr="00AC51DD">
        <w:t>и</w:t>
      </w:r>
      <w:r w:rsidRPr="00AC51DD">
        <w:t>ками, получающими установленную законом минимальную заработную плату. 3 я</w:t>
      </w:r>
      <w:r w:rsidRPr="00AC51DD">
        <w:t>н</w:t>
      </w:r>
      <w:r w:rsidRPr="00AC51DD">
        <w:t>варя 2007 года автор сообщения подал не увенчавшуюся успехом конституц</w:t>
      </w:r>
      <w:r w:rsidRPr="00AC51DD">
        <w:t>и</w:t>
      </w:r>
      <w:r w:rsidRPr="00AC51DD">
        <w:t>онную жалобу в Конституционный суд на том основании, что он подвергался дискриминации в связи с его правом на справе</w:t>
      </w:r>
      <w:r w:rsidRPr="00AC51DD">
        <w:t>д</w:t>
      </w:r>
      <w:r w:rsidRPr="00AC51DD">
        <w:t>ливую оплату труда. 1 марта 2007 года Суд отклонил его жалобу как явно необоснованную, поскольку пол</w:t>
      </w:r>
      <w:r w:rsidRPr="00AC51DD">
        <w:t>о</w:t>
      </w:r>
      <w:r w:rsidRPr="00AC51DD">
        <w:t>жение осужденного</w:t>
      </w:r>
      <w:r w:rsidR="00224C3A" w:rsidRPr="00224C3A">
        <w:t xml:space="preserve"> </w:t>
      </w:r>
      <w:r w:rsidRPr="00AC51DD">
        <w:t xml:space="preserve">заключенного, работающего по найму в соответствии с </w:t>
      </w:r>
      <w:proofErr w:type="spellStart"/>
      <w:r w:rsidRPr="00AC51DD">
        <w:t>ЗИНЛС</w:t>
      </w:r>
      <w:proofErr w:type="spellEnd"/>
      <w:r w:rsidR="00BB7C27">
        <w:t>,</w:t>
      </w:r>
      <w:r w:rsidRPr="00AC51DD">
        <w:t xml:space="preserve"> несопоставимо с положением лица, работающего по найму на основ</w:t>
      </w:r>
      <w:r w:rsidRPr="00AC51DD">
        <w:t>а</w:t>
      </w:r>
      <w:r w:rsidRPr="00AC51DD">
        <w:t>нии трудового соглашения.</w:t>
      </w:r>
    </w:p>
    <w:p w:rsidR="0065795D" w:rsidRPr="00AC51DD" w:rsidRDefault="0065795D" w:rsidP="0065795D">
      <w:pPr>
        <w:pStyle w:val="H23GR"/>
      </w:pPr>
      <w:r w:rsidRPr="00BB7C27">
        <w:tab/>
      </w:r>
      <w:r w:rsidRPr="00BB7C27">
        <w:tab/>
      </w:r>
      <w:r w:rsidRPr="00AC51DD">
        <w:t>Жалоба</w:t>
      </w:r>
    </w:p>
    <w:p w:rsidR="0065795D" w:rsidRPr="00AC51DD" w:rsidRDefault="0065795D" w:rsidP="0065795D">
      <w:pPr>
        <w:pStyle w:val="SingleTxtGR"/>
      </w:pPr>
      <w:r w:rsidRPr="00AC51DD">
        <w:t>3.1</w:t>
      </w:r>
      <w:r w:rsidRPr="00AC51DD">
        <w:tab/>
        <w:t>Автор утверждает о нарушении его права не подвергаться дискримин</w:t>
      </w:r>
      <w:r w:rsidRPr="00AC51DD">
        <w:t>а</w:t>
      </w:r>
      <w:r w:rsidRPr="00AC51DD">
        <w:t>ции в соответствии со статьей 26 по признаку его статуса осужденного</w:t>
      </w:r>
      <w:r w:rsidR="00224C3A" w:rsidRPr="000D1067">
        <w:t xml:space="preserve"> </w:t>
      </w:r>
      <w:r w:rsidRPr="00AC51DD">
        <w:t>закл</w:t>
      </w:r>
      <w:r w:rsidRPr="00AC51DD">
        <w:t>ю</w:t>
      </w:r>
      <w:r w:rsidRPr="00AC51DD">
        <w:t>ченного, поскольку выплаченное ему вознаграждение за труд в период его пр</w:t>
      </w:r>
      <w:r w:rsidRPr="00AC51DD">
        <w:t>е</w:t>
      </w:r>
      <w:r w:rsidRPr="00AC51DD">
        <w:t xml:space="preserve">бывания в тюрьме являлось непропорционально более низким по сравнению с установленным уровнем минимальной заработной платы. Он утверждает, что в соответствии со статьей 32 </w:t>
      </w:r>
      <w:proofErr w:type="spellStart"/>
      <w:r w:rsidRPr="00AC51DD">
        <w:t>ЗИНЛС</w:t>
      </w:r>
      <w:proofErr w:type="spellEnd"/>
      <w:r w:rsidRPr="00AC51DD">
        <w:t xml:space="preserve"> условия труда заключенных, продолжител</w:t>
      </w:r>
      <w:r w:rsidRPr="00AC51DD">
        <w:t>ь</w:t>
      </w:r>
      <w:r w:rsidRPr="00AC51DD">
        <w:t>ность их рабочего времени и сверхурочная работа регулируются полож</w:t>
      </w:r>
      <w:r w:rsidRPr="00AC51DD">
        <w:t>е</w:t>
      </w:r>
      <w:r w:rsidRPr="00AC51DD">
        <w:t>ниями Трудового кодекса в Чешской Республике и других законодательных п</w:t>
      </w:r>
      <w:r w:rsidRPr="00AC51DD">
        <w:t>о</w:t>
      </w:r>
      <w:r w:rsidRPr="00AC51DD">
        <w:t>ложений о труд</w:t>
      </w:r>
      <w:r w:rsidR="000D1067">
        <w:t>е. В соответствии со статьей 33</w:t>
      </w:r>
      <w:r w:rsidRPr="00AC51DD">
        <w:t xml:space="preserve"> налоги и выплаты на медицинское стр</w:t>
      </w:r>
      <w:r w:rsidRPr="00AC51DD">
        <w:t>а</w:t>
      </w:r>
      <w:r w:rsidRPr="00AC51DD">
        <w:t>хование и социальное обеспечение вычитываются из вознаграждения осужде</w:t>
      </w:r>
      <w:r w:rsidRPr="00AC51DD">
        <w:t>н</w:t>
      </w:r>
      <w:r w:rsidRPr="00AC51DD">
        <w:t>ного заключенного таким же образом, как и из зарплаты, выплачиваемой на о</w:t>
      </w:r>
      <w:r w:rsidRPr="00AC51DD">
        <w:t>с</w:t>
      </w:r>
      <w:r w:rsidRPr="00AC51DD">
        <w:t>новании трудового соглашения. Автор утверждает, что он выполнял работу, с</w:t>
      </w:r>
      <w:r w:rsidRPr="00AC51DD">
        <w:t>о</w:t>
      </w:r>
      <w:r w:rsidRPr="00AC51DD">
        <w:t>поставимую с трудом обычного служащего</w:t>
      </w:r>
      <w:r w:rsidR="000D1067">
        <w:t>,</w:t>
      </w:r>
      <w:r w:rsidRPr="00AC51DD">
        <w:t xml:space="preserve"> и что его взаимоотношения с раб</w:t>
      </w:r>
      <w:r w:rsidRPr="00AC51DD">
        <w:t>о</w:t>
      </w:r>
      <w:r w:rsidRPr="00AC51DD">
        <w:t>тодателем были сопоставимы с условиями общего трудового согл</w:t>
      </w:r>
      <w:r w:rsidRPr="00AC51DD">
        <w:t>а</w:t>
      </w:r>
      <w:r w:rsidRPr="00AC51DD">
        <w:t>шения.</w:t>
      </w:r>
    </w:p>
    <w:p w:rsidR="0065795D" w:rsidRPr="00AC51DD" w:rsidRDefault="0065795D" w:rsidP="0065795D">
      <w:pPr>
        <w:pStyle w:val="SingleTxtGR"/>
      </w:pPr>
      <w:r w:rsidRPr="00AC51DD">
        <w:t>3.2</w:t>
      </w:r>
      <w:r w:rsidRPr="00AC51DD">
        <w:tab/>
        <w:t>Автор отрицает утверждение о том, что занятость являлась неотъемлемой частью исполнения его приговора, поскольку он был приговорен не к принуд</w:t>
      </w:r>
      <w:r w:rsidRPr="00AC51DD">
        <w:t>и</w:t>
      </w:r>
      <w:r w:rsidRPr="00AC51DD">
        <w:t>тельному труду, а всего лишь к лишению свободы. Он утверждает, что он в</w:t>
      </w:r>
      <w:r w:rsidRPr="00AC51DD">
        <w:t>ы</w:t>
      </w:r>
      <w:r w:rsidRPr="00AC51DD">
        <w:t>полнял работу для частной структуры, а не для тюремной администрации, что ему никто не приказывал трудиться и что он был свободен отказаться от этого назначения. Он заявляет, что предполагаемая цель его трудоустройства, а име</w:t>
      </w:r>
      <w:r w:rsidRPr="00AC51DD">
        <w:t>н</w:t>
      </w:r>
      <w:r w:rsidRPr="00AC51DD">
        <w:t xml:space="preserve">но: подготовка к </w:t>
      </w:r>
      <w:proofErr w:type="spellStart"/>
      <w:r w:rsidRPr="00AC51DD">
        <w:t>реинтеграции</w:t>
      </w:r>
      <w:proofErr w:type="spellEnd"/>
      <w:r w:rsidRPr="00AC51DD">
        <w:t xml:space="preserve"> в общество, не может служить оправданием для различ</w:t>
      </w:r>
      <w:r w:rsidR="00BB7C27">
        <w:t>ий</w:t>
      </w:r>
      <w:r w:rsidRPr="00AC51DD">
        <w:t xml:space="preserve"> </w:t>
      </w:r>
      <w:r w:rsidR="00BB7C27">
        <w:t xml:space="preserve">в </w:t>
      </w:r>
      <w:r w:rsidRPr="00AC51DD">
        <w:t>обращени</w:t>
      </w:r>
      <w:r w:rsidR="00BB7C27">
        <w:t>и</w:t>
      </w:r>
      <w:r w:rsidRPr="00AC51DD">
        <w:t xml:space="preserve"> с точки зрения выплаченного ему вознагражд</w:t>
      </w:r>
      <w:r w:rsidRPr="00AC51DD">
        <w:t>е</w:t>
      </w:r>
      <w:r w:rsidRPr="00AC51DD">
        <w:t>ния.</w:t>
      </w:r>
    </w:p>
    <w:p w:rsidR="0065795D" w:rsidRPr="00AC51DD" w:rsidRDefault="0065795D" w:rsidP="0065795D">
      <w:pPr>
        <w:pStyle w:val="SingleTxtGR"/>
      </w:pPr>
      <w:r w:rsidRPr="00AC51DD">
        <w:t>3.3</w:t>
      </w:r>
      <w:r w:rsidRPr="00AC51DD">
        <w:tab/>
        <w:t xml:space="preserve">Автор заявляет, что работающие осужденные-заключенные должны </w:t>
      </w:r>
      <w:r w:rsidR="00B40988">
        <w:t>п</w:t>
      </w:r>
      <w:r w:rsidR="00B40988">
        <w:t>о</w:t>
      </w:r>
      <w:r w:rsidR="00B40988">
        <w:t>крывать</w:t>
      </w:r>
      <w:r w:rsidRPr="00AC51DD">
        <w:t xml:space="preserve"> те же расходы, связанные с их тюремным заключением, что и нераб</w:t>
      </w:r>
      <w:r w:rsidRPr="00AC51DD">
        <w:t>о</w:t>
      </w:r>
      <w:r w:rsidRPr="00AC51DD">
        <w:t>тающие осужденные-заключенные. Тот факт, что государство-участник обесп</w:t>
      </w:r>
      <w:r w:rsidRPr="00AC51DD">
        <w:t>е</w:t>
      </w:r>
      <w:r w:rsidRPr="00AC51DD">
        <w:t>чивает базо</w:t>
      </w:r>
      <w:r w:rsidR="00B40988">
        <w:t>вые</w:t>
      </w:r>
      <w:r w:rsidRPr="00AC51DD">
        <w:t xml:space="preserve"> потребност</w:t>
      </w:r>
      <w:r w:rsidR="00B40988">
        <w:t>и</w:t>
      </w:r>
      <w:r w:rsidRPr="00AC51DD">
        <w:t xml:space="preserve"> осужденных-заключенных, не может служить о</w:t>
      </w:r>
      <w:r w:rsidRPr="00AC51DD">
        <w:t>п</w:t>
      </w:r>
      <w:r w:rsidRPr="00AC51DD">
        <w:t>равданием для непропорционального вознаграждения, поскольку осужденные</w:t>
      </w:r>
      <w:r w:rsidR="000D1067">
        <w:t xml:space="preserve"> </w:t>
      </w:r>
      <w:r w:rsidRPr="00AC51DD">
        <w:t xml:space="preserve">заключенные также продолжают выплачивать ренту и </w:t>
      </w:r>
      <w:r w:rsidR="00B40988">
        <w:t>помогать</w:t>
      </w:r>
      <w:r w:rsidRPr="00AC51DD">
        <w:t xml:space="preserve"> свои</w:t>
      </w:r>
      <w:r w:rsidR="00B40988">
        <w:t>м</w:t>
      </w:r>
      <w:r w:rsidRPr="00AC51DD">
        <w:t xml:space="preserve"> семь</w:t>
      </w:r>
      <w:r w:rsidR="00B40988">
        <w:t>ям</w:t>
      </w:r>
      <w:r w:rsidRPr="00AC51DD">
        <w:t>.</w:t>
      </w:r>
    </w:p>
    <w:p w:rsidR="0065795D" w:rsidRPr="00AC51DD" w:rsidRDefault="00184E60" w:rsidP="00184E60">
      <w:pPr>
        <w:pStyle w:val="H23GR"/>
      </w:pPr>
      <w:r w:rsidRPr="00B40988">
        <w:tab/>
      </w:r>
      <w:r w:rsidRPr="00B40988">
        <w:tab/>
      </w:r>
      <w:r w:rsidR="0065795D" w:rsidRPr="00AC51DD">
        <w:t>Замечания государства-участника</w:t>
      </w:r>
    </w:p>
    <w:p w:rsidR="0065795D" w:rsidRPr="00AC51DD" w:rsidRDefault="0065795D" w:rsidP="00184E60">
      <w:pPr>
        <w:pStyle w:val="SingleTxtGR"/>
      </w:pPr>
      <w:r w:rsidRPr="00AC51DD">
        <w:t>4.1</w:t>
      </w:r>
      <w:r w:rsidRPr="00AC51DD">
        <w:tab/>
        <w:t>3 октября 2008 года государство-участник представило свои замечания по сообщению, заявив о том, что оно является неприемлемым по ряду причин. Во-первых, государство-участник, ссылаясь на правовую практику Комитета</w:t>
      </w:r>
      <w:r w:rsidRPr="00AC51DD">
        <w:rPr>
          <w:vertAlign w:val="superscript"/>
        </w:rPr>
        <w:footnoteReference w:id="5"/>
      </w:r>
      <w:r w:rsidRPr="00AC51DD">
        <w:t>, у</w:t>
      </w:r>
      <w:r w:rsidRPr="00AC51DD">
        <w:t>т</w:t>
      </w:r>
      <w:r w:rsidRPr="00AC51DD">
        <w:t xml:space="preserve">верждает, что </w:t>
      </w:r>
      <w:r w:rsidR="00B40988">
        <w:t>данное сообщение</w:t>
      </w:r>
      <w:r w:rsidRPr="00AC51DD">
        <w:t xml:space="preserve"> представляет собой злоупотребление правом на представле</w:t>
      </w:r>
      <w:r w:rsidR="00B40988">
        <w:t>ние сообщений</w:t>
      </w:r>
      <w:r w:rsidRPr="00AC51DD">
        <w:t>. Оно утверждает, что автор обратился в Комитет спустя более одного года после принятия последнего решения национальными органами и что такая задержка, в отношении которой автор не представил об</w:t>
      </w:r>
      <w:r w:rsidRPr="00AC51DD">
        <w:t>ъ</w:t>
      </w:r>
      <w:r w:rsidRPr="00AC51DD">
        <w:t>яснений, я</w:t>
      </w:r>
      <w:r w:rsidRPr="00AC51DD">
        <w:t>в</w:t>
      </w:r>
      <w:r w:rsidRPr="00AC51DD">
        <w:t xml:space="preserve">ляется неоправданной. </w:t>
      </w:r>
    </w:p>
    <w:p w:rsidR="0065795D" w:rsidRPr="00AC51DD" w:rsidRDefault="0065795D" w:rsidP="00184E60">
      <w:pPr>
        <w:pStyle w:val="SingleTxtGR"/>
      </w:pPr>
      <w:r w:rsidRPr="00AC51DD">
        <w:t>4.2</w:t>
      </w:r>
      <w:r w:rsidRPr="00AC51DD">
        <w:tab/>
        <w:t>Государство-участник далее утверждает, что жалоба недостаточно обо</w:t>
      </w:r>
      <w:r w:rsidRPr="00AC51DD">
        <w:t>с</w:t>
      </w:r>
      <w:r w:rsidRPr="00AC51DD">
        <w:t xml:space="preserve">нована для целей приемлемости. Оно ссылается на сообщение </w:t>
      </w:r>
      <w:r w:rsidRPr="00AC51DD">
        <w:rPr>
          <w:i/>
        </w:rPr>
        <w:t xml:space="preserve">Марьян </w:t>
      </w:r>
      <w:proofErr w:type="spellStart"/>
      <w:r w:rsidRPr="00AC51DD">
        <w:rPr>
          <w:i/>
        </w:rPr>
        <w:t>Радош</w:t>
      </w:r>
      <w:r w:rsidRPr="00AC51DD">
        <w:rPr>
          <w:i/>
        </w:rPr>
        <w:t>е</w:t>
      </w:r>
      <w:r w:rsidRPr="00AC51DD">
        <w:rPr>
          <w:i/>
        </w:rPr>
        <w:t>вич</w:t>
      </w:r>
      <w:proofErr w:type="spellEnd"/>
      <w:r w:rsidRPr="00AC51DD">
        <w:rPr>
          <w:i/>
        </w:rPr>
        <w:t xml:space="preserve"> против Германии</w:t>
      </w:r>
      <w:r w:rsidRPr="000D1067">
        <w:rPr>
          <w:vertAlign w:val="superscript"/>
        </w:rPr>
        <w:footnoteReference w:id="6"/>
      </w:r>
      <w:r w:rsidRPr="00AC51DD">
        <w:t>, котор</w:t>
      </w:r>
      <w:r w:rsidR="00B40988">
        <w:t>ое</w:t>
      </w:r>
      <w:r w:rsidRPr="00AC51DD">
        <w:t xml:space="preserve"> также касается размеров вознаграждения за в</w:t>
      </w:r>
      <w:r w:rsidRPr="00AC51DD">
        <w:t>ы</w:t>
      </w:r>
      <w:r w:rsidRPr="00AC51DD">
        <w:t xml:space="preserve">полненную заключенным </w:t>
      </w:r>
      <w:r w:rsidR="00B40988" w:rsidRPr="00AC51DD">
        <w:t xml:space="preserve">работу </w:t>
      </w:r>
      <w:r w:rsidRPr="00AC51DD">
        <w:t>и в котором Комитет постановил, что сообщ</w:t>
      </w:r>
      <w:r w:rsidRPr="00AC51DD">
        <w:t>е</w:t>
      </w:r>
      <w:r w:rsidRPr="00AC51DD">
        <w:t>ние является неприемлемым, поскольку, как и в настоящем деле, автор сообщ</w:t>
      </w:r>
      <w:r w:rsidRPr="00AC51DD">
        <w:t>е</w:t>
      </w:r>
      <w:r w:rsidRPr="00AC51DD">
        <w:t>ния не представил достаточно информации о том, какой вид работы он выпо</w:t>
      </w:r>
      <w:r w:rsidRPr="00AC51DD">
        <w:t>л</w:t>
      </w:r>
      <w:r w:rsidRPr="00AC51DD">
        <w:t>нял.</w:t>
      </w:r>
    </w:p>
    <w:p w:rsidR="0065795D" w:rsidRPr="00AC51DD" w:rsidRDefault="0065795D" w:rsidP="00184E60">
      <w:pPr>
        <w:pStyle w:val="SingleTxtGR"/>
      </w:pPr>
      <w:r w:rsidRPr="00AC51DD">
        <w:t>4.3</w:t>
      </w:r>
      <w:r w:rsidRPr="00AC51DD">
        <w:tab/>
        <w:t>В отношении существа жалобы государство-участник считает ее необо</w:t>
      </w:r>
      <w:r w:rsidRPr="00AC51DD">
        <w:t>с</w:t>
      </w:r>
      <w:r w:rsidRPr="00AC51DD">
        <w:t>нованной. Оно утверждает, что различие в обращении между заключенными и наемными работниками с точки зрения вознаграждения за труд является опра</w:t>
      </w:r>
      <w:r w:rsidRPr="00AC51DD">
        <w:t>в</w:t>
      </w:r>
      <w:r w:rsidRPr="00AC51DD">
        <w:t>данным и базируется на объективных и обоснованных критериях. Ссыл</w:t>
      </w:r>
      <w:r w:rsidRPr="00AC51DD">
        <w:t>а</w:t>
      </w:r>
      <w:r w:rsidRPr="00AC51DD">
        <w:t>ясь на правовую практику Комитета в отношении толкования статьи 26</w:t>
      </w:r>
      <w:r w:rsidRPr="00AC51DD">
        <w:rPr>
          <w:vertAlign w:val="superscript"/>
        </w:rPr>
        <w:footnoteReference w:id="7"/>
      </w:r>
      <w:r w:rsidRPr="00AC51DD">
        <w:t>, государство-участник утверждает, что автор сообщения получал заработную плату ниже м</w:t>
      </w:r>
      <w:r w:rsidRPr="00AC51DD">
        <w:t>и</w:t>
      </w:r>
      <w:r w:rsidRPr="00AC51DD">
        <w:t>нимального установленного уровня (приблизительно 60%) в силу специфич</w:t>
      </w:r>
      <w:r w:rsidRPr="00AC51DD">
        <w:t>е</w:t>
      </w:r>
      <w:r w:rsidRPr="00AC51DD">
        <w:t>ского характера труда, выполняемого осужденными</w:t>
      </w:r>
      <w:r w:rsidR="000D1067">
        <w:t xml:space="preserve"> </w:t>
      </w:r>
      <w:r w:rsidRPr="00AC51DD">
        <w:t>заключенными. Оно отм</w:t>
      </w:r>
      <w:r w:rsidRPr="00AC51DD">
        <w:t>е</w:t>
      </w:r>
      <w:r w:rsidRPr="00AC51DD">
        <w:t>чает, что различие в правовом положении осужденных</w:t>
      </w:r>
      <w:r w:rsidR="000D1067">
        <w:t xml:space="preserve"> </w:t>
      </w:r>
      <w:r w:rsidRPr="00AC51DD">
        <w:t>заключенных и обы</w:t>
      </w:r>
      <w:r w:rsidRPr="00AC51DD">
        <w:t>ч</w:t>
      </w:r>
      <w:r w:rsidRPr="00AC51DD">
        <w:t xml:space="preserve">ных наемных работников совершенно очевидно. По чешскому законодательству все заключенные, приговоренные к лишению свободы, обязаны трудиться до тех пор, пока им это позволяет </w:t>
      </w:r>
      <w:r w:rsidR="00D05304">
        <w:t xml:space="preserve">состояние </w:t>
      </w:r>
      <w:r w:rsidRPr="00AC51DD">
        <w:t>их здоровь</w:t>
      </w:r>
      <w:r w:rsidR="00D05304">
        <w:t>я</w:t>
      </w:r>
      <w:r w:rsidRPr="00AC51DD">
        <w:rPr>
          <w:vertAlign w:val="superscript"/>
        </w:rPr>
        <w:footnoteReference w:id="8"/>
      </w:r>
      <w:r w:rsidRPr="00AC51DD">
        <w:t>. Заключенный, которому п</w:t>
      </w:r>
      <w:r w:rsidRPr="00AC51DD">
        <w:t>о</w:t>
      </w:r>
      <w:r w:rsidRPr="00AC51DD">
        <w:t>ручен</w:t>
      </w:r>
      <w:r w:rsidR="00D05304">
        <w:t>а</w:t>
      </w:r>
      <w:r w:rsidRPr="00AC51DD">
        <w:t xml:space="preserve"> работа, не может отказаться от работы в интересах государства, гос</w:t>
      </w:r>
      <w:r w:rsidRPr="00AC51DD">
        <w:t>у</w:t>
      </w:r>
      <w:r w:rsidRPr="00AC51DD">
        <w:t xml:space="preserve">дарственных органов или других государственных </w:t>
      </w:r>
      <w:r w:rsidR="00D05304">
        <w:t>структур</w:t>
      </w:r>
      <w:r w:rsidRPr="00AC51DD">
        <w:t xml:space="preserve">, однако он </w:t>
      </w:r>
      <w:r w:rsidR="00D05304">
        <w:t>вправе</w:t>
      </w:r>
      <w:r w:rsidRPr="00AC51DD">
        <w:t xml:space="preserve"> отказаться от выполнения работы для частного предприятия. Работа, выпо</w:t>
      </w:r>
      <w:r w:rsidRPr="00AC51DD">
        <w:t>л</w:t>
      </w:r>
      <w:r w:rsidRPr="00AC51DD">
        <w:t>няемая осужденными заключенными, составляет часть процесса реабилит</w:t>
      </w:r>
      <w:r w:rsidRPr="00AC51DD">
        <w:t>а</w:t>
      </w:r>
      <w:r w:rsidRPr="00AC51DD">
        <w:t>ции, которая является целью тюремного заключения. Выплачиваемое им вознагра</w:t>
      </w:r>
      <w:r w:rsidRPr="00AC51DD">
        <w:t>ж</w:t>
      </w:r>
      <w:r w:rsidRPr="00AC51DD">
        <w:t>дение не преследует цель обеспечения их существования, поскольку базовы</w:t>
      </w:r>
      <w:r w:rsidR="00D05304">
        <w:t>е</w:t>
      </w:r>
      <w:r w:rsidRPr="00AC51DD">
        <w:t xml:space="preserve"> потребност</w:t>
      </w:r>
      <w:r w:rsidR="00D05304">
        <w:t>и</w:t>
      </w:r>
      <w:r w:rsidRPr="00AC51DD">
        <w:t xml:space="preserve"> осужденных</w:t>
      </w:r>
      <w:r w:rsidR="0050072D">
        <w:t xml:space="preserve"> </w:t>
      </w:r>
      <w:r w:rsidRPr="00AC51DD">
        <w:t>заключенных обеспечивает госуда</w:t>
      </w:r>
      <w:r w:rsidRPr="00AC51DD">
        <w:t>р</w:t>
      </w:r>
      <w:r w:rsidRPr="00AC51DD">
        <w:t>ство.</w:t>
      </w:r>
    </w:p>
    <w:p w:rsidR="0065795D" w:rsidRPr="00AC51DD" w:rsidRDefault="0065795D" w:rsidP="00184E60">
      <w:pPr>
        <w:pStyle w:val="SingleTxtGR"/>
      </w:pPr>
      <w:r w:rsidRPr="00AC51DD">
        <w:t>4.4</w:t>
      </w:r>
      <w:r w:rsidRPr="00AC51DD">
        <w:tab/>
        <w:t>Государство-участник также утверждает, что еще одно основное различие между наемными работниками и работающими заключенными состоит в но</w:t>
      </w:r>
      <w:r w:rsidRPr="00AC51DD">
        <w:t>р</w:t>
      </w:r>
      <w:r w:rsidRPr="00AC51DD">
        <w:t>мативах, регулирующих вознаграждение их труда. Заключенный и работодатель не могут свободно договариваться о размерах вознаграждения заключенного, которое регламентируются установленными нормативными положениями. Кр</w:t>
      </w:r>
      <w:r w:rsidRPr="00AC51DD">
        <w:t>о</w:t>
      </w:r>
      <w:r w:rsidRPr="00AC51DD">
        <w:t>ме того, заключенный не может свободно распоряжаться своим доходом, п</w:t>
      </w:r>
      <w:r w:rsidRPr="00AC51DD">
        <w:t>о</w:t>
      </w:r>
      <w:r w:rsidRPr="00AC51DD">
        <w:t xml:space="preserve">скольку государство предназначает часть такого дохода для ряда других видов использования. </w:t>
      </w:r>
    </w:p>
    <w:p w:rsidR="0065795D" w:rsidRPr="00AC51DD" w:rsidRDefault="0065795D" w:rsidP="00184E60">
      <w:pPr>
        <w:pStyle w:val="SingleTxtGR"/>
      </w:pPr>
      <w:r w:rsidRPr="00AC51DD">
        <w:t>4.5</w:t>
      </w:r>
      <w:r w:rsidRPr="00AC51DD">
        <w:tab/>
        <w:t>Государство-участник также утверждает, что минимальный размер опл</w:t>
      </w:r>
      <w:r w:rsidRPr="00AC51DD">
        <w:t>а</w:t>
      </w:r>
      <w:r w:rsidRPr="00AC51DD">
        <w:t>ты труда является социальным понятием, в соответствии с которым наемным работникам обеспечивается гарантия минимального уровня содержания, в то</w:t>
      </w:r>
      <w:r w:rsidR="0050072D">
        <w:t xml:space="preserve"> время как в случае заключенных</w:t>
      </w:r>
      <w:r w:rsidRPr="00AC51DD">
        <w:t xml:space="preserve"> их </w:t>
      </w:r>
      <w:r w:rsidR="00D05304" w:rsidRPr="00AC51DD">
        <w:t xml:space="preserve">минимальное </w:t>
      </w:r>
      <w:r w:rsidRPr="00AC51DD">
        <w:t>содержание обеспечивает г</w:t>
      </w:r>
      <w:r w:rsidRPr="00AC51DD">
        <w:t>о</w:t>
      </w:r>
      <w:r w:rsidR="0050072D">
        <w:t>сударство</w:t>
      </w:r>
      <w:r w:rsidRPr="00AC51DD">
        <w:t xml:space="preserve"> независимо от того, работают они или нет. Таким образом, понятие минимального размера оплаты труда по отношению к заключенным неприм</w:t>
      </w:r>
      <w:r w:rsidRPr="00AC51DD">
        <w:t>е</w:t>
      </w:r>
      <w:r w:rsidRPr="00AC51DD">
        <w:t>нимо. В дополнение к этому государство-участник представляет информацию, из которой следует, что и другие категории обычных наемных работников ан</w:t>
      </w:r>
      <w:r w:rsidRPr="00AC51DD">
        <w:t>а</w:t>
      </w:r>
      <w:r w:rsidRPr="00AC51DD">
        <w:t>логичным образом получают вознаграждение ниже минимального размера о</w:t>
      </w:r>
      <w:r w:rsidRPr="00AC51DD">
        <w:t>п</w:t>
      </w:r>
      <w:r w:rsidRPr="00AC51DD">
        <w:t>латы труда в силу своего социального положения или состояния здоровья</w:t>
      </w:r>
      <w:r w:rsidRPr="00AC51DD">
        <w:rPr>
          <w:vertAlign w:val="superscript"/>
        </w:rPr>
        <w:footnoteReference w:id="9"/>
      </w:r>
      <w:r w:rsidRPr="00AC51DD">
        <w:t>.</w:t>
      </w:r>
    </w:p>
    <w:p w:rsidR="0065795D" w:rsidRPr="00AC51DD" w:rsidRDefault="0065795D" w:rsidP="00184E60">
      <w:pPr>
        <w:pStyle w:val="SingleTxtGR"/>
      </w:pPr>
      <w:r w:rsidRPr="00AC51DD">
        <w:t>4.6</w:t>
      </w:r>
      <w:r w:rsidRPr="00AC51DD">
        <w:tab/>
        <w:t>Государство-участник отмечает, что международные нормы</w:t>
      </w:r>
      <w:r w:rsidRPr="00AC51DD">
        <w:rPr>
          <w:vertAlign w:val="superscript"/>
        </w:rPr>
        <w:footnoteReference w:id="10"/>
      </w:r>
      <w:r w:rsidRPr="00AC51DD">
        <w:t xml:space="preserve"> предусма</w:t>
      </w:r>
      <w:r w:rsidRPr="00AC51DD">
        <w:t>т</w:t>
      </w:r>
      <w:r w:rsidRPr="00AC51DD">
        <w:t>ривают справедливое вознаграждение труда заключенных, а не равное с рег</w:t>
      </w:r>
      <w:r w:rsidRPr="00AC51DD">
        <w:t>у</w:t>
      </w:r>
      <w:r w:rsidRPr="00AC51DD">
        <w:t>лярной рабочей силой вознаграждение, оставляя за каждым государством право определять, какой уровень вознаграждения является справедливым.</w:t>
      </w:r>
    </w:p>
    <w:p w:rsidR="0065795D" w:rsidRPr="00AC51DD" w:rsidRDefault="00184E60" w:rsidP="00184E60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65795D" w:rsidRPr="00AC51DD">
        <w:t>Комментарии автора сообщения</w:t>
      </w:r>
    </w:p>
    <w:p w:rsidR="0065795D" w:rsidRPr="00AC51DD" w:rsidRDefault="0065795D" w:rsidP="00184E60">
      <w:pPr>
        <w:pStyle w:val="SingleTxtGR"/>
      </w:pPr>
      <w:r w:rsidRPr="00AC51DD">
        <w:t>5.1</w:t>
      </w:r>
      <w:r w:rsidRPr="00AC51DD">
        <w:tab/>
        <w:t>18 декабря 2008 года автор пояснил, что годичная задержка с представл</w:t>
      </w:r>
      <w:r w:rsidRPr="00AC51DD">
        <w:t>е</w:t>
      </w:r>
      <w:r w:rsidRPr="00AC51DD">
        <w:t>нием сообщения Комитету несопоставим</w:t>
      </w:r>
      <w:r w:rsidR="00D05304">
        <w:t>а</w:t>
      </w:r>
      <w:r w:rsidRPr="00AC51DD">
        <w:t xml:space="preserve"> с задержками, упоминаемыми в с</w:t>
      </w:r>
      <w:r w:rsidRPr="00AC51DD">
        <w:t>о</w:t>
      </w:r>
      <w:r w:rsidRPr="00AC51DD">
        <w:t>общениях, на которые ссылается государство-участник</w:t>
      </w:r>
      <w:r w:rsidRPr="00AC51DD">
        <w:rPr>
          <w:vertAlign w:val="superscript"/>
        </w:rPr>
        <w:footnoteReference w:id="11"/>
      </w:r>
      <w:r w:rsidRPr="00AC51DD">
        <w:t xml:space="preserve">. Кроме того, в ряде других случаев Комитет счел приемлемыми сообщения, поданные более чем </w:t>
      </w:r>
      <w:r w:rsidR="00D05304">
        <w:t xml:space="preserve">через </w:t>
      </w:r>
      <w:r w:rsidRPr="00AC51DD">
        <w:t>три года после принятия последнего решения внутри страны</w:t>
      </w:r>
      <w:r w:rsidRPr="00AC51DD">
        <w:rPr>
          <w:vertAlign w:val="superscript"/>
        </w:rPr>
        <w:footnoteReference w:id="12"/>
      </w:r>
      <w:r w:rsidRPr="00AC51DD">
        <w:t>.</w:t>
      </w:r>
    </w:p>
    <w:p w:rsidR="00184E60" w:rsidRPr="00FA6DF4" w:rsidRDefault="0065795D" w:rsidP="00184E60">
      <w:pPr>
        <w:pStyle w:val="SingleTxtGR"/>
      </w:pPr>
      <w:r w:rsidRPr="00AC51DD">
        <w:t>5.2</w:t>
      </w:r>
      <w:r w:rsidRPr="00AC51DD">
        <w:tab/>
        <w:t xml:space="preserve">Автор отвергает аналогию, проведенную государством-участником между его делом и делом </w:t>
      </w:r>
      <w:proofErr w:type="spellStart"/>
      <w:r w:rsidRPr="00AC51DD">
        <w:rPr>
          <w:i/>
        </w:rPr>
        <w:t>Радошевича</w:t>
      </w:r>
      <w:proofErr w:type="spellEnd"/>
      <w:r w:rsidRPr="00AC51DD">
        <w:rPr>
          <w:i/>
        </w:rPr>
        <w:t xml:space="preserve">. </w:t>
      </w:r>
      <w:r w:rsidRPr="00AC51DD">
        <w:t xml:space="preserve">Он напоминает, что г-н </w:t>
      </w:r>
      <w:proofErr w:type="spellStart"/>
      <w:r w:rsidRPr="00AC51DD">
        <w:t>Радошевич</w:t>
      </w:r>
      <w:proofErr w:type="spellEnd"/>
      <w:r w:rsidRPr="00AC51DD">
        <w:t xml:space="preserve"> сравнивал свой доход не с минимальным установленным уровнем оплаты труда, а со сре</w:t>
      </w:r>
      <w:r w:rsidRPr="00AC51DD">
        <w:t>д</w:t>
      </w:r>
      <w:r w:rsidRPr="00AC51DD">
        <w:t>ним размером пособий, выплачиваемых в соответствии с предусмотренной з</w:t>
      </w:r>
      <w:r w:rsidRPr="00AC51DD">
        <w:t>а</w:t>
      </w:r>
      <w:r w:rsidRPr="00AC51DD">
        <w:t>конодательством Германии системой пенсионного страхования, что, по мнению автора, касается скорее средней заработной платы, чем минимальная оплата труда.</w:t>
      </w:r>
      <w:r w:rsidR="00184E60" w:rsidRPr="00184E60">
        <w:t xml:space="preserve"> </w:t>
      </w:r>
      <w:r w:rsidR="00184E60" w:rsidRPr="00FA6DF4">
        <w:t xml:space="preserve">Это объясняет решение Комитета о том, что г-н </w:t>
      </w:r>
      <w:proofErr w:type="spellStart"/>
      <w:r w:rsidR="00184E60" w:rsidRPr="00FA6DF4">
        <w:t>Радошевичу</w:t>
      </w:r>
      <w:proofErr w:type="spellEnd"/>
      <w:r w:rsidR="00184E60" w:rsidRPr="00FA6DF4">
        <w:t xml:space="preserve"> следовало представить информацию, какой вид работы он выполнял и какая заработная плата предоставлялась за такую работу на рынке труда. Вместе с тем автор п</w:t>
      </w:r>
      <w:r w:rsidR="00184E60" w:rsidRPr="00FA6DF4">
        <w:t>о</w:t>
      </w:r>
      <w:r w:rsidR="00184E60" w:rsidRPr="00FA6DF4">
        <w:t>ясняет, что он не увязывает свою жалобу с каким-либо конкретным видом раб</w:t>
      </w:r>
      <w:r w:rsidR="00184E60" w:rsidRPr="00FA6DF4">
        <w:t>о</w:t>
      </w:r>
      <w:r w:rsidR="00184E60" w:rsidRPr="00FA6DF4">
        <w:t>ты, а сравнивает свой доход с минимальной заработной платой, предоставля</w:t>
      </w:r>
      <w:r w:rsidR="00184E60" w:rsidRPr="00FA6DF4">
        <w:t>е</w:t>
      </w:r>
      <w:r w:rsidR="00184E60" w:rsidRPr="00FA6DF4">
        <w:t>мой за любой вид работы.</w:t>
      </w:r>
    </w:p>
    <w:p w:rsidR="00184E60" w:rsidRPr="00FA6DF4" w:rsidRDefault="00184E60" w:rsidP="00184E60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FA6DF4">
        <w:t>Вопросы и процедура их рассмотрения в Комитете</w:t>
      </w:r>
    </w:p>
    <w:p w:rsidR="00184E60" w:rsidRPr="00FA6DF4" w:rsidRDefault="00184E60" w:rsidP="00184E60">
      <w:pPr>
        <w:pStyle w:val="H4GR"/>
      </w:pPr>
      <w:r>
        <w:rPr>
          <w:lang w:val="en-US"/>
        </w:rPr>
        <w:tab/>
      </w:r>
      <w:r>
        <w:rPr>
          <w:lang w:val="en-US"/>
        </w:rPr>
        <w:tab/>
      </w:r>
      <w:r w:rsidR="00F42365">
        <w:t>В</w:t>
      </w:r>
      <w:r w:rsidRPr="00FA6DF4">
        <w:t>опрос приемлемости</w:t>
      </w:r>
    </w:p>
    <w:p w:rsidR="00184E60" w:rsidRPr="00FA6DF4" w:rsidRDefault="00184E60" w:rsidP="00184E60">
      <w:pPr>
        <w:pStyle w:val="SingleTxtGR"/>
      </w:pPr>
      <w:r w:rsidRPr="00FA6DF4">
        <w:t>6.1</w:t>
      </w:r>
      <w:r w:rsidRPr="00FA6DF4">
        <w:tab/>
        <w:t>Прежде чем рассматривать любое утверждение, содержащееся в сообщ</w:t>
      </w:r>
      <w:r w:rsidRPr="00FA6DF4">
        <w:t>е</w:t>
      </w:r>
      <w:r w:rsidRPr="00FA6DF4">
        <w:t>нии, Комитет по правам человека должен согласно правилу 93 своих правил процедуры принять решение о том, является ли да</w:t>
      </w:r>
      <w:r w:rsidRPr="00FA6DF4">
        <w:t>н</w:t>
      </w:r>
      <w:r w:rsidRPr="00FA6DF4">
        <w:t>ное сообщение приемлемым в соответствии с Факультативным протоколом к Пакту.</w:t>
      </w:r>
    </w:p>
    <w:p w:rsidR="00184E60" w:rsidRPr="00FA6DF4" w:rsidRDefault="00184E60" w:rsidP="00184E60">
      <w:pPr>
        <w:pStyle w:val="SingleTxtGR"/>
      </w:pPr>
      <w:r w:rsidRPr="00FA6DF4">
        <w:t>6.2</w:t>
      </w:r>
      <w:r w:rsidRPr="00FA6DF4">
        <w:tab/>
        <w:t>Что касается аргумента государства-участника о том, что представление сообщения Комитету равносильно злоупотреблению правом на представление сообщений на основании статьи 3 Факультативного протокола, то Комитет о</w:t>
      </w:r>
      <w:r w:rsidRPr="00FA6DF4">
        <w:t>т</w:t>
      </w:r>
      <w:r w:rsidRPr="00FA6DF4">
        <w:t xml:space="preserve">мечает, что </w:t>
      </w:r>
      <w:r w:rsidR="00F42365">
        <w:t>у</w:t>
      </w:r>
      <w:r w:rsidRPr="00FA6DF4">
        <w:t>становленных временных ограничений для представления сообщ</w:t>
      </w:r>
      <w:r w:rsidRPr="00FA6DF4">
        <w:t>е</w:t>
      </w:r>
      <w:r w:rsidRPr="00FA6DF4">
        <w:t>ний в соответствии с Факультативным протоколом не существует и что сама по себе задержка с представлением не составляет, кроме исключительных сл</w:t>
      </w:r>
      <w:r w:rsidRPr="00FA6DF4">
        <w:t>у</w:t>
      </w:r>
      <w:r w:rsidRPr="00FA6DF4">
        <w:t>чаев, злоупотребления правом на представление сообщений</w:t>
      </w:r>
      <w:r w:rsidRPr="00FA6DF4">
        <w:rPr>
          <w:vertAlign w:val="superscript"/>
        </w:rPr>
        <w:footnoteReference w:id="13"/>
      </w:r>
      <w:r w:rsidRPr="00FA6DF4">
        <w:t>. Комитет не считает, что годичная задержка не является настолько неоправданной, чтобы ее можно было рассматривать как злоупотребление правом на представление с</w:t>
      </w:r>
      <w:r w:rsidRPr="00FA6DF4">
        <w:t>о</w:t>
      </w:r>
      <w:r w:rsidRPr="00FA6DF4">
        <w:t xml:space="preserve">общений. </w:t>
      </w:r>
    </w:p>
    <w:p w:rsidR="00184E60" w:rsidRPr="00FA6DF4" w:rsidRDefault="00184E60" w:rsidP="00184E60">
      <w:pPr>
        <w:pStyle w:val="SingleTxtGR"/>
      </w:pPr>
      <w:r w:rsidRPr="00FA6DF4">
        <w:t>6.3</w:t>
      </w:r>
      <w:r w:rsidRPr="00FA6DF4">
        <w:tab/>
        <w:t>Комитет отмечает утверждение автора о том, что тот факт, что он получал меньше установленного уровня минимальной заработной платы за работу, кот</w:t>
      </w:r>
      <w:r w:rsidRPr="00FA6DF4">
        <w:t>о</w:t>
      </w:r>
      <w:r w:rsidRPr="00FA6DF4">
        <w:t>рую он выполнял в качестве заключенного в п</w:t>
      </w:r>
      <w:r w:rsidRPr="00FA6DF4">
        <w:t>е</w:t>
      </w:r>
      <w:r w:rsidRPr="00FA6DF4">
        <w:t xml:space="preserve">риод с 25 сентября по 10 ноября 2006 года, в условиях, аналогичных тем, которые существуют для обычных лиц, работающих по найму, представляет собой дискриминацию по статье 26 Пакта. Комитет напоминает о своей правовой практике в связи с сообщением </w:t>
      </w:r>
      <w:proofErr w:type="spellStart"/>
      <w:r w:rsidRPr="00FA6DF4">
        <w:rPr>
          <w:i/>
        </w:rPr>
        <w:t>Радош</w:t>
      </w:r>
      <w:r w:rsidRPr="00FA6DF4">
        <w:rPr>
          <w:i/>
        </w:rPr>
        <w:t>е</w:t>
      </w:r>
      <w:r w:rsidRPr="00FA6DF4">
        <w:rPr>
          <w:i/>
        </w:rPr>
        <w:t>вич</w:t>
      </w:r>
      <w:proofErr w:type="spellEnd"/>
      <w:r w:rsidRPr="00FA6DF4">
        <w:rPr>
          <w:i/>
        </w:rPr>
        <w:t xml:space="preserve"> против Германии</w:t>
      </w:r>
      <w:r w:rsidRPr="00B16FD1">
        <w:rPr>
          <w:vertAlign w:val="superscript"/>
        </w:rPr>
        <w:footnoteReference w:id="14"/>
      </w:r>
      <w:r w:rsidRPr="00FA6DF4">
        <w:rPr>
          <w:i/>
        </w:rPr>
        <w:t xml:space="preserve"> </w:t>
      </w:r>
      <w:r w:rsidRPr="00FA6DF4">
        <w:t>и отмечает, что автор не представил информации о том, какой вид работы он выполнял во время своего тюремного заключения, или о том, относится ли он к виду работ, существующих на рынке труда. Он также не представил информации о сумме содержания, предоставлявшейся государс</w:t>
      </w:r>
      <w:r w:rsidRPr="00FA6DF4">
        <w:t>т</w:t>
      </w:r>
      <w:r w:rsidRPr="00FA6DF4">
        <w:t>в</w:t>
      </w:r>
      <w:r w:rsidR="00B16FD1">
        <w:t>ом-участнико</w:t>
      </w:r>
      <w:r w:rsidRPr="00FA6DF4">
        <w:t>м для покрытия его "базовых потребностей" в дополнение к его вознаграждению. Комитет отмечает информацию, представленную государс</w:t>
      </w:r>
      <w:r w:rsidRPr="00FA6DF4">
        <w:t>т</w:t>
      </w:r>
      <w:r w:rsidRPr="00FA6DF4">
        <w:t xml:space="preserve">вом-участником по поводу других обычных </w:t>
      </w:r>
      <w:r w:rsidR="00F42365">
        <w:t xml:space="preserve">наемных </w:t>
      </w:r>
      <w:r w:rsidRPr="00FA6DF4">
        <w:t>работников, которые не получают минимальной заработной платы установленного уровня (пункт 4.5)</w:t>
      </w:r>
      <w:r w:rsidR="00B16FD1">
        <w:t>,</w:t>
      </w:r>
      <w:r w:rsidRPr="00FA6DF4">
        <w:t xml:space="preserve"> и считает, что одно лишь упоминание автором об установленном уровне мин</w:t>
      </w:r>
      <w:r w:rsidRPr="00FA6DF4">
        <w:t>и</w:t>
      </w:r>
      <w:r w:rsidRPr="00FA6DF4">
        <w:t>мальной заработной платы является недостаточным для обоснования утвержд</w:t>
      </w:r>
      <w:r w:rsidRPr="00FA6DF4">
        <w:t>е</w:t>
      </w:r>
      <w:r w:rsidRPr="00FA6DF4">
        <w:t>ния о ди</w:t>
      </w:r>
      <w:r w:rsidRPr="00FA6DF4">
        <w:t>с</w:t>
      </w:r>
      <w:r w:rsidRPr="00FA6DF4">
        <w:t>криминации. Кроме того, Комитет отмечает, что по указанной системе автор проработал все лишь полтора месяца при добровольном согласии и по</w:t>
      </w:r>
      <w:r w:rsidRPr="00FA6DF4">
        <w:t>л</w:t>
      </w:r>
      <w:r w:rsidRPr="00FA6DF4">
        <w:t>ном п</w:t>
      </w:r>
      <w:r w:rsidRPr="00FA6DF4">
        <w:t>о</w:t>
      </w:r>
      <w:r w:rsidRPr="00FA6DF4">
        <w:t>нимании того, какой размер вознаграждения он получит. В силу всех этих пр</w:t>
      </w:r>
      <w:r w:rsidRPr="00FA6DF4">
        <w:t>и</w:t>
      </w:r>
      <w:r w:rsidRPr="00FA6DF4">
        <w:t>чин Комитет считает, что автор недостаточно обосновал, для целей приемлем</w:t>
      </w:r>
      <w:r w:rsidRPr="00FA6DF4">
        <w:t>о</w:t>
      </w:r>
      <w:r w:rsidRPr="00FA6DF4">
        <w:t xml:space="preserve">сти, свою жалобу о том, что он является жертвой дискриминации на основании своего статуса в качестве заключенного. Таким образом, сообщение является неприемлемым по статье 2 Факультативного протокола. </w:t>
      </w:r>
    </w:p>
    <w:p w:rsidR="00184E60" w:rsidRPr="00FA6DF4" w:rsidRDefault="00184E60" w:rsidP="005F631E">
      <w:pPr>
        <w:pStyle w:val="SingleTxtGR"/>
        <w:keepNext/>
      </w:pPr>
      <w:r w:rsidRPr="00FA6DF4">
        <w:t>7.</w:t>
      </w:r>
      <w:r w:rsidRPr="00FA6DF4">
        <w:tab/>
        <w:t>В этой связи Комитет постановляет:</w:t>
      </w:r>
    </w:p>
    <w:p w:rsidR="00184E60" w:rsidRPr="00FA6DF4" w:rsidRDefault="00184E60" w:rsidP="005F631E">
      <w:pPr>
        <w:pStyle w:val="SingleTxtGR"/>
        <w:keepNext/>
      </w:pPr>
      <w:r w:rsidRPr="00FA6DF4">
        <w:tab/>
        <w:t>а)</w:t>
      </w:r>
      <w:r w:rsidRPr="00FA6DF4">
        <w:tab/>
        <w:t>признать данное сообщение неприемлемым по пункту 2 Факульт</w:t>
      </w:r>
      <w:r w:rsidRPr="00FA6DF4">
        <w:t>а</w:t>
      </w:r>
      <w:r w:rsidRPr="00FA6DF4">
        <w:t>тивного протокола;</w:t>
      </w:r>
    </w:p>
    <w:p w:rsidR="00184E60" w:rsidRPr="00FA6DF4" w:rsidRDefault="00184E60" w:rsidP="00184E60">
      <w:pPr>
        <w:pStyle w:val="SingleTxtGR"/>
      </w:pPr>
      <w:r w:rsidRPr="00FA6DF4">
        <w:tab/>
      </w:r>
      <w:r w:rsidRPr="00FA6DF4">
        <w:rPr>
          <w:lang w:val="en-US"/>
        </w:rPr>
        <w:t>b</w:t>
      </w:r>
      <w:r w:rsidRPr="00FA6DF4">
        <w:t>)</w:t>
      </w:r>
      <w:r w:rsidRPr="00FA6DF4">
        <w:tab/>
        <w:t>препроводить настоящее решение государству-участнику и автору сообщения.</w:t>
      </w:r>
    </w:p>
    <w:p w:rsidR="00184E60" w:rsidRPr="00FA6DF4" w:rsidRDefault="00184E60" w:rsidP="00184E60">
      <w:pPr>
        <w:pStyle w:val="SingleTxtGR"/>
      </w:pPr>
      <w:r w:rsidRPr="00FA6DF4">
        <w:t>[Принято на английском, испанском и французском языках, причем языком ор</w:t>
      </w:r>
      <w:r w:rsidRPr="00FA6DF4">
        <w:t>и</w:t>
      </w:r>
      <w:r w:rsidRPr="00FA6DF4">
        <w:t>гинала является английский. Впоследствии будет также издано на арабском, к</w:t>
      </w:r>
      <w:r w:rsidRPr="00FA6DF4">
        <w:t>и</w:t>
      </w:r>
      <w:r w:rsidRPr="00FA6DF4">
        <w:t>тайском и русском языках в качестве части ежегодного доклада Комитета Ген</w:t>
      </w:r>
      <w:r w:rsidRPr="00FA6DF4">
        <w:t>е</w:t>
      </w:r>
      <w:r w:rsidRPr="00FA6DF4">
        <w:t>ральной Ассамблее.]</w:t>
      </w:r>
    </w:p>
    <w:p w:rsidR="00184E60" w:rsidRPr="00184E60" w:rsidRDefault="00184E60" w:rsidP="00184E60">
      <w:pPr>
        <w:spacing w:before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184E60" w:rsidRPr="00184E60" w:rsidSect="00A50B2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E9" w:rsidRDefault="00D918E9">
      <w:r>
        <w:rPr>
          <w:lang w:val="en-US"/>
        </w:rPr>
        <w:tab/>
      </w:r>
      <w:r>
        <w:separator/>
      </w:r>
    </w:p>
  </w:endnote>
  <w:endnote w:type="continuationSeparator" w:id="0">
    <w:p w:rsidR="00D918E9" w:rsidRDefault="00D9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E9" w:rsidRPr="005F0588" w:rsidRDefault="00D918E9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GE.10-42472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E9" w:rsidRPr="005F0588" w:rsidRDefault="00D918E9">
    <w:pPr>
      <w:pStyle w:val="Footer"/>
      <w:rPr>
        <w:lang w:val="en-US"/>
      </w:rPr>
    </w:pPr>
    <w:r>
      <w:rPr>
        <w:lang w:val="en-US"/>
      </w:rPr>
      <w:t>GE.10-42472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E9" w:rsidRPr="007B2C3F" w:rsidRDefault="00D918E9">
    <w:pPr>
      <w:pStyle w:val="Footer"/>
      <w:rPr>
        <w:sz w:val="20"/>
        <w:lang w:val="en-US"/>
      </w:rPr>
    </w:pPr>
    <w:r>
      <w:rPr>
        <w:sz w:val="20"/>
        <w:lang w:val="en-US"/>
      </w:rPr>
      <w:t>GE.10-42472  (R)  010610  010610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E9" w:rsidRPr="00F71F63" w:rsidRDefault="00D918E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918E9" w:rsidRPr="00F71F63" w:rsidRDefault="00D918E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918E9" w:rsidRPr="00635E86" w:rsidRDefault="00D918E9" w:rsidP="00635E86">
      <w:pPr>
        <w:pStyle w:val="Footer"/>
      </w:pPr>
    </w:p>
  </w:footnote>
  <w:footnote w:id="1">
    <w:p w:rsidR="00D918E9" w:rsidRPr="00630C05" w:rsidRDefault="00D918E9" w:rsidP="002A2D62">
      <w:pPr>
        <w:pStyle w:val="FootnoteText"/>
        <w:rPr>
          <w:sz w:val="20"/>
          <w:lang w:val="ru-RU"/>
        </w:rPr>
      </w:pPr>
      <w:r>
        <w:tab/>
      </w:r>
      <w:r w:rsidRPr="00630C05">
        <w:rPr>
          <w:rStyle w:val="FootnoteReference"/>
          <w:sz w:val="20"/>
          <w:vertAlign w:val="baseline"/>
          <w:lang w:val="ru-RU"/>
        </w:rPr>
        <w:t>*</w:t>
      </w:r>
      <w:r w:rsidRPr="00630C05">
        <w:rPr>
          <w:lang w:val="ru-RU"/>
        </w:rPr>
        <w:tab/>
      </w:r>
      <w:r>
        <w:rPr>
          <w:lang w:val="ru-RU"/>
        </w:rPr>
        <w:t>Публикуется по решению Комитета по правам человека.</w:t>
      </w:r>
    </w:p>
  </w:footnote>
  <w:footnote w:id="2">
    <w:p w:rsidR="00D918E9" w:rsidRPr="002A2D62" w:rsidRDefault="00D918E9" w:rsidP="002A2D62">
      <w:pPr>
        <w:pStyle w:val="FootnoteText"/>
        <w:rPr>
          <w:szCs w:val="18"/>
          <w:lang w:val="ru-RU"/>
        </w:rPr>
      </w:pPr>
      <w:r>
        <w:tab/>
      </w:r>
      <w:r w:rsidRPr="00E54DF3">
        <w:rPr>
          <w:rStyle w:val="FootnoteReference"/>
          <w:szCs w:val="18"/>
          <w:vertAlign w:val="baseline"/>
          <w:lang w:val="ru-RU"/>
        </w:rPr>
        <w:t>**</w:t>
      </w:r>
      <w:r w:rsidRPr="00E54DF3">
        <w:rPr>
          <w:szCs w:val="18"/>
          <w:lang w:val="ru-RU"/>
        </w:rPr>
        <w:tab/>
      </w:r>
      <w:r w:rsidRPr="002A2D62">
        <w:rPr>
          <w:lang w:val="ru-RU"/>
        </w:rPr>
        <w:t>В рассмотрении настоящего сообщения приняли участие следующие члены Комитета: г-н Абдельфаттах Амор, г-н Лазари Бузид, г-жа Кристина Шане, г-н Махджуб Эль-Хаиба, г-н Ахмед Амин Фатхалла, г-н Юдзи Ивасава, г-жа Элен Келлер, г</w:t>
      </w:r>
      <w:r w:rsidRPr="00224C3A">
        <w:rPr>
          <w:lang w:val="ru-RU"/>
        </w:rPr>
        <w:noBreakHyphen/>
      </w:r>
      <w:r w:rsidRPr="002A2D62">
        <w:rPr>
          <w:lang w:val="ru-RU"/>
        </w:rPr>
        <w:t>н</w:t>
      </w:r>
      <w:r>
        <w:rPr>
          <w:lang w:val="en-US"/>
        </w:rPr>
        <w:t> </w:t>
      </w:r>
      <w:r w:rsidRPr="002A2D62">
        <w:rPr>
          <w:lang w:val="ru-RU"/>
        </w:rPr>
        <w:t>Раджсумер Лаллах, г-жа Зонке Занеле Майодина, г-жа Юлия Антоанелла Моток, г</w:t>
      </w:r>
      <w:r w:rsidRPr="002A2D62">
        <w:rPr>
          <w:lang w:val="ru-RU"/>
        </w:rPr>
        <w:noBreakHyphen/>
        <w:t>н</w:t>
      </w:r>
      <w:r w:rsidRPr="007170C6">
        <w:t> </w:t>
      </w:r>
      <w:r w:rsidRPr="002A2D62">
        <w:rPr>
          <w:lang w:val="ru-RU"/>
        </w:rPr>
        <w:t>Майкл О'Флаэрти, г-н Хосе Луис Перес Санчес Серро, г-н Рафаэль Ривас Посада, сэр Найджел Родли, г-н Фабиан Сальвиоли и г-н Кристер Телин.</w:t>
      </w:r>
    </w:p>
  </w:footnote>
  <w:footnote w:id="3">
    <w:p w:rsidR="00D918E9" w:rsidRPr="00171569" w:rsidRDefault="00D918E9">
      <w:pPr>
        <w:pStyle w:val="FootnoteText"/>
        <w:rPr>
          <w:lang w:val="ru-RU"/>
        </w:rPr>
      </w:pPr>
      <w:r w:rsidRPr="002A2D62">
        <w:rPr>
          <w:lang w:val="ru-RU"/>
        </w:rPr>
        <w:tab/>
      </w:r>
      <w:r>
        <w:rPr>
          <w:rStyle w:val="FootnoteReference"/>
        </w:rPr>
        <w:footnoteRef/>
      </w:r>
      <w:r w:rsidRPr="00171569">
        <w:rPr>
          <w:lang w:val="ru-RU"/>
        </w:rPr>
        <w:tab/>
      </w:r>
      <w:r>
        <w:rPr>
          <w:lang w:val="ru-RU"/>
        </w:rPr>
        <w:t>Пакт и Факультативный протокол к Пакту вступили в силу для Чешской Республики, правопреемницы Чехословакии в качестве государства</w:t>
      </w:r>
      <w:r w:rsidRPr="007C3CC2">
        <w:rPr>
          <w:lang w:val="ru-RU"/>
        </w:rPr>
        <w:t xml:space="preserve"> − </w:t>
      </w:r>
      <w:r>
        <w:rPr>
          <w:lang w:val="ru-RU"/>
        </w:rPr>
        <w:t>члена Пакта и Факультативного протокола к нему, 22 февраля 1993 года.</w:t>
      </w:r>
    </w:p>
  </w:footnote>
  <w:footnote w:id="4">
    <w:p w:rsidR="00D918E9" w:rsidRPr="000D1067" w:rsidRDefault="00D918E9">
      <w:pPr>
        <w:pStyle w:val="FootnoteText"/>
        <w:rPr>
          <w:lang w:val="ru-RU"/>
        </w:rPr>
      </w:pPr>
      <w:r w:rsidRPr="00171569">
        <w:rPr>
          <w:lang w:val="ru-RU"/>
        </w:rPr>
        <w:tab/>
      </w:r>
      <w:r>
        <w:rPr>
          <w:rStyle w:val="FootnoteReference"/>
        </w:rPr>
        <w:footnoteRef/>
      </w:r>
      <w:r w:rsidRPr="007C3CC2">
        <w:rPr>
          <w:lang w:val="ru-RU"/>
        </w:rPr>
        <w:tab/>
      </w:r>
      <w:r>
        <w:rPr>
          <w:lang w:val="ru-RU"/>
        </w:rPr>
        <w:t>Пункт 1 статьи 30 предусматривает создание пенитенциарными учреждениями условий, позволяющих заключенным трудиться либо в рамках трудовой деятельности на производствах и предприятиях, существующих на базе пенитенциарных учреждений, либо в рамках договорных отношений с другой структурой.</w:t>
      </w:r>
    </w:p>
  </w:footnote>
  <w:footnote w:id="5">
    <w:p w:rsidR="00D918E9" w:rsidRPr="002456A5" w:rsidRDefault="00D918E9" w:rsidP="0065795D">
      <w:pPr>
        <w:pStyle w:val="FootnoteText"/>
        <w:rPr>
          <w:lang w:val="ru-RU"/>
        </w:rPr>
      </w:pPr>
      <w:r w:rsidRPr="000D1067">
        <w:rPr>
          <w:lang w:val="ru-RU"/>
        </w:rPr>
        <w:tab/>
      </w:r>
      <w:r>
        <w:rPr>
          <w:rStyle w:val="FootnoteReference"/>
        </w:rPr>
        <w:footnoteRef/>
      </w:r>
      <w:r w:rsidRPr="00246171">
        <w:rPr>
          <w:lang w:val="ru-RU"/>
        </w:rPr>
        <w:tab/>
      </w:r>
      <w:r>
        <w:rPr>
          <w:lang w:val="ru-RU"/>
        </w:rPr>
        <w:t xml:space="preserve">Сообщения № 1432/2005, </w:t>
      </w:r>
      <w:r>
        <w:rPr>
          <w:i/>
          <w:lang w:val="ru-RU"/>
        </w:rPr>
        <w:t>Клод Филласье против Франции</w:t>
      </w:r>
      <w:r>
        <w:rPr>
          <w:lang w:val="ru-RU"/>
        </w:rPr>
        <w:t xml:space="preserve">, пункт 4.3, № 787/1997, </w:t>
      </w:r>
      <w:r>
        <w:rPr>
          <w:i/>
          <w:lang w:val="ru-RU"/>
        </w:rPr>
        <w:t xml:space="preserve">Вишвадео Гобин против Маврикия, </w:t>
      </w:r>
      <w:r>
        <w:rPr>
          <w:lang w:val="ru-RU"/>
        </w:rPr>
        <w:t xml:space="preserve">пункт 6.3, и № 1452/2006, </w:t>
      </w:r>
      <w:r>
        <w:rPr>
          <w:i/>
          <w:lang w:val="ru-RU"/>
        </w:rPr>
        <w:t xml:space="preserve">Ренатус Й. Хитиль против Чешской Республики, </w:t>
      </w:r>
      <w:r>
        <w:rPr>
          <w:lang w:val="ru-RU"/>
        </w:rPr>
        <w:t xml:space="preserve"> пункт 6.2.</w:t>
      </w:r>
    </w:p>
  </w:footnote>
  <w:footnote w:id="6">
    <w:p w:rsidR="00D918E9" w:rsidRPr="008F4EA2" w:rsidRDefault="00D918E9" w:rsidP="0065795D">
      <w:pPr>
        <w:pStyle w:val="FootnoteText"/>
        <w:rPr>
          <w:lang w:val="ru-RU"/>
        </w:rPr>
      </w:pPr>
      <w:r w:rsidRPr="004845B7">
        <w:rPr>
          <w:lang w:val="ru-RU"/>
        </w:rPr>
        <w:tab/>
      </w:r>
      <w:r>
        <w:rPr>
          <w:rStyle w:val="FootnoteReference"/>
        </w:rPr>
        <w:footnoteRef/>
      </w:r>
      <w:r w:rsidRPr="0065795D">
        <w:rPr>
          <w:lang w:val="ru-RU"/>
        </w:rPr>
        <w:tab/>
      </w:r>
      <w:r>
        <w:rPr>
          <w:lang w:val="ru-RU"/>
        </w:rPr>
        <w:t>Сообщение № 1292/2004, пункт 7.2.</w:t>
      </w:r>
    </w:p>
  </w:footnote>
  <w:footnote w:id="7">
    <w:p w:rsidR="00D918E9" w:rsidRPr="0050072D" w:rsidRDefault="00D918E9" w:rsidP="0065795D">
      <w:pPr>
        <w:pStyle w:val="FootnoteText"/>
        <w:rPr>
          <w:lang w:val="ru-RU"/>
        </w:rPr>
      </w:pPr>
      <w:r w:rsidRPr="0065795D">
        <w:rPr>
          <w:lang w:val="ru-RU"/>
        </w:rPr>
        <w:tab/>
      </w:r>
      <w:r>
        <w:rPr>
          <w:rStyle w:val="FootnoteReference"/>
        </w:rPr>
        <w:footnoteRef/>
      </w:r>
      <w:r w:rsidRPr="00D72CCE">
        <w:rPr>
          <w:lang w:val="ru-RU"/>
        </w:rPr>
        <w:tab/>
      </w:r>
      <w:r>
        <w:rPr>
          <w:lang w:val="ru-RU"/>
        </w:rPr>
        <w:t xml:space="preserve">Сообщение № 182/1984, </w:t>
      </w:r>
      <w:r>
        <w:rPr>
          <w:i/>
          <w:lang w:val="ru-RU"/>
        </w:rPr>
        <w:t>Зваан де Вриес против Нидерландо</w:t>
      </w:r>
      <w:r w:rsidRPr="0050072D">
        <w:rPr>
          <w:lang w:val="ru-RU"/>
        </w:rPr>
        <w:t>в, пункты 12.1−13.</w:t>
      </w:r>
    </w:p>
  </w:footnote>
  <w:footnote w:id="8">
    <w:p w:rsidR="00D918E9" w:rsidRPr="00422321" w:rsidRDefault="00D918E9" w:rsidP="0065795D">
      <w:pPr>
        <w:pStyle w:val="FootnoteText"/>
        <w:rPr>
          <w:lang w:val="ru-RU"/>
        </w:rPr>
      </w:pPr>
      <w:r w:rsidRPr="0065795D">
        <w:rPr>
          <w:lang w:val="ru-RU"/>
        </w:rPr>
        <w:tab/>
      </w:r>
      <w:r>
        <w:rPr>
          <w:rStyle w:val="FootnoteReference"/>
        </w:rPr>
        <w:footnoteRef/>
      </w:r>
      <w:r w:rsidRPr="0065795D">
        <w:rPr>
          <w:lang w:val="ru-RU"/>
        </w:rPr>
        <w:tab/>
      </w:r>
      <w:r>
        <w:rPr>
          <w:lang w:val="ru-RU"/>
        </w:rPr>
        <w:t>Статья 29 ЗИНЛС.</w:t>
      </w:r>
    </w:p>
  </w:footnote>
  <w:footnote w:id="9">
    <w:p w:rsidR="00D918E9" w:rsidRPr="00880BA5" w:rsidRDefault="00D918E9" w:rsidP="0065795D">
      <w:pPr>
        <w:pStyle w:val="FootnoteText"/>
        <w:rPr>
          <w:lang w:val="ru-RU"/>
        </w:rPr>
      </w:pPr>
      <w:r w:rsidRPr="0065795D">
        <w:rPr>
          <w:lang w:val="ru-RU"/>
        </w:rPr>
        <w:tab/>
      </w:r>
      <w:r>
        <w:rPr>
          <w:rStyle w:val="FootnoteReference"/>
        </w:rPr>
        <w:footnoteRef/>
      </w:r>
      <w:r w:rsidRPr="00880BA5">
        <w:rPr>
          <w:lang w:val="ru-RU"/>
        </w:rPr>
        <w:tab/>
      </w:r>
      <w:r>
        <w:rPr>
          <w:lang w:val="ru-RU"/>
        </w:rPr>
        <w:t>Статья 2 Правительственного указа № 303/1995 о минимальном размере оплаты труда предусматривает, что наемные работники в возрасте от 18 лет до 21 года получают 90</w:t>
      </w:r>
      <w:r w:rsidRPr="00880BA5">
        <w:rPr>
          <w:lang w:val="ru-RU"/>
        </w:rPr>
        <w:t>% минимально</w:t>
      </w:r>
      <w:r>
        <w:rPr>
          <w:lang w:val="ru-RU"/>
        </w:rPr>
        <w:t>й заработной платы на своем первом месте работы в течение шести месяцев; несовершеннолетние работники (в возрасте 15−18 лет) получают 80</w:t>
      </w:r>
      <w:r w:rsidRPr="00880BA5">
        <w:rPr>
          <w:lang w:val="ru-RU"/>
        </w:rPr>
        <w:t>%</w:t>
      </w:r>
      <w:r>
        <w:rPr>
          <w:lang w:val="ru-RU"/>
        </w:rPr>
        <w:t>; бенефициары пенсии по частичной потере трудоспособности получают 75</w:t>
      </w:r>
      <w:r w:rsidRPr="00880BA5">
        <w:rPr>
          <w:lang w:val="ru-RU"/>
        </w:rPr>
        <w:t>%</w:t>
      </w:r>
      <w:r>
        <w:rPr>
          <w:lang w:val="ru-RU"/>
        </w:rPr>
        <w:t>; а бенефициары пенсии в связи с полной потерей трудоспособности или несовершеннолетние работники, страдающие полной потерей трудоспособности, а также лица, которым выплачивается пенсия в связи с постоянной утратой трудоспособности, получают 50</w:t>
      </w:r>
      <w:r w:rsidRPr="00880BA5">
        <w:rPr>
          <w:lang w:val="ru-RU"/>
        </w:rPr>
        <w:t>%</w:t>
      </w:r>
      <w:r>
        <w:rPr>
          <w:lang w:val="ru-RU"/>
        </w:rPr>
        <w:t xml:space="preserve"> от минимальной заработной платы.</w:t>
      </w:r>
    </w:p>
  </w:footnote>
  <w:footnote w:id="10">
    <w:p w:rsidR="00D918E9" w:rsidRPr="00AA01F4" w:rsidRDefault="00D918E9" w:rsidP="0065795D">
      <w:pPr>
        <w:pStyle w:val="FootnoteText"/>
        <w:rPr>
          <w:lang w:val="ru-RU"/>
        </w:rPr>
      </w:pPr>
      <w:r w:rsidRPr="0065795D">
        <w:rPr>
          <w:lang w:val="ru-RU"/>
        </w:rPr>
        <w:tab/>
      </w:r>
      <w:r>
        <w:rPr>
          <w:rStyle w:val="FootnoteReference"/>
        </w:rPr>
        <w:footnoteRef/>
      </w:r>
      <w:r w:rsidRPr="00B56FFA">
        <w:rPr>
          <w:lang w:val="ru-RU"/>
        </w:rPr>
        <w:tab/>
      </w:r>
      <w:r>
        <w:rPr>
          <w:lang w:val="ru-RU"/>
        </w:rPr>
        <w:t>Минимальные стандартные нормы Организации Объединенных Наций, касающиеся обращения с заключенными (см. резолюции ЭКОСОС 663 С (</w:t>
      </w:r>
      <w:r>
        <w:rPr>
          <w:lang w:val="en-US"/>
        </w:rPr>
        <w:t>XXIV</w:t>
      </w:r>
      <w:r>
        <w:rPr>
          <w:lang w:val="ru-RU"/>
        </w:rPr>
        <w:t>),</w:t>
      </w:r>
      <w:r w:rsidRPr="0064173A">
        <w:rPr>
          <w:lang w:val="ru-RU"/>
        </w:rPr>
        <w:t xml:space="preserve"> </w:t>
      </w:r>
      <w:r>
        <w:rPr>
          <w:lang w:val="ru-RU"/>
        </w:rPr>
        <w:t>от 31 июля 1957 года и 2076 (LXII) от 13 мая 1977 года, а также принятую в 2006 году Комитетом министров Совета Европы рекомендацию государствам-членам, касающуюся Европейских пенитенциарных правил (</w:t>
      </w:r>
      <w:r>
        <w:rPr>
          <w:lang w:val="en-US"/>
        </w:rPr>
        <w:t>Rec</w:t>
      </w:r>
      <w:r w:rsidRPr="00AA01F4">
        <w:rPr>
          <w:lang w:val="ru-RU"/>
        </w:rPr>
        <w:t xml:space="preserve"> (200</w:t>
      </w:r>
      <w:r>
        <w:rPr>
          <w:lang w:val="ru-RU"/>
        </w:rPr>
        <w:t>6</w:t>
      </w:r>
      <w:r w:rsidRPr="00AA01F4">
        <w:rPr>
          <w:lang w:val="ru-RU"/>
        </w:rPr>
        <w:t>)2)</w:t>
      </w:r>
      <w:r>
        <w:rPr>
          <w:lang w:val="ru-RU"/>
        </w:rPr>
        <w:t>.</w:t>
      </w:r>
    </w:p>
  </w:footnote>
  <w:footnote w:id="11">
    <w:p w:rsidR="00D918E9" w:rsidRPr="00AC0F35" w:rsidRDefault="00D918E9" w:rsidP="0065795D">
      <w:pPr>
        <w:pStyle w:val="FootnoteText"/>
        <w:rPr>
          <w:lang w:val="ru-RU"/>
        </w:rPr>
      </w:pPr>
      <w:r w:rsidRPr="0065795D">
        <w:rPr>
          <w:lang w:val="ru-RU"/>
        </w:rPr>
        <w:tab/>
      </w:r>
      <w:r>
        <w:rPr>
          <w:rStyle w:val="FootnoteReference"/>
        </w:rPr>
        <w:footnoteRef/>
      </w:r>
      <w:r w:rsidRPr="00AC0F35">
        <w:rPr>
          <w:lang w:val="ru-RU"/>
        </w:rPr>
        <w:tab/>
      </w:r>
      <w:r>
        <w:rPr>
          <w:lang w:val="ru-RU"/>
        </w:rPr>
        <w:t>Пятнадцать, восемь и десять лет, соответственно.</w:t>
      </w:r>
    </w:p>
  </w:footnote>
  <w:footnote w:id="12">
    <w:p w:rsidR="00D918E9" w:rsidRPr="0053584F" w:rsidRDefault="00D918E9" w:rsidP="0065795D">
      <w:pPr>
        <w:pStyle w:val="FootnoteText"/>
        <w:rPr>
          <w:i/>
          <w:lang w:val="ru-RU"/>
        </w:rPr>
      </w:pPr>
      <w:r w:rsidRPr="0065795D">
        <w:rPr>
          <w:lang w:val="ru-RU"/>
        </w:rPr>
        <w:tab/>
      </w:r>
      <w:r>
        <w:rPr>
          <w:rStyle w:val="FootnoteReference"/>
        </w:rPr>
        <w:footnoteRef/>
      </w:r>
      <w:r w:rsidRPr="0053584F">
        <w:rPr>
          <w:lang w:val="ru-RU"/>
        </w:rPr>
        <w:tab/>
      </w:r>
      <w:r>
        <w:rPr>
          <w:lang w:val="ru-RU"/>
        </w:rPr>
        <w:t xml:space="preserve">См. Сообщения № 1353/2005, </w:t>
      </w:r>
      <w:r>
        <w:rPr>
          <w:i/>
          <w:lang w:val="ru-RU"/>
        </w:rPr>
        <w:t xml:space="preserve">Нджару против Камеруна, </w:t>
      </w:r>
      <w:r>
        <w:rPr>
          <w:lang w:val="ru-RU"/>
        </w:rPr>
        <w:t xml:space="preserve">и № 1125/2002, </w:t>
      </w:r>
      <w:r>
        <w:rPr>
          <w:i/>
          <w:lang w:val="ru-RU"/>
        </w:rPr>
        <w:t>Киспе Роке против Перу.</w:t>
      </w:r>
    </w:p>
  </w:footnote>
  <w:footnote w:id="13">
    <w:p w:rsidR="00D918E9" w:rsidRPr="00A05CB9" w:rsidRDefault="00D918E9" w:rsidP="00184E60">
      <w:pPr>
        <w:pStyle w:val="FootnoteText"/>
        <w:rPr>
          <w:lang w:val="ru-RU"/>
        </w:rPr>
      </w:pPr>
      <w:r w:rsidRPr="00B16FD1">
        <w:rPr>
          <w:lang w:val="ru-RU"/>
        </w:rPr>
        <w:tab/>
      </w:r>
      <w:r>
        <w:rPr>
          <w:rStyle w:val="FootnoteReference"/>
        </w:rPr>
        <w:footnoteRef/>
      </w:r>
      <w:r w:rsidRPr="00A05CB9">
        <w:rPr>
          <w:lang w:val="ru-RU"/>
        </w:rPr>
        <w:tab/>
      </w:r>
      <w:r>
        <w:rPr>
          <w:lang w:val="ru-RU"/>
        </w:rPr>
        <w:t xml:space="preserve">См. Сообщение № 787/1997, </w:t>
      </w:r>
      <w:r>
        <w:rPr>
          <w:i/>
          <w:lang w:val="ru-RU"/>
        </w:rPr>
        <w:t>Гобин против Маврикия</w:t>
      </w:r>
      <w:r>
        <w:rPr>
          <w:lang w:val="ru-RU"/>
        </w:rPr>
        <w:t xml:space="preserve">, решение о неприемлемости от 16 июля 2001 года, пункт 6.3, Сообщение № 1434/2005, </w:t>
      </w:r>
      <w:r>
        <w:rPr>
          <w:i/>
          <w:lang w:val="ru-RU"/>
        </w:rPr>
        <w:t>Клод Филласье против Франции</w:t>
      </w:r>
      <w:r>
        <w:rPr>
          <w:lang w:val="ru-RU"/>
        </w:rPr>
        <w:t xml:space="preserve">, решение о неприемлемости от 27 марта 2006 года, пункт 4.3, и Сообщение № 1101/2002, </w:t>
      </w:r>
      <w:r>
        <w:rPr>
          <w:i/>
          <w:lang w:val="ru-RU"/>
        </w:rPr>
        <w:t>Хосе Мария Альба Кабриадав против Испании</w:t>
      </w:r>
      <w:r>
        <w:rPr>
          <w:lang w:val="ru-RU"/>
        </w:rPr>
        <w:t>, Соображения приняты 1 ноября 2004 года, пункт 6.3.</w:t>
      </w:r>
    </w:p>
  </w:footnote>
  <w:footnote w:id="14">
    <w:p w:rsidR="00D918E9" w:rsidRPr="0053740B" w:rsidRDefault="00D918E9" w:rsidP="00184E60">
      <w:pPr>
        <w:pStyle w:val="FootnoteText"/>
        <w:rPr>
          <w:lang w:val="ru-RU"/>
        </w:rPr>
      </w:pPr>
      <w:r w:rsidRPr="00FA6DF4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>
        <w:rPr>
          <w:lang w:val="ru-RU"/>
        </w:rPr>
        <w:t>Сообщение № 1292/2004, пункт 7.2.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E9" w:rsidRPr="005F0588" w:rsidRDefault="00D918E9">
    <w:pPr>
      <w:pStyle w:val="Header"/>
      <w:rPr>
        <w:lang w:val="en-US"/>
      </w:rPr>
    </w:pPr>
    <w:r>
      <w:rPr>
        <w:lang w:val="en-US"/>
      </w:rPr>
      <w:t>CCPR/C/98/D/1778/2008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E9" w:rsidRPr="005F0588" w:rsidRDefault="00D918E9">
    <w:pPr>
      <w:pStyle w:val="Header"/>
      <w:rPr>
        <w:lang w:val="en-US"/>
      </w:rPr>
    </w:pPr>
    <w:r>
      <w:rPr>
        <w:lang w:val="en-US"/>
      </w:rPr>
      <w:tab/>
      <w:t>CCPR/C/98/D/1778/2008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AD9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1067"/>
    <w:rsid w:val="000D6863"/>
    <w:rsid w:val="00117AEE"/>
    <w:rsid w:val="001463F7"/>
    <w:rsid w:val="0015769C"/>
    <w:rsid w:val="00171569"/>
    <w:rsid w:val="001755A4"/>
    <w:rsid w:val="00180752"/>
    <w:rsid w:val="00184E60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24C3A"/>
    <w:rsid w:val="00232D42"/>
    <w:rsid w:val="00237334"/>
    <w:rsid w:val="002444F4"/>
    <w:rsid w:val="002629A0"/>
    <w:rsid w:val="00270581"/>
    <w:rsid w:val="0028492B"/>
    <w:rsid w:val="00285A93"/>
    <w:rsid w:val="00291C8F"/>
    <w:rsid w:val="002A203D"/>
    <w:rsid w:val="002A2D62"/>
    <w:rsid w:val="002C5036"/>
    <w:rsid w:val="002C6A71"/>
    <w:rsid w:val="002C6D5F"/>
    <w:rsid w:val="002D15EA"/>
    <w:rsid w:val="002D6C07"/>
    <w:rsid w:val="002D6F85"/>
    <w:rsid w:val="002E0CE6"/>
    <w:rsid w:val="002E1163"/>
    <w:rsid w:val="002E43F3"/>
    <w:rsid w:val="003215F5"/>
    <w:rsid w:val="00332891"/>
    <w:rsid w:val="00355B96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D3AD9"/>
    <w:rsid w:val="004E6729"/>
    <w:rsid w:val="004F0E47"/>
    <w:rsid w:val="0050072D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631E"/>
    <w:rsid w:val="00606A3E"/>
    <w:rsid w:val="006115AA"/>
    <w:rsid w:val="006120AE"/>
    <w:rsid w:val="00635E86"/>
    <w:rsid w:val="00636A37"/>
    <w:rsid w:val="006501A5"/>
    <w:rsid w:val="006567B2"/>
    <w:rsid w:val="0065795D"/>
    <w:rsid w:val="006620EE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1F0C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70E12"/>
    <w:rsid w:val="00781ACB"/>
    <w:rsid w:val="00794FAB"/>
    <w:rsid w:val="007A79EB"/>
    <w:rsid w:val="007B19F1"/>
    <w:rsid w:val="007C3CC2"/>
    <w:rsid w:val="007D4CA0"/>
    <w:rsid w:val="007D7A23"/>
    <w:rsid w:val="007E38C3"/>
    <w:rsid w:val="007E549E"/>
    <w:rsid w:val="007E71C9"/>
    <w:rsid w:val="007F1526"/>
    <w:rsid w:val="007F7553"/>
    <w:rsid w:val="00805A10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2DD"/>
    <w:rsid w:val="00915B0A"/>
    <w:rsid w:val="00926904"/>
    <w:rsid w:val="00935496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44915"/>
    <w:rsid w:val="00A50B2B"/>
    <w:rsid w:val="00A800D1"/>
    <w:rsid w:val="00A80ECD"/>
    <w:rsid w:val="00A92699"/>
    <w:rsid w:val="00AA5B39"/>
    <w:rsid w:val="00AB5BF0"/>
    <w:rsid w:val="00AC1C95"/>
    <w:rsid w:val="00AC2CCB"/>
    <w:rsid w:val="00AC443A"/>
    <w:rsid w:val="00AE60E2"/>
    <w:rsid w:val="00B0169F"/>
    <w:rsid w:val="00B05F21"/>
    <w:rsid w:val="00B121F7"/>
    <w:rsid w:val="00B14EA9"/>
    <w:rsid w:val="00B16FD1"/>
    <w:rsid w:val="00B30A3C"/>
    <w:rsid w:val="00B40988"/>
    <w:rsid w:val="00B50875"/>
    <w:rsid w:val="00B81305"/>
    <w:rsid w:val="00BB17DC"/>
    <w:rsid w:val="00BB1AF9"/>
    <w:rsid w:val="00BB4C4A"/>
    <w:rsid w:val="00BB7C27"/>
    <w:rsid w:val="00BD3CAE"/>
    <w:rsid w:val="00BD5F3C"/>
    <w:rsid w:val="00C07C0F"/>
    <w:rsid w:val="00C145C4"/>
    <w:rsid w:val="00C16339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05304"/>
    <w:rsid w:val="00D26B13"/>
    <w:rsid w:val="00D26CC1"/>
    <w:rsid w:val="00D30662"/>
    <w:rsid w:val="00D32A0B"/>
    <w:rsid w:val="00D6236B"/>
    <w:rsid w:val="00D76358"/>
    <w:rsid w:val="00D809D1"/>
    <w:rsid w:val="00D84ECF"/>
    <w:rsid w:val="00D918E9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210C"/>
    <w:rsid w:val="00E96BE7"/>
    <w:rsid w:val="00EA2CD0"/>
    <w:rsid w:val="00EC0044"/>
    <w:rsid w:val="00EC6B9F"/>
    <w:rsid w:val="00EE0D71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2365"/>
    <w:rsid w:val="00F52A0E"/>
    <w:rsid w:val="00F71F63"/>
    <w:rsid w:val="00F87506"/>
    <w:rsid w:val="00F92C41"/>
    <w:rsid w:val="00FA5522"/>
    <w:rsid w:val="00FA5735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">
    <w:name w:val="__Single Txt"/>
    <w:basedOn w:val="Normal"/>
    <w:rsid w:val="004D3AD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lang w:val="en-GB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1</TotalTime>
  <Pages>7</Pages>
  <Words>2044</Words>
  <Characters>11653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Chouvalova</dc:creator>
  <cp:keywords/>
  <dc:description/>
  <cp:lastModifiedBy>Chouvalova</cp:lastModifiedBy>
  <cp:revision>2</cp:revision>
  <cp:lastPrinted>2010-06-01T11:07:00Z</cp:lastPrinted>
  <dcterms:created xsi:type="dcterms:W3CDTF">2010-06-01T11:13:00Z</dcterms:created>
  <dcterms:modified xsi:type="dcterms:W3CDTF">2010-06-01T11:13:00Z</dcterms:modified>
</cp:coreProperties>
</file>