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34E81">
        <w:trPr>
          <w:trHeight w:hRule="exact" w:val="851"/>
        </w:trPr>
        <w:tc>
          <w:tcPr>
            <w:tcW w:w="1280" w:type="dxa"/>
            <w:tcBorders>
              <w:bottom w:val="single" w:sz="4" w:space="0" w:color="auto"/>
            </w:tcBorders>
          </w:tcPr>
          <w:p w:rsidR="002D5AAC" w:rsidRDefault="002D5AAC" w:rsidP="00834E81">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34E81" w:rsidP="00834E81">
            <w:pPr>
              <w:jc w:val="right"/>
            </w:pPr>
            <w:r w:rsidRPr="00834E81">
              <w:rPr>
                <w:sz w:val="40"/>
              </w:rPr>
              <w:t>CERD</w:t>
            </w:r>
            <w:r>
              <w:t>/C/LVA/CO/6-12/Add.1</w:t>
            </w:r>
          </w:p>
        </w:tc>
      </w:tr>
      <w:tr w:rsidR="002D5AAC" w:rsidTr="00834E81">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834E81" w:rsidP="00213632">
            <w:pPr>
              <w:spacing w:before="240"/>
            </w:pPr>
            <w:r>
              <w:t>Distr. general</w:t>
            </w:r>
          </w:p>
          <w:p w:rsidR="00834E81" w:rsidRDefault="00834E81" w:rsidP="00834E81">
            <w:pPr>
              <w:spacing w:line="240" w:lineRule="exact"/>
            </w:pPr>
            <w:r>
              <w:t>28 de agosto de 2019</w:t>
            </w:r>
          </w:p>
          <w:p w:rsidR="00834E81" w:rsidRDefault="00834E81" w:rsidP="00834E81">
            <w:pPr>
              <w:spacing w:line="240" w:lineRule="exact"/>
            </w:pPr>
            <w:r>
              <w:t>Español</w:t>
            </w:r>
          </w:p>
          <w:p w:rsidR="00834E81" w:rsidRDefault="00834E81" w:rsidP="00834E81">
            <w:pPr>
              <w:spacing w:line="240" w:lineRule="exact"/>
            </w:pPr>
            <w:r>
              <w:t>Original: inglés</w:t>
            </w:r>
          </w:p>
          <w:p w:rsidR="00834E81" w:rsidRDefault="00834E81" w:rsidP="00834E81">
            <w:pPr>
              <w:spacing w:line="240" w:lineRule="exact"/>
            </w:pPr>
            <w:r>
              <w:t>Español, francés e inglés únicamente</w:t>
            </w:r>
          </w:p>
        </w:tc>
      </w:tr>
    </w:tbl>
    <w:p w:rsidR="00834E81" w:rsidRPr="00834E81" w:rsidRDefault="00834E81" w:rsidP="00834E81">
      <w:pPr>
        <w:spacing w:before="120"/>
        <w:rPr>
          <w:b/>
          <w:sz w:val="24"/>
        </w:rPr>
      </w:pPr>
      <w:r w:rsidRPr="00834E81">
        <w:rPr>
          <w:b/>
          <w:sz w:val="24"/>
        </w:rPr>
        <w:t>Comité para la Eliminación de la Discriminación Racial</w:t>
      </w:r>
    </w:p>
    <w:p w:rsidR="00834E81" w:rsidRPr="00834E81" w:rsidRDefault="00834E81" w:rsidP="00834E81">
      <w:pPr>
        <w:pStyle w:val="HChG"/>
      </w:pPr>
      <w:r>
        <w:tab/>
      </w:r>
      <w:r w:rsidRPr="00834E81">
        <w:tab/>
        <w:t>Observaciones finales sobre los informes periódicos 6º a</w:t>
      </w:r>
      <w:r>
        <w:t> </w:t>
      </w:r>
      <w:r w:rsidRPr="00834E81">
        <w:t>12º</w:t>
      </w:r>
      <w:r>
        <w:t> </w:t>
      </w:r>
      <w:r w:rsidRPr="00834E81">
        <w:t>combinados de Letonia</w:t>
      </w:r>
    </w:p>
    <w:p w:rsidR="00834E81" w:rsidRPr="00834E81" w:rsidRDefault="00834E81" w:rsidP="00834E81">
      <w:pPr>
        <w:pStyle w:val="H23G"/>
      </w:pPr>
      <w:r>
        <w:tab/>
      </w:r>
      <w:r w:rsidRPr="00834E81">
        <w:tab/>
        <w:t>Adición</w:t>
      </w:r>
    </w:p>
    <w:p w:rsidR="00834E81" w:rsidRPr="00834E81" w:rsidRDefault="00834E81" w:rsidP="00834E81">
      <w:pPr>
        <w:pStyle w:val="HChG"/>
      </w:pPr>
      <w:r>
        <w:tab/>
      </w:r>
      <w:r w:rsidRPr="00834E81">
        <w:tab/>
        <w:t>Información recibida de Letonia sobre el seguimiento de</w:t>
      </w:r>
      <w:r>
        <w:t> </w:t>
      </w:r>
      <w:r w:rsidRPr="00834E81">
        <w:t>las</w:t>
      </w:r>
      <w:r>
        <w:t> </w:t>
      </w:r>
      <w:r w:rsidRPr="00834E81">
        <w:t>observaciones finales</w:t>
      </w:r>
      <w:r w:rsidRPr="00B13ED2">
        <w:rPr>
          <w:rStyle w:val="FootnoteReference"/>
          <w:b w:val="0"/>
          <w:sz w:val="20"/>
          <w:vertAlign w:val="baseline"/>
        </w:rPr>
        <w:footnoteReference w:customMarkFollows="1" w:id="1"/>
        <w:t>*</w:t>
      </w:r>
    </w:p>
    <w:p w:rsidR="00834E81" w:rsidRPr="00834E81" w:rsidRDefault="00834E81" w:rsidP="00834E81">
      <w:pPr>
        <w:pStyle w:val="SingleTxtG"/>
        <w:jc w:val="right"/>
      </w:pPr>
      <w:r w:rsidRPr="00834E81">
        <w:t>[Fecha de recepción: 26 de agosto de 2019]</w:t>
      </w:r>
    </w:p>
    <w:p w:rsidR="00834E81" w:rsidRPr="00834E81" w:rsidRDefault="00834E81" w:rsidP="00B639DE">
      <w:pPr>
        <w:pStyle w:val="HChG"/>
      </w:pPr>
      <w:r w:rsidRPr="00834E81">
        <w:br w:type="page"/>
      </w:r>
      <w:r w:rsidR="00B639DE">
        <w:lastRenderedPageBreak/>
        <w:tab/>
      </w:r>
      <w:r w:rsidR="00B639DE">
        <w:tab/>
      </w:r>
      <w:r w:rsidRPr="00834E81">
        <w:t>Información de seguimiento presentada por la República de</w:t>
      </w:r>
      <w:r w:rsidR="00B639DE">
        <w:t> </w:t>
      </w:r>
      <w:r w:rsidRPr="00834E81">
        <w:t>Letonia para responder a las recomendaciones formuladas</w:t>
      </w:r>
      <w:r w:rsidR="00B639DE">
        <w:t> </w:t>
      </w:r>
      <w:r w:rsidRPr="00834E81">
        <w:t>en los párrafos 21 a) y b), y 23 d) de las observaciones finales sobre los informes periódicos 6º a</w:t>
      </w:r>
      <w:r w:rsidR="00B639DE">
        <w:t> </w:t>
      </w:r>
      <w:r w:rsidRPr="00834E81">
        <w:t>12º</w:t>
      </w:r>
      <w:r w:rsidR="00B639DE">
        <w:t> </w:t>
      </w:r>
      <w:r w:rsidRPr="00834E81">
        <w:t>combinados de Letonia</w:t>
      </w:r>
    </w:p>
    <w:p w:rsidR="00834E81" w:rsidRPr="00834E81" w:rsidRDefault="00834E81" w:rsidP="00834E81">
      <w:pPr>
        <w:pStyle w:val="SingleTxtG"/>
      </w:pPr>
      <w:r w:rsidRPr="00834E81">
        <w:t>1.</w:t>
      </w:r>
      <w:r w:rsidRPr="00834E81">
        <w:tab/>
        <w:t>El 23 de agosto de 2018, el Comité para la Eliminación de la Discriminación Racial (el Comité) aprobó las observaciones finales sobre los informes periódicos 6º a 12º combinados de Letonia (CERD/C/LVA/CO/6-12)</w:t>
      </w:r>
      <w:r w:rsidR="00B639DE">
        <w:t>.</w:t>
      </w:r>
    </w:p>
    <w:p w:rsidR="00834E81" w:rsidRPr="00834E81" w:rsidRDefault="00834E81" w:rsidP="00834E81">
      <w:pPr>
        <w:pStyle w:val="SingleTxtG"/>
      </w:pPr>
      <w:r w:rsidRPr="00834E81">
        <w:t>2.</w:t>
      </w:r>
      <w:r w:rsidRPr="00834E81">
        <w:tab/>
        <w:t>El presente documento contiene la información de seguimiento de respuesta a las recomendaciones que figuran en los párrafos 21 a) y b) y 23 d) de las observaciones finales.</w:t>
      </w:r>
    </w:p>
    <w:p w:rsidR="00834E81" w:rsidRPr="00834E81" w:rsidRDefault="00834E81" w:rsidP="00B639DE">
      <w:pPr>
        <w:pStyle w:val="HChG"/>
      </w:pPr>
      <w:r w:rsidRPr="00834E81">
        <w:tab/>
        <w:t>I.</w:t>
      </w:r>
      <w:r w:rsidRPr="00834E81">
        <w:tab/>
        <w:t>En cuanto a las recomendaciones formuladas en el párrafo</w:t>
      </w:r>
      <w:r w:rsidR="00B639DE">
        <w:t> </w:t>
      </w:r>
      <w:r w:rsidRPr="00834E81">
        <w:t>21</w:t>
      </w:r>
      <w:r w:rsidR="00B639DE">
        <w:t> </w:t>
      </w:r>
      <w:r w:rsidRPr="00834E81">
        <w:t>a) y b) de las observaciones finales</w:t>
      </w:r>
    </w:p>
    <w:p w:rsidR="00834E81" w:rsidRPr="00834E81" w:rsidRDefault="00834E81" w:rsidP="00834E81">
      <w:pPr>
        <w:pStyle w:val="SingleTxtG"/>
      </w:pPr>
      <w:r w:rsidRPr="00834E81">
        <w:t>3.</w:t>
      </w:r>
      <w:r w:rsidRPr="00834E81">
        <w:tab/>
        <w:t xml:space="preserve">En el párrafo 21 a) y b) de las observaciones finales se </w:t>
      </w:r>
      <w:r w:rsidR="000F2FF2">
        <w:t>recomienda</w:t>
      </w:r>
      <w:r w:rsidRPr="00834E81">
        <w:t xml:space="preserve"> que el Estado parte:</w:t>
      </w:r>
    </w:p>
    <w:p w:rsidR="00834E81" w:rsidRPr="00834E81" w:rsidRDefault="00CE258A" w:rsidP="00B639DE">
      <w:pPr>
        <w:pStyle w:val="SingleTxtG"/>
        <w:ind w:left="1701"/>
      </w:pPr>
      <w:r>
        <w:t>“</w:t>
      </w:r>
      <w:r w:rsidR="00834E81" w:rsidRPr="00834E81">
        <w:t>a)</w:t>
      </w:r>
      <w:r w:rsidR="00B639DE">
        <w:tab/>
      </w:r>
      <w:r w:rsidR="00834E81" w:rsidRPr="00834E81">
        <w:t>Amplíe las medidas para reducir el número de personas sin nacionalidad favoreciendo, de manera continuada, la naturalización;</w:t>
      </w:r>
    </w:p>
    <w:p w:rsidR="00834E81" w:rsidRPr="00834E81" w:rsidRDefault="00834E81" w:rsidP="00B639DE">
      <w:pPr>
        <w:pStyle w:val="SingleTxtG"/>
        <w:ind w:left="1701"/>
      </w:pPr>
      <w:r w:rsidRPr="00834E81">
        <w:t>b)</w:t>
      </w:r>
      <w:r w:rsidR="00B639DE">
        <w:tab/>
      </w:r>
      <w:r w:rsidRPr="00834E81">
        <w:t xml:space="preserve">Encuentre fórmulas y medios para eliminar gradualmente la categoría jurídica aparte de </w:t>
      </w:r>
      <w:r w:rsidR="00CE258A">
        <w:t>‘</w:t>
      </w:r>
      <w:r w:rsidRPr="00834E81">
        <w:t>no ciudadanos</w:t>
      </w:r>
      <w:r w:rsidR="00CE258A">
        <w:t>’</w:t>
      </w:r>
      <w:r w:rsidR="001366DE">
        <w:t>.</w:t>
      </w:r>
      <w:r w:rsidR="00CE258A">
        <w:t>”</w:t>
      </w:r>
    </w:p>
    <w:p w:rsidR="00834E81" w:rsidRPr="00834E81" w:rsidRDefault="00834E81" w:rsidP="00834E81">
      <w:pPr>
        <w:pStyle w:val="SingleTxtG"/>
      </w:pPr>
      <w:r w:rsidRPr="00834E81">
        <w:t>4.</w:t>
      </w:r>
      <w:r w:rsidRPr="00834E81">
        <w:tab/>
        <w:t>El número de no ciudadanos de la República de Letonia sigue disminuyendo cada año. El 1 de enero de 2018 había 233.393 no ciudadanos inscritos en el Registro de Población de Letonia; a 1 de enero de 2019 la cifra había bajado a 224.670 y, el 1 de julio de 2019, se situaba en 220.491 no ciudadanos. De esos datos se desprende que el número de no ciudadanos se reduce cada año en aproximadamente 10.000 personas</w:t>
      </w:r>
      <w:r w:rsidRPr="00834E81">
        <w:rPr>
          <w:sz w:val="18"/>
          <w:vertAlign w:val="superscript"/>
        </w:rPr>
        <w:footnoteReference w:id="2"/>
      </w:r>
      <w:r w:rsidRPr="00834E81">
        <w:t>.</w:t>
      </w:r>
    </w:p>
    <w:p w:rsidR="00834E81" w:rsidRPr="00834E81" w:rsidRDefault="00834E81" w:rsidP="00834E81">
      <w:pPr>
        <w:pStyle w:val="SingleTxtG"/>
      </w:pPr>
      <w:r w:rsidRPr="00834E81">
        <w:t>5.</w:t>
      </w:r>
      <w:r w:rsidRPr="00834E81">
        <w:tab/>
        <w:t>Varias razones explican el descenso del número de no ciudadanos registrados, la principal es el número estable de no ciudadanos que se presentan a los exámenes de naturalización y los aprueban, ya sea en la República de Letonia o en otros países. Cada año obtienen la ciudadanía de Letonia u otros países alrededor de 1.500 no ciudadanos.</w:t>
      </w:r>
    </w:p>
    <w:p w:rsidR="00834E81" w:rsidRPr="00834E81" w:rsidRDefault="00834E81" w:rsidP="00834E81">
      <w:pPr>
        <w:pStyle w:val="SingleTxtG"/>
      </w:pPr>
      <w:r w:rsidRPr="00834E81">
        <w:t>6.</w:t>
      </w:r>
      <w:r w:rsidRPr="00834E81">
        <w:tab/>
        <w:t xml:space="preserve">Al valorar el número de solicitudes de naturalización, cabe señalar que en los últimos cuatro años no se han producido aumentos ni disminuciones apreciables y que el número de solicitudes se mantiene relativamente estable, en torno a 1.000 por año. </w:t>
      </w:r>
    </w:p>
    <w:p w:rsidR="00834E81" w:rsidRPr="00834E81" w:rsidRDefault="00B639DE" w:rsidP="00B639DE">
      <w:pPr>
        <w:pStyle w:val="H23G"/>
      </w:pPr>
      <w:r>
        <w:tab/>
      </w:r>
      <w:r w:rsidR="00834E81" w:rsidRPr="00834E81">
        <w:tab/>
        <w:t>Número de solicitudes de naturalización registradas entre 2015 y junio de 2019</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418"/>
        <w:gridCol w:w="1184"/>
        <w:gridCol w:w="1589"/>
        <w:gridCol w:w="1479"/>
        <w:gridCol w:w="1700"/>
      </w:tblGrid>
      <w:tr w:rsidR="00B639DE" w:rsidRPr="00B639DE" w:rsidTr="00B639DE">
        <w:trPr>
          <w:trHeight w:val="240"/>
          <w:tblHeader/>
        </w:trPr>
        <w:tc>
          <w:tcPr>
            <w:tcW w:w="1418" w:type="dxa"/>
            <w:tcBorders>
              <w:top w:val="single" w:sz="4" w:space="0" w:color="auto"/>
              <w:bottom w:val="single" w:sz="12" w:space="0" w:color="auto"/>
            </w:tcBorders>
            <w:shd w:val="clear" w:color="auto" w:fill="auto"/>
            <w:vAlign w:val="bottom"/>
            <w:hideMark/>
          </w:tcPr>
          <w:p w:rsidR="00834E81" w:rsidRPr="00834E81" w:rsidRDefault="00834E81" w:rsidP="00B639DE">
            <w:pPr>
              <w:pStyle w:val="SingleTxtG"/>
              <w:spacing w:before="80" w:after="80" w:line="200" w:lineRule="exact"/>
              <w:ind w:left="0" w:right="0"/>
              <w:jc w:val="left"/>
              <w:rPr>
                <w:i/>
                <w:iCs/>
                <w:sz w:val="16"/>
              </w:rPr>
            </w:pPr>
            <w:r w:rsidRPr="00834E81">
              <w:rPr>
                <w:i/>
                <w:iCs/>
                <w:sz w:val="16"/>
              </w:rPr>
              <w:t>Año</w:t>
            </w:r>
          </w:p>
        </w:tc>
        <w:tc>
          <w:tcPr>
            <w:tcW w:w="1184" w:type="dxa"/>
            <w:tcBorders>
              <w:top w:val="single" w:sz="4" w:space="0" w:color="auto"/>
              <w:bottom w:val="single" w:sz="12" w:space="0" w:color="auto"/>
            </w:tcBorders>
            <w:shd w:val="clear" w:color="auto" w:fill="auto"/>
            <w:vAlign w:val="bottom"/>
            <w:hideMark/>
          </w:tcPr>
          <w:p w:rsidR="00834E81" w:rsidRPr="00834E81" w:rsidRDefault="00834E81" w:rsidP="00B639DE">
            <w:pPr>
              <w:pStyle w:val="SingleTxtG"/>
              <w:spacing w:before="80" w:after="80" w:line="200" w:lineRule="exact"/>
              <w:ind w:left="57" w:right="28"/>
              <w:jc w:val="right"/>
              <w:rPr>
                <w:i/>
                <w:iCs/>
                <w:sz w:val="16"/>
              </w:rPr>
            </w:pPr>
            <w:r w:rsidRPr="00834E81">
              <w:rPr>
                <w:i/>
                <w:iCs/>
                <w:sz w:val="16"/>
              </w:rPr>
              <w:t>Solicitudes de naturalización</w:t>
            </w:r>
          </w:p>
        </w:tc>
        <w:tc>
          <w:tcPr>
            <w:tcW w:w="1589" w:type="dxa"/>
            <w:tcBorders>
              <w:top w:val="single" w:sz="4" w:space="0" w:color="auto"/>
              <w:bottom w:val="single" w:sz="12" w:space="0" w:color="auto"/>
            </w:tcBorders>
            <w:shd w:val="clear" w:color="auto" w:fill="auto"/>
            <w:vAlign w:val="bottom"/>
            <w:hideMark/>
          </w:tcPr>
          <w:p w:rsidR="00834E81" w:rsidRPr="00834E81" w:rsidRDefault="00834E81" w:rsidP="00B639DE">
            <w:pPr>
              <w:pStyle w:val="SingleTxtG"/>
              <w:spacing w:before="80" w:after="80" w:line="200" w:lineRule="exact"/>
              <w:ind w:left="57" w:right="28"/>
              <w:jc w:val="right"/>
              <w:rPr>
                <w:i/>
                <w:iCs/>
                <w:sz w:val="16"/>
              </w:rPr>
            </w:pPr>
            <w:r w:rsidRPr="00834E81">
              <w:rPr>
                <w:i/>
                <w:iCs/>
                <w:sz w:val="16"/>
              </w:rPr>
              <w:t>Concesiones de ciudadanía de Letonia</w:t>
            </w:r>
          </w:p>
        </w:tc>
        <w:tc>
          <w:tcPr>
            <w:tcW w:w="1479" w:type="dxa"/>
            <w:tcBorders>
              <w:top w:val="single" w:sz="4" w:space="0" w:color="auto"/>
              <w:bottom w:val="single" w:sz="12" w:space="0" w:color="auto"/>
            </w:tcBorders>
            <w:shd w:val="clear" w:color="auto" w:fill="auto"/>
            <w:vAlign w:val="bottom"/>
            <w:hideMark/>
          </w:tcPr>
          <w:p w:rsidR="00834E81" w:rsidRPr="00834E81" w:rsidRDefault="00834E81" w:rsidP="00B639DE">
            <w:pPr>
              <w:pStyle w:val="SingleTxtG"/>
              <w:spacing w:before="80" w:after="80" w:line="200" w:lineRule="exact"/>
              <w:ind w:left="57" w:right="28"/>
              <w:jc w:val="right"/>
              <w:rPr>
                <w:i/>
                <w:iCs/>
                <w:sz w:val="16"/>
              </w:rPr>
            </w:pPr>
            <w:r w:rsidRPr="00834E81">
              <w:rPr>
                <w:i/>
                <w:iCs/>
                <w:sz w:val="16"/>
              </w:rPr>
              <w:t>Incluidos los hijos menores (hasta 15 años)</w:t>
            </w:r>
          </w:p>
        </w:tc>
        <w:tc>
          <w:tcPr>
            <w:tcW w:w="1700" w:type="dxa"/>
            <w:tcBorders>
              <w:top w:val="single" w:sz="4" w:space="0" w:color="auto"/>
              <w:bottom w:val="single" w:sz="12" w:space="0" w:color="auto"/>
            </w:tcBorders>
            <w:shd w:val="clear" w:color="auto" w:fill="auto"/>
            <w:vAlign w:val="bottom"/>
            <w:hideMark/>
          </w:tcPr>
          <w:p w:rsidR="00834E81" w:rsidRPr="00834E81" w:rsidRDefault="00834E81" w:rsidP="00B639DE">
            <w:pPr>
              <w:pStyle w:val="SingleTxtG"/>
              <w:spacing w:before="80" w:after="80" w:line="200" w:lineRule="exact"/>
              <w:ind w:left="57" w:right="28"/>
              <w:jc w:val="right"/>
              <w:rPr>
                <w:i/>
                <w:iCs/>
                <w:sz w:val="16"/>
              </w:rPr>
            </w:pPr>
            <w:r w:rsidRPr="00834E81">
              <w:rPr>
                <w:i/>
                <w:iCs/>
                <w:sz w:val="16"/>
              </w:rPr>
              <w:t>Nacionales de países no pertenecientes a la Unión Europea que obtienen la ciudadanía</w:t>
            </w:r>
          </w:p>
        </w:tc>
      </w:tr>
      <w:tr w:rsidR="00B639DE" w:rsidRPr="00834E81" w:rsidTr="00B639DE">
        <w:trPr>
          <w:trHeight w:val="240"/>
        </w:trPr>
        <w:tc>
          <w:tcPr>
            <w:tcW w:w="1418" w:type="dxa"/>
            <w:tcBorders>
              <w:top w:val="single" w:sz="12" w:space="0" w:color="auto"/>
            </w:tcBorders>
            <w:shd w:val="clear" w:color="auto" w:fill="auto"/>
            <w:hideMark/>
          </w:tcPr>
          <w:p w:rsidR="00834E81" w:rsidRPr="00834E81" w:rsidRDefault="00834E81" w:rsidP="00B639DE">
            <w:pPr>
              <w:pStyle w:val="SingleTxtG"/>
              <w:spacing w:before="40" w:after="40" w:line="220" w:lineRule="exact"/>
              <w:ind w:left="0" w:right="0"/>
              <w:jc w:val="left"/>
              <w:rPr>
                <w:sz w:val="18"/>
              </w:rPr>
            </w:pPr>
            <w:r w:rsidRPr="00834E81">
              <w:rPr>
                <w:sz w:val="18"/>
              </w:rPr>
              <w:t>2015</w:t>
            </w:r>
          </w:p>
        </w:tc>
        <w:tc>
          <w:tcPr>
            <w:tcW w:w="1184" w:type="dxa"/>
            <w:tcBorders>
              <w:top w:val="single" w:sz="12" w:space="0" w:color="auto"/>
            </w:tcBorders>
            <w:shd w:val="clear" w:color="auto" w:fill="auto"/>
            <w:vAlign w:val="bottom"/>
            <w:hideMark/>
          </w:tcPr>
          <w:p w:rsidR="00834E81" w:rsidRPr="00834E81" w:rsidRDefault="00834E81" w:rsidP="00B639DE">
            <w:pPr>
              <w:pStyle w:val="SingleTxtG"/>
              <w:spacing w:before="40" w:after="40" w:line="220" w:lineRule="exact"/>
              <w:ind w:left="57" w:right="28"/>
              <w:jc w:val="right"/>
              <w:rPr>
                <w:sz w:val="18"/>
              </w:rPr>
            </w:pPr>
            <w:r w:rsidRPr="00834E81">
              <w:rPr>
                <w:sz w:val="18"/>
              </w:rPr>
              <w:t>1 257</w:t>
            </w:r>
          </w:p>
        </w:tc>
        <w:tc>
          <w:tcPr>
            <w:tcW w:w="1589" w:type="dxa"/>
            <w:tcBorders>
              <w:top w:val="single" w:sz="12" w:space="0" w:color="auto"/>
            </w:tcBorders>
            <w:shd w:val="clear" w:color="auto" w:fill="auto"/>
            <w:vAlign w:val="bottom"/>
            <w:hideMark/>
          </w:tcPr>
          <w:p w:rsidR="00834E81" w:rsidRPr="00834E81" w:rsidRDefault="00834E81" w:rsidP="00B639DE">
            <w:pPr>
              <w:pStyle w:val="SingleTxtG"/>
              <w:spacing w:before="40" w:after="40" w:line="220" w:lineRule="exact"/>
              <w:ind w:left="57" w:right="28"/>
              <w:jc w:val="right"/>
              <w:rPr>
                <w:sz w:val="18"/>
              </w:rPr>
            </w:pPr>
            <w:r w:rsidRPr="00834E81">
              <w:rPr>
                <w:sz w:val="18"/>
              </w:rPr>
              <w:t>971</w:t>
            </w:r>
          </w:p>
        </w:tc>
        <w:tc>
          <w:tcPr>
            <w:tcW w:w="1479" w:type="dxa"/>
            <w:tcBorders>
              <w:top w:val="single" w:sz="12" w:space="0" w:color="auto"/>
            </w:tcBorders>
            <w:shd w:val="clear" w:color="auto" w:fill="auto"/>
            <w:vAlign w:val="bottom"/>
            <w:hideMark/>
          </w:tcPr>
          <w:p w:rsidR="00834E81" w:rsidRPr="00834E81" w:rsidRDefault="00834E81" w:rsidP="00B639DE">
            <w:pPr>
              <w:pStyle w:val="SingleTxtG"/>
              <w:spacing w:before="40" w:after="40" w:line="220" w:lineRule="exact"/>
              <w:ind w:left="57" w:right="28"/>
              <w:jc w:val="right"/>
              <w:rPr>
                <w:sz w:val="18"/>
              </w:rPr>
            </w:pPr>
            <w:r w:rsidRPr="00834E81">
              <w:rPr>
                <w:sz w:val="18"/>
              </w:rPr>
              <w:t>51</w:t>
            </w:r>
          </w:p>
        </w:tc>
        <w:tc>
          <w:tcPr>
            <w:tcW w:w="1700" w:type="dxa"/>
            <w:tcBorders>
              <w:top w:val="single" w:sz="12" w:space="0" w:color="auto"/>
            </w:tcBorders>
            <w:shd w:val="clear" w:color="auto" w:fill="auto"/>
            <w:vAlign w:val="bottom"/>
            <w:hideMark/>
          </w:tcPr>
          <w:p w:rsidR="00834E81" w:rsidRPr="00834E81" w:rsidRDefault="00834E81" w:rsidP="00B639DE">
            <w:pPr>
              <w:pStyle w:val="SingleTxtG"/>
              <w:spacing w:before="40" w:after="40" w:line="220" w:lineRule="exact"/>
              <w:ind w:left="57" w:right="28"/>
              <w:jc w:val="right"/>
              <w:rPr>
                <w:sz w:val="18"/>
              </w:rPr>
            </w:pPr>
            <w:r w:rsidRPr="00834E81">
              <w:rPr>
                <w:sz w:val="18"/>
              </w:rPr>
              <w:t>82</w:t>
            </w:r>
          </w:p>
        </w:tc>
      </w:tr>
      <w:tr w:rsidR="00B639DE" w:rsidRPr="00834E81" w:rsidTr="00B639DE">
        <w:trPr>
          <w:trHeight w:val="240"/>
        </w:trPr>
        <w:tc>
          <w:tcPr>
            <w:tcW w:w="1418" w:type="dxa"/>
            <w:shd w:val="clear" w:color="auto" w:fill="auto"/>
            <w:hideMark/>
          </w:tcPr>
          <w:p w:rsidR="00834E81" w:rsidRPr="00834E81" w:rsidRDefault="00834E81" w:rsidP="00B639DE">
            <w:pPr>
              <w:pStyle w:val="SingleTxtG"/>
              <w:spacing w:before="40" w:after="40" w:line="220" w:lineRule="exact"/>
              <w:ind w:left="0" w:right="0"/>
              <w:jc w:val="left"/>
              <w:rPr>
                <w:sz w:val="18"/>
              </w:rPr>
            </w:pPr>
            <w:r w:rsidRPr="00834E81">
              <w:rPr>
                <w:sz w:val="18"/>
              </w:rPr>
              <w:t>2016</w:t>
            </w:r>
          </w:p>
        </w:tc>
        <w:tc>
          <w:tcPr>
            <w:tcW w:w="1184" w:type="dxa"/>
            <w:shd w:val="clear" w:color="auto" w:fill="auto"/>
            <w:vAlign w:val="bottom"/>
            <w:hideMark/>
          </w:tcPr>
          <w:p w:rsidR="00834E81" w:rsidRPr="00834E81" w:rsidRDefault="00834E81" w:rsidP="00B639DE">
            <w:pPr>
              <w:pStyle w:val="SingleTxtG"/>
              <w:spacing w:before="40" w:after="40" w:line="220" w:lineRule="exact"/>
              <w:ind w:left="57" w:right="28"/>
              <w:jc w:val="right"/>
              <w:rPr>
                <w:sz w:val="18"/>
              </w:rPr>
            </w:pPr>
            <w:r w:rsidRPr="00834E81">
              <w:rPr>
                <w:sz w:val="18"/>
              </w:rPr>
              <w:t>1 001</w:t>
            </w:r>
          </w:p>
        </w:tc>
        <w:tc>
          <w:tcPr>
            <w:tcW w:w="1589" w:type="dxa"/>
            <w:shd w:val="clear" w:color="auto" w:fill="auto"/>
            <w:vAlign w:val="bottom"/>
            <w:hideMark/>
          </w:tcPr>
          <w:p w:rsidR="00834E81" w:rsidRPr="00834E81" w:rsidRDefault="00834E81" w:rsidP="00B639DE">
            <w:pPr>
              <w:pStyle w:val="SingleTxtG"/>
              <w:spacing w:before="40" w:after="40" w:line="220" w:lineRule="exact"/>
              <w:ind w:left="57" w:right="28"/>
              <w:jc w:val="right"/>
              <w:rPr>
                <w:sz w:val="18"/>
              </w:rPr>
            </w:pPr>
            <w:r w:rsidRPr="00834E81">
              <w:rPr>
                <w:sz w:val="18"/>
              </w:rPr>
              <w:t>987</w:t>
            </w:r>
          </w:p>
        </w:tc>
        <w:tc>
          <w:tcPr>
            <w:tcW w:w="1479" w:type="dxa"/>
            <w:shd w:val="clear" w:color="auto" w:fill="auto"/>
            <w:vAlign w:val="bottom"/>
            <w:hideMark/>
          </w:tcPr>
          <w:p w:rsidR="00834E81" w:rsidRPr="00834E81" w:rsidRDefault="00834E81" w:rsidP="00B639DE">
            <w:pPr>
              <w:pStyle w:val="SingleTxtG"/>
              <w:spacing w:before="40" w:after="40" w:line="220" w:lineRule="exact"/>
              <w:ind w:left="57" w:right="28"/>
              <w:jc w:val="right"/>
              <w:rPr>
                <w:sz w:val="18"/>
              </w:rPr>
            </w:pPr>
            <w:r w:rsidRPr="00834E81">
              <w:rPr>
                <w:sz w:val="18"/>
              </w:rPr>
              <w:t>52</w:t>
            </w:r>
          </w:p>
        </w:tc>
        <w:tc>
          <w:tcPr>
            <w:tcW w:w="1700" w:type="dxa"/>
            <w:shd w:val="clear" w:color="auto" w:fill="auto"/>
            <w:vAlign w:val="bottom"/>
            <w:hideMark/>
          </w:tcPr>
          <w:p w:rsidR="00834E81" w:rsidRPr="00834E81" w:rsidRDefault="00834E81" w:rsidP="00B639DE">
            <w:pPr>
              <w:pStyle w:val="SingleTxtG"/>
              <w:spacing w:before="40" w:after="40" w:line="220" w:lineRule="exact"/>
              <w:ind w:left="57" w:right="28"/>
              <w:jc w:val="right"/>
              <w:rPr>
                <w:sz w:val="18"/>
              </w:rPr>
            </w:pPr>
            <w:r w:rsidRPr="00834E81">
              <w:rPr>
                <w:sz w:val="18"/>
              </w:rPr>
              <w:t>106</w:t>
            </w:r>
          </w:p>
        </w:tc>
      </w:tr>
      <w:tr w:rsidR="00B639DE" w:rsidRPr="00834E81" w:rsidTr="00B639DE">
        <w:trPr>
          <w:trHeight w:val="240"/>
        </w:trPr>
        <w:tc>
          <w:tcPr>
            <w:tcW w:w="1418" w:type="dxa"/>
            <w:shd w:val="clear" w:color="auto" w:fill="auto"/>
          </w:tcPr>
          <w:p w:rsidR="00834E81" w:rsidRPr="00834E81" w:rsidRDefault="00834E81" w:rsidP="00B639DE">
            <w:pPr>
              <w:pStyle w:val="SingleTxtG"/>
              <w:spacing w:before="40" w:after="40" w:line="220" w:lineRule="exact"/>
              <w:ind w:left="0" w:right="0"/>
              <w:jc w:val="left"/>
              <w:rPr>
                <w:sz w:val="18"/>
              </w:rPr>
            </w:pPr>
            <w:r w:rsidRPr="00834E81">
              <w:rPr>
                <w:sz w:val="18"/>
              </w:rPr>
              <w:t>2017</w:t>
            </w:r>
          </w:p>
        </w:tc>
        <w:tc>
          <w:tcPr>
            <w:tcW w:w="1184" w:type="dxa"/>
            <w:shd w:val="clear" w:color="auto" w:fill="auto"/>
            <w:vAlign w:val="bottom"/>
          </w:tcPr>
          <w:p w:rsidR="00834E81" w:rsidRPr="00834E81" w:rsidRDefault="00834E81" w:rsidP="00B639DE">
            <w:pPr>
              <w:pStyle w:val="SingleTxtG"/>
              <w:spacing w:before="40" w:after="40" w:line="220" w:lineRule="exact"/>
              <w:ind w:left="57" w:right="28"/>
              <w:jc w:val="right"/>
              <w:rPr>
                <w:sz w:val="18"/>
              </w:rPr>
            </w:pPr>
            <w:r w:rsidRPr="00834E81">
              <w:rPr>
                <w:sz w:val="18"/>
              </w:rPr>
              <w:t>1 085</w:t>
            </w:r>
          </w:p>
        </w:tc>
        <w:tc>
          <w:tcPr>
            <w:tcW w:w="1589" w:type="dxa"/>
            <w:shd w:val="clear" w:color="auto" w:fill="auto"/>
            <w:vAlign w:val="bottom"/>
          </w:tcPr>
          <w:p w:rsidR="00834E81" w:rsidRPr="00834E81" w:rsidRDefault="00834E81" w:rsidP="00B639DE">
            <w:pPr>
              <w:pStyle w:val="SingleTxtG"/>
              <w:spacing w:before="40" w:after="40" w:line="220" w:lineRule="exact"/>
              <w:ind w:left="57" w:right="28"/>
              <w:jc w:val="right"/>
              <w:rPr>
                <w:sz w:val="18"/>
              </w:rPr>
            </w:pPr>
            <w:r w:rsidRPr="00834E81">
              <w:rPr>
                <w:sz w:val="18"/>
              </w:rPr>
              <w:t>915</w:t>
            </w:r>
          </w:p>
        </w:tc>
        <w:tc>
          <w:tcPr>
            <w:tcW w:w="1479" w:type="dxa"/>
            <w:shd w:val="clear" w:color="auto" w:fill="auto"/>
            <w:vAlign w:val="bottom"/>
          </w:tcPr>
          <w:p w:rsidR="00834E81" w:rsidRPr="00834E81" w:rsidRDefault="00834E81" w:rsidP="00B639DE">
            <w:pPr>
              <w:pStyle w:val="SingleTxtG"/>
              <w:spacing w:before="40" w:after="40" w:line="220" w:lineRule="exact"/>
              <w:ind w:left="57" w:right="28"/>
              <w:jc w:val="right"/>
              <w:rPr>
                <w:sz w:val="18"/>
              </w:rPr>
            </w:pPr>
            <w:r w:rsidRPr="00834E81">
              <w:rPr>
                <w:sz w:val="18"/>
              </w:rPr>
              <w:t>47</w:t>
            </w:r>
          </w:p>
        </w:tc>
        <w:tc>
          <w:tcPr>
            <w:tcW w:w="1700" w:type="dxa"/>
            <w:shd w:val="clear" w:color="auto" w:fill="auto"/>
            <w:vAlign w:val="bottom"/>
          </w:tcPr>
          <w:p w:rsidR="00834E81" w:rsidRPr="00834E81" w:rsidRDefault="00834E81" w:rsidP="00B639DE">
            <w:pPr>
              <w:pStyle w:val="SingleTxtG"/>
              <w:spacing w:before="40" w:after="40" w:line="220" w:lineRule="exact"/>
              <w:ind w:left="57" w:right="28"/>
              <w:jc w:val="right"/>
              <w:rPr>
                <w:sz w:val="18"/>
              </w:rPr>
            </w:pPr>
            <w:r w:rsidRPr="00834E81">
              <w:rPr>
                <w:sz w:val="18"/>
              </w:rPr>
              <w:t>103</w:t>
            </w:r>
          </w:p>
        </w:tc>
      </w:tr>
      <w:tr w:rsidR="00B639DE" w:rsidRPr="00834E81" w:rsidTr="00B639DE">
        <w:trPr>
          <w:trHeight w:val="240"/>
        </w:trPr>
        <w:tc>
          <w:tcPr>
            <w:tcW w:w="1418" w:type="dxa"/>
            <w:shd w:val="clear" w:color="auto" w:fill="auto"/>
          </w:tcPr>
          <w:p w:rsidR="00834E81" w:rsidRPr="00834E81" w:rsidRDefault="00834E81" w:rsidP="00B639DE">
            <w:pPr>
              <w:pStyle w:val="SingleTxtG"/>
              <w:spacing w:before="40" w:after="40" w:line="220" w:lineRule="exact"/>
              <w:ind w:left="0" w:right="0"/>
              <w:jc w:val="left"/>
              <w:rPr>
                <w:sz w:val="18"/>
              </w:rPr>
            </w:pPr>
            <w:r w:rsidRPr="00834E81">
              <w:rPr>
                <w:sz w:val="18"/>
              </w:rPr>
              <w:t>2018</w:t>
            </w:r>
          </w:p>
        </w:tc>
        <w:tc>
          <w:tcPr>
            <w:tcW w:w="1184" w:type="dxa"/>
            <w:shd w:val="clear" w:color="auto" w:fill="auto"/>
            <w:vAlign w:val="bottom"/>
          </w:tcPr>
          <w:p w:rsidR="00834E81" w:rsidRPr="00834E81" w:rsidRDefault="00834E81" w:rsidP="00B639DE">
            <w:pPr>
              <w:pStyle w:val="SingleTxtG"/>
              <w:spacing w:before="40" w:after="40" w:line="220" w:lineRule="exact"/>
              <w:ind w:left="57" w:right="28"/>
              <w:jc w:val="right"/>
              <w:rPr>
                <w:sz w:val="18"/>
              </w:rPr>
            </w:pPr>
            <w:r w:rsidRPr="00834E81">
              <w:rPr>
                <w:sz w:val="18"/>
              </w:rPr>
              <w:t>1 137</w:t>
            </w:r>
          </w:p>
        </w:tc>
        <w:tc>
          <w:tcPr>
            <w:tcW w:w="1589" w:type="dxa"/>
            <w:shd w:val="clear" w:color="auto" w:fill="auto"/>
            <w:vAlign w:val="bottom"/>
          </w:tcPr>
          <w:p w:rsidR="00834E81" w:rsidRPr="00834E81" w:rsidRDefault="00834E81" w:rsidP="00B639DE">
            <w:pPr>
              <w:pStyle w:val="SingleTxtG"/>
              <w:spacing w:before="40" w:after="40" w:line="220" w:lineRule="exact"/>
              <w:ind w:left="57" w:right="28"/>
              <w:jc w:val="right"/>
              <w:rPr>
                <w:sz w:val="18"/>
              </w:rPr>
            </w:pPr>
            <w:r w:rsidRPr="00834E81">
              <w:rPr>
                <w:sz w:val="18"/>
              </w:rPr>
              <w:t>930</w:t>
            </w:r>
          </w:p>
        </w:tc>
        <w:tc>
          <w:tcPr>
            <w:tcW w:w="1479" w:type="dxa"/>
            <w:shd w:val="clear" w:color="auto" w:fill="auto"/>
            <w:vAlign w:val="bottom"/>
          </w:tcPr>
          <w:p w:rsidR="00834E81" w:rsidRPr="00834E81" w:rsidRDefault="00834E81" w:rsidP="00B639DE">
            <w:pPr>
              <w:pStyle w:val="SingleTxtG"/>
              <w:spacing w:before="40" w:after="40" w:line="220" w:lineRule="exact"/>
              <w:ind w:left="57" w:right="28"/>
              <w:jc w:val="right"/>
              <w:rPr>
                <w:sz w:val="18"/>
              </w:rPr>
            </w:pPr>
            <w:r w:rsidRPr="00834E81">
              <w:rPr>
                <w:sz w:val="18"/>
              </w:rPr>
              <w:t>38</w:t>
            </w:r>
          </w:p>
        </w:tc>
        <w:tc>
          <w:tcPr>
            <w:tcW w:w="1700" w:type="dxa"/>
            <w:shd w:val="clear" w:color="auto" w:fill="auto"/>
            <w:vAlign w:val="bottom"/>
          </w:tcPr>
          <w:p w:rsidR="00834E81" w:rsidRPr="00834E81" w:rsidRDefault="00834E81" w:rsidP="00B639DE">
            <w:pPr>
              <w:pStyle w:val="SingleTxtG"/>
              <w:spacing w:before="40" w:after="40" w:line="220" w:lineRule="exact"/>
              <w:ind w:left="57" w:right="28"/>
              <w:jc w:val="right"/>
              <w:rPr>
                <w:sz w:val="18"/>
              </w:rPr>
            </w:pPr>
            <w:r w:rsidRPr="00834E81">
              <w:rPr>
                <w:sz w:val="18"/>
              </w:rPr>
              <w:t>104</w:t>
            </w:r>
          </w:p>
        </w:tc>
      </w:tr>
      <w:tr w:rsidR="00B639DE" w:rsidRPr="00834E81" w:rsidTr="00B639DE">
        <w:trPr>
          <w:trHeight w:val="240"/>
        </w:trPr>
        <w:tc>
          <w:tcPr>
            <w:tcW w:w="1418" w:type="dxa"/>
            <w:tcBorders>
              <w:bottom w:val="single" w:sz="12" w:space="0" w:color="auto"/>
            </w:tcBorders>
            <w:shd w:val="clear" w:color="auto" w:fill="auto"/>
          </w:tcPr>
          <w:p w:rsidR="00834E81" w:rsidRPr="00834E81" w:rsidRDefault="00834E81" w:rsidP="00B639DE">
            <w:pPr>
              <w:pStyle w:val="SingleTxtG"/>
              <w:spacing w:before="40" w:after="40" w:line="220" w:lineRule="exact"/>
              <w:ind w:left="0" w:right="0"/>
              <w:jc w:val="left"/>
              <w:rPr>
                <w:sz w:val="18"/>
              </w:rPr>
            </w:pPr>
            <w:r w:rsidRPr="00834E81">
              <w:rPr>
                <w:sz w:val="18"/>
              </w:rPr>
              <w:t>2019, hasta junio</w:t>
            </w:r>
          </w:p>
        </w:tc>
        <w:tc>
          <w:tcPr>
            <w:tcW w:w="1184" w:type="dxa"/>
            <w:tcBorders>
              <w:bottom w:val="single" w:sz="12" w:space="0" w:color="auto"/>
            </w:tcBorders>
            <w:shd w:val="clear" w:color="auto" w:fill="auto"/>
            <w:vAlign w:val="bottom"/>
          </w:tcPr>
          <w:p w:rsidR="00834E81" w:rsidRPr="00834E81" w:rsidRDefault="00834E81" w:rsidP="00B639DE">
            <w:pPr>
              <w:pStyle w:val="SingleTxtG"/>
              <w:spacing w:before="40" w:after="40" w:line="220" w:lineRule="exact"/>
              <w:ind w:left="57" w:right="28"/>
              <w:jc w:val="right"/>
              <w:rPr>
                <w:sz w:val="18"/>
              </w:rPr>
            </w:pPr>
            <w:r w:rsidRPr="00834E81">
              <w:rPr>
                <w:sz w:val="18"/>
              </w:rPr>
              <w:t>535</w:t>
            </w:r>
          </w:p>
        </w:tc>
        <w:tc>
          <w:tcPr>
            <w:tcW w:w="1589" w:type="dxa"/>
            <w:tcBorders>
              <w:bottom w:val="single" w:sz="12" w:space="0" w:color="auto"/>
            </w:tcBorders>
            <w:shd w:val="clear" w:color="auto" w:fill="auto"/>
            <w:vAlign w:val="bottom"/>
          </w:tcPr>
          <w:p w:rsidR="00834E81" w:rsidRPr="00834E81" w:rsidRDefault="00834E81" w:rsidP="00B639DE">
            <w:pPr>
              <w:pStyle w:val="SingleTxtG"/>
              <w:spacing w:before="40" w:after="40" w:line="220" w:lineRule="exact"/>
              <w:ind w:left="57" w:right="28"/>
              <w:jc w:val="right"/>
              <w:rPr>
                <w:sz w:val="18"/>
              </w:rPr>
            </w:pPr>
            <w:r w:rsidRPr="00834E81">
              <w:rPr>
                <w:sz w:val="18"/>
              </w:rPr>
              <w:t>472</w:t>
            </w:r>
          </w:p>
        </w:tc>
        <w:tc>
          <w:tcPr>
            <w:tcW w:w="1479" w:type="dxa"/>
            <w:tcBorders>
              <w:bottom w:val="single" w:sz="12" w:space="0" w:color="auto"/>
            </w:tcBorders>
            <w:shd w:val="clear" w:color="auto" w:fill="auto"/>
            <w:vAlign w:val="bottom"/>
          </w:tcPr>
          <w:p w:rsidR="00834E81" w:rsidRPr="00834E81" w:rsidRDefault="00834E81" w:rsidP="00B639DE">
            <w:pPr>
              <w:pStyle w:val="SingleTxtG"/>
              <w:spacing w:before="40" w:after="40" w:line="220" w:lineRule="exact"/>
              <w:ind w:left="57" w:right="28"/>
              <w:jc w:val="right"/>
              <w:rPr>
                <w:sz w:val="18"/>
              </w:rPr>
            </w:pPr>
            <w:r w:rsidRPr="00834E81">
              <w:rPr>
                <w:sz w:val="18"/>
              </w:rPr>
              <w:t>16</w:t>
            </w:r>
          </w:p>
        </w:tc>
        <w:tc>
          <w:tcPr>
            <w:tcW w:w="1700" w:type="dxa"/>
            <w:tcBorders>
              <w:bottom w:val="single" w:sz="12" w:space="0" w:color="auto"/>
            </w:tcBorders>
            <w:shd w:val="clear" w:color="auto" w:fill="auto"/>
            <w:vAlign w:val="bottom"/>
          </w:tcPr>
          <w:p w:rsidR="00834E81" w:rsidRPr="00834E81" w:rsidRDefault="00834E81" w:rsidP="00B639DE">
            <w:pPr>
              <w:pStyle w:val="SingleTxtG"/>
              <w:spacing w:before="40" w:after="40" w:line="220" w:lineRule="exact"/>
              <w:ind w:left="57" w:right="28"/>
              <w:jc w:val="right"/>
              <w:rPr>
                <w:sz w:val="18"/>
              </w:rPr>
            </w:pPr>
            <w:r w:rsidRPr="00834E81">
              <w:rPr>
                <w:sz w:val="18"/>
              </w:rPr>
              <w:t>70</w:t>
            </w:r>
          </w:p>
        </w:tc>
      </w:tr>
    </w:tbl>
    <w:p w:rsidR="00834E81" w:rsidRPr="00834E81" w:rsidRDefault="00834E81" w:rsidP="00B639DE">
      <w:pPr>
        <w:pStyle w:val="SingleTxtG"/>
        <w:spacing w:before="120" w:after="240"/>
        <w:ind w:firstLine="170"/>
        <w:jc w:val="left"/>
        <w:rPr>
          <w:sz w:val="18"/>
        </w:rPr>
      </w:pPr>
      <w:r w:rsidRPr="00834E81">
        <w:rPr>
          <w:i/>
          <w:iCs/>
          <w:sz w:val="18"/>
        </w:rPr>
        <w:t>Fuente</w:t>
      </w:r>
      <w:r w:rsidRPr="00834E81">
        <w:rPr>
          <w:i/>
          <w:sz w:val="18"/>
        </w:rPr>
        <w:t>:</w:t>
      </w:r>
      <w:r w:rsidRPr="00834E81">
        <w:rPr>
          <w:sz w:val="18"/>
        </w:rPr>
        <w:t xml:space="preserve"> Oficina de Asuntos de Ciudadanía y Migración.</w:t>
      </w:r>
    </w:p>
    <w:p w:rsidR="00834E81" w:rsidRPr="00834E81" w:rsidRDefault="00834E81" w:rsidP="00834E81">
      <w:pPr>
        <w:pStyle w:val="SingleTxtG"/>
      </w:pPr>
      <w:r w:rsidRPr="00834E81">
        <w:t>7.</w:t>
      </w:r>
      <w:r w:rsidRPr="00834E81">
        <w:tab/>
        <w:t>Según las estadísticas de la Oficina de Asuntos de Ciudadanía y Migración, en los últimos cuatro años se concedió la ciudadanía de Letonia a:</w:t>
      </w:r>
    </w:p>
    <w:p w:rsidR="00834E81" w:rsidRPr="00834E81" w:rsidRDefault="00834E81" w:rsidP="00834E81">
      <w:pPr>
        <w:pStyle w:val="SingleTxtG"/>
      </w:pPr>
      <w:r w:rsidRPr="00834E81">
        <w:tab/>
        <w:t>a)</w:t>
      </w:r>
      <w:r w:rsidRPr="00834E81">
        <w:tab/>
        <w:t>En 2016, a 987 personas, de las cuales 52 eran niños (7 ciudadanos de la Unión Europea, 97 nacionales de terceros países, 2 apátridas y 881 no ciudadanos letones);</w:t>
      </w:r>
    </w:p>
    <w:p w:rsidR="00834E81" w:rsidRPr="00834E81" w:rsidRDefault="00834E81" w:rsidP="00834E81">
      <w:pPr>
        <w:pStyle w:val="SingleTxtG"/>
      </w:pPr>
      <w:r w:rsidRPr="00834E81">
        <w:tab/>
        <w:t>b)</w:t>
      </w:r>
      <w:r w:rsidRPr="00834E81">
        <w:tab/>
        <w:t>En 2017, a 915 personas, de las cuales 47 eran niños (13 ciudadanos de la Unión Europea, 89 nacionales de terceros países, 1 apátrida y 812 no ciudadanos letones);</w:t>
      </w:r>
    </w:p>
    <w:p w:rsidR="00834E81" w:rsidRPr="00834E81" w:rsidRDefault="00834E81" w:rsidP="00834E81">
      <w:pPr>
        <w:pStyle w:val="SingleTxtG"/>
      </w:pPr>
      <w:r w:rsidRPr="00834E81">
        <w:tab/>
        <w:t>c)</w:t>
      </w:r>
      <w:r w:rsidRPr="00834E81">
        <w:tab/>
        <w:t>En 2018, a 930 personas, de las cuales 38 eran niños (7 ciudadanos de la Unión Europea, 93 nacionales de terceros países, 5 apátridas y 825 no ciudadanos letones);</w:t>
      </w:r>
    </w:p>
    <w:p w:rsidR="00834E81" w:rsidRPr="00834E81" w:rsidRDefault="00834E81" w:rsidP="00834E81">
      <w:pPr>
        <w:pStyle w:val="SingleTxtG"/>
      </w:pPr>
      <w:r w:rsidRPr="00834E81">
        <w:tab/>
        <w:t>d)</w:t>
      </w:r>
      <w:r w:rsidRPr="00834E81">
        <w:tab/>
        <w:t>En los primeros seis meses de 2019, a 472 personas, de las cuales 16 eran niños (3 ciudadanos de la Unión Europea, 66 nacionales de terceros países, 1 apátrida y</w:t>
      </w:r>
      <w:r w:rsidR="001366DE">
        <w:t> </w:t>
      </w:r>
      <w:r w:rsidRPr="00834E81">
        <w:t>402</w:t>
      </w:r>
      <w:r w:rsidR="001366DE">
        <w:t> </w:t>
      </w:r>
      <w:r w:rsidRPr="00834E81">
        <w:t xml:space="preserve">no ciudadanos letones). </w:t>
      </w:r>
    </w:p>
    <w:p w:rsidR="00834E81" w:rsidRPr="00834E81" w:rsidRDefault="00834E81" w:rsidP="00834E81">
      <w:pPr>
        <w:pStyle w:val="SingleTxtG"/>
      </w:pPr>
      <w:r w:rsidRPr="00834E81">
        <w:t>8.</w:t>
      </w:r>
      <w:r w:rsidRPr="00834E81">
        <w:tab/>
        <w:t>Las autoridades gubernamentales llevan a cabo encuestas periódicamente para valorar cómo se percibe la naturalización, entre otras cosas analizando la evolución del interés que suscita el procedimiento. Las encuestas, que abarcan todas las regiones del país, se organizan desde 2010. En cada una participan más de 1</w:t>
      </w:r>
      <w:r w:rsidR="001366DE">
        <w:t>.</w:t>
      </w:r>
      <w:r w:rsidRPr="00834E81">
        <w:t>000 no ciudadanos. En la más reciente, celebrada en 2018, se determinó que los principales motivos de la falta de motivación para solicitar la naturalización seguían siendo los mismos: la impresión de que la ciudadanía debería concederse de forma automática (17</w:t>
      </w:r>
      <w:r w:rsidR="00CE258A">
        <w:t xml:space="preserve"> </w:t>
      </w:r>
      <w:r w:rsidRPr="00834E81">
        <w:t>%) y de que el proceso de naturalización debería facilitarse más (15</w:t>
      </w:r>
      <w:r w:rsidR="00CE258A">
        <w:t xml:space="preserve"> </w:t>
      </w:r>
      <w:r w:rsidRPr="00834E81">
        <w:t>%). Sin embargo, se observó un cambio de opinión con respecto a la encuesta llevada a cabo en 2016, cuando el 19</w:t>
      </w:r>
      <w:r w:rsidR="00CE258A">
        <w:t xml:space="preserve"> </w:t>
      </w:r>
      <w:r w:rsidRPr="00834E81">
        <w:t>% de los encuestados contestó que la ciudadanía debería concederse de forma automática y el 18</w:t>
      </w:r>
      <w:r w:rsidR="00CE258A">
        <w:t xml:space="preserve"> </w:t>
      </w:r>
      <w:r w:rsidRPr="00834E81">
        <w:t>%, que el proceso de naturalización debería facilitarse más.</w:t>
      </w:r>
    </w:p>
    <w:p w:rsidR="00834E81" w:rsidRPr="00834E81" w:rsidRDefault="00834E81" w:rsidP="00834E81">
      <w:pPr>
        <w:pStyle w:val="SingleTxtG"/>
      </w:pPr>
      <w:r w:rsidRPr="00834E81">
        <w:t>9.</w:t>
      </w:r>
      <w:r w:rsidRPr="00834E81">
        <w:tab/>
        <w:t>Letonia sigue aplicando una tarifa reducida o eximiendo del pago a las personas de</w:t>
      </w:r>
      <w:r w:rsidR="001366DE">
        <w:t xml:space="preserve"> </w:t>
      </w:r>
      <w:r w:rsidRPr="00834E81">
        <w:t>bajos ingresos, desempleadas, jubiladas y otros colectivos socialmente vulnerables. Se suprimió la tarifa en el caso de las personas perseguidas por motivos políticos, las personas</w:t>
      </w:r>
      <w:r w:rsidR="001366DE">
        <w:t xml:space="preserve"> </w:t>
      </w:r>
      <w:r w:rsidRPr="00834E81">
        <w:t>con discapacidad, los huérfanos y las personas de instituciones de asistencia social. En</w:t>
      </w:r>
      <w:r w:rsidR="001366DE">
        <w:t> </w:t>
      </w:r>
      <w:r w:rsidRPr="00834E81">
        <w:t>2019, el 41</w:t>
      </w:r>
      <w:r w:rsidR="00B13ED2">
        <w:t xml:space="preserve"> </w:t>
      </w:r>
      <w:r w:rsidRPr="00834E81">
        <w:t xml:space="preserve">% de los solicitantes de naturalización pagaron una tarifa reducida o quedaron exentos del pago. </w:t>
      </w:r>
    </w:p>
    <w:p w:rsidR="00834E81" w:rsidRPr="00834E81" w:rsidRDefault="00834E81" w:rsidP="00834E81">
      <w:pPr>
        <w:pStyle w:val="SingleTxtG"/>
      </w:pPr>
      <w:r w:rsidRPr="00834E81">
        <w:t>10.</w:t>
      </w:r>
      <w:r w:rsidRPr="00834E81">
        <w:tab/>
        <w:t>La Oficina de Asuntos de Ciudadanía y Migración sigue organizando jornadas de información a la ciudadanía, en que explica los procedimientos para solicitar la ciudadanía y atiende consultas en diversas regiones y ciudades de Letonia. En 2017 se realizaron 105</w:t>
      </w:r>
      <w:r w:rsidR="001366DE">
        <w:t> </w:t>
      </w:r>
      <w:r w:rsidRPr="00834E81">
        <w:t xml:space="preserve">actividades y en 2018, 109; hasta el 30 de junio de 2019, se organizaron 61 actividades. En abril de 2019, la Oficina de Asuntos de Ciudadanía y Migración puso en marcha el proyecto </w:t>
      </w:r>
      <w:r w:rsidR="00CE258A">
        <w:t>“</w:t>
      </w:r>
      <w:r w:rsidRPr="00834E81">
        <w:t>Mejora y desarrollo de sistemas de información de apoyo a la naturalización y los procesos conexos</w:t>
      </w:r>
      <w:r w:rsidR="00CE258A">
        <w:t>”</w:t>
      </w:r>
      <w:r w:rsidRPr="00834E81">
        <w:t xml:space="preserve">, que prevé </w:t>
      </w:r>
      <w:r w:rsidR="000F2FF2">
        <w:t xml:space="preserve">la </w:t>
      </w:r>
      <w:r w:rsidRPr="00834E81">
        <w:t>organiza</w:t>
      </w:r>
      <w:r w:rsidR="000F2FF2">
        <w:t>ción de</w:t>
      </w:r>
      <w:r w:rsidRPr="00834E81">
        <w:t xml:space="preserve"> campañas informativas para promover la naturalización. Uno de los objetivos de esas campañas es que la población</w:t>
      </w:r>
      <w:r w:rsidR="000F2FF2">
        <w:t xml:space="preserve"> interesada</w:t>
      </w:r>
      <w:r w:rsidRPr="00834E81">
        <w:t xml:space="preserve"> sepa que puede obtener la ciudadanía </w:t>
      </w:r>
      <w:r w:rsidR="000F2FF2">
        <w:t>l</w:t>
      </w:r>
      <w:r w:rsidRPr="00834E81">
        <w:t xml:space="preserve">etona mediante la naturalización y las pruebas de naturalización, y que existe una herramienta electrónica que permite hacer pruebas de autoexamen. Las jornadas de información son una de las formas más efectivas de informar sobre el proceso de naturalización. En el marco de ese proyecto, se va a desarrollar una herramienta electrónica, a la que se podrá acceder desde el sitio web de la Oficina de Asuntos de Ciudadanía y Migración, que permitirá practicar las pruebas de naturalización. De este modo, quienes se presenten a los exámenes de naturalización superarán sus temores y nervios acerca de si tienen el nivel de conocimientos necesario para aprobar. </w:t>
      </w:r>
    </w:p>
    <w:p w:rsidR="00834E81" w:rsidRPr="00834E81" w:rsidRDefault="00834E81" w:rsidP="00834E81">
      <w:pPr>
        <w:pStyle w:val="SingleTxtG"/>
      </w:pPr>
      <w:r w:rsidRPr="00834E81">
        <w:t>11.</w:t>
      </w:r>
      <w:r w:rsidRPr="00834E81">
        <w:tab/>
        <w:t xml:space="preserve">Dado que ha aumentado la movilidad de los nacionales de Letonia, </w:t>
      </w:r>
      <w:r w:rsidR="000F2FF2">
        <w:t>también de</w:t>
      </w:r>
      <w:r w:rsidRPr="00834E81">
        <w:t xml:space="preserve"> los no ciudadanos, muchos </w:t>
      </w:r>
      <w:r w:rsidR="000F2FF2">
        <w:t>de estos</w:t>
      </w:r>
      <w:r w:rsidRPr="00834E81">
        <w:t xml:space="preserve"> buscan oportunidades para estudiar y trabajar en otros países de la Unión Europea o terceros países. Como consecuencia, durante el último decenio ha aumentado el número de no ciudadanos que reúnen los requisitos para solicitar la ciudadanía de otros países, por haber residido el número de años suficiente o mantener vínculos familiares con el país en cuestión. La Oficina de Asuntos de Ciudadanía y Migración registra la información sobre esos no ciudadanos que han obtenido la ciudadanía en otro país y, por consiguiente, han perdido la condición de no ciudadanos en Letonia.</w:t>
      </w:r>
    </w:p>
    <w:p w:rsidR="00834E81" w:rsidRPr="00834E81" w:rsidRDefault="00834E81" w:rsidP="00834E81">
      <w:pPr>
        <w:pStyle w:val="SingleTxtG"/>
      </w:pPr>
      <w:r w:rsidRPr="00834E81">
        <w:tab/>
        <w:t>a)</w:t>
      </w:r>
      <w:r w:rsidRPr="00834E81">
        <w:tab/>
        <w:t>En 2015 renunciaron a la condición de no ciudadano 1.761 personas; a 61 se les revocó la condición;</w:t>
      </w:r>
    </w:p>
    <w:p w:rsidR="00834E81" w:rsidRPr="00834E81" w:rsidRDefault="00834E81" w:rsidP="00834E81">
      <w:pPr>
        <w:pStyle w:val="SingleTxtG"/>
      </w:pPr>
      <w:r w:rsidRPr="00834E81">
        <w:tab/>
        <w:t>b)</w:t>
      </w:r>
      <w:r w:rsidRPr="00834E81">
        <w:tab/>
        <w:t>En 2016 renunciaron a la condición de no ciudadano 972 personas, a 71 se les revocó la condición;</w:t>
      </w:r>
    </w:p>
    <w:p w:rsidR="00834E81" w:rsidRPr="00834E81" w:rsidRDefault="00834E81" w:rsidP="00834E81">
      <w:pPr>
        <w:pStyle w:val="SingleTxtG"/>
      </w:pPr>
      <w:r w:rsidRPr="00834E81">
        <w:tab/>
        <w:t>c)</w:t>
      </w:r>
      <w:r w:rsidRPr="00834E81">
        <w:tab/>
        <w:t>En 2017 renunciaron a la condición de no ciudadano 703 personas, a 153 se les revocó la condición;</w:t>
      </w:r>
    </w:p>
    <w:p w:rsidR="00834E81" w:rsidRPr="00834E81" w:rsidRDefault="00834E81" w:rsidP="00834E81">
      <w:pPr>
        <w:pStyle w:val="SingleTxtG"/>
      </w:pPr>
      <w:r w:rsidRPr="00834E81">
        <w:tab/>
        <w:t>d)</w:t>
      </w:r>
      <w:r w:rsidRPr="00834E81">
        <w:tab/>
        <w:t>En 2018 renunciaron a la condición de no ciudadano 556 personas, a 129 se les revocó la condición.</w:t>
      </w:r>
    </w:p>
    <w:p w:rsidR="00834E81" w:rsidRPr="00834E81" w:rsidRDefault="00834E81" w:rsidP="00834E81">
      <w:pPr>
        <w:pStyle w:val="SingleTxtG"/>
      </w:pPr>
      <w:r w:rsidRPr="00834E81">
        <w:t>12.</w:t>
      </w:r>
      <w:r w:rsidRPr="00834E81">
        <w:tab/>
        <w:t xml:space="preserve">El otro colectivo importante en el que se centran las iniciativas de las autoridades letonas para reducir el número de no ciudadanos son los hijos de padres no ciudadanos. Las autoridades explican a los padres no ciudadanos que la Ley de Ciudadanía contempla la posibilidad de registrar a los recién nacidos como ciudadanos de Letonia. El número de recién nacidos </w:t>
      </w:r>
      <w:r w:rsidR="000F2FF2">
        <w:t>registrados como</w:t>
      </w:r>
      <w:r w:rsidRPr="00834E81">
        <w:t xml:space="preserve"> no ciudadanos en Letonia disminuye cada año y en 2018 se alcanzó un nuevo mínimo, 33, que supone un 0,17</w:t>
      </w:r>
      <w:r w:rsidR="00CE258A">
        <w:t xml:space="preserve"> </w:t>
      </w:r>
      <w:r w:rsidRPr="00834E81">
        <w:t xml:space="preserve">% del total de nacimientos que se registró en Letonia. </w:t>
      </w:r>
    </w:p>
    <w:p w:rsidR="00834E81" w:rsidRPr="00834E81" w:rsidRDefault="00DC0D6A" w:rsidP="00DC0D6A">
      <w:pPr>
        <w:pStyle w:val="H23G"/>
      </w:pPr>
      <w:r>
        <w:tab/>
      </w:r>
      <w:r w:rsidR="00834E81" w:rsidRPr="00834E81">
        <w:tab/>
        <w:t>Número y proporción de hijos de ciudadanos y no ciudadanos, nacidos entre 2015 y</w:t>
      </w:r>
      <w:r>
        <w:t> </w:t>
      </w:r>
      <w:r w:rsidR="00834E81" w:rsidRPr="00834E81">
        <w:t>2018</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418"/>
        <w:gridCol w:w="1276"/>
        <w:gridCol w:w="1559"/>
        <w:gridCol w:w="1505"/>
        <w:gridCol w:w="1612"/>
      </w:tblGrid>
      <w:tr w:rsidR="00DC0D6A" w:rsidRPr="00DC0D6A" w:rsidTr="00DC0D6A">
        <w:trPr>
          <w:trHeight w:val="240"/>
          <w:tblHeader/>
        </w:trPr>
        <w:tc>
          <w:tcPr>
            <w:tcW w:w="1418" w:type="dxa"/>
            <w:tcBorders>
              <w:top w:val="single" w:sz="4" w:space="0" w:color="auto"/>
              <w:bottom w:val="single" w:sz="12" w:space="0" w:color="auto"/>
            </w:tcBorders>
            <w:shd w:val="clear" w:color="auto" w:fill="auto"/>
            <w:vAlign w:val="bottom"/>
            <w:hideMark/>
          </w:tcPr>
          <w:p w:rsidR="00834E81" w:rsidRPr="00834E81" w:rsidRDefault="00834E81" w:rsidP="00DC0D6A">
            <w:pPr>
              <w:pStyle w:val="SingleTxtG"/>
              <w:spacing w:before="80" w:after="80" w:line="200" w:lineRule="exact"/>
              <w:ind w:left="0" w:right="0"/>
              <w:jc w:val="left"/>
              <w:rPr>
                <w:i/>
                <w:sz w:val="16"/>
              </w:rPr>
            </w:pPr>
            <w:r w:rsidRPr="00834E81">
              <w:rPr>
                <w:i/>
                <w:iCs/>
                <w:sz w:val="16"/>
              </w:rPr>
              <w:t>Año de nacimiento</w:t>
            </w:r>
          </w:p>
        </w:tc>
        <w:tc>
          <w:tcPr>
            <w:tcW w:w="1276" w:type="dxa"/>
            <w:tcBorders>
              <w:top w:val="single" w:sz="4" w:space="0" w:color="auto"/>
              <w:bottom w:val="single" w:sz="12" w:space="0" w:color="auto"/>
            </w:tcBorders>
            <w:shd w:val="clear" w:color="auto" w:fill="auto"/>
            <w:vAlign w:val="bottom"/>
            <w:hideMark/>
          </w:tcPr>
          <w:p w:rsidR="00834E81" w:rsidRPr="00834E81" w:rsidRDefault="00834E81" w:rsidP="00DC0D6A">
            <w:pPr>
              <w:pStyle w:val="SingleTxtG"/>
              <w:spacing w:before="80" w:after="80" w:line="200" w:lineRule="exact"/>
              <w:ind w:left="57" w:right="28"/>
              <w:jc w:val="right"/>
              <w:rPr>
                <w:i/>
                <w:sz w:val="16"/>
              </w:rPr>
            </w:pPr>
            <w:r w:rsidRPr="00834E81">
              <w:rPr>
                <w:i/>
                <w:iCs/>
                <w:sz w:val="16"/>
              </w:rPr>
              <w:t>Número de ciudadanos</w:t>
            </w:r>
          </w:p>
        </w:tc>
        <w:tc>
          <w:tcPr>
            <w:tcW w:w="1559" w:type="dxa"/>
            <w:tcBorders>
              <w:top w:val="single" w:sz="4" w:space="0" w:color="auto"/>
              <w:bottom w:val="single" w:sz="12" w:space="0" w:color="auto"/>
            </w:tcBorders>
            <w:shd w:val="clear" w:color="auto" w:fill="auto"/>
            <w:vAlign w:val="bottom"/>
            <w:hideMark/>
          </w:tcPr>
          <w:p w:rsidR="00834E81" w:rsidRPr="00834E81" w:rsidRDefault="00834E81" w:rsidP="00DC0D6A">
            <w:pPr>
              <w:pStyle w:val="SingleTxtG"/>
              <w:spacing w:before="80" w:after="80" w:line="200" w:lineRule="exact"/>
              <w:ind w:left="57" w:right="28"/>
              <w:jc w:val="right"/>
              <w:rPr>
                <w:i/>
                <w:sz w:val="16"/>
              </w:rPr>
            </w:pPr>
            <w:r w:rsidRPr="00834E81">
              <w:rPr>
                <w:i/>
                <w:iCs/>
                <w:sz w:val="16"/>
              </w:rPr>
              <w:t>Ciudadanos (</w:t>
            </w:r>
            <w:r w:rsidR="00DC0D6A">
              <w:rPr>
                <w:i/>
                <w:iCs/>
                <w:sz w:val="16"/>
              </w:rPr>
              <w:t>porcentaje</w:t>
            </w:r>
            <w:r w:rsidRPr="00834E81">
              <w:rPr>
                <w:i/>
                <w:iCs/>
                <w:sz w:val="16"/>
              </w:rPr>
              <w:t>)</w:t>
            </w:r>
          </w:p>
        </w:tc>
        <w:tc>
          <w:tcPr>
            <w:tcW w:w="1505" w:type="dxa"/>
            <w:tcBorders>
              <w:top w:val="single" w:sz="4" w:space="0" w:color="auto"/>
              <w:bottom w:val="single" w:sz="12" w:space="0" w:color="auto"/>
            </w:tcBorders>
            <w:shd w:val="clear" w:color="auto" w:fill="auto"/>
            <w:vAlign w:val="bottom"/>
            <w:hideMark/>
          </w:tcPr>
          <w:p w:rsidR="00834E81" w:rsidRPr="00834E81" w:rsidRDefault="00834E81" w:rsidP="00DC0D6A">
            <w:pPr>
              <w:pStyle w:val="SingleTxtG"/>
              <w:spacing w:before="80" w:after="80" w:line="200" w:lineRule="exact"/>
              <w:ind w:left="57" w:right="28"/>
              <w:jc w:val="right"/>
              <w:rPr>
                <w:i/>
                <w:sz w:val="16"/>
              </w:rPr>
            </w:pPr>
            <w:r w:rsidRPr="00834E81">
              <w:rPr>
                <w:i/>
                <w:iCs/>
                <w:sz w:val="16"/>
              </w:rPr>
              <w:t>Número de no ciudadanos</w:t>
            </w:r>
          </w:p>
        </w:tc>
        <w:tc>
          <w:tcPr>
            <w:tcW w:w="1612" w:type="dxa"/>
            <w:tcBorders>
              <w:top w:val="single" w:sz="4" w:space="0" w:color="auto"/>
              <w:bottom w:val="single" w:sz="12" w:space="0" w:color="auto"/>
            </w:tcBorders>
            <w:shd w:val="clear" w:color="auto" w:fill="auto"/>
            <w:vAlign w:val="bottom"/>
            <w:hideMark/>
          </w:tcPr>
          <w:p w:rsidR="00834E81" w:rsidRPr="00834E81" w:rsidRDefault="00834E81" w:rsidP="00DC0D6A">
            <w:pPr>
              <w:pStyle w:val="SingleTxtG"/>
              <w:spacing w:before="80" w:after="80" w:line="200" w:lineRule="exact"/>
              <w:ind w:left="57" w:right="28"/>
              <w:jc w:val="right"/>
              <w:rPr>
                <w:i/>
                <w:sz w:val="16"/>
              </w:rPr>
            </w:pPr>
            <w:r w:rsidRPr="00834E81">
              <w:rPr>
                <w:i/>
                <w:iCs/>
                <w:sz w:val="16"/>
              </w:rPr>
              <w:t>No ciudadanos (</w:t>
            </w:r>
            <w:r w:rsidR="00DC0D6A">
              <w:rPr>
                <w:i/>
                <w:iCs/>
                <w:sz w:val="16"/>
              </w:rPr>
              <w:t>porcentaje</w:t>
            </w:r>
            <w:r w:rsidRPr="00834E81">
              <w:rPr>
                <w:i/>
                <w:iCs/>
                <w:sz w:val="16"/>
              </w:rPr>
              <w:t>)</w:t>
            </w:r>
          </w:p>
        </w:tc>
      </w:tr>
      <w:tr w:rsidR="00DC0D6A" w:rsidRPr="00834E81" w:rsidTr="00DC0D6A">
        <w:trPr>
          <w:trHeight w:val="240"/>
        </w:trPr>
        <w:tc>
          <w:tcPr>
            <w:tcW w:w="1418" w:type="dxa"/>
            <w:tcBorders>
              <w:top w:val="single" w:sz="12" w:space="0" w:color="auto"/>
            </w:tcBorders>
            <w:shd w:val="clear" w:color="auto" w:fill="auto"/>
            <w:hideMark/>
          </w:tcPr>
          <w:p w:rsidR="00834E81" w:rsidRPr="00834E81" w:rsidRDefault="00834E81" w:rsidP="00DC0D6A">
            <w:pPr>
              <w:pStyle w:val="SingleTxtG"/>
              <w:spacing w:before="40" w:after="40" w:line="220" w:lineRule="exact"/>
              <w:ind w:left="0" w:right="0"/>
              <w:jc w:val="left"/>
              <w:rPr>
                <w:sz w:val="18"/>
              </w:rPr>
            </w:pPr>
            <w:r w:rsidRPr="00834E81">
              <w:rPr>
                <w:sz w:val="18"/>
              </w:rPr>
              <w:t>2015</w:t>
            </w:r>
          </w:p>
        </w:tc>
        <w:tc>
          <w:tcPr>
            <w:tcW w:w="1276" w:type="dxa"/>
            <w:tcBorders>
              <w:top w:val="single" w:sz="12" w:space="0" w:color="auto"/>
            </w:tcBorders>
            <w:shd w:val="clear" w:color="auto" w:fill="auto"/>
            <w:vAlign w:val="bottom"/>
            <w:hideMark/>
          </w:tcPr>
          <w:p w:rsidR="00834E81" w:rsidRPr="00834E81" w:rsidRDefault="00834E81" w:rsidP="00DC0D6A">
            <w:pPr>
              <w:pStyle w:val="SingleTxtG"/>
              <w:spacing w:before="40" w:after="40" w:line="220" w:lineRule="exact"/>
              <w:ind w:left="57" w:right="28"/>
              <w:jc w:val="right"/>
              <w:rPr>
                <w:sz w:val="18"/>
              </w:rPr>
            </w:pPr>
            <w:r w:rsidRPr="00834E81">
              <w:rPr>
                <w:sz w:val="18"/>
              </w:rPr>
              <w:t>22 440</w:t>
            </w:r>
          </w:p>
        </w:tc>
        <w:tc>
          <w:tcPr>
            <w:tcW w:w="1559" w:type="dxa"/>
            <w:tcBorders>
              <w:top w:val="single" w:sz="12" w:space="0" w:color="auto"/>
            </w:tcBorders>
            <w:shd w:val="clear" w:color="auto" w:fill="auto"/>
            <w:vAlign w:val="bottom"/>
            <w:hideMark/>
          </w:tcPr>
          <w:p w:rsidR="00834E81" w:rsidRPr="00834E81" w:rsidRDefault="00834E81" w:rsidP="00DC0D6A">
            <w:pPr>
              <w:pStyle w:val="SingleTxtG"/>
              <w:spacing w:before="40" w:after="40" w:line="220" w:lineRule="exact"/>
              <w:ind w:left="57" w:right="28"/>
              <w:jc w:val="right"/>
              <w:rPr>
                <w:sz w:val="18"/>
              </w:rPr>
            </w:pPr>
            <w:r w:rsidRPr="00834E81">
              <w:rPr>
                <w:sz w:val="18"/>
              </w:rPr>
              <w:t>99,63</w:t>
            </w:r>
          </w:p>
        </w:tc>
        <w:tc>
          <w:tcPr>
            <w:tcW w:w="1505" w:type="dxa"/>
            <w:tcBorders>
              <w:top w:val="single" w:sz="12" w:space="0" w:color="auto"/>
            </w:tcBorders>
            <w:shd w:val="clear" w:color="auto" w:fill="auto"/>
            <w:vAlign w:val="bottom"/>
            <w:hideMark/>
          </w:tcPr>
          <w:p w:rsidR="00834E81" w:rsidRPr="00834E81" w:rsidRDefault="00834E81" w:rsidP="00DC0D6A">
            <w:pPr>
              <w:pStyle w:val="SingleTxtG"/>
              <w:spacing w:before="40" w:after="40" w:line="220" w:lineRule="exact"/>
              <w:ind w:left="57" w:right="28"/>
              <w:jc w:val="right"/>
              <w:rPr>
                <w:sz w:val="18"/>
              </w:rPr>
            </w:pPr>
            <w:r w:rsidRPr="00834E81">
              <w:rPr>
                <w:sz w:val="18"/>
              </w:rPr>
              <w:t>83</w:t>
            </w:r>
          </w:p>
        </w:tc>
        <w:tc>
          <w:tcPr>
            <w:tcW w:w="1612" w:type="dxa"/>
            <w:tcBorders>
              <w:top w:val="single" w:sz="12" w:space="0" w:color="auto"/>
            </w:tcBorders>
            <w:shd w:val="clear" w:color="auto" w:fill="auto"/>
            <w:vAlign w:val="bottom"/>
            <w:hideMark/>
          </w:tcPr>
          <w:p w:rsidR="00834E81" w:rsidRPr="00834E81" w:rsidRDefault="00834E81" w:rsidP="00DC0D6A">
            <w:pPr>
              <w:pStyle w:val="SingleTxtG"/>
              <w:spacing w:before="40" w:after="40" w:line="220" w:lineRule="exact"/>
              <w:ind w:left="57" w:right="28"/>
              <w:jc w:val="right"/>
              <w:rPr>
                <w:sz w:val="18"/>
              </w:rPr>
            </w:pPr>
            <w:r w:rsidRPr="00834E81">
              <w:rPr>
                <w:sz w:val="18"/>
              </w:rPr>
              <w:t>0,37</w:t>
            </w:r>
          </w:p>
        </w:tc>
      </w:tr>
      <w:tr w:rsidR="00DC0D6A" w:rsidRPr="00834E81" w:rsidTr="00DC0D6A">
        <w:trPr>
          <w:trHeight w:val="240"/>
        </w:trPr>
        <w:tc>
          <w:tcPr>
            <w:tcW w:w="1418" w:type="dxa"/>
            <w:shd w:val="clear" w:color="auto" w:fill="auto"/>
            <w:hideMark/>
          </w:tcPr>
          <w:p w:rsidR="00834E81" w:rsidRPr="00834E81" w:rsidRDefault="00834E81" w:rsidP="00DC0D6A">
            <w:pPr>
              <w:pStyle w:val="SingleTxtG"/>
              <w:spacing w:before="40" w:after="40" w:line="220" w:lineRule="exact"/>
              <w:ind w:left="0" w:right="0"/>
              <w:jc w:val="left"/>
              <w:rPr>
                <w:sz w:val="18"/>
              </w:rPr>
            </w:pPr>
            <w:r w:rsidRPr="00834E81">
              <w:rPr>
                <w:sz w:val="18"/>
              </w:rPr>
              <w:t>2016</w:t>
            </w:r>
          </w:p>
        </w:tc>
        <w:tc>
          <w:tcPr>
            <w:tcW w:w="1276" w:type="dxa"/>
            <w:shd w:val="clear" w:color="auto" w:fill="auto"/>
            <w:vAlign w:val="bottom"/>
            <w:hideMark/>
          </w:tcPr>
          <w:p w:rsidR="00834E81" w:rsidRPr="00834E81" w:rsidRDefault="00834E81" w:rsidP="00DC0D6A">
            <w:pPr>
              <w:pStyle w:val="SingleTxtG"/>
              <w:spacing w:before="40" w:after="40" w:line="220" w:lineRule="exact"/>
              <w:ind w:left="57" w:right="28"/>
              <w:jc w:val="right"/>
              <w:rPr>
                <w:sz w:val="18"/>
              </w:rPr>
            </w:pPr>
            <w:r w:rsidRPr="00834E81">
              <w:rPr>
                <w:sz w:val="18"/>
              </w:rPr>
              <w:t>21 545</w:t>
            </w:r>
          </w:p>
        </w:tc>
        <w:tc>
          <w:tcPr>
            <w:tcW w:w="1559" w:type="dxa"/>
            <w:shd w:val="clear" w:color="auto" w:fill="auto"/>
            <w:vAlign w:val="bottom"/>
            <w:hideMark/>
          </w:tcPr>
          <w:p w:rsidR="00834E81" w:rsidRPr="00834E81" w:rsidRDefault="00834E81" w:rsidP="00DC0D6A">
            <w:pPr>
              <w:pStyle w:val="SingleTxtG"/>
              <w:spacing w:before="40" w:after="40" w:line="220" w:lineRule="exact"/>
              <w:ind w:left="57" w:right="28"/>
              <w:jc w:val="right"/>
              <w:rPr>
                <w:sz w:val="18"/>
              </w:rPr>
            </w:pPr>
            <w:r w:rsidRPr="00834E81">
              <w:rPr>
                <w:sz w:val="18"/>
              </w:rPr>
              <w:t>99,75</w:t>
            </w:r>
          </w:p>
        </w:tc>
        <w:tc>
          <w:tcPr>
            <w:tcW w:w="1505" w:type="dxa"/>
            <w:shd w:val="clear" w:color="auto" w:fill="auto"/>
            <w:vAlign w:val="bottom"/>
            <w:hideMark/>
          </w:tcPr>
          <w:p w:rsidR="00834E81" w:rsidRPr="00834E81" w:rsidRDefault="00834E81" w:rsidP="00DC0D6A">
            <w:pPr>
              <w:pStyle w:val="SingleTxtG"/>
              <w:spacing w:before="40" w:after="40" w:line="220" w:lineRule="exact"/>
              <w:ind w:left="57" w:right="28"/>
              <w:jc w:val="right"/>
              <w:rPr>
                <w:sz w:val="18"/>
              </w:rPr>
            </w:pPr>
            <w:r w:rsidRPr="00834E81">
              <w:rPr>
                <w:sz w:val="18"/>
              </w:rPr>
              <w:t>52</w:t>
            </w:r>
          </w:p>
        </w:tc>
        <w:tc>
          <w:tcPr>
            <w:tcW w:w="1612" w:type="dxa"/>
            <w:shd w:val="clear" w:color="auto" w:fill="auto"/>
            <w:vAlign w:val="bottom"/>
            <w:hideMark/>
          </w:tcPr>
          <w:p w:rsidR="00834E81" w:rsidRPr="00834E81" w:rsidRDefault="00834E81" w:rsidP="00DC0D6A">
            <w:pPr>
              <w:pStyle w:val="SingleTxtG"/>
              <w:spacing w:before="40" w:after="40" w:line="220" w:lineRule="exact"/>
              <w:ind w:left="57" w:right="28"/>
              <w:jc w:val="right"/>
              <w:rPr>
                <w:sz w:val="18"/>
              </w:rPr>
            </w:pPr>
            <w:r w:rsidRPr="00834E81">
              <w:rPr>
                <w:sz w:val="18"/>
              </w:rPr>
              <w:t>0,25</w:t>
            </w:r>
          </w:p>
        </w:tc>
      </w:tr>
      <w:tr w:rsidR="00DC0D6A" w:rsidRPr="00834E81" w:rsidTr="00DC0D6A">
        <w:trPr>
          <w:trHeight w:val="240"/>
        </w:trPr>
        <w:tc>
          <w:tcPr>
            <w:tcW w:w="1418" w:type="dxa"/>
            <w:shd w:val="clear" w:color="auto" w:fill="auto"/>
          </w:tcPr>
          <w:p w:rsidR="00834E81" w:rsidRPr="00834E81" w:rsidRDefault="00834E81" w:rsidP="00DC0D6A">
            <w:pPr>
              <w:pStyle w:val="SingleTxtG"/>
              <w:spacing w:before="40" w:after="40" w:line="220" w:lineRule="exact"/>
              <w:ind w:left="0" w:right="0"/>
              <w:jc w:val="left"/>
              <w:rPr>
                <w:sz w:val="18"/>
              </w:rPr>
            </w:pPr>
            <w:r w:rsidRPr="00834E81">
              <w:rPr>
                <w:sz w:val="18"/>
              </w:rPr>
              <w:t>2017</w:t>
            </w:r>
          </w:p>
        </w:tc>
        <w:tc>
          <w:tcPr>
            <w:tcW w:w="1276" w:type="dxa"/>
            <w:shd w:val="clear" w:color="auto" w:fill="auto"/>
            <w:vAlign w:val="bottom"/>
          </w:tcPr>
          <w:p w:rsidR="00834E81" w:rsidRPr="00834E81" w:rsidRDefault="00834E81" w:rsidP="00DC0D6A">
            <w:pPr>
              <w:pStyle w:val="SingleTxtG"/>
              <w:spacing w:before="40" w:after="40" w:line="220" w:lineRule="exact"/>
              <w:ind w:left="57" w:right="28"/>
              <w:jc w:val="right"/>
              <w:rPr>
                <w:sz w:val="18"/>
              </w:rPr>
            </w:pPr>
            <w:r w:rsidRPr="00834E81">
              <w:rPr>
                <w:sz w:val="18"/>
              </w:rPr>
              <w:t>20 374</w:t>
            </w:r>
          </w:p>
        </w:tc>
        <w:tc>
          <w:tcPr>
            <w:tcW w:w="1559" w:type="dxa"/>
            <w:shd w:val="clear" w:color="auto" w:fill="auto"/>
            <w:vAlign w:val="bottom"/>
          </w:tcPr>
          <w:p w:rsidR="00834E81" w:rsidRPr="00834E81" w:rsidRDefault="00834E81" w:rsidP="00DC0D6A">
            <w:pPr>
              <w:pStyle w:val="SingleTxtG"/>
              <w:spacing w:before="40" w:after="40" w:line="220" w:lineRule="exact"/>
              <w:ind w:left="57" w:right="28"/>
              <w:jc w:val="right"/>
              <w:rPr>
                <w:sz w:val="18"/>
              </w:rPr>
            </w:pPr>
            <w:r w:rsidRPr="00834E81">
              <w:rPr>
                <w:sz w:val="18"/>
              </w:rPr>
              <w:t>99,74</w:t>
            </w:r>
          </w:p>
        </w:tc>
        <w:tc>
          <w:tcPr>
            <w:tcW w:w="1505" w:type="dxa"/>
            <w:shd w:val="clear" w:color="auto" w:fill="auto"/>
            <w:vAlign w:val="bottom"/>
          </w:tcPr>
          <w:p w:rsidR="00834E81" w:rsidRPr="00834E81" w:rsidRDefault="00834E81" w:rsidP="00DC0D6A">
            <w:pPr>
              <w:pStyle w:val="SingleTxtG"/>
              <w:spacing w:before="40" w:after="40" w:line="220" w:lineRule="exact"/>
              <w:ind w:left="57" w:right="28"/>
              <w:jc w:val="right"/>
              <w:rPr>
                <w:sz w:val="18"/>
              </w:rPr>
            </w:pPr>
            <w:r w:rsidRPr="00834E81">
              <w:rPr>
                <w:sz w:val="18"/>
              </w:rPr>
              <w:t>53</w:t>
            </w:r>
          </w:p>
        </w:tc>
        <w:tc>
          <w:tcPr>
            <w:tcW w:w="1612" w:type="dxa"/>
            <w:shd w:val="clear" w:color="auto" w:fill="auto"/>
            <w:vAlign w:val="bottom"/>
          </w:tcPr>
          <w:p w:rsidR="00834E81" w:rsidRPr="00834E81" w:rsidRDefault="00834E81" w:rsidP="00DC0D6A">
            <w:pPr>
              <w:pStyle w:val="SingleTxtG"/>
              <w:spacing w:before="40" w:after="40" w:line="220" w:lineRule="exact"/>
              <w:ind w:left="57" w:right="28"/>
              <w:jc w:val="right"/>
              <w:rPr>
                <w:sz w:val="18"/>
              </w:rPr>
            </w:pPr>
            <w:r w:rsidRPr="00834E81">
              <w:rPr>
                <w:sz w:val="18"/>
              </w:rPr>
              <w:t>0,26</w:t>
            </w:r>
          </w:p>
        </w:tc>
      </w:tr>
      <w:tr w:rsidR="00DC0D6A" w:rsidRPr="00834E81" w:rsidTr="00DC0D6A">
        <w:trPr>
          <w:trHeight w:val="240"/>
        </w:trPr>
        <w:tc>
          <w:tcPr>
            <w:tcW w:w="1418" w:type="dxa"/>
            <w:tcBorders>
              <w:bottom w:val="single" w:sz="12" w:space="0" w:color="auto"/>
            </w:tcBorders>
            <w:shd w:val="clear" w:color="auto" w:fill="auto"/>
          </w:tcPr>
          <w:p w:rsidR="00834E81" w:rsidRPr="00834E81" w:rsidRDefault="00834E81" w:rsidP="00DC0D6A">
            <w:pPr>
              <w:pStyle w:val="SingleTxtG"/>
              <w:spacing w:before="40" w:after="40" w:line="220" w:lineRule="exact"/>
              <w:ind w:left="0" w:right="0"/>
              <w:jc w:val="left"/>
              <w:rPr>
                <w:sz w:val="18"/>
              </w:rPr>
            </w:pPr>
            <w:r w:rsidRPr="00834E81">
              <w:rPr>
                <w:sz w:val="18"/>
              </w:rPr>
              <w:t>2018</w:t>
            </w:r>
          </w:p>
        </w:tc>
        <w:tc>
          <w:tcPr>
            <w:tcW w:w="1276" w:type="dxa"/>
            <w:tcBorders>
              <w:bottom w:val="single" w:sz="12" w:space="0" w:color="auto"/>
            </w:tcBorders>
            <w:shd w:val="clear" w:color="auto" w:fill="auto"/>
            <w:vAlign w:val="bottom"/>
          </w:tcPr>
          <w:p w:rsidR="00834E81" w:rsidRPr="00834E81" w:rsidRDefault="00834E81" w:rsidP="00DC0D6A">
            <w:pPr>
              <w:pStyle w:val="SingleTxtG"/>
              <w:spacing w:before="40" w:after="40" w:line="220" w:lineRule="exact"/>
              <w:ind w:left="57" w:right="28"/>
              <w:jc w:val="right"/>
              <w:rPr>
                <w:sz w:val="18"/>
              </w:rPr>
            </w:pPr>
            <w:r w:rsidRPr="00834E81">
              <w:rPr>
                <w:sz w:val="18"/>
              </w:rPr>
              <w:t>18 846</w:t>
            </w:r>
          </w:p>
        </w:tc>
        <w:tc>
          <w:tcPr>
            <w:tcW w:w="1559" w:type="dxa"/>
            <w:tcBorders>
              <w:bottom w:val="single" w:sz="12" w:space="0" w:color="auto"/>
            </w:tcBorders>
            <w:shd w:val="clear" w:color="auto" w:fill="auto"/>
            <w:vAlign w:val="bottom"/>
          </w:tcPr>
          <w:p w:rsidR="00834E81" w:rsidRPr="00834E81" w:rsidRDefault="00834E81" w:rsidP="00DC0D6A">
            <w:pPr>
              <w:pStyle w:val="SingleTxtG"/>
              <w:spacing w:before="40" w:after="40" w:line="220" w:lineRule="exact"/>
              <w:ind w:left="57" w:right="28"/>
              <w:jc w:val="right"/>
              <w:rPr>
                <w:sz w:val="18"/>
              </w:rPr>
            </w:pPr>
            <w:r w:rsidRPr="00834E81">
              <w:rPr>
                <w:sz w:val="18"/>
              </w:rPr>
              <w:t>99,83</w:t>
            </w:r>
          </w:p>
        </w:tc>
        <w:tc>
          <w:tcPr>
            <w:tcW w:w="1505" w:type="dxa"/>
            <w:tcBorders>
              <w:bottom w:val="single" w:sz="12" w:space="0" w:color="auto"/>
            </w:tcBorders>
            <w:shd w:val="clear" w:color="auto" w:fill="auto"/>
            <w:vAlign w:val="bottom"/>
          </w:tcPr>
          <w:p w:rsidR="00834E81" w:rsidRPr="00834E81" w:rsidRDefault="00834E81" w:rsidP="00DC0D6A">
            <w:pPr>
              <w:pStyle w:val="SingleTxtG"/>
              <w:spacing w:before="40" w:after="40" w:line="220" w:lineRule="exact"/>
              <w:ind w:left="57" w:right="28"/>
              <w:jc w:val="right"/>
              <w:rPr>
                <w:sz w:val="18"/>
              </w:rPr>
            </w:pPr>
            <w:r w:rsidRPr="00834E81">
              <w:rPr>
                <w:sz w:val="18"/>
              </w:rPr>
              <w:t>33</w:t>
            </w:r>
          </w:p>
        </w:tc>
        <w:tc>
          <w:tcPr>
            <w:tcW w:w="1612" w:type="dxa"/>
            <w:tcBorders>
              <w:bottom w:val="single" w:sz="12" w:space="0" w:color="auto"/>
            </w:tcBorders>
            <w:shd w:val="clear" w:color="auto" w:fill="auto"/>
            <w:vAlign w:val="bottom"/>
          </w:tcPr>
          <w:p w:rsidR="00834E81" w:rsidRPr="00834E81" w:rsidRDefault="00834E81" w:rsidP="00DC0D6A">
            <w:pPr>
              <w:pStyle w:val="SingleTxtG"/>
              <w:spacing w:before="40" w:after="40" w:line="220" w:lineRule="exact"/>
              <w:ind w:left="57" w:right="28"/>
              <w:jc w:val="right"/>
              <w:rPr>
                <w:sz w:val="18"/>
              </w:rPr>
            </w:pPr>
            <w:r w:rsidRPr="00834E81">
              <w:rPr>
                <w:sz w:val="18"/>
              </w:rPr>
              <w:t>0,17</w:t>
            </w:r>
          </w:p>
        </w:tc>
      </w:tr>
    </w:tbl>
    <w:p w:rsidR="00834E81" w:rsidRPr="00834E81" w:rsidRDefault="00834E81" w:rsidP="00DC0D6A">
      <w:pPr>
        <w:pStyle w:val="SingleTxtG"/>
        <w:spacing w:before="120" w:after="240"/>
        <w:ind w:firstLine="170"/>
        <w:jc w:val="left"/>
        <w:rPr>
          <w:sz w:val="18"/>
        </w:rPr>
      </w:pPr>
      <w:r w:rsidRPr="00834E81">
        <w:rPr>
          <w:i/>
          <w:iCs/>
          <w:sz w:val="18"/>
        </w:rPr>
        <w:t>Fuente</w:t>
      </w:r>
      <w:r w:rsidRPr="00834E81">
        <w:rPr>
          <w:i/>
          <w:sz w:val="18"/>
        </w:rPr>
        <w:t>:</w:t>
      </w:r>
      <w:r w:rsidRPr="00834E81">
        <w:rPr>
          <w:sz w:val="18"/>
        </w:rPr>
        <w:t xml:space="preserve"> Oficina de Asuntos de Ciudadanía y Migración.</w:t>
      </w:r>
    </w:p>
    <w:p w:rsidR="00834E81" w:rsidRPr="00834E81" w:rsidRDefault="00DC0D6A" w:rsidP="00DC0D6A">
      <w:pPr>
        <w:pStyle w:val="H23G"/>
      </w:pPr>
      <w:r>
        <w:tab/>
      </w:r>
      <w:r w:rsidR="00834E81" w:rsidRPr="00834E81">
        <w:tab/>
        <w:t>Reconocimiento de niños como ciudadanos letones, entre 2015 y 2018</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686"/>
        <w:gridCol w:w="1134"/>
        <w:gridCol w:w="850"/>
        <w:gridCol w:w="851"/>
        <w:gridCol w:w="849"/>
      </w:tblGrid>
      <w:tr w:rsidR="00DC0D6A" w:rsidRPr="00DC0D6A" w:rsidTr="00DC0D6A">
        <w:trPr>
          <w:trHeight w:val="240"/>
          <w:tblHeader/>
        </w:trPr>
        <w:tc>
          <w:tcPr>
            <w:tcW w:w="3686" w:type="dxa"/>
            <w:tcBorders>
              <w:top w:val="single" w:sz="4" w:space="0" w:color="auto"/>
              <w:bottom w:val="single" w:sz="12" w:space="0" w:color="auto"/>
            </w:tcBorders>
            <w:shd w:val="clear" w:color="auto" w:fill="auto"/>
            <w:vAlign w:val="bottom"/>
          </w:tcPr>
          <w:p w:rsidR="00834E81" w:rsidRPr="00834E81" w:rsidRDefault="00834E81" w:rsidP="00DC0D6A">
            <w:pPr>
              <w:pStyle w:val="SingleTxtG"/>
              <w:spacing w:before="80" w:after="80" w:line="200" w:lineRule="exact"/>
              <w:ind w:left="0" w:right="0"/>
              <w:jc w:val="left"/>
              <w:rPr>
                <w:i/>
                <w:sz w:val="16"/>
              </w:rPr>
            </w:pPr>
          </w:p>
        </w:tc>
        <w:tc>
          <w:tcPr>
            <w:tcW w:w="1134" w:type="dxa"/>
            <w:tcBorders>
              <w:top w:val="single" w:sz="4" w:space="0" w:color="auto"/>
              <w:bottom w:val="single" w:sz="12" w:space="0" w:color="auto"/>
            </w:tcBorders>
            <w:shd w:val="clear" w:color="auto" w:fill="auto"/>
            <w:vAlign w:val="bottom"/>
            <w:hideMark/>
          </w:tcPr>
          <w:p w:rsidR="00834E81" w:rsidRPr="00834E81" w:rsidRDefault="00834E81" w:rsidP="00DC0D6A">
            <w:pPr>
              <w:pStyle w:val="SingleTxtG"/>
              <w:spacing w:before="80" w:after="80" w:line="200" w:lineRule="exact"/>
              <w:ind w:left="57" w:right="28"/>
              <w:jc w:val="right"/>
              <w:rPr>
                <w:i/>
                <w:sz w:val="16"/>
              </w:rPr>
            </w:pPr>
            <w:r w:rsidRPr="00834E81">
              <w:rPr>
                <w:i/>
                <w:iCs/>
                <w:sz w:val="16"/>
              </w:rPr>
              <w:t>2015</w:t>
            </w:r>
          </w:p>
        </w:tc>
        <w:tc>
          <w:tcPr>
            <w:tcW w:w="850" w:type="dxa"/>
            <w:tcBorders>
              <w:top w:val="single" w:sz="4" w:space="0" w:color="auto"/>
              <w:bottom w:val="single" w:sz="12" w:space="0" w:color="auto"/>
            </w:tcBorders>
            <w:shd w:val="clear" w:color="auto" w:fill="auto"/>
            <w:vAlign w:val="bottom"/>
            <w:hideMark/>
          </w:tcPr>
          <w:p w:rsidR="00834E81" w:rsidRPr="00834E81" w:rsidRDefault="00834E81" w:rsidP="00DC0D6A">
            <w:pPr>
              <w:pStyle w:val="SingleTxtG"/>
              <w:spacing w:before="80" w:after="80" w:line="200" w:lineRule="exact"/>
              <w:ind w:left="57" w:right="28"/>
              <w:jc w:val="right"/>
              <w:rPr>
                <w:i/>
                <w:sz w:val="16"/>
              </w:rPr>
            </w:pPr>
            <w:r w:rsidRPr="00834E81">
              <w:rPr>
                <w:i/>
                <w:iCs/>
                <w:sz w:val="16"/>
              </w:rPr>
              <w:t>2016</w:t>
            </w:r>
          </w:p>
        </w:tc>
        <w:tc>
          <w:tcPr>
            <w:tcW w:w="851" w:type="dxa"/>
            <w:tcBorders>
              <w:top w:val="single" w:sz="4" w:space="0" w:color="auto"/>
              <w:bottom w:val="single" w:sz="12" w:space="0" w:color="auto"/>
            </w:tcBorders>
            <w:shd w:val="clear" w:color="auto" w:fill="auto"/>
            <w:vAlign w:val="bottom"/>
          </w:tcPr>
          <w:p w:rsidR="00834E81" w:rsidRPr="00834E81" w:rsidRDefault="00834E81" w:rsidP="00DC0D6A">
            <w:pPr>
              <w:pStyle w:val="SingleTxtG"/>
              <w:spacing w:before="80" w:after="80" w:line="200" w:lineRule="exact"/>
              <w:ind w:left="57" w:right="28"/>
              <w:jc w:val="right"/>
              <w:rPr>
                <w:i/>
                <w:sz w:val="16"/>
              </w:rPr>
            </w:pPr>
            <w:r w:rsidRPr="00834E81">
              <w:rPr>
                <w:i/>
                <w:iCs/>
                <w:sz w:val="16"/>
              </w:rPr>
              <w:t>2017</w:t>
            </w:r>
          </w:p>
        </w:tc>
        <w:tc>
          <w:tcPr>
            <w:tcW w:w="849" w:type="dxa"/>
            <w:tcBorders>
              <w:top w:val="single" w:sz="4" w:space="0" w:color="auto"/>
              <w:bottom w:val="single" w:sz="12" w:space="0" w:color="auto"/>
            </w:tcBorders>
            <w:shd w:val="clear" w:color="auto" w:fill="auto"/>
            <w:vAlign w:val="bottom"/>
          </w:tcPr>
          <w:p w:rsidR="00834E81" w:rsidRPr="00834E81" w:rsidRDefault="00834E81" w:rsidP="00DC0D6A">
            <w:pPr>
              <w:pStyle w:val="SingleTxtG"/>
              <w:spacing w:before="80" w:after="80" w:line="200" w:lineRule="exact"/>
              <w:ind w:left="57" w:right="28"/>
              <w:jc w:val="right"/>
              <w:rPr>
                <w:i/>
                <w:sz w:val="16"/>
              </w:rPr>
            </w:pPr>
            <w:r w:rsidRPr="00834E81">
              <w:rPr>
                <w:i/>
                <w:iCs/>
                <w:sz w:val="16"/>
              </w:rPr>
              <w:t>2018</w:t>
            </w:r>
          </w:p>
        </w:tc>
      </w:tr>
      <w:tr w:rsidR="00DC0D6A" w:rsidRPr="00834E81" w:rsidTr="00DC0D6A">
        <w:trPr>
          <w:trHeight w:val="240"/>
        </w:trPr>
        <w:tc>
          <w:tcPr>
            <w:tcW w:w="3686" w:type="dxa"/>
            <w:tcBorders>
              <w:top w:val="single" w:sz="12" w:space="0" w:color="auto"/>
            </w:tcBorders>
            <w:shd w:val="clear" w:color="auto" w:fill="auto"/>
            <w:hideMark/>
          </w:tcPr>
          <w:p w:rsidR="00834E81" w:rsidRPr="00834E81" w:rsidRDefault="00834E81" w:rsidP="00DC0D6A">
            <w:pPr>
              <w:pStyle w:val="SingleTxtG"/>
              <w:spacing w:before="40" w:after="40" w:line="220" w:lineRule="exact"/>
              <w:ind w:left="0" w:right="0"/>
              <w:jc w:val="left"/>
              <w:rPr>
                <w:sz w:val="18"/>
              </w:rPr>
            </w:pPr>
            <w:r w:rsidRPr="00834E81">
              <w:rPr>
                <w:sz w:val="18"/>
              </w:rPr>
              <w:t>Número de niños a los que se concedió la ciudadanía de Letonia</w:t>
            </w:r>
          </w:p>
        </w:tc>
        <w:tc>
          <w:tcPr>
            <w:tcW w:w="1134" w:type="dxa"/>
            <w:tcBorders>
              <w:top w:val="single" w:sz="12" w:space="0" w:color="auto"/>
            </w:tcBorders>
            <w:shd w:val="clear" w:color="auto" w:fill="auto"/>
            <w:vAlign w:val="bottom"/>
            <w:hideMark/>
          </w:tcPr>
          <w:p w:rsidR="00834E81" w:rsidRPr="00834E81" w:rsidRDefault="00834E81" w:rsidP="00DC0D6A">
            <w:pPr>
              <w:pStyle w:val="SingleTxtG"/>
              <w:spacing w:before="40" w:after="40" w:line="220" w:lineRule="exact"/>
              <w:ind w:left="57" w:right="28"/>
              <w:jc w:val="right"/>
              <w:rPr>
                <w:sz w:val="18"/>
              </w:rPr>
            </w:pPr>
            <w:r w:rsidRPr="00834E81">
              <w:rPr>
                <w:sz w:val="18"/>
              </w:rPr>
              <w:t>322</w:t>
            </w:r>
          </w:p>
        </w:tc>
        <w:tc>
          <w:tcPr>
            <w:tcW w:w="850" w:type="dxa"/>
            <w:tcBorders>
              <w:top w:val="single" w:sz="12" w:space="0" w:color="auto"/>
            </w:tcBorders>
            <w:shd w:val="clear" w:color="auto" w:fill="auto"/>
            <w:vAlign w:val="bottom"/>
            <w:hideMark/>
          </w:tcPr>
          <w:p w:rsidR="00834E81" w:rsidRPr="00834E81" w:rsidRDefault="00834E81" w:rsidP="00DC0D6A">
            <w:pPr>
              <w:pStyle w:val="SingleTxtG"/>
              <w:spacing w:before="40" w:after="40" w:line="220" w:lineRule="exact"/>
              <w:ind w:left="57" w:right="28"/>
              <w:jc w:val="right"/>
              <w:rPr>
                <w:sz w:val="18"/>
              </w:rPr>
            </w:pPr>
            <w:r w:rsidRPr="00834E81">
              <w:rPr>
                <w:sz w:val="18"/>
              </w:rPr>
              <w:t>256</w:t>
            </w:r>
          </w:p>
        </w:tc>
        <w:tc>
          <w:tcPr>
            <w:tcW w:w="851" w:type="dxa"/>
            <w:tcBorders>
              <w:top w:val="single" w:sz="12" w:space="0" w:color="auto"/>
            </w:tcBorders>
            <w:shd w:val="clear" w:color="auto" w:fill="auto"/>
            <w:vAlign w:val="bottom"/>
          </w:tcPr>
          <w:p w:rsidR="00834E81" w:rsidRPr="00834E81" w:rsidRDefault="00834E81" w:rsidP="00DC0D6A">
            <w:pPr>
              <w:pStyle w:val="SingleTxtG"/>
              <w:spacing w:before="40" w:after="40" w:line="220" w:lineRule="exact"/>
              <w:ind w:left="57" w:right="28"/>
              <w:jc w:val="right"/>
              <w:rPr>
                <w:sz w:val="18"/>
              </w:rPr>
            </w:pPr>
            <w:r w:rsidRPr="00834E81">
              <w:rPr>
                <w:sz w:val="18"/>
              </w:rPr>
              <w:t>300</w:t>
            </w:r>
          </w:p>
        </w:tc>
        <w:tc>
          <w:tcPr>
            <w:tcW w:w="849" w:type="dxa"/>
            <w:tcBorders>
              <w:top w:val="single" w:sz="12" w:space="0" w:color="auto"/>
            </w:tcBorders>
            <w:shd w:val="clear" w:color="auto" w:fill="auto"/>
            <w:vAlign w:val="bottom"/>
          </w:tcPr>
          <w:p w:rsidR="00834E81" w:rsidRPr="00834E81" w:rsidRDefault="00834E81" w:rsidP="00DC0D6A">
            <w:pPr>
              <w:pStyle w:val="SingleTxtG"/>
              <w:spacing w:before="40" w:after="40" w:line="220" w:lineRule="exact"/>
              <w:ind w:left="57" w:right="28"/>
              <w:jc w:val="right"/>
              <w:rPr>
                <w:sz w:val="18"/>
              </w:rPr>
            </w:pPr>
            <w:r w:rsidRPr="00834E81">
              <w:rPr>
                <w:sz w:val="18"/>
              </w:rPr>
              <w:t>313</w:t>
            </w:r>
          </w:p>
        </w:tc>
      </w:tr>
      <w:tr w:rsidR="00DC0D6A" w:rsidRPr="00834E81" w:rsidTr="00DC0D6A">
        <w:trPr>
          <w:trHeight w:val="240"/>
        </w:trPr>
        <w:tc>
          <w:tcPr>
            <w:tcW w:w="3686" w:type="dxa"/>
            <w:tcBorders>
              <w:bottom w:val="single" w:sz="12" w:space="0" w:color="auto"/>
            </w:tcBorders>
            <w:shd w:val="clear" w:color="auto" w:fill="auto"/>
          </w:tcPr>
          <w:p w:rsidR="00834E81" w:rsidRPr="00834E81" w:rsidRDefault="00834E81" w:rsidP="00DC0D6A">
            <w:pPr>
              <w:pStyle w:val="SingleTxtG"/>
              <w:spacing w:before="40" w:after="40" w:line="220" w:lineRule="exact"/>
              <w:ind w:left="0" w:right="0"/>
              <w:jc w:val="left"/>
              <w:rPr>
                <w:sz w:val="18"/>
              </w:rPr>
            </w:pPr>
            <w:r w:rsidRPr="00834E81">
              <w:rPr>
                <w:sz w:val="18"/>
              </w:rPr>
              <w:t>Número de niños de no ciudadanos y apátridas a</w:t>
            </w:r>
            <w:r w:rsidR="00DC0D6A">
              <w:rPr>
                <w:sz w:val="18"/>
              </w:rPr>
              <w:t> </w:t>
            </w:r>
            <w:r w:rsidRPr="00834E81">
              <w:rPr>
                <w:sz w:val="18"/>
              </w:rPr>
              <w:t>los que se reconoció como ciudadanos letones al</w:t>
            </w:r>
            <w:r w:rsidR="00DC0D6A">
              <w:rPr>
                <w:sz w:val="18"/>
              </w:rPr>
              <w:t> </w:t>
            </w:r>
            <w:r w:rsidRPr="00834E81">
              <w:rPr>
                <w:sz w:val="18"/>
              </w:rPr>
              <w:t>registrar el nacimiento</w:t>
            </w:r>
          </w:p>
        </w:tc>
        <w:tc>
          <w:tcPr>
            <w:tcW w:w="1134" w:type="dxa"/>
            <w:tcBorders>
              <w:bottom w:val="single" w:sz="12" w:space="0" w:color="auto"/>
            </w:tcBorders>
            <w:shd w:val="clear" w:color="auto" w:fill="auto"/>
            <w:vAlign w:val="bottom"/>
          </w:tcPr>
          <w:p w:rsidR="00834E81" w:rsidRPr="00834E81" w:rsidRDefault="00834E81" w:rsidP="00DC0D6A">
            <w:pPr>
              <w:pStyle w:val="SingleTxtG"/>
              <w:spacing w:before="40" w:after="40" w:line="220" w:lineRule="exact"/>
              <w:ind w:left="57" w:right="28"/>
              <w:jc w:val="right"/>
              <w:rPr>
                <w:sz w:val="18"/>
              </w:rPr>
            </w:pPr>
            <w:r w:rsidRPr="00834E81">
              <w:rPr>
                <w:sz w:val="18"/>
              </w:rPr>
              <w:t>235</w:t>
            </w:r>
          </w:p>
        </w:tc>
        <w:tc>
          <w:tcPr>
            <w:tcW w:w="850" w:type="dxa"/>
            <w:tcBorders>
              <w:bottom w:val="single" w:sz="12" w:space="0" w:color="auto"/>
            </w:tcBorders>
            <w:shd w:val="clear" w:color="auto" w:fill="auto"/>
            <w:vAlign w:val="bottom"/>
          </w:tcPr>
          <w:p w:rsidR="00834E81" w:rsidRPr="00834E81" w:rsidRDefault="00834E81" w:rsidP="00DC0D6A">
            <w:pPr>
              <w:pStyle w:val="SingleTxtG"/>
              <w:spacing w:before="40" w:after="40" w:line="220" w:lineRule="exact"/>
              <w:ind w:left="57" w:right="28"/>
              <w:jc w:val="right"/>
              <w:rPr>
                <w:sz w:val="18"/>
              </w:rPr>
            </w:pPr>
            <w:r w:rsidRPr="00834E81">
              <w:rPr>
                <w:sz w:val="18"/>
              </w:rPr>
              <w:t>204</w:t>
            </w:r>
          </w:p>
        </w:tc>
        <w:tc>
          <w:tcPr>
            <w:tcW w:w="851" w:type="dxa"/>
            <w:tcBorders>
              <w:bottom w:val="single" w:sz="12" w:space="0" w:color="auto"/>
            </w:tcBorders>
            <w:shd w:val="clear" w:color="auto" w:fill="auto"/>
            <w:vAlign w:val="bottom"/>
          </w:tcPr>
          <w:p w:rsidR="00834E81" w:rsidRPr="00834E81" w:rsidRDefault="00834E81" w:rsidP="00DC0D6A">
            <w:pPr>
              <w:pStyle w:val="SingleTxtG"/>
              <w:spacing w:before="40" w:after="40" w:line="220" w:lineRule="exact"/>
              <w:ind w:left="57" w:right="28"/>
              <w:jc w:val="right"/>
              <w:rPr>
                <w:sz w:val="18"/>
              </w:rPr>
            </w:pPr>
            <w:r w:rsidRPr="00834E81">
              <w:rPr>
                <w:sz w:val="18"/>
              </w:rPr>
              <w:t>177</w:t>
            </w:r>
          </w:p>
        </w:tc>
        <w:tc>
          <w:tcPr>
            <w:tcW w:w="849" w:type="dxa"/>
            <w:tcBorders>
              <w:bottom w:val="single" w:sz="12" w:space="0" w:color="auto"/>
            </w:tcBorders>
            <w:shd w:val="clear" w:color="auto" w:fill="auto"/>
            <w:vAlign w:val="bottom"/>
          </w:tcPr>
          <w:p w:rsidR="00834E81" w:rsidRPr="00834E81" w:rsidRDefault="00834E81" w:rsidP="00DC0D6A">
            <w:pPr>
              <w:pStyle w:val="SingleTxtG"/>
              <w:spacing w:before="40" w:after="40" w:line="220" w:lineRule="exact"/>
              <w:ind w:left="57" w:right="28"/>
              <w:jc w:val="right"/>
              <w:rPr>
                <w:sz w:val="18"/>
              </w:rPr>
            </w:pPr>
            <w:r w:rsidRPr="00834E81">
              <w:rPr>
                <w:sz w:val="18"/>
              </w:rPr>
              <w:t>164</w:t>
            </w:r>
          </w:p>
        </w:tc>
      </w:tr>
    </w:tbl>
    <w:p w:rsidR="00834E81" w:rsidRPr="00834E81" w:rsidRDefault="00834E81" w:rsidP="00DC0D6A">
      <w:pPr>
        <w:pStyle w:val="SingleTxtG"/>
        <w:spacing w:before="120" w:after="240"/>
        <w:ind w:firstLine="170"/>
        <w:jc w:val="left"/>
        <w:rPr>
          <w:sz w:val="18"/>
        </w:rPr>
      </w:pPr>
      <w:r w:rsidRPr="00834E81">
        <w:rPr>
          <w:i/>
          <w:iCs/>
          <w:sz w:val="18"/>
        </w:rPr>
        <w:t>Fuente</w:t>
      </w:r>
      <w:r w:rsidRPr="00834E81">
        <w:rPr>
          <w:i/>
          <w:sz w:val="18"/>
        </w:rPr>
        <w:t>:</w:t>
      </w:r>
      <w:r w:rsidRPr="00834E81">
        <w:rPr>
          <w:sz w:val="18"/>
        </w:rPr>
        <w:t xml:space="preserve"> Oficina de Asuntos de Ciudadanía y Migración.</w:t>
      </w:r>
    </w:p>
    <w:p w:rsidR="00834E81" w:rsidRPr="00834E81" w:rsidRDefault="00834E81" w:rsidP="00834E81">
      <w:pPr>
        <w:pStyle w:val="SingleTxtG"/>
      </w:pPr>
      <w:r w:rsidRPr="00834E81">
        <w:t>13.</w:t>
      </w:r>
      <w:r w:rsidRPr="00834E81">
        <w:tab/>
        <w:t xml:space="preserve">Las autoridades de Letonia siguen tratando de disminuir el número de niños de más edad no ciudadanos. Una de las campañas más importantes de los dos últimos años consistió en enviar invitaciones personales a los padres de niños no ciudadanos para que los registraran como ciudadanos. Del 1 de enero de 2018 al 30 de junio de 2019 se enviaron invitaciones en relación con 1.913 niños. </w:t>
      </w:r>
    </w:p>
    <w:p w:rsidR="00834E81" w:rsidRPr="00834E81" w:rsidRDefault="00DC0D6A" w:rsidP="00DC0D6A">
      <w:pPr>
        <w:pStyle w:val="H23G"/>
      </w:pPr>
      <w:r>
        <w:tab/>
      </w:r>
      <w:r w:rsidR="00834E81" w:rsidRPr="00834E81">
        <w:tab/>
        <w:t>Número de niños nacidos después del 21 de agosto de 1991, que tienen derecho a</w:t>
      </w:r>
      <w:r>
        <w:t> </w:t>
      </w:r>
      <w:r w:rsidR="00834E81" w:rsidRPr="00834E81">
        <w:t>adquirir la ciudadanía letona, 2015 a 2018</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722"/>
        <w:gridCol w:w="4648"/>
      </w:tblGrid>
      <w:tr w:rsidR="00DC0D6A" w:rsidRPr="00DC0D6A" w:rsidTr="00DC0D6A">
        <w:trPr>
          <w:trHeight w:val="240"/>
          <w:tblHeader/>
        </w:trPr>
        <w:tc>
          <w:tcPr>
            <w:tcW w:w="2830" w:type="dxa"/>
            <w:tcBorders>
              <w:top w:val="single" w:sz="4" w:space="0" w:color="auto"/>
              <w:bottom w:val="single" w:sz="12" w:space="0" w:color="auto"/>
            </w:tcBorders>
            <w:shd w:val="clear" w:color="auto" w:fill="auto"/>
            <w:vAlign w:val="bottom"/>
            <w:hideMark/>
          </w:tcPr>
          <w:p w:rsidR="00834E81" w:rsidRPr="00834E81" w:rsidRDefault="00834E81" w:rsidP="00DC0D6A">
            <w:pPr>
              <w:pStyle w:val="SingleTxtG"/>
              <w:spacing w:before="80" w:after="80" w:line="200" w:lineRule="exact"/>
              <w:ind w:left="0" w:right="0"/>
              <w:jc w:val="left"/>
              <w:rPr>
                <w:i/>
                <w:sz w:val="16"/>
              </w:rPr>
            </w:pPr>
            <w:r w:rsidRPr="00834E81">
              <w:rPr>
                <w:i/>
                <w:iCs/>
                <w:sz w:val="16"/>
              </w:rPr>
              <w:t>Año</w:t>
            </w:r>
          </w:p>
        </w:tc>
        <w:tc>
          <w:tcPr>
            <w:tcW w:w="4820" w:type="dxa"/>
            <w:tcBorders>
              <w:top w:val="single" w:sz="4" w:space="0" w:color="auto"/>
              <w:bottom w:val="single" w:sz="12" w:space="0" w:color="auto"/>
            </w:tcBorders>
            <w:shd w:val="clear" w:color="auto" w:fill="auto"/>
            <w:vAlign w:val="bottom"/>
            <w:hideMark/>
          </w:tcPr>
          <w:p w:rsidR="00834E81" w:rsidRPr="00834E81" w:rsidRDefault="00834E81" w:rsidP="00B13ED2">
            <w:pPr>
              <w:pStyle w:val="SingleTxtG"/>
              <w:spacing w:before="80" w:after="80" w:line="200" w:lineRule="exact"/>
              <w:ind w:left="113" w:right="28"/>
              <w:jc w:val="right"/>
              <w:rPr>
                <w:i/>
                <w:sz w:val="16"/>
              </w:rPr>
            </w:pPr>
            <w:r w:rsidRPr="00834E81">
              <w:rPr>
                <w:i/>
                <w:iCs/>
                <w:sz w:val="16"/>
              </w:rPr>
              <w:t>Número de niños nacidos de no ciudadanos</w:t>
            </w:r>
          </w:p>
        </w:tc>
      </w:tr>
      <w:tr w:rsidR="00DC0D6A" w:rsidRPr="00834E81" w:rsidTr="00DC0D6A">
        <w:trPr>
          <w:trHeight w:val="240"/>
        </w:trPr>
        <w:tc>
          <w:tcPr>
            <w:tcW w:w="2830" w:type="dxa"/>
            <w:tcBorders>
              <w:top w:val="single" w:sz="12" w:space="0" w:color="auto"/>
            </w:tcBorders>
            <w:shd w:val="clear" w:color="auto" w:fill="auto"/>
            <w:hideMark/>
          </w:tcPr>
          <w:p w:rsidR="00834E81" w:rsidRPr="00834E81" w:rsidRDefault="00834E81" w:rsidP="00DC0D6A">
            <w:pPr>
              <w:pStyle w:val="SingleTxtG"/>
              <w:spacing w:before="40" w:after="40" w:line="220" w:lineRule="exact"/>
              <w:ind w:left="0" w:right="0"/>
              <w:jc w:val="left"/>
              <w:rPr>
                <w:sz w:val="18"/>
              </w:rPr>
            </w:pPr>
            <w:r w:rsidRPr="00834E81">
              <w:rPr>
                <w:sz w:val="18"/>
              </w:rPr>
              <w:t>2015</w:t>
            </w:r>
          </w:p>
        </w:tc>
        <w:tc>
          <w:tcPr>
            <w:tcW w:w="4820" w:type="dxa"/>
            <w:tcBorders>
              <w:top w:val="single" w:sz="12" w:space="0" w:color="auto"/>
            </w:tcBorders>
            <w:shd w:val="clear" w:color="auto" w:fill="auto"/>
            <w:vAlign w:val="bottom"/>
            <w:hideMark/>
          </w:tcPr>
          <w:p w:rsidR="00834E81" w:rsidRPr="00834E81" w:rsidRDefault="00834E81" w:rsidP="00B13ED2">
            <w:pPr>
              <w:pStyle w:val="SingleTxtG"/>
              <w:spacing w:before="40" w:after="40" w:line="220" w:lineRule="exact"/>
              <w:ind w:left="113" w:right="28"/>
              <w:jc w:val="right"/>
              <w:rPr>
                <w:sz w:val="18"/>
              </w:rPr>
            </w:pPr>
            <w:r w:rsidRPr="00834E81">
              <w:rPr>
                <w:sz w:val="18"/>
              </w:rPr>
              <w:t>6 914</w:t>
            </w:r>
          </w:p>
        </w:tc>
      </w:tr>
      <w:tr w:rsidR="00DC0D6A" w:rsidRPr="00834E81" w:rsidTr="00DC0D6A">
        <w:trPr>
          <w:trHeight w:val="240"/>
        </w:trPr>
        <w:tc>
          <w:tcPr>
            <w:tcW w:w="2830" w:type="dxa"/>
            <w:shd w:val="clear" w:color="auto" w:fill="auto"/>
            <w:hideMark/>
          </w:tcPr>
          <w:p w:rsidR="00834E81" w:rsidRPr="00834E81" w:rsidRDefault="00834E81" w:rsidP="00DC0D6A">
            <w:pPr>
              <w:pStyle w:val="SingleTxtG"/>
              <w:spacing w:before="40" w:after="40" w:line="220" w:lineRule="exact"/>
              <w:ind w:left="0" w:right="0"/>
              <w:jc w:val="left"/>
              <w:rPr>
                <w:sz w:val="18"/>
              </w:rPr>
            </w:pPr>
            <w:r w:rsidRPr="00834E81">
              <w:rPr>
                <w:sz w:val="18"/>
              </w:rPr>
              <w:t>2016</w:t>
            </w:r>
          </w:p>
        </w:tc>
        <w:tc>
          <w:tcPr>
            <w:tcW w:w="4820" w:type="dxa"/>
            <w:shd w:val="clear" w:color="auto" w:fill="auto"/>
            <w:vAlign w:val="bottom"/>
            <w:hideMark/>
          </w:tcPr>
          <w:p w:rsidR="00834E81" w:rsidRPr="00834E81" w:rsidRDefault="00834E81" w:rsidP="00B13ED2">
            <w:pPr>
              <w:pStyle w:val="SingleTxtG"/>
              <w:spacing w:before="40" w:after="40" w:line="220" w:lineRule="exact"/>
              <w:ind w:left="113" w:right="28"/>
              <w:jc w:val="right"/>
              <w:rPr>
                <w:sz w:val="18"/>
              </w:rPr>
            </w:pPr>
            <w:r w:rsidRPr="00834E81">
              <w:rPr>
                <w:sz w:val="18"/>
              </w:rPr>
              <w:t>6 107</w:t>
            </w:r>
          </w:p>
        </w:tc>
      </w:tr>
      <w:tr w:rsidR="00DC0D6A" w:rsidRPr="00834E81" w:rsidTr="00DC0D6A">
        <w:trPr>
          <w:trHeight w:val="240"/>
        </w:trPr>
        <w:tc>
          <w:tcPr>
            <w:tcW w:w="2830" w:type="dxa"/>
            <w:shd w:val="clear" w:color="auto" w:fill="auto"/>
          </w:tcPr>
          <w:p w:rsidR="00834E81" w:rsidRPr="00834E81" w:rsidRDefault="00834E81" w:rsidP="00DC0D6A">
            <w:pPr>
              <w:pStyle w:val="SingleTxtG"/>
              <w:spacing w:before="40" w:after="40" w:line="220" w:lineRule="exact"/>
              <w:ind w:left="0" w:right="0"/>
              <w:jc w:val="left"/>
              <w:rPr>
                <w:sz w:val="18"/>
              </w:rPr>
            </w:pPr>
            <w:r w:rsidRPr="00834E81">
              <w:rPr>
                <w:sz w:val="18"/>
              </w:rPr>
              <w:t>2017</w:t>
            </w:r>
          </w:p>
        </w:tc>
        <w:tc>
          <w:tcPr>
            <w:tcW w:w="4820" w:type="dxa"/>
            <w:shd w:val="clear" w:color="auto" w:fill="auto"/>
            <w:vAlign w:val="bottom"/>
          </w:tcPr>
          <w:p w:rsidR="00834E81" w:rsidRPr="00834E81" w:rsidRDefault="00834E81" w:rsidP="00B13ED2">
            <w:pPr>
              <w:pStyle w:val="SingleTxtG"/>
              <w:spacing w:before="40" w:after="40" w:line="220" w:lineRule="exact"/>
              <w:ind w:left="113" w:right="28"/>
              <w:jc w:val="right"/>
              <w:rPr>
                <w:sz w:val="18"/>
              </w:rPr>
            </w:pPr>
            <w:r w:rsidRPr="00834E81">
              <w:rPr>
                <w:sz w:val="18"/>
              </w:rPr>
              <w:t>5 260</w:t>
            </w:r>
          </w:p>
        </w:tc>
      </w:tr>
      <w:tr w:rsidR="00DC0D6A" w:rsidRPr="00834E81" w:rsidTr="00DC0D6A">
        <w:trPr>
          <w:trHeight w:val="240"/>
        </w:trPr>
        <w:tc>
          <w:tcPr>
            <w:tcW w:w="2830" w:type="dxa"/>
            <w:tcBorders>
              <w:bottom w:val="single" w:sz="12" w:space="0" w:color="auto"/>
            </w:tcBorders>
            <w:shd w:val="clear" w:color="auto" w:fill="auto"/>
          </w:tcPr>
          <w:p w:rsidR="00834E81" w:rsidRPr="00834E81" w:rsidRDefault="00834E81" w:rsidP="00DC0D6A">
            <w:pPr>
              <w:pStyle w:val="SingleTxtG"/>
              <w:spacing w:before="40" w:after="40" w:line="220" w:lineRule="exact"/>
              <w:ind w:left="0" w:right="0"/>
              <w:jc w:val="left"/>
              <w:rPr>
                <w:sz w:val="18"/>
              </w:rPr>
            </w:pPr>
            <w:r w:rsidRPr="00834E81">
              <w:rPr>
                <w:sz w:val="18"/>
              </w:rPr>
              <w:t>2018</w:t>
            </w:r>
          </w:p>
        </w:tc>
        <w:tc>
          <w:tcPr>
            <w:tcW w:w="4820" w:type="dxa"/>
            <w:tcBorders>
              <w:bottom w:val="single" w:sz="12" w:space="0" w:color="auto"/>
            </w:tcBorders>
            <w:shd w:val="clear" w:color="auto" w:fill="auto"/>
            <w:vAlign w:val="bottom"/>
          </w:tcPr>
          <w:p w:rsidR="00834E81" w:rsidRPr="00834E81" w:rsidRDefault="00834E81" w:rsidP="00B13ED2">
            <w:pPr>
              <w:pStyle w:val="SingleTxtG"/>
              <w:spacing w:before="40" w:after="40" w:line="220" w:lineRule="exact"/>
              <w:ind w:left="113" w:right="28"/>
              <w:jc w:val="right"/>
              <w:rPr>
                <w:sz w:val="18"/>
              </w:rPr>
            </w:pPr>
            <w:r w:rsidRPr="00834E81">
              <w:rPr>
                <w:sz w:val="18"/>
              </w:rPr>
              <w:t>4 383</w:t>
            </w:r>
          </w:p>
        </w:tc>
      </w:tr>
    </w:tbl>
    <w:p w:rsidR="00834E81" w:rsidRPr="00834E81" w:rsidRDefault="00834E81" w:rsidP="00DC0D6A">
      <w:pPr>
        <w:pStyle w:val="SingleTxtG"/>
        <w:spacing w:before="120" w:after="240"/>
        <w:ind w:firstLine="170"/>
        <w:jc w:val="left"/>
        <w:rPr>
          <w:sz w:val="18"/>
        </w:rPr>
      </w:pPr>
      <w:r w:rsidRPr="00834E81">
        <w:rPr>
          <w:i/>
          <w:iCs/>
          <w:sz w:val="18"/>
        </w:rPr>
        <w:t>Fuente</w:t>
      </w:r>
      <w:r w:rsidRPr="00B13ED2">
        <w:rPr>
          <w:i/>
          <w:sz w:val="18"/>
        </w:rPr>
        <w:t>:</w:t>
      </w:r>
      <w:r w:rsidRPr="00834E81">
        <w:rPr>
          <w:sz w:val="18"/>
        </w:rPr>
        <w:t xml:space="preserve"> Oficina de Asuntos de Ciudadanía y Migración.</w:t>
      </w:r>
    </w:p>
    <w:p w:rsidR="00834E81" w:rsidRDefault="00DC0D6A" w:rsidP="001366DE">
      <w:pPr>
        <w:pStyle w:val="H23G"/>
        <w:ind w:right="566"/>
      </w:pPr>
      <w:r>
        <w:tab/>
      </w:r>
      <w:r w:rsidR="00834E81" w:rsidRPr="00834E81">
        <w:tab/>
        <w:t>Número de niños nacidos de no ciudadanos, a quienes se ha concedido la ciudadanía</w:t>
      </w:r>
      <w:r w:rsidR="00CA4D2F">
        <w:t> </w:t>
      </w:r>
      <w:r w:rsidR="00834E81" w:rsidRPr="00834E81">
        <w:t>letona, 2010 a 2018</w:t>
      </w:r>
    </w:p>
    <w:tbl>
      <w:tblPr>
        <w:tblStyle w:val="TableGrid"/>
        <w:tblW w:w="8505"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gridCol w:w="992"/>
        <w:gridCol w:w="1134"/>
        <w:gridCol w:w="1559"/>
        <w:gridCol w:w="1418"/>
        <w:gridCol w:w="1275"/>
      </w:tblGrid>
      <w:tr w:rsidR="00CA4D2F" w:rsidRPr="00CA4D2F" w:rsidTr="001366DE">
        <w:trPr>
          <w:trHeight w:val="240"/>
          <w:tblHeader/>
        </w:trPr>
        <w:tc>
          <w:tcPr>
            <w:tcW w:w="2127" w:type="dxa"/>
            <w:vMerge w:val="restart"/>
            <w:tcBorders>
              <w:top w:val="single" w:sz="4" w:space="0" w:color="auto"/>
            </w:tcBorders>
            <w:shd w:val="clear" w:color="auto" w:fill="auto"/>
            <w:vAlign w:val="bottom"/>
          </w:tcPr>
          <w:p w:rsidR="00CA4D2F" w:rsidRPr="00CA4D2F" w:rsidRDefault="00CA4D2F" w:rsidP="00CA4D2F">
            <w:pPr>
              <w:pStyle w:val="SingleTxtG"/>
              <w:spacing w:before="80" w:after="80" w:line="200" w:lineRule="exact"/>
              <w:ind w:left="0" w:right="0"/>
              <w:jc w:val="left"/>
              <w:rPr>
                <w:i/>
                <w:sz w:val="16"/>
              </w:rPr>
            </w:pPr>
            <w:r w:rsidRPr="00CA4D2F">
              <w:rPr>
                <w:i/>
                <w:iCs/>
                <w:sz w:val="16"/>
              </w:rPr>
              <w:t>Año</w:t>
            </w:r>
          </w:p>
        </w:tc>
        <w:tc>
          <w:tcPr>
            <w:tcW w:w="3685" w:type="dxa"/>
            <w:gridSpan w:val="3"/>
            <w:tcBorders>
              <w:top w:val="single" w:sz="4" w:space="0" w:color="auto"/>
              <w:bottom w:val="single" w:sz="4" w:space="0" w:color="auto"/>
              <w:right w:val="single" w:sz="24" w:space="0" w:color="FFFFFF" w:themeColor="background1"/>
            </w:tcBorders>
            <w:shd w:val="clear" w:color="auto" w:fill="auto"/>
            <w:vAlign w:val="bottom"/>
          </w:tcPr>
          <w:p w:rsidR="00CA4D2F" w:rsidRPr="00CA4D2F" w:rsidRDefault="00CA4D2F" w:rsidP="00CA4D2F">
            <w:pPr>
              <w:pStyle w:val="SingleTxtG"/>
              <w:spacing w:before="80" w:after="80" w:line="200" w:lineRule="exact"/>
              <w:ind w:left="0" w:right="0"/>
              <w:jc w:val="center"/>
              <w:rPr>
                <w:i/>
                <w:sz w:val="16"/>
              </w:rPr>
            </w:pPr>
            <w:r w:rsidRPr="00CA4D2F">
              <w:rPr>
                <w:i/>
                <w:iCs/>
                <w:sz w:val="16"/>
              </w:rPr>
              <w:t>Número de niños de hasta 15 años</w:t>
            </w:r>
          </w:p>
        </w:tc>
        <w:tc>
          <w:tcPr>
            <w:tcW w:w="2693" w:type="dxa"/>
            <w:gridSpan w:val="2"/>
            <w:tcBorders>
              <w:top w:val="single" w:sz="4" w:space="0" w:color="auto"/>
              <w:left w:val="single" w:sz="24" w:space="0" w:color="FFFFFF" w:themeColor="background1"/>
              <w:bottom w:val="single" w:sz="4" w:space="0" w:color="auto"/>
            </w:tcBorders>
            <w:shd w:val="clear" w:color="auto" w:fill="auto"/>
            <w:vAlign w:val="bottom"/>
          </w:tcPr>
          <w:p w:rsidR="00CA4D2F" w:rsidRPr="00CA4D2F" w:rsidRDefault="00CA4D2F" w:rsidP="00CA4D2F">
            <w:pPr>
              <w:pStyle w:val="SingleTxtG"/>
              <w:spacing w:before="80" w:after="80" w:line="200" w:lineRule="exact"/>
              <w:ind w:left="0" w:right="0"/>
              <w:jc w:val="center"/>
              <w:rPr>
                <w:i/>
                <w:sz w:val="16"/>
              </w:rPr>
            </w:pPr>
            <w:r w:rsidRPr="00CA4D2F">
              <w:rPr>
                <w:i/>
                <w:iCs/>
                <w:sz w:val="16"/>
              </w:rPr>
              <w:t>Número de niños de entre 15 y</w:t>
            </w:r>
            <w:r w:rsidR="00CE258A">
              <w:rPr>
                <w:i/>
                <w:iCs/>
                <w:sz w:val="16"/>
              </w:rPr>
              <w:t xml:space="preserve"> </w:t>
            </w:r>
            <w:r w:rsidRPr="00CA4D2F">
              <w:rPr>
                <w:i/>
                <w:iCs/>
                <w:sz w:val="16"/>
              </w:rPr>
              <w:t>18 años</w:t>
            </w:r>
          </w:p>
        </w:tc>
      </w:tr>
      <w:tr w:rsidR="00CA4D2F" w:rsidRPr="00CA4D2F" w:rsidTr="001366DE">
        <w:trPr>
          <w:trHeight w:val="240"/>
        </w:trPr>
        <w:tc>
          <w:tcPr>
            <w:tcW w:w="2127" w:type="dxa"/>
            <w:vMerge/>
            <w:tcBorders>
              <w:bottom w:val="single" w:sz="12" w:space="0" w:color="auto"/>
            </w:tcBorders>
            <w:shd w:val="clear" w:color="auto" w:fill="auto"/>
          </w:tcPr>
          <w:p w:rsidR="00CA4D2F" w:rsidRPr="00CA4D2F" w:rsidRDefault="00CA4D2F" w:rsidP="00CA4D2F">
            <w:pPr>
              <w:pStyle w:val="SingleTxtG"/>
              <w:spacing w:before="40" w:after="40" w:line="220" w:lineRule="exact"/>
              <w:ind w:left="0" w:right="0"/>
              <w:jc w:val="left"/>
              <w:rPr>
                <w:sz w:val="18"/>
              </w:rPr>
            </w:pPr>
          </w:p>
        </w:tc>
        <w:tc>
          <w:tcPr>
            <w:tcW w:w="992" w:type="dxa"/>
            <w:tcBorders>
              <w:top w:val="single" w:sz="4" w:space="0" w:color="auto"/>
              <w:bottom w:val="single" w:sz="12" w:space="0" w:color="auto"/>
            </w:tcBorders>
            <w:shd w:val="clear" w:color="auto" w:fill="auto"/>
            <w:vAlign w:val="bottom"/>
          </w:tcPr>
          <w:p w:rsidR="00CA4D2F" w:rsidRPr="00834E81" w:rsidRDefault="00CA4D2F" w:rsidP="00CA4D2F">
            <w:pPr>
              <w:pStyle w:val="SingleTxtG"/>
              <w:spacing w:before="80" w:after="80" w:line="200" w:lineRule="exact"/>
              <w:ind w:left="28" w:right="28"/>
              <w:jc w:val="right"/>
              <w:rPr>
                <w:i/>
                <w:iCs/>
                <w:sz w:val="16"/>
              </w:rPr>
            </w:pPr>
            <w:r w:rsidRPr="00834E81">
              <w:rPr>
                <w:i/>
                <w:iCs/>
                <w:sz w:val="16"/>
              </w:rPr>
              <w:t xml:space="preserve">Reconocidos como ciudadanos letones </w:t>
            </w:r>
          </w:p>
        </w:tc>
        <w:tc>
          <w:tcPr>
            <w:tcW w:w="1134" w:type="dxa"/>
            <w:tcBorders>
              <w:top w:val="single" w:sz="4" w:space="0" w:color="auto"/>
              <w:bottom w:val="single" w:sz="12" w:space="0" w:color="auto"/>
            </w:tcBorders>
            <w:shd w:val="clear" w:color="auto" w:fill="auto"/>
            <w:vAlign w:val="bottom"/>
          </w:tcPr>
          <w:p w:rsidR="00CA4D2F" w:rsidRPr="00CA4D2F" w:rsidRDefault="00CA4D2F" w:rsidP="00CA4D2F">
            <w:pPr>
              <w:pStyle w:val="SingleTxtG"/>
              <w:spacing w:before="80" w:after="80" w:line="200" w:lineRule="exact"/>
              <w:ind w:left="28" w:right="28"/>
              <w:jc w:val="right"/>
              <w:rPr>
                <w:i/>
                <w:sz w:val="16"/>
              </w:rPr>
            </w:pPr>
            <w:r w:rsidRPr="00834E81">
              <w:rPr>
                <w:i/>
                <w:iCs/>
                <w:sz w:val="16"/>
              </w:rPr>
              <w:t>Adquirieron la ciudadanía al naturalizarse uno</w:t>
            </w:r>
            <w:r w:rsidR="001366DE">
              <w:rPr>
                <w:i/>
                <w:iCs/>
                <w:sz w:val="16"/>
              </w:rPr>
              <w:t> </w:t>
            </w:r>
            <w:r w:rsidRPr="00834E81">
              <w:rPr>
                <w:i/>
                <w:iCs/>
                <w:sz w:val="16"/>
              </w:rPr>
              <w:t>de los progenitores</w:t>
            </w:r>
          </w:p>
        </w:tc>
        <w:tc>
          <w:tcPr>
            <w:tcW w:w="1559" w:type="dxa"/>
            <w:tcBorders>
              <w:top w:val="single" w:sz="4" w:space="0" w:color="auto"/>
              <w:bottom w:val="single" w:sz="12" w:space="0" w:color="auto"/>
              <w:right w:val="single" w:sz="24" w:space="0" w:color="FFFFFF" w:themeColor="background1"/>
            </w:tcBorders>
            <w:shd w:val="clear" w:color="auto" w:fill="auto"/>
            <w:vAlign w:val="bottom"/>
          </w:tcPr>
          <w:p w:rsidR="00CA4D2F" w:rsidRPr="00CA4D2F" w:rsidRDefault="00CA4D2F" w:rsidP="00CA4D2F">
            <w:pPr>
              <w:pStyle w:val="SingleTxtG"/>
              <w:spacing w:before="80" w:after="80" w:line="200" w:lineRule="exact"/>
              <w:ind w:left="28" w:right="28"/>
              <w:jc w:val="right"/>
              <w:rPr>
                <w:i/>
                <w:sz w:val="16"/>
              </w:rPr>
            </w:pPr>
            <w:r w:rsidRPr="00834E81">
              <w:rPr>
                <w:i/>
                <w:iCs/>
                <w:sz w:val="16"/>
              </w:rPr>
              <w:t>Adquirieron la ciudadanía al registrarse uno de los progenitores como ciudadano letón</w:t>
            </w:r>
          </w:p>
        </w:tc>
        <w:tc>
          <w:tcPr>
            <w:tcW w:w="1418" w:type="dxa"/>
            <w:tcBorders>
              <w:top w:val="single" w:sz="4" w:space="0" w:color="auto"/>
              <w:left w:val="single" w:sz="24" w:space="0" w:color="FFFFFF" w:themeColor="background1"/>
              <w:bottom w:val="single" w:sz="12" w:space="0" w:color="auto"/>
            </w:tcBorders>
            <w:shd w:val="clear" w:color="auto" w:fill="auto"/>
            <w:vAlign w:val="bottom"/>
          </w:tcPr>
          <w:p w:rsidR="00CA4D2F" w:rsidRPr="00CA4D2F" w:rsidRDefault="00CA4D2F" w:rsidP="00CA4D2F">
            <w:pPr>
              <w:pStyle w:val="SingleTxtG"/>
              <w:spacing w:before="80" w:after="80" w:line="200" w:lineRule="exact"/>
              <w:ind w:left="28" w:right="28"/>
              <w:jc w:val="right"/>
              <w:rPr>
                <w:i/>
                <w:sz w:val="16"/>
              </w:rPr>
            </w:pPr>
            <w:r w:rsidRPr="00834E81">
              <w:rPr>
                <w:i/>
                <w:iCs/>
                <w:sz w:val="16"/>
              </w:rPr>
              <w:t>Adquirieron la ciudadanía por naturalización</w:t>
            </w:r>
          </w:p>
        </w:tc>
        <w:tc>
          <w:tcPr>
            <w:tcW w:w="1275" w:type="dxa"/>
            <w:tcBorders>
              <w:top w:val="single" w:sz="4" w:space="0" w:color="auto"/>
              <w:bottom w:val="single" w:sz="12" w:space="0" w:color="auto"/>
            </w:tcBorders>
            <w:shd w:val="clear" w:color="auto" w:fill="auto"/>
            <w:vAlign w:val="bottom"/>
          </w:tcPr>
          <w:p w:rsidR="00CA4D2F" w:rsidRPr="00CA4D2F" w:rsidRDefault="00CA4D2F" w:rsidP="00CA4D2F">
            <w:pPr>
              <w:pStyle w:val="SingleTxtG"/>
              <w:spacing w:before="80" w:after="80" w:line="200" w:lineRule="exact"/>
              <w:ind w:left="28" w:right="28"/>
              <w:jc w:val="right"/>
              <w:rPr>
                <w:i/>
                <w:sz w:val="16"/>
              </w:rPr>
            </w:pPr>
            <w:r w:rsidRPr="00834E81">
              <w:rPr>
                <w:i/>
                <w:iCs/>
                <w:sz w:val="16"/>
              </w:rPr>
              <w:t>Adquirieron la ciudadanía al inscribirse en el registro</w:t>
            </w:r>
          </w:p>
        </w:tc>
      </w:tr>
      <w:tr w:rsidR="00CA4D2F" w:rsidRPr="00CA4D2F" w:rsidTr="001366DE">
        <w:trPr>
          <w:trHeight w:val="240"/>
        </w:trPr>
        <w:tc>
          <w:tcPr>
            <w:tcW w:w="2127" w:type="dxa"/>
            <w:tcBorders>
              <w:top w:val="single" w:sz="12" w:space="0" w:color="auto"/>
            </w:tcBorders>
            <w:shd w:val="clear" w:color="auto" w:fill="auto"/>
          </w:tcPr>
          <w:p w:rsidR="00CA4D2F" w:rsidRPr="00834E81" w:rsidRDefault="00CA4D2F" w:rsidP="00CA4D2F">
            <w:pPr>
              <w:pStyle w:val="SingleTxtG"/>
              <w:spacing w:before="40" w:after="40" w:line="220" w:lineRule="exact"/>
              <w:ind w:left="0" w:right="0"/>
              <w:jc w:val="left"/>
              <w:rPr>
                <w:sz w:val="18"/>
              </w:rPr>
            </w:pPr>
            <w:r w:rsidRPr="00834E81">
              <w:rPr>
                <w:sz w:val="18"/>
              </w:rPr>
              <w:t>2010</w:t>
            </w:r>
          </w:p>
        </w:tc>
        <w:tc>
          <w:tcPr>
            <w:tcW w:w="992" w:type="dxa"/>
            <w:tcBorders>
              <w:top w:val="single" w:sz="12" w:space="0" w:color="auto"/>
            </w:tcBorders>
            <w:shd w:val="clear" w:color="auto" w:fill="auto"/>
            <w:vAlign w:val="bottom"/>
          </w:tcPr>
          <w:p w:rsidR="00CA4D2F" w:rsidRPr="00834E81" w:rsidRDefault="00CA4D2F" w:rsidP="00CA4D2F">
            <w:pPr>
              <w:pStyle w:val="SingleTxtG"/>
              <w:spacing w:before="40" w:after="40" w:line="220" w:lineRule="exact"/>
              <w:ind w:left="28" w:right="28"/>
              <w:jc w:val="right"/>
              <w:rPr>
                <w:sz w:val="18"/>
              </w:rPr>
            </w:pPr>
            <w:r w:rsidRPr="00834E81">
              <w:rPr>
                <w:sz w:val="18"/>
              </w:rPr>
              <w:t>445</w:t>
            </w:r>
          </w:p>
        </w:tc>
        <w:tc>
          <w:tcPr>
            <w:tcW w:w="1134" w:type="dxa"/>
            <w:tcBorders>
              <w:top w:val="single" w:sz="12" w:space="0" w:color="auto"/>
            </w:tcBorders>
            <w:shd w:val="clear" w:color="auto" w:fill="auto"/>
            <w:vAlign w:val="bottom"/>
          </w:tcPr>
          <w:p w:rsidR="00CA4D2F" w:rsidRPr="00CA4D2F" w:rsidRDefault="00CA4D2F" w:rsidP="00CA4D2F">
            <w:pPr>
              <w:pStyle w:val="SingleTxtG"/>
              <w:spacing w:before="40" w:after="40" w:line="220" w:lineRule="exact"/>
              <w:ind w:left="28" w:right="28"/>
              <w:jc w:val="right"/>
              <w:rPr>
                <w:sz w:val="18"/>
              </w:rPr>
            </w:pPr>
            <w:r w:rsidRPr="00834E81">
              <w:rPr>
                <w:sz w:val="18"/>
              </w:rPr>
              <w:t>655</w:t>
            </w:r>
          </w:p>
        </w:tc>
        <w:tc>
          <w:tcPr>
            <w:tcW w:w="1559" w:type="dxa"/>
            <w:tcBorders>
              <w:top w:val="single" w:sz="12" w:space="0" w:color="auto"/>
            </w:tcBorders>
            <w:shd w:val="clear" w:color="auto" w:fill="auto"/>
            <w:vAlign w:val="bottom"/>
          </w:tcPr>
          <w:p w:rsidR="00CA4D2F" w:rsidRPr="00834E81" w:rsidRDefault="00CA4D2F" w:rsidP="00CA4D2F">
            <w:pPr>
              <w:pStyle w:val="SingleTxtG"/>
              <w:spacing w:before="40" w:after="40" w:line="220" w:lineRule="exact"/>
              <w:ind w:left="28" w:right="28"/>
              <w:jc w:val="right"/>
              <w:rPr>
                <w:sz w:val="18"/>
              </w:rPr>
            </w:pPr>
            <w:r w:rsidRPr="00834E81">
              <w:rPr>
                <w:sz w:val="18"/>
              </w:rPr>
              <w:t>154</w:t>
            </w:r>
          </w:p>
        </w:tc>
        <w:tc>
          <w:tcPr>
            <w:tcW w:w="1418" w:type="dxa"/>
            <w:tcBorders>
              <w:top w:val="single" w:sz="12" w:space="0" w:color="auto"/>
            </w:tcBorders>
            <w:shd w:val="clear" w:color="auto" w:fill="auto"/>
            <w:vAlign w:val="bottom"/>
          </w:tcPr>
          <w:p w:rsidR="00CA4D2F" w:rsidRPr="00834E81" w:rsidRDefault="00CA4D2F" w:rsidP="00CA4D2F">
            <w:pPr>
              <w:pStyle w:val="SingleTxtG"/>
              <w:spacing w:before="40" w:after="40" w:line="220" w:lineRule="exact"/>
              <w:ind w:left="28" w:right="28"/>
              <w:jc w:val="right"/>
              <w:rPr>
                <w:sz w:val="18"/>
              </w:rPr>
            </w:pPr>
            <w:r w:rsidRPr="00834E81">
              <w:rPr>
                <w:sz w:val="18"/>
              </w:rPr>
              <w:t>450</w:t>
            </w:r>
          </w:p>
        </w:tc>
        <w:tc>
          <w:tcPr>
            <w:tcW w:w="1275" w:type="dxa"/>
            <w:tcBorders>
              <w:top w:val="single" w:sz="12" w:space="0" w:color="auto"/>
            </w:tcBorders>
            <w:shd w:val="clear" w:color="auto" w:fill="auto"/>
            <w:vAlign w:val="bottom"/>
          </w:tcPr>
          <w:p w:rsidR="00CA4D2F" w:rsidRPr="00834E81" w:rsidRDefault="00CA4D2F" w:rsidP="00CA4D2F">
            <w:pPr>
              <w:pStyle w:val="SingleTxtG"/>
              <w:spacing w:before="40" w:after="40" w:line="220" w:lineRule="exact"/>
              <w:ind w:left="28" w:right="28"/>
              <w:jc w:val="right"/>
              <w:rPr>
                <w:sz w:val="18"/>
              </w:rPr>
            </w:pPr>
            <w:r w:rsidRPr="00834E81">
              <w:rPr>
                <w:sz w:val="18"/>
              </w:rPr>
              <w:t>749</w:t>
            </w:r>
          </w:p>
        </w:tc>
      </w:tr>
      <w:tr w:rsidR="00CA4D2F" w:rsidRPr="00CA4D2F" w:rsidTr="001366DE">
        <w:trPr>
          <w:trHeight w:val="240"/>
        </w:trPr>
        <w:tc>
          <w:tcPr>
            <w:tcW w:w="2127" w:type="dxa"/>
            <w:shd w:val="clear" w:color="auto" w:fill="auto"/>
          </w:tcPr>
          <w:p w:rsidR="00CA4D2F" w:rsidRPr="00834E81" w:rsidRDefault="00CA4D2F" w:rsidP="00CA4D2F">
            <w:pPr>
              <w:pStyle w:val="SingleTxtG"/>
              <w:spacing w:before="40" w:after="40" w:line="220" w:lineRule="exact"/>
              <w:ind w:left="0" w:right="0"/>
              <w:jc w:val="left"/>
              <w:rPr>
                <w:sz w:val="18"/>
              </w:rPr>
            </w:pPr>
            <w:r w:rsidRPr="00834E81">
              <w:rPr>
                <w:sz w:val="18"/>
              </w:rPr>
              <w:t>2011</w:t>
            </w:r>
          </w:p>
        </w:tc>
        <w:tc>
          <w:tcPr>
            <w:tcW w:w="992" w:type="dxa"/>
            <w:shd w:val="clear" w:color="auto" w:fill="auto"/>
            <w:vAlign w:val="bottom"/>
          </w:tcPr>
          <w:p w:rsidR="00CA4D2F" w:rsidRPr="00834E81" w:rsidRDefault="00CA4D2F" w:rsidP="00CA4D2F">
            <w:pPr>
              <w:pStyle w:val="SingleTxtG"/>
              <w:spacing w:before="40" w:after="40" w:line="220" w:lineRule="exact"/>
              <w:ind w:left="28" w:right="28"/>
              <w:jc w:val="right"/>
              <w:rPr>
                <w:sz w:val="18"/>
              </w:rPr>
            </w:pPr>
            <w:r w:rsidRPr="00834E81">
              <w:rPr>
                <w:sz w:val="18"/>
              </w:rPr>
              <w:t>637</w:t>
            </w:r>
          </w:p>
        </w:tc>
        <w:tc>
          <w:tcPr>
            <w:tcW w:w="1134" w:type="dxa"/>
            <w:shd w:val="clear" w:color="auto" w:fill="auto"/>
            <w:vAlign w:val="bottom"/>
          </w:tcPr>
          <w:p w:rsidR="00CA4D2F" w:rsidRPr="00CA4D2F" w:rsidRDefault="00CA4D2F" w:rsidP="00CA4D2F">
            <w:pPr>
              <w:pStyle w:val="SingleTxtG"/>
              <w:spacing w:before="40" w:after="40" w:line="220" w:lineRule="exact"/>
              <w:ind w:left="28" w:right="28"/>
              <w:jc w:val="right"/>
              <w:rPr>
                <w:sz w:val="18"/>
              </w:rPr>
            </w:pPr>
          </w:p>
        </w:tc>
        <w:tc>
          <w:tcPr>
            <w:tcW w:w="1559" w:type="dxa"/>
            <w:shd w:val="clear" w:color="auto" w:fill="auto"/>
            <w:vAlign w:val="bottom"/>
          </w:tcPr>
          <w:p w:rsidR="00CA4D2F" w:rsidRPr="00CA4D2F" w:rsidRDefault="00CA4D2F" w:rsidP="00CA4D2F">
            <w:pPr>
              <w:pStyle w:val="SingleTxtG"/>
              <w:spacing w:before="40" w:after="40" w:line="220" w:lineRule="exact"/>
              <w:ind w:left="28" w:right="28"/>
              <w:jc w:val="right"/>
              <w:rPr>
                <w:sz w:val="18"/>
              </w:rPr>
            </w:pPr>
          </w:p>
        </w:tc>
        <w:tc>
          <w:tcPr>
            <w:tcW w:w="1418" w:type="dxa"/>
            <w:shd w:val="clear" w:color="auto" w:fill="auto"/>
            <w:vAlign w:val="bottom"/>
          </w:tcPr>
          <w:p w:rsidR="00CA4D2F" w:rsidRPr="00CA4D2F" w:rsidRDefault="00CA4D2F" w:rsidP="00CA4D2F">
            <w:pPr>
              <w:pStyle w:val="SingleTxtG"/>
              <w:spacing w:before="40" w:after="40" w:line="220" w:lineRule="exact"/>
              <w:ind w:left="28" w:right="28"/>
              <w:jc w:val="right"/>
              <w:rPr>
                <w:sz w:val="18"/>
              </w:rPr>
            </w:pPr>
          </w:p>
        </w:tc>
        <w:tc>
          <w:tcPr>
            <w:tcW w:w="1275" w:type="dxa"/>
            <w:shd w:val="clear" w:color="auto" w:fill="auto"/>
            <w:vAlign w:val="bottom"/>
          </w:tcPr>
          <w:p w:rsidR="00CA4D2F" w:rsidRPr="00CA4D2F" w:rsidRDefault="00CA4D2F" w:rsidP="00CA4D2F">
            <w:pPr>
              <w:pStyle w:val="SingleTxtG"/>
              <w:spacing w:before="40" w:after="40" w:line="220" w:lineRule="exact"/>
              <w:ind w:left="28" w:right="28"/>
              <w:jc w:val="right"/>
              <w:rPr>
                <w:sz w:val="18"/>
              </w:rPr>
            </w:pPr>
          </w:p>
        </w:tc>
      </w:tr>
      <w:tr w:rsidR="00CA4D2F" w:rsidRPr="00CA4D2F" w:rsidTr="001366DE">
        <w:trPr>
          <w:trHeight w:val="240"/>
        </w:trPr>
        <w:tc>
          <w:tcPr>
            <w:tcW w:w="2127" w:type="dxa"/>
            <w:shd w:val="clear" w:color="auto" w:fill="auto"/>
          </w:tcPr>
          <w:p w:rsidR="00CA4D2F" w:rsidRPr="00834E81" w:rsidRDefault="00CA4D2F" w:rsidP="00CA4D2F">
            <w:pPr>
              <w:pStyle w:val="SingleTxtG"/>
              <w:spacing w:before="40" w:after="40" w:line="220" w:lineRule="exact"/>
              <w:ind w:left="0" w:right="0"/>
              <w:jc w:val="left"/>
              <w:rPr>
                <w:sz w:val="18"/>
              </w:rPr>
            </w:pPr>
            <w:r w:rsidRPr="00834E81">
              <w:rPr>
                <w:sz w:val="18"/>
              </w:rPr>
              <w:t>2012</w:t>
            </w:r>
          </w:p>
        </w:tc>
        <w:tc>
          <w:tcPr>
            <w:tcW w:w="992" w:type="dxa"/>
            <w:shd w:val="clear" w:color="auto" w:fill="auto"/>
            <w:vAlign w:val="bottom"/>
          </w:tcPr>
          <w:p w:rsidR="00CA4D2F" w:rsidRPr="00834E81" w:rsidRDefault="00CA4D2F" w:rsidP="00CA4D2F">
            <w:pPr>
              <w:pStyle w:val="SingleTxtG"/>
              <w:spacing w:before="40" w:after="40" w:line="220" w:lineRule="exact"/>
              <w:ind w:left="28" w:right="28"/>
              <w:jc w:val="right"/>
              <w:rPr>
                <w:sz w:val="18"/>
              </w:rPr>
            </w:pPr>
            <w:r w:rsidRPr="00834E81">
              <w:rPr>
                <w:sz w:val="18"/>
              </w:rPr>
              <w:t>718</w:t>
            </w:r>
          </w:p>
        </w:tc>
        <w:tc>
          <w:tcPr>
            <w:tcW w:w="1134" w:type="dxa"/>
            <w:shd w:val="clear" w:color="auto" w:fill="auto"/>
            <w:vAlign w:val="bottom"/>
          </w:tcPr>
          <w:p w:rsidR="00CA4D2F" w:rsidRPr="00CA4D2F" w:rsidRDefault="00CA4D2F" w:rsidP="00CA4D2F">
            <w:pPr>
              <w:pStyle w:val="SingleTxtG"/>
              <w:spacing w:before="40" w:after="40" w:line="220" w:lineRule="exact"/>
              <w:ind w:left="28" w:right="28"/>
              <w:jc w:val="right"/>
              <w:rPr>
                <w:sz w:val="18"/>
              </w:rPr>
            </w:pPr>
          </w:p>
        </w:tc>
        <w:tc>
          <w:tcPr>
            <w:tcW w:w="1559" w:type="dxa"/>
            <w:shd w:val="clear" w:color="auto" w:fill="auto"/>
            <w:vAlign w:val="bottom"/>
          </w:tcPr>
          <w:p w:rsidR="00CA4D2F" w:rsidRPr="00CA4D2F" w:rsidRDefault="00CA4D2F" w:rsidP="00CA4D2F">
            <w:pPr>
              <w:pStyle w:val="SingleTxtG"/>
              <w:spacing w:before="40" w:after="40" w:line="220" w:lineRule="exact"/>
              <w:ind w:left="28" w:right="28"/>
              <w:jc w:val="right"/>
              <w:rPr>
                <w:sz w:val="18"/>
              </w:rPr>
            </w:pPr>
          </w:p>
        </w:tc>
        <w:tc>
          <w:tcPr>
            <w:tcW w:w="1418" w:type="dxa"/>
            <w:shd w:val="clear" w:color="auto" w:fill="auto"/>
            <w:vAlign w:val="bottom"/>
          </w:tcPr>
          <w:p w:rsidR="00CA4D2F" w:rsidRPr="00CA4D2F" w:rsidRDefault="00CA4D2F" w:rsidP="00CA4D2F">
            <w:pPr>
              <w:pStyle w:val="SingleTxtG"/>
              <w:spacing w:before="40" w:after="40" w:line="220" w:lineRule="exact"/>
              <w:ind w:left="28" w:right="28"/>
              <w:jc w:val="right"/>
              <w:rPr>
                <w:sz w:val="18"/>
              </w:rPr>
            </w:pPr>
          </w:p>
        </w:tc>
        <w:tc>
          <w:tcPr>
            <w:tcW w:w="1275" w:type="dxa"/>
            <w:shd w:val="clear" w:color="auto" w:fill="auto"/>
            <w:vAlign w:val="bottom"/>
          </w:tcPr>
          <w:p w:rsidR="00CA4D2F" w:rsidRPr="00CA4D2F" w:rsidRDefault="00CA4D2F" w:rsidP="00CA4D2F">
            <w:pPr>
              <w:pStyle w:val="SingleTxtG"/>
              <w:spacing w:before="40" w:after="40" w:line="220" w:lineRule="exact"/>
              <w:ind w:left="28" w:right="28"/>
              <w:jc w:val="right"/>
              <w:rPr>
                <w:sz w:val="18"/>
              </w:rPr>
            </w:pPr>
          </w:p>
        </w:tc>
      </w:tr>
      <w:tr w:rsidR="00CA4D2F" w:rsidRPr="00CA4D2F" w:rsidTr="001366DE">
        <w:trPr>
          <w:trHeight w:val="240"/>
        </w:trPr>
        <w:tc>
          <w:tcPr>
            <w:tcW w:w="2127" w:type="dxa"/>
            <w:shd w:val="clear" w:color="auto" w:fill="auto"/>
          </w:tcPr>
          <w:p w:rsidR="00CA4D2F" w:rsidRPr="00834E81" w:rsidRDefault="00CA4D2F" w:rsidP="00CA4D2F">
            <w:pPr>
              <w:pStyle w:val="SingleTxtG"/>
              <w:spacing w:before="40" w:after="40" w:line="220" w:lineRule="exact"/>
              <w:ind w:left="0" w:right="0"/>
              <w:jc w:val="left"/>
              <w:rPr>
                <w:sz w:val="18"/>
              </w:rPr>
            </w:pPr>
            <w:r w:rsidRPr="00834E81">
              <w:rPr>
                <w:sz w:val="18"/>
              </w:rPr>
              <w:t>2013</w:t>
            </w:r>
          </w:p>
        </w:tc>
        <w:tc>
          <w:tcPr>
            <w:tcW w:w="992" w:type="dxa"/>
            <w:shd w:val="clear" w:color="auto" w:fill="auto"/>
            <w:vAlign w:val="bottom"/>
          </w:tcPr>
          <w:p w:rsidR="00CA4D2F" w:rsidRPr="00834E81" w:rsidRDefault="00CA4D2F" w:rsidP="00CA4D2F">
            <w:pPr>
              <w:pStyle w:val="SingleTxtG"/>
              <w:spacing w:before="40" w:after="40" w:line="220" w:lineRule="exact"/>
              <w:ind w:left="28" w:right="28"/>
              <w:jc w:val="right"/>
              <w:rPr>
                <w:sz w:val="18"/>
              </w:rPr>
            </w:pPr>
            <w:r w:rsidRPr="00834E81">
              <w:rPr>
                <w:sz w:val="18"/>
              </w:rPr>
              <w:t>640</w:t>
            </w:r>
          </w:p>
        </w:tc>
        <w:tc>
          <w:tcPr>
            <w:tcW w:w="1134" w:type="dxa"/>
            <w:shd w:val="clear" w:color="auto" w:fill="auto"/>
            <w:vAlign w:val="bottom"/>
          </w:tcPr>
          <w:p w:rsidR="00CA4D2F" w:rsidRPr="00CA4D2F" w:rsidRDefault="00CA4D2F" w:rsidP="00CA4D2F">
            <w:pPr>
              <w:pStyle w:val="SingleTxtG"/>
              <w:spacing w:before="40" w:after="40" w:line="220" w:lineRule="exact"/>
              <w:ind w:left="28" w:right="28"/>
              <w:jc w:val="right"/>
              <w:rPr>
                <w:sz w:val="18"/>
              </w:rPr>
            </w:pPr>
          </w:p>
        </w:tc>
        <w:tc>
          <w:tcPr>
            <w:tcW w:w="1559" w:type="dxa"/>
            <w:shd w:val="clear" w:color="auto" w:fill="auto"/>
            <w:vAlign w:val="bottom"/>
          </w:tcPr>
          <w:p w:rsidR="00CA4D2F" w:rsidRPr="00CA4D2F" w:rsidRDefault="00CA4D2F" w:rsidP="00CA4D2F">
            <w:pPr>
              <w:pStyle w:val="SingleTxtG"/>
              <w:spacing w:before="40" w:after="40" w:line="220" w:lineRule="exact"/>
              <w:ind w:left="28" w:right="28"/>
              <w:jc w:val="right"/>
              <w:rPr>
                <w:sz w:val="18"/>
              </w:rPr>
            </w:pPr>
          </w:p>
        </w:tc>
        <w:tc>
          <w:tcPr>
            <w:tcW w:w="1418" w:type="dxa"/>
            <w:shd w:val="clear" w:color="auto" w:fill="auto"/>
            <w:vAlign w:val="bottom"/>
          </w:tcPr>
          <w:p w:rsidR="00CA4D2F" w:rsidRPr="00CA4D2F" w:rsidRDefault="00CA4D2F" w:rsidP="00CA4D2F">
            <w:pPr>
              <w:pStyle w:val="SingleTxtG"/>
              <w:spacing w:before="40" w:after="40" w:line="220" w:lineRule="exact"/>
              <w:ind w:left="28" w:right="28"/>
              <w:jc w:val="right"/>
              <w:rPr>
                <w:sz w:val="18"/>
              </w:rPr>
            </w:pPr>
          </w:p>
        </w:tc>
        <w:tc>
          <w:tcPr>
            <w:tcW w:w="1275" w:type="dxa"/>
            <w:shd w:val="clear" w:color="auto" w:fill="auto"/>
            <w:vAlign w:val="bottom"/>
          </w:tcPr>
          <w:p w:rsidR="00CA4D2F" w:rsidRPr="00CA4D2F" w:rsidRDefault="00CA4D2F" w:rsidP="00CA4D2F">
            <w:pPr>
              <w:pStyle w:val="SingleTxtG"/>
              <w:spacing w:before="40" w:after="40" w:line="220" w:lineRule="exact"/>
              <w:ind w:left="28" w:right="28"/>
              <w:jc w:val="right"/>
              <w:rPr>
                <w:sz w:val="18"/>
              </w:rPr>
            </w:pPr>
          </w:p>
        </w:tc>
      </w:tr>
      <w:tr w:rsidR="00CA4D2F" w:rsidRPr="00CA4D2F" w:rsidTr="001366DE">
        <w:trPr>
          <w:trHeight w:val="240"/>
        </w:trPr>
        <w:tc>
          <w:tcPr>
            <w:tcW w:w="2127" w:type="dxa"/>
            <w:shd w:val="clear" w:color="auto" w:fill="auto"/>
          </w:tcPr>
          <w:p w:rsidR="00CA4D2F" w:rsidRPr="00834E81" w:rsidRDefault="00CA4D2F" w:rsidP="00CA4D2F">
            <w:pPr>
              <w:pStyle w:val="SingleTxtG"/>
              <w:spacing w:before="40" w:after="40" w:line="220" w:lineRule="exact"/>
              <w:ind w:left="0" w:right="0"/>
              <w:jc w:val="left"/>
              <w:rPr>
                <w:sz w:val="18"/>
              </w:rPr>
            </w:pPr>
            <w:r w:rsidRPr="00834E81">
              <w:rPr>
                <w:sz w:val="18"/>
              </w:rPr>
              <w:t>2014</w:t>
            </w:r>
          </w:p>
        </w:tc>
        <w:tc>
          <w:tcPr>
            <w:tcW w:w="992" w:type="dxa"/>
            <w:shd w:val="clear" w:color="auto" w:fill="auto"/>
            <w:vAlign w:val="bottom"/>
          </w:tcPr>
          <w:p w:rsidR="00CA4D2F" w:rsidRPr="00834E81" w:rsidRDefault="00CA4D2F" w:rsidP="00CA4D2F">
            <w:pPr>
              <w:pStyle w:val="SingleTxtG"/>
              <w:spacing w:before="40" w:after="40" w:line="220" w:lineRule="exact"/>
              <w:ind w:left="28" w:right="28"/>
              <w:jc w:val="right"/>
              <w:rPr>
                <w:sz w:val="18"/>
              </w:rPr>
            </w:pPr>
            <w:r w:rsidRPr="00834E81">
              <w:rPr>
                <w:sz w:val="18"/>
              </w:rPr>
              <w:t>616</w:t>
            </w:r>
          </w:p>
        </w:tc>
        <w:tc>
          <w:tcPr>
            <w:tcW w:w="1134" w:type="dxa"/>
            <w:shd w:val="clear" w:color="auto" w:fill="auto"/>
            <w:vAlign w:val="bottom"/>
          </w:tcPr>
          <w:p w:rsidR="00CA4D2F" w:rsidRPr="00CA4D2F" w:rsidRDefault="00CA4D2F" w:rsidP="00CA4D2F">
            <w:pPr>
              <w:pStyle w:val="SingleTxtG"/>
              <w:spacing w:before="40" w:after="40" w:line="220" w:lineRule="exact"/>
              <w:ind w:left="28" w:right="28"/>
              <w:jc w:val="right"/>
              <w:rPr>
                <w:sz w:val="18"/>
              </w:rPr>
            </w:pPr>
          </w:p>
        </w:tc>
        <w:tc>
          <w:tcPr>
            <w:tcW w:w="1559" w:type="dxa"/>
            <w:shd w:val="clear" w:color="auto" w:fill="auto"/>
            <w:vAlign w:val="bottom"/>
          </w:tcPr>
          <w:p w:rsidR="00CA4D2F" w:rsidRPr="00CA4D2F" w:rsidRDefault="00CA4D2F" w:rsidP="00CA4D2F">
            <w:pPr>
              <w:pStyle w:val="SingleTxtG"/>
              <w:spacing w:before="40" w:after="40" w:line="220" w:lineRule="exact"/>
              <w:ind w:left="28" w:right="28"/>
              <w:jc w:val="right"/>
              <w:rPr>
                <w:sz w:val="18"/>
              </w:rPr>
            </w:pPr>
          </w:p>
        </w:tc>
        <w:tc>
          <w:tcPr>
            <w:tcW w:w="1418" w:type="dxa"/>
            <w:shd w:val="clear" w:color="auto" w:fill="auto"/>
            <w:vAlign w:val="bottom"/>
          </w:tcPr>
          <w:p w:rsidR="00CA4D2F" w:rsidRPr="00CA4D2F" w:rsidRDefault="00CA4D2F" w:rsidP="00CA4D2F">
            <w:pPr>
              <w:pStyle w:val="SingleTxtG"/>
              <w:spacing w:before="40" w:after="40" w:line="220" w:lineRule="exact"/>
              <w:ind w:left="28" w:right="28"/>
              <w:jc w:val="right"/>
              <w:rPr>
                <w:sz w:val="18"/>
              </w:rPr>
            </w:pPr>
          </w:p>
        </w:tc>
        <w:tc>
          <w:tcPr>
            <w:tcW w:w="1275" w:type="dxa"/>
            <w:shd w:val="clear" w:color="auto" w:fill="auto"/>
            <w:vAlign w:val="bottom"/>
          </w:tcPr>
          <w:p w:rsidR="00CA4D2F" w:rsidRPr="00CA4D2F" w:rsidRDefault="00CA4D2F" w:rsidP="00CA4D2F">
            <w:pPr>
              <w:pStyle w:val="SingleTxtG"/>
              <w:spacing w:before="40" w:after="40" w:line="220" w:lineRule="exact"/>
              <w:ind w:left="28" w:right="28"/>
              <w:jc w:val="right"/>
              <w:rPr>
                <w:sz w:val="18"/>
              </w:rPr>
            </w:pPr>
          </w:p>
        </w:tc>
      </w:tr>
      <w:tr w:rsidR="00CA4D2F" w:rsidRPr="00CA4D2F" w:rsidTr="001366DE">
        <w:trPr>
          <w:trHeight w:val="240"/>
        </w:trPr>
        <w:tc>
          <w:tcPr>
            <w:tcW w:w="2127" w:type="dxa"/>
            <w:shd w:val="clear" w:color="auto" w:fill="auto"/>
          </w:tcPr>
          <w:p w:rsidR="00CA4D2F" w:rsidRPr="00834E81" w:rsidRDefault="00CA4D2F" w:rsidP="00CA4D2F">
            <w:pPr>
              <w:pStyle w:val="SingleTxtG"/>
              <w:spacing w:before="40" w:after="40" w:line="220" w:lineRule="exact"/>
              <w:ind w:left="0" w:right="0"/>
              <w:jc w:val="left"/>
              <w:rPr>
                <w:sz w:val="18"/>
              </w:rPr>
            </w:pPr>
            <w:r w:rsidRPr="00834E81">
              <w:rPr>
                <w:sz w:val="18"/>
              </w:rPr>
              <w:t>2015</w:t>
            </w:r>
          </w:p>
        </w:tc>
        <w:tc>
          <w:tcPr>
            <w:tcW w:w="992" w:type="dxa"/>
            <w:shd w:val="clear" w:color="auto" w:fill="auto"/>
            <w:vAlign w:val="bottom"/>
          </w:tcPr>
          <w:p w:rsidR="00CA4D2F" w:rsidRPr="00834E81" w:rsidRDefault="00CA4D2F" w:rsidP="00CA4D2F">
            <w:pPr>
              <w:pStyle w:val="SingleTxtG"/>
              <w:spacing w:before="40" w:after="40" w:line="220" w:lineRule="exact"/>
              <w:ind w:left="28" w:right="28"/>
              <w:jc w:val="right"/>
              <w:rPr>
                <w:sz w:val="18"/>
              </w:rPr>
            </w:pPr>
            <w:r w:rsidRPr="00834E81">
              <w:rPr>
                <w:sz w:val="18"/>
              </w:rPr>
              <w:t xml:space="preserve">506 </w:t>
            </w:r>
          </w:p>
        </w:tc>
        <w:tc>
          <w:tcPr>
            <w:tcW w:w="1134" w:type="dxa"/>
            <w:shd w:val="clear" w:color="auto" w:fill="auto"/>
            <w:vAlign w:val="bottom"/>
          </w:tcPr>
          <w:p w:rsidR="00CA4D2F" w:rsidRPr="00CA4D2F" w:rsidRDefault="00CA4D2F" w:rsidP="00CA4D2F">
            <w:pPr>
              <w:pStyle w:val="SingleTxtG"/>
              <w:spacing w:before="40" w:after="40" w:line="220" w:lineRule="exact"/>
              <w:ind w:left="28" w:right="28"/>
              <w:jc w:val="right"/>
              <w:rPr>
                <w:sz w:val="18"/>
              </w:rPr>
            </w:pPr>
          </w:p>
        </w:tc>
        <w:tc>
          <w:tcPr>
            <w:tcW w:w="1559" w:type="dxa"/>
            <w:shd w:val="clear" w:color="auto" w:fill="auto"/>
            <w:vAlign w:val="bottom"/>
          </w:tcPr>
          <w:p w:rsidR="00CA4D2F" w:rsidRPr="00CA4D2F" w:rsidRDefault="00CA4D2F" w:rsidP="00CA4D2F">
            <w:pPr>
              <w:pStyle w:val="SingleTxtG"/>
              <w:spacing w:before="40" w:after="40" w:line="220" w:lineRule="exact"/>
              <w:ind w:left="28" w:right="28"/>
              <w:jc w:val="right"/>
              <w:rPr>
                <w:sz w:val="18"/>
              </w:rPr>
            </w:pPr>
          </w:p>
        </w:tc>
        <w:tc>
          <w:tcPr>
            <w:tcW w:w="1418" w:type="dxa"/>
            <w:shd w:val="clear" w:color="auto" w:fill="auto"/>
            <w:vAlign w:val="bottom"/>
          </w:tcPr>
          <w:p w:rsidR="00CA4D2F" w:rsidRPr="00CA4D2F" w:rsidRDefault="00CA4D2F" w:rsidP="00CA4D2F">
            <w:pPr>
              <w:pStyle w:val="SingleTxtG"/>
              <w:spacing w:before="40" w:after="40" w:line="220" w:lineRule="exact"/>
              <w:ind w:left="28" w:right="28"/>
              <w:jc w:val="right"/>
              <w:rPr>
                <w:sz w:val="18"/>
              </w:rPr>
            </w:pPr>
          </w:p>
        </w:tc>
        <w:tc>
          <w:tcPr>
            <w:tcW w:w="1275" w:type="dxa"/>
            <w:shd w:val="clear" w:color="auto" w:fill="auto"/>
            <w:vAlign w:val="bottom"/>
          </w:tcPr>
          <w:p w:rsidR="00CA4D2F" w:rsidRPr="00CA4D2F" w:rsidRDefault="00CA4D2F" w:rsidP="00CA4D2F">
            <w:pPr>
              <w:pStyle w:val="SingleTxtG"/>
              <w:spacing w:before="40" w:after="40" w:line="220" w:lineRule="exact"/>
              <w:ind w:left="28" w:right="28"/>
              <w:jc w:val="right"/>
              <w:rPr>
                <w:sz w:val="18"/>
              </w:rPr>
            </w:pPr>
          </w:p>
        </w:tc>
      </w:tr>
      <w:tr w:rsidR="00CA4D2F" w:rsidRPr="00CA4D2F" w:rsidTr="001366DE">
        <w:trPr>
          <w:trHeight w:val="240"/>
        </w:trPr>
        <w:tc>
          <w:tcPr>
            <w:tcW w:w="2127" w:type="dxa"/>
            <w:shd w:val="clear" w:color="auto" w:fill="auto"/>
          </w:tcPr>
          <w:p w:rsidR="00CA4D2F" w:rsidRPr="00834E81" w:rsidRDefault="00CA4D2F" w:rsidP="00CA4D2F">
            <w:pPr>
              <w:pStyle w:val="SingleTxtG"/>
              <w:spacing w:before="40" w:after="40" w:line="220" w:lineRule="exact"/>
              <w:ind w:left="0" w:right="0"/>
              <w:jc w:val="left"/>
              <w:rPr>
                <w:sz w:val="18"/>
              </w:rPr>
            </w:pPr>
            <w:r w:rsidRPr="00834E81">
              <w:rPr>
                <w:sz w:val="18"/>
              </w:rPr>
              <w:t>2016</w:t>
            </w:r>
          </w:p>
        </w:tc>
        <w:tc>
          <w:tcPr>
            <w:tcW w:w="992" w:type="dxa"/>
            <w:shd w:val="clear" w:color="auto" w:fill="auto"/>
            <w:vAlign w:val="bottom"/>
          </w:tcPr>
          <w:p w:rsidR="00CA4D2F" w:rsidRPr="00834E81" w:rsidRDefault="00CA4D2F" w:rsidP="00CA4D2F">
            <w:pPr>
              <w:pStyle w:val="SingleTxtG"/>
              <w:spacing w:before="40" w:after="40" w:line="220" w:lineRule="exact"/>
              <w:ind w:left="28" w:right="28"/>
              <w:jc w:val="right"/>
              <w:rPr>
                <w:sz w:val="18"/>
              </w:rPr>
            </w:pPr>
            <w:r w:rsidRPr="00834E81">
              <w:rPr>
                <w:sz w:val="18"/>
              </w:rPr>
              <w:t xml:space="preserve">433 </w:t>
            </w:r>
          </w:p>
        </w:tc>
        <w:tc>
          <w:tcPr>
            <w:tcW w:w="1134" w:type="dxa"/>
            <w:shd w:val="clear" w:color="auto" w:fill="auto"/>
            <w:vAlign w:val="bottom"/>
          </w:tcPr>
          <w:p w:rsidR="00CA4D2F" w:rsidRPr="00CA4D2F" w:rsidRDefault="00CA4D2F" w:rsidP="00CA4D2F">
            <w:pPr>
              <w:pStyle w:val="SingleTxtG"/>
              <w:spacing w:before="40" w:after="40" w:line="220" w:lineRule="exact"/>
              <w:ind w:left="28" w:right="28"/>
              <w:jc w:val="right"/>
              <w:rPr>
                <w:sz w:val="18"/>
              </w:rPr>
            </w:pPr>
          </w:p>
        </w:tc>
        <w:tc>
          <w:tcPr>
            <w:tcW w:w="1559" w:type="dxa"/>
            <w:shd w:val="clear" w:color="auto" w:fill="auto"/>
            <w:vAlign w:val="bottom"/>
          </w:tcPr>
          <w:p w:rsidR="00CA4D2F" w:rsidRPr="00CA4D2F" w:rsidRDefault="00CA4D2F" w:rsidP="00CA4D2F">
            <w:pPr>
              <w:pStyle w:val="SingleTxtG"/>
              <w:spacing w:before="40" w:after="40" w:line="220" w:lineRule="exact"/>
              <w:ind w:left="28" w:right="28"/>
              <w:jc w:val="right"/>
              <w:rPr>
                <w:sz w:val="18"/>
              </w:rPr>
            </w:pPr>
          </w:p>
        </w:tc>
        <w:tc>
          <w:tcPr>
            <w:tcW w:w="1418" w:type="dxa"/>
            <w:shd w:val="clear" w:color="auto" w:fill="auto"/>
            <w:vAlign w:val="bottom"/>
          </w:tcPr>
          <w:p w:rsidR="00CA4D2F" w:rsidRPr="00CA4D2F" w:rsidRDefault="00CA4D2F" w:rsidP="00CA4D2F">
            <w:pPr>
              <w:pStyle w:val="SingleTxtG"/>
              <w:spacing w:before="40" w:after="40" w:line="220" w:lineRule="exact"/>
              <w:ind w:left="28" w:right="28"/>
              <w:jc w:val="right"/>
              <w:rPr>
                <w:sz w:val="18"/>
              </w:rPr>
            </w:pPr>
          </w:p>
        </w:tc>
        <w:tc>
          <w:tcPr>
            <w:tcW w:w="1275" w:type="dxa"/>
            <w:shd w:val="clear" w:color="auto" w:fill="auto"/>
            <w:vAlign w:val="bottom"/>
          </w:tcPr>
          <w:p w:rsidR="00CA4D2F" w:rsidRPr="00CA4D2F" w:rsidRDefault="00CA4D2F" w:rsidP="00CA4D2F">
            <w:pPr>
              <w:pStyle w:val="SingleTxtG"/>
              <w:spacing w:before="40" w:after="40" w:line="220" w:lineRule="exact"/>
              <w:ind w:left="28" w:right="28"/>
              <w:jc w:val="right"/>
              <w:rPr>
                <w:sz w:val="18"/>
              </w:rPr>
            </w:pPr>
          </w:p>
        </w:tc>
      </w:tr>
      <w:tr w:rsidR="00CA4D2F" w:rsidRPr="00CA4D2F" w:rsidTr="001366DE">
        <w:trPr>
          <w:trHeight w:val="240"/>
        </w:trPr>
        <w:tc>
          <w:tcPr>
            <w:tcW w:w="2127" w:type="dxa"/>
            <w:shd w:val="clear" w:color="auto" w:fill="auto"/>
          </w:tcPr>
          <w:p w:rsidR="00CA4D2F" w:rsidRPr="00834E81" w:rsidRDefault="00CA4D2F" w:rsidP="00CA4D2F">
            <w:pPr>
              <w:pStyle w:val="SingleTxtG"/>
              <w:spacing w:before="40" w:after="40" w:line="220" w:lineRule="exact"/>
              <w:ind w:left="0" w:right="0"/>
              <w:jc w:val="left"/>
              <w:rPr>
                <w:sz w:val="18"/>
              </w:rPr>
            </w:pPr>
            <w:r w:rsidRPr="00834E81">
              <w:rPr>
                <w:sz w:val="18"/>
              </w:rPr>
              <w:t>2017</w:t>
            </w:r>
          </w:p>
        </w:tc>
        <w:tc>
          <w:tcPr>
            <w:tcW w:w="992" w:type="dxa"/>
            <w:shd w:val="clear" w:color="auto" w:fill="auto"/>
            <w:vAlign w:val="bottom"/>
          </w:tcPr>
          <w:p w:rsidR="00CA4D2F" w:rsidRPr="00834E81" w:rsidRDefault="00CA4D2F" w:rsidP="00CA4D2F">
            <w:pPr>
              <w:pStyle w:val="SingleTxtG"/>
              <w:spacing w:before="40" w:after="40" w:line="220" w:lineRule="exact"/>
              <w:ind w:left="28" w:right="28"/>
              <w:jc w:val="right"/>
              <w:rPr>
                <w:sz w:val="18"/>
              </w:rPr>
            </w:pPr>
            <w:r w:rsidRPr="00834E81">
              <w:rPr>
                <w:sz w:val="18"/>
              </w:rPr>
              <w:t>432</w:t>
            </w:r>
          </w:p>
        </w:tc>
        <w:tc>
          <w:tcPr>
            <w:tcW w:w="1134" w:type="dxa"/>
            <w:shd w:val="clear" w:color="auto" w:fill="auto"/>
            <w:vAlign w:val="bottom"/>
          </w:tcPr>
          <w:p w:rsidR="00CA4D2F" w:rsidRPr="00834E81" w:rsidRDefault="00CA4D2F" w:rsidP="00CA4D2F">
            <w:pPr>
              <w:pStyle w:val="SingleTxtG"/>
              <w:spacing w:before="40" w:after="40" w:line="220" w:lineRule="exact"/>
              <w:ind w:left="28" w:right="28"/>
              <w:jc w:val="right"/>
              <w:rPr>
                <w:sz w:val="18"/>
              </w:rPr>
            </w:pPr>
            <w:r w:rsidRPr="00834E81">
              <w:rPr>
                <w:sz w:val="18"/>
              </w:rPr>
              <w:t>47</w:t>
            </w:r>
          </w:p>
        </w:tc>
        <w:tc>
          <w:tcPr>
            <w:tcW w:w="1559" w:type="dxa"/>
            <w:shd w:val="clear" w:color="auto" w:fill="auto"/>
            <w:vAlign w:val="bottom"/>
          </w:tcPr>
          <w:p w:rsidR="00CA4D2F" w:rsidRPr="00834E81" w:rsidRDefault="00CA4D2F" w:rsidP="00CA4D2F">
            <w:pPr>
              <w:pStyle w:val="SingleTxtG"/>
              <w:spacing w:before="40" w:after="40" w:line="220" w:lineRule="exact"/>
              <w:ind w:left="28" w:right="28"/>
              <w:jc w:val="right"/>
              <w:rPr>
                <w:sz w:val="18"/>
              </w:rPr>
            </w:pPr>
            <w:r w:rsidRPr="00834E81">
              <w:rPr>
                <w:sz w:val="18"/>
              </w:rPr>
              <w:t>50</w:t>
            </w:r>
          </w:p>
        </w:tc>
        <w:tc>
          <w:tcPr>
            <w:tcW w:w="1418" w:type="dxa"/>
            <w:shd w:val="clear" w:color="auto" w:fill="auto"/>
            <w:vAlign w:val="bottom"/>
          </w:tcPr>
          <w:p w:rsidR="00CA4D2F" w:rsidRPr="00834E81" w:rsidRDefault="00CA4D2F" w:rsidP="00CA4D2F">
            <w:pPr>
              <w:pStyle w:val="SingleTxtG"/>
              <w:spacing w:before="40" w:after="40" w:line="220" w:lineRule="exact"/>
              <w:ind w:left="28" w:right="28"/>
              <w:jc w:val="right"/>
              <w:rPr>
                <w:sz w:val="18"/>
              </w:rPr>
            </w:pPr>
            <w:r w:rsidRPr="00834E81">
              <w:rPr>
                <w:sz w:val="18"/>
              </w:rPr>
              <w:t>71</w:t>
            </w:r>
          </w:p>
        </w:tc>
        <w:tc>
          <w:tcPr>
            <w:tcW w:w="1275" w:type="dxa"/>
            <w:shd w:val="clear" w:color="auto" w:fill="auto"/>
            <w:vAlign w:val="bottom"/>
          </w:tcPr>
          <w:p w:rsidR="00CA4D2F" w:rsidRPr="00834E81" w:rsidRDefault="00CA4D2F" w:rsidP="00CA4D2F">
            <w:pPr>
              <w:pStyle w:val="SingleTxtG"/>
              <w:spacing w:before="40" w:after="40" w:line="220" w:lineRule="exact"/>
              <w:ind w:left="28" w:right="28"/>
              <w:jc w:val="right"/>
              <w:rPr>
                <w:sz w:val="18"/>
              </w:rPr>
            </w:pPr>
            <w:r w:rsidRPr="00834E81">
              <w:rPr>
                <w:sz w:val="18"/>
              </w:rPr>
              <w:t>47</w:t>
            </w:r>
          </w:p>
        </w:tc>
      </w:tr>
      <w:tr w:rsidR="00CA4D2F" w:rsidRPr="00CA4D2F" w:rsidTr="001366DE">
        <w:trPr>
          <w:trHeight w:val="240"/>
        </w:trPr>
        <w:tc>
          <w:tcPr>
            <w:tcW w:w="2127" w:type="dxa"/>
            <w:shd w:val="clear" w:color="auto" w:fill="auto"/>
          </w:tcPr>
          <w:p w:rsidR="00CA4D2F" w:rsidRPr="00834E81" w:rsidRDefault="00CA4D2F" w:rsidP="00CA4D2F">
            <w:pPr>
              <w:pStyle w:val="SingleTxtG"/>
              <w:spacing w:before="40" w:after="40" w:line="220" w:lineRule="exact"/>
              <w:ind w:left="0" w:right="0"/>
              <w:jc w:val="left"/>
              <w:rPr>
                <w:sz w:val="18"/>
              </w:rPr>
            </w:pPr>
            <w:r w:rsidRPr="00834E81">
              <w:rPr>
                <w:sz w:val="18"/>
              </w:rPr>
              <w:t>2018</w:t>
            </w:r>
          </w:p>
        </w:tc>
        <w:tc>
          <w:tcPr>
            <w:tcW w:w="992" w:type="dxa"/>
            <w:shd w:val="clear" w:color="auto" w:fill="auto"/>
            <w:vAlign w:val="bottom"/>
          </w:tcPr>
          <w:p w:rsidR="00CA4D2F" w:rsidRPr="00834E81" w:rsidRDefault="00CA4D2F" w:rsidP="00CA4D2F">
            <w:pPr>
              <w:pStyle w:val="SingleTxtG"/>
              <w:spacing w:before="40" w:after="40" w:line="220" w:lineRule="exact"/>
              <w:ind w:left="28" w:right="28"/>
              <w:jc w:val="right"/>
              <w:rPr>
                <w:sz w:val="18"/>
              </w:rPr>
            </w:pPr>
            <w:r w:rsidRPr="00834E81">
              <w:rPr>
                <w:sz w:val="18"/>
              </w:rPr>
              <w:t>439</w:t>
            </w:r>
          </w:p>
        </w:tc>
        <w:tc>
          <w:tcPr>
            <w:tcW w:w="1134" w:type="dxa"/>
            <w:shd w:val="clear" w:color="auto" w:fill="auto"/>
            <w:vAlign w:val="bottom"/>
          </w:tcPr>
          <w:p w:rsidR="00CA4D2F" w:rsidRPr="00834E81" w:rsidRDefault="00CA4D2F" w:rsidP="00CA4D2F">
            <w:pPr>
              <w:pStyle w:val="SingleTxtG"/>
              <w:spacing w:before="40" w:after="40" w:line="220" w:lineRule="exact"/>
              <w:ind w:left="28" w:right="28"/>
              <w:jc w:val="right"/>
              <w:rPr>
                <w:sz w:val="18"/>
              </w:rPr>
            </w:pPr>
            <w:r w:rsidRPr="00834E81">
              <w:rPr>
                <w:sz w:val="18"/>
              </w:rPr>
              <w:t>38</w:t>
            </w:r>
          </w:p>
        </w:tc>
        <w:tc>
          <w:tcPr>
            <w:tcW w:w="1559" w:type="dxa"/>
            <w:shd w:val="clear" w:color="auto" w:fill="auto"/>
            <w:vAlign w:val="bottom"/>
          </w:tcPr>
          <w:p w:rsidR="00CA4D2F" w:rsidRPr="00834E81" w:rsidRDefault="00CA4D2F" w:rsidP="00CA4D2F">
            <w:pPr>
              <w:pStyle w:val="SingleTxtG"/>
              <w:spacing w:before="40" w:after="40" w:line="220" w:lineRule="exact"/>
              <w:ind w:left="28" w:right="28"/>
              <w:jc w:val="right"/>
              <w:rPr>
                <w:sz w:val="18"/>
              </w:rPr>
            </w:pPr>
            <w:r w:rsidRPr="00834E81">
              <w:rPr>
                <w:sz w:val="18"/>
              </w:rPr>
              <w:t>52</w:t>
            </w:r>
          </w:p>
        </w:tc>
        <w:tc>
          <w:tcPr>
            <w:tcW w:w="1418" w:type="dxa"/>
            <w:shd w:val="clear" w:color="auto" w:fill="auto"/>
            <w:vAlign w:val="bottom"/>
          </w:tcPr>
          <w:p w:rsidR="00CA4D2F" w:rsidRPr="00834E81" w:rsidRDefault="00CA4D2F" w:rsidP="00CA4D2F">
            <w:pPr>
              <w:pStyle w:val="SingleTxtG"/>
              <w:spacing w:before="40" w:after="40" w:line="220" w:lineRule="exact"/>
              <w:ind w:left="28" w:right="28"/>
              <w:jc w:val="right"/>
              <w:rPr>
                <w:sz w:val="18"/>
              </w:rPr>
            </w:pPr>
            <w:r w:rsidRPr="00834E81">
              <w:rPr>
                <w:sz w:val="18"/>
              </w:rPr>
              <w:t>51</w:t>
            </w:r>
          </w:p>
        </w:tc>
        <w:tc>
          <w:tcPr>
            <w:tcW w:w="1275" w:type="dxa"/>
            <w:shd w:val="clear" w:color="auto" w:fill="auto"/>
            <w:vAlign w:val="bottom"/>
          </w:tcPr>
          <w:p w:rsidR="00CA4D2F" w:rsidRPr="00834E81" w:rsidRDefault="00CA4D2F" w:rsidP="00CA4D2F">
            <w:pPr>
              <w:pStyle w:val="SingleTxtG"/>
              <w:spacing w:before="40" w:after="40" w:line="220" w:lineRule="exact"/>
              <w:ind w:left="28" w:right="28"/>
              <w:jc w:val="right"/>
              <w:rPr>
                <w:sz w:val="18"/>
              </w:rPr>
            </w:pPr>
            <w:r w:rsidRPr="00834E81">
              <w:rPr>
                <w:sz w:val="18"/>
              </w:rPr>
              <w:t>40</w:t>
            </w:r>
          </w:p>
        </w:tc>
      </w:tr>
      <w:tr w:rsidR="00CA4D2F" w:rsidRPr="00CA4D2F" w:rsidTr="001366DE">
        <w:trPr>
          <w:trHeight w:val="240"/>
        </w:trPr>
        <w:tc>
          <w:tcPr>
            <w:tcW w:w="2127" w:type="dxa"/>
            <w:shd w:val="clear" w:color="auto" w:fill="auto"/>
          </w:tcPr>
          <w:p w:rsidR="00CA4D2F" w:rsidRPr="00834E81" w:rsidRDefault="00CA4D2F" w:rsidP="00CA4D2F">
            <w:pPr>
              <w:pStyle w:val="SingleTxtG"/>
              <w:spacing w:before="40" w:after="40" w:line="220" w:lineRule="exact"/>
              <w:ind w:left="0" w:right="0"/>
              <w:jc w:val="left"/>
              <w:rPr>
                <w:sz w:val="18"/>
              </w:rPr>
            </w:pPr>
            <w:r w:rsidRPr="00834E81">
              <w:rPr>
                <w:sz w:val="18"/>
              </w:rPr>
              <w:t>Niños de hasta 15 años que adquieren la ciudadanía</w:t>
            </w:r>
          </w:p>
        </w:tc>
        <w:tc>
          <w:tcPr>
            <w:tcW w:w="992" w:type="dxa"/>
            <w:shd w:val="clear" w:color="auto" w:fill="auto"/>
            <w:vAlign w:val="bottom"/>
          </w:tcPr>
          <w:p w:rsidR="00CA4D2F" w:rsidRPr="00834E81" w:rsidRDefault="00CA4D2F" w:rsidP="00CA4D2F">
            <w:pPr>
              <w:pStyle w:val="SingleTxtG"/>
              <w:spacing w:before="40" w:after="40" w:line="220" w:lineRule="exact"/>
              <w:ind w:left="28" w:right="28"/>
              <w:jc w:val="right"/>
              <w:rPr>
                <w:sz w:val="18"/>
              </w:rPr>
            </w:pPr>
            <w:r w:rsidRPr="00834E81">
              <w:rPr>
                <w:sz w:val="18"/>
              </w:rPr>
              <w:t>5 862</w:t>
            </w:r>
          </w:p>
        </w:tc>
        <w:tc>
          <w:tcPr>
            <w:tcW w:w="1134" w:type="dxa"/>
            <w:shd w:val="clear" w:color="auto" w:fill="auto"/>
            <w:vAlign w:val="bottom"/>
          </w:tcPr>
          <w:p w:rsidR="00CA4D2F" w:rsidRPr="00CA4D2F" w:rsidRDefault="00CA4D2F" w:rsidP="00CA4D2F">
            <w:pPr>
              <w:pStyle w:val="SingleTxtG"/>
              <w:spacing w:before="40" w:after="40" w:line="220" w:lineRule="exact"/>
              <w:ind w:left="28" w:right="28"/>
              <w:jc w:val="right"/>
              <w:rPr>
                <w:sz w:val="18"/>
              </w:rPr>
            </w:pPr>
          </w:p>
        </w:tc>
        <w:tc>
          <w:tcPr>
            <w:tcW w:w="1559" w:type="dxa"/>
            <w:shd w:val="clear" w:color="auto" w:fill="auto"/>
            <w:vAlign w:val="bottom"/>
          </w:tcPr>
          <w:p w:rsidR="00CA4D2F" w:rsidRPr="00CA4D2F" w:rsidRDefault="00CA4D2F" w:rsidP="00CA4D2F">
            <w:pPr>
              <w:pStyle w:val="SingleTxtG"/>
              <w:spacing w:before="40" w:after="40" w:line="220" w:lineRule="exact"/>
              <w:ind w:left="28" w:right="28"/>
              <w:jc w:val="right"/>
              <w:rPr>
                <w:sz w:val="18"/>
              </w:rPr>
            </w:pPr>
          </w:p>
        </w:tc>
        <w:tc>
          <w:tcPr>
            <w:tcW w:w="1418" w:type="dxa"/>
            <w:shd w:val="clear" w:color="auto" w:fill="auto"/>
            <w:vAlign w:val="bottom"/>
          </w:tcPr>
          <w:p w:rsidR="00CA4D2F" w:rsidRPr="00CA4D2F" w:rsidRDefault="00CA4D2F" w:rsidP="00CA4D2F">
            <w:pPr>
              <w:pStyle w:val="SingleTxtG"/>
              <w:spacing w:before="40" w:after="40" w:line="220" w:lineRule="exact"/>
              <w:ind w:left="28" w:right="28"/>
              <w:jc w:val="right"/>
              <w:rPr>
                <w:sz w:val="18"/>
              </w:rPr>
            </w:pPr>
            <w:r w:rsidRPr="00834E81">
              <w:rPr>
                <w:sz w:val="18"/>
              </w:rPr>
              <w:t>1 408</w:t>
            </w:r>
          </w:p>
        </w:tc>
        <w:tc>
          <w:tcPr>
            <w:tcW w:w="1275" w:type="dxa"/>
            <w:shd w:val="clear" w:color="auto" w:fill="auto"/>
            <w:vAlign w:val="bottom"/>
          </w:tcPr>
          <w:p w:rsidR="00CA4D2F" w:rsidRPr="00CA4D2F" w:rsidRDefault="00CA4D2F" w:rsidP="00CA4D2F">
            <w:pPr>
              <w:pStyle w:val="SingleTxtG"/>
              <w:spacing w:before="40" w:after="40" w:line="220" w:lineRule="exact"/>
              <w:ind w:left="28" w:right="28"/>
              <w:jc w:val="right"/>
              <w:rPr>
                <w:sz w:val="18"/>
              </w:rPr>
            </w:pPr>
          </w:p>
        </w:tc>
      </w:tr>
      <w:tr w:rsidR="00CA4D2F" w:rsidRPr="00CA4D2F" w:rsidTr="001366DE">
        <w:trPr>
          <w:trHeight w:val="240"/>
        </w:trPr>
        <w:tc>
          <w:tcPr>
            <w:tcW w:w="2127" w:type="dxa"/>
            <w:tcBorders>
              <w:bottom w:val="single" w:sz="12" w:space="0" w:color="auto"/>
            </w:tcBorders>
            <w:shd w:val="clear" w:color="auto" w:fill="auto"/>
          </w:tcPr>
          <w:p w:rsidR="00CA4D2F" w:rsidRPr="00834E81" w:rsidRDefault="00CA4D2F" w:rsidP="00CA4D2F">
            <w:pPr>
              <w:pStyle w:val="SingleTxtG"/>
              <w:spacing w:before="40" w:after="40" w:line="220" w:lineRule="exact"/>
              <w:ind w:left="0" w:right="0"/>
              <w:jc w:val="left"/>
              <w:rPr>
                <w:sz w:val="18"/>
              </w:rPr>
            </w:pPr>
            <w:r w:rsidRPr="00834E81">
              <w:rPr>
                <w:sz w:val="18"/>
              </w:rPr>
              <w:t>Niños de hasta 18 años que adquieren la ciudadanía</w:t>
            </w:r>
          </w:p>
        </w:tc>
        <w:tc>
          <w:tcPr>
            <w:tcW w:w="992" w:type="dxa"/>
            <w:tcBorders>
              <w:bottom w:val="single" w:sz="12" w:space="0" w:color="auto"/>
            </w:tcBorders>
            <w:shd w:val="clear" w:color="auto" w:fill="auto"/>
            <w:vAlign w:val="bottom"/>
          </w:tcPr>
          <w:p w:rsidR="00CA4D2F" w:rsidRPr="00834E81" w:rsidRDefault="00CA4D2F" w:rsidP="00CA4D2F">
            <w:pPr>
              <w:pStyle w:val="SingleTxtG"/>
              <w:spacing w:before="40" w:after="40" w:line="220" w:lineRule="exact"/>
              <w:ind w:left="28" w:right="28"/>
              <w:jc w:val="right"/>
              <w:rPr>
                <w:sz w:val="18"/>
              </w:rPr>
            </w:pPr>
            <w:r w:rsidRPr="00834E81">
              <w:rPr>
                <w:sz w:val="18"/>
              </w:rPr>
              <w:t>7 270</w:t>
            </w:r>
          </w:p>
        </w:tc>
        <w:tc>
          <w:tcPr>
            <w:tcW w:w="1134" w:type="dxa"/>
            <w:tcBorders>
              <w:bottom w:val="single" w:sz="12" w:space="0" w:color="auto"/>
            </w:tcBorders>
            <w:shd w:val="clear" w:color="auto" w:fill="auto"/>
            <w:vAlign w:val="bottom"/>
          </w:tcPr>
          <w:p w:rsidR="00CA4D2F" w:rsidRPr="00CA4D2F" w:rsidRDefault="00CA4D2F" w:rsidP="00CA4D2F">
            <w:pPr>
              <w:pStyle w:val="SingleTxtG"/>
              <w:spacing w:before="40" w:after="40" w:line="220" w:lineRule="exact"/>
              <w:ind w:left="28" w:right="28"/>
              <w:jc w:val="right"/>
              <w:rPr>
                <w:sz w:val="18"/>
              </w:rPr>
            </w:pPr>
          </w:p>
        </w:tc>
        <w:tc>
          <w:tcPr>
            <w:tcW w:w="1559" w:type="dxa"/>
            <w:tcBorders>
              <w:bottom w:val="single" w:sz="12" w:space="0" w:color="auto"/>
            </w:tcBorders>
            <w:shd w:val="clear" w:color="auto" w:fill="auto"/>
            <w:vAlign w:val="bottom"/>
          </w:tcPr>
          <w:p w:rsidR="00CA4D2F" w:rsidRPr="00CA4D2F" w:rsidRDefault="00CA4D2F" w:rsidP="00CA4D2F">
            <w:pPr>
              <w:pStyle w:val="SingleTxtG"/>
              <w:spacing w:before="40" w:after="40" w:line="220" w:lineRule="exact"/>
              <w:ind w:left="28" w:right="28"/>
              <w:jc w:val="right"/>
              <w:rPr>
                <w:sz w:val="18"/>
              </w:rPr>
            </w:pPr>
          </w:p>
        </w:tc>
        <w:tc>
          <w:tcPr>
            <w:tcW w:w="1418" w:type="dxa"/>
            <w:tcBorders>
              <w:bottom w:val="single" w:sz="12" w:space="0" w:color="auto"/>
            </w:tcBorders>
            <w:shd w:val="clear" w:color="auto" w:fill="auto"/>
            <w:vAlign w:val="bottom"/>
          </w:tcPr>
          <w:p w:rsidR="00CA4D2F" w:rsidRPr="00CA4D2F" w:rsidRDefault="00CA4D2F" w:rsidP="00CA4D2F">
            <w:pPr>
              <w:pStyle w:val="SingleTxtG"/>
              <w:spacing w:before="40" w:after="40" w:line="220" w:lineRule="exact"/>
              <w:ind w:left="28" w:right="28"/>
              <w:jc w:val="right"/>
              <w:rPr>
                <w:sz w:val="18"/>
              </w:rPr>
            </w:pPr>
          </w:p>
        </w:tc>
        <w:tc>
          <w:tcPr>
            <w:tcW w:w="1275" w:type="dxa"/>
            <w:tcBorders>
              <w:bottom w:val="single" w:sz="12" w:space="0" w:color="auto"/>
            </w:tcBorders>
            <w:shd w:val="clear" w:color="auto" w:fill="auto"/>
            <w:vAlign w:val="bottom"/>
          </w:tcPr>
          <w:p w:rsidR="00CA4D2F" w:rsidRPr="00CA4D2F" w:rsidRDefault="00CA4D2F" w:rsidP="00CA4D2F">
            <w:pPr>
              <w:pStyle w:val="SingleTxtG"/>
              <w:spacing w:before="40" w:after="40" w:line="220" w:lineRule="exact"/>
              <w:ind w:left="28" w:right="28"/>
              <w:jc w:val="right"/>
              <w:rPr>
                <w:sz w:val="18"/>
              </w:rPr>
            </w:pPr>
          </w:p>
        </w:tc>
      </w:tr>
    </w:tbl>
    <w:p w:rsidR="00834E81" w:rsidRPr="00CA4D2F" w:rsidRDefault="00834E81" w:rsidP="00CA4D2F">
      <w:pPr>
        <w:pStyle w:val="SingleTxtG"/>
        <w:spacing w:before="120" w:after="240"/>
        <w:ind w:firstLine="170"/>
        <w:jc w:val="left"/>
        <w:rPr>
          <w:sz w:val="18"/>
        </w:rPr>
      </w:pPr>
      <w:r w:rsidRPr="00CA4D2F">
        <w:rPr>
          <w:i/>
          <w:iCs/>
          <w:sz w:val="18"/>
        </w:rPr>
        <w:t>Fuente</w:t>
      </w:r>
      <w:r w:rsidRPr="00CA4D2F">
        <w:rPr>
          <w:i/>
          <w:sz w:val="18"/>
        </w:rPr>
        <w:t>:</w:t>
      </w:r>
      <w:r w:rsidRPr="00CA4D2F">
        <w:rPr>
          <w:sz w:val="18"/>
        </w:rPr>
        <w:t xml:space="preserve"> Oficina de Asuntos de Ciudadanía y Migración.</w:t>
      </w:r>
    </w:p>
    <w:p w:rsidR="00834E81" w:rsidRPr="00834E81" w:rsidRDefault="00834E81" w:rsidP="00834E81">
      <w:pPr>
        <w:pStyle w:val="SingleTxtG"/>
      </w:pPr>
      <w:r w:rsidRPr="00834E81">
        <w:t>14.</w:t>
      </w:r>
      <w:r w:rsidRPr="00834E81">
        <w:tab/>
        <w:t>Por último, cabe destacar que casi la mitad de los no ciudadanos de Letonia tiene</w:t>
      </w:r>
      <w:r w:rsidR="001366DE">
        <w:t xml:space="preserve"> </w:t>
      </w:r>
      <w:r w:rsidRPr="00834E81">
        <w:t>60</w:t>
      </w:r>
      <w:r w:rsidR="001366DE">
        <w:t> </w:t>
      </w:r>
      <w:r w:rsidRPr="00834E81">
        <w:t xml:space="preserve">años o más, por lo que el descenso gradual del número de no ciudadanos observado respecto a años anteriores se debe en parte a que algunos han fallecido. </w:t>
      </w:r>
    </w:p>
    <w:p w:rsidR="00834E81" w:rsidRPr="00834E81" w:rsidRDefault="00834E81" w:rsidP="00B13ED2">
      <w:pPr>
        <w:pStyle w:val="HChG"/>
      </w:pPr>
      <w:r w:rsidRPr="00834E81">
        <w:tab/>
        <w:t>II.</w:t>
      </w:r>
      <w:r w:rsidRPr="00834E81">
        <w:tab/>
        <w:t>En cuanto a la recomendación formulada en el párrafo</w:t>
      </w:r>
      <w:r w:rsidR="00B13ED2">
        <w:t> </w:t>
      </w:r>
      <w:r w:rsidRPr="00834E81">
        <w:t>23</w:t>
      </w:r>
      <w:r w:rsidR="00B13ED2">
        <w:t> </w:t>
      </w:r>
      <w:r w:rsidRPr="00834E81">
        <w:t>d)</w:t>
      </w:r>
      <w:r w:rsidR="00B13ED2">
        <w:t> </w:t>
      </w:r>
      <w:r w:rsidRPr="00834E81">
        <w:t>de las observaciones finales</w:t>
      </w:r>
    </w:p>
    <w:p w:rsidR="00834E81" w:rsidRPr="00834E81" w:rsidRDefault="00834E81" w:rsidP="00834E81">
      <w:pPr>
        <w:pStyle w:val="SingleTxtG"/>
      </w:pPr>
      <w:r w:rsidRPr="00834E81">
        <w:t>15.</w:t>
      </w:r>
      <w:r w:rsidRPr="00834E81">
        <w:tab/>
        <w:t xml:space="preserve">En el párrafo 23 d) de las observaciones finales se </w:t>
      </w:r>
      <w:r w:rsidR="000F2FF2">
        <w:t>recomienda</w:t>
      </w:r>
      <w:r w:rsidRPr="00834E81">
        <w:t xml:space="preserve"> que el Estado parte:</w:t>
      </w:r>
    </w:p>
    <w:p w:rsidR="00834E81" w:rsidRPr="00834E81" w:rsidRDefault="00CE258A" w:rsidP="00B13ED2">
      <w:pPr>
        <w:pStyle w:val="SingleTxtG"/>
        <w:ind w:left="1701"/>
      </w:pPr>
      <w:r>
        <w:t>“</w:t>
      </w:r>
      <w:r w:rsidR="00834E81" w:rsidRPr="00834E81">
        <w:t>d)</w:t>
      </w:r>
      <w:r w:rsidR="00B13ED2">
        <w:tab/>
      </w:r>
      <w:r w:rsidR="00834E81" w:rsidRPr="00834E81">
        <w:t>Restablezca el puesto de asesor romaní de la Defensoría del Pueblo, para dar más visibilidad a la comunidad romaní y mantener consultas con esta acerca de los asuntos que la afecten</w:t>
      </w:r>
      <w:r w:rsidR="001366DE">
        <w:t>.</w:t>
      </w:r>
      <w:r>
        <w:t>”</w:t>
      </w:r>
    </w:p>
    <w:p w:rsidR="00834E81" w:rsidRPr="00834E81" w:rsidRDefault="00834E81" w:rsidP="00834E81">
      <w:pPr>
        <w:pStyle w:val="SingleTxtG"/>
      </w:pPr>
      <w:r w:rsidRPr="00834E81">
        <w:t>16.</w:t>
      </w:r>
      <w:r w:rsidRPr="00834E81">
        <w:tab/>
        <w:t xml:space="preserve">La Defensoría del Pueblo valora la opinión del Comité al respecto y está de acuerdo en que crear un puesto específico para representantes de la minoría romaní podría ayudar a dar a conocer sus problemas y a mejorar el diálogo entre los romaníes y las autoridades. La medida que sugirió el Comité se incorporó a la labor de la Defensoría del Pueblo en 2011, pero en enero de 2017 se comprobó que no era la forma más eficaz de comunicarse con la comunidad romaní y afrontar sus problemas. </w:t>
      </w:r>
    </w:p>
    <w:p w:rsidR="00834E81" w:rsidRPr="00834E81" w:rsidRDefault="00834E81" w:rsidP="00834E81">
      <w:pPr>
        <w:pStyle w:val="SingleTxtG"/>
      </w:pPr>
      <w:r w:rsidRPr="00834E81">
        <w:t>17.</w:t>
      </w:r>
      <w:r w:rsidRPr="00834E81">
        <w:tab/>
        <w:t>La Ley del Defensor del Pueblo dota a esa figura de otras herramientas y mecanismos que pueden ayudar a definir los problemas y combatir la discriminación de la comunidad romaní, como el examen de denuncias individuales, las visitas de seguimiento, la creación de consejos consultivos y la colaboración con organizaciones no gubernamentales. El Defensor del Pueblo ha utilizado distintas herramientas para entablar un diálogo con la comunidad romaní y potenciar su participación en las primeras etapas de la concepción y aplicación de políticas y programas.</w:t>
      </w:r>
    </w:p>
    <w:p w:rsidR="00834E81" w:rsidRPr="00834E81" w:rsidRDefault="00834E81" w:rsidP="00834E81">
      <w:pPr>
        <w:pStyle w:val="SingleTxtG"/>
      </w:pPr>
      <w:r w:rsidRPr="00834E81">
        <w:t>18.</w:t>
      </w:r>
      <w:r w:rsidRPr="00834E81">
        <w:tab/>
        <w:t xml:space="preserve">Dado que con el representante de la comunidad romaní en la Defensoría del Pueblo no se consiguieron los resultados esperados, y </w:t>
      </w:r>
      <w:r w:rsidR="000F2FF2">
        <w:t>con miras a</w:t>
      </w:r>
      <w:r w:rsidRPr="00834E81">
        <w:t xml:space="preserve"> que los recursos presupuestarios asignados a la Defensoría del Pueblo se </w:t>
      </w:r>
      <w:r w:rsidR="000F2FF2">
        <w:t>usaran</w:t>
      </w:r>
      <w:r w:rsidRPr="00834E81">
        <w:t xml:space="preserve"> de forma más efectiva, se estudiaron otros enfoques para tratar las cuestiones relativas a la comunidad romaní. El Defensor del Pueblo comprobó que el diálogo y la colaboración estrecha y periódica con las organizaciones de la comunidad romaní eran una forma más eficaz de vigilar e impedir las violaciones sistemáticas de sus derechos. El 30 de agosto de 2011, el Defensor del Pueblo suscribió un acuerdo de cooperación con la International Romani Union. En 2012, el Defensor del Pueblo creó un Consejo Consultivo sobre los Romaníes para que evaluara las actividades que había previsto el Gobierno e hiciera sugerencias sobre el uso más eficiente de los recursos financieros asignados a prevenir la discriminación de los romaníes y a promover su plena inclusión en el desarrollo económico del Estado. El Defensor del Pueblo señala que las iniciativas emprendidas hasta la fecha </w:t>
      </w:r>
      <w:r w:rsidR="000F2FF2">
        <w:t>tendrían</w:t>
      </w:r>
      <w:r w:rsidRPr="00834E81">
        <w:t xml:space="preserve"> mejores resultados si los miembros de las comunidades romaníes fueran más conscientes de la importancia de su propia iniciativa y participaran más activamente en la vida pública y social para promover los intereses de la comunidad romaní. </w:t>
      </w:r>
    </w:p>
    <w:p w:rsidR="00834E81" w:rsidRPr="00834E81" w:rsidRDefault="00834E81" w:rsidP="00834E81">
      <w:pPr>
        <w:pStyle w:val="SingleTxtG"/>
      </w:pPr>
      <w:r w:rsidRPr="00834E81">
        <w:t>19.</w:t>
      </w:r>
      <w:r w:rsidRPr="00834E81">
        <w:tab/>
        <w:t>En ese sentido, el Gobierno desea añadir que, en 2018, el Ministerio de Cultura puso en marcha el tercer proyecto de la Plataforma de Romaníes Letones</w:t>
      </w:r>
      <w:r w:rsidRPr="001366DE">
        <w:rPr>
          <w:sz w:val="18"/>
          <w:vertAlign w:val="superscript"/>
        </w:rPr>
        <w:footnoteReference w:id="3"/>
      </w:r>
      <w:r w:rsidRPr="00834E81">
        <w:t>, que incluía medidas específicas para combatir la discriminación de los romaníes en la sociedad y promover el diálogo intercultural entre la población romaní y el resto. Gracias a este proyecto mejoraron la cooperación y el diálogo entre los representantes romaníes, los municipios, el sector gubernamental y los interlocutores sociales. Asimismo, se favoreció el aprendizaje mutuo y el intercambio de mejores prácticas en materia de integración de los romaníes a nivel local y regional, y se facilitó y potenció la participación y la implicación efectiva de los representantes de la comunidad romaní, en especial de jóvenes romaníes, en la aplicación de las medidas de políticas de integración de los romaníes.</w:t>
      </w:r>
    </w:p>
    <w:p w:rsidR="00381C24" w:rsidRDefault="00834E81" w:rsidP="00834E81">
      <w:pPr>
        <w:pStyle w:val="SingleTxtG"/>
      </w:pPr>
      <w:r w:rsidRPr="00834E81">
        <w:t>20.</w:t>
      </w:r>
      <w:r w:rsidRPr="00834E81">
        <w:tab/>
        <w:t>El Defensor del Pueblo expresa su disposición a reconsiderar la recomendación del Comité en el futuro, en caso de que las otras vías que está utilizando actualmente resulten ineficaces.</w:t>
      </w:r>
    </w:p>
    <w:p w:rsidR="00834E81" w:rsidRPr="00834E81" w:rsidRDefault="00834E81" w:rsidP="00834E81">
      <w:pPr>
        <w:pStyle w:val="SingleTxtG"/>
        <w:suppressAutoHyphens/>
        <w:spacing w:before="240" w:after="0"/>
        <w:jc w:val="center"/>
        <w:rPr>
          <w:u w:val="single"/>
        </w:rPr>
      </w:pPr>
      <w:r>
        <w:rPr>
          <w:u w:val="single"/>
        </w:rPr>
        <w:tab/>
      </w:r>
      <w:r>
        <w:rPr>
          <w:u w:val="single"/>
        </w:rPr>
        <w:tab/>
      </w:r>
      <w:r>
        <w:rPr>
          <w:u w:val="single"/>
        </w:rPr>
        <w:tab/>
      </w:r>
    </w:p>
    <w:sectPr w:rsidR="00834E81" w:rsidRPr="00834E81" w:rsidSect="00834E8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42A" w:rsidRPr="00D43FF0" w:rsidRDefault="002F642A" w:rsidP="00D43FF0">
      <w:pPr>
        <w:pStyle w:val="Footer"/>
      </w:pPr>
    </w:p>
  </w:endnote>
  <w:endnote w:type="continuationSeparator" w:id="0">
    <w:p w:rsidR="002F642A" w:rsidRPr="00D43FF0" w:rsidRDefault="002F642A" w:rsidP="00D43FF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E81" w:rsidRPr="00834E81" w:rsidRDefault="00834E81" w:rsidP="00834E81">
    <w:pPr>
      <w:pStyle w:val="Footer"/>
      <w:tabs>
        <w:tab w:val="right" w:pos="9638"/>
      </w:tabs>
    </w:pPr>
    <w:r w:rsidRPr="00834E81">
      <w:rPr>
        <w:b/>
        <w:sz w:val="18"/>
      </w:rPr>
      <w:fldChar w:fldCharType="begin"/>
    </w:r>
    <w:r w:rsidRPr="00834E81">
      <w:rPr>
        <w:b/>
        <w:sz w:val="18"/>
      </w:rPr>
      <w:instrText xml:space="preserve"> PAGE  \* MERGEFORMAT </w:instrText>
    </w:r>
    <w:r w:rsidRPr="00834E81">
      <w:rPr>
        <w:b/>
        <w:sz w:val="18"/>
      </w:rPr>
      <w:fldChar w:fldCharType="separate"/>
    </w:r>
    <w:r w:rsidR="00B24F11">
      <w:rPr>
        <w:b/>
        <w:noProof/>
        <w:sz w:val="18"/>
      </w:rPr>
      <w:t>6</w:t>
    </w:r>
    <w:r w:rsidRPr="00834E81">
      <w:rPr>
        <w:b/>
        <w:sz w:val="18"/>
      </w:rPr>
      <w:fldChar w:fldCharType="end"/>
    </w:r>
    <w:r>
      <w:rPr>
        <w:b/>
        <w:sz w:val="18"/>
      </w:rPr>
      <w:tab/>
    </w:r>
    <w:r>
      <w:t>GE.19-14624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E81" w:rsidRPr="00834E81" w:rsidRDefault="00834E81" w:rsidP="00834E81">
    <w:pPr>
      <w:pStyle w:val="Footer"/>
      <w:tabs>
        <w:tab w:val="right" w:pos="9638"/>
      </w:tabs>
      <w:rPr>
        <w:b/>
        <w:sz w:val="18"/>
      </w:rPr>
    </w:pPr>
    <w:r>
      <w:t>GE.19-14624</w:t>
    </w:r>
    <w:r>
      <w:tab/>
    </w:r>
    <w:r w:rsidRPr="00834E81">
      <w:rPr>
        <w:b/>
        <w:sz w:val="18"/>
      </w:rPr>
      <w:fldChar w:fldCharType="begin"/>
    </w:r>
    <w:r w:rsidRPr="00834E81">
      <w:rPr>
        <w:b/>
        <w:sz w:val="18"/>
      </w:rPr>
      <w:instrText xml:space="preserve"> PAGE  \* MERGEFORMAT </w:instrText>
    </w:r>
    <w:r w:rsidRPr="00834E81">
      <w:rPr>
        <w:b/>
        <w:sz w:val="18"/>
      </w:rPr>
      <w:fldChar w:fldCharType="separate"/>
    </w:r>
    <w:r w:rsidR="00B24F11">
      <w:rPr>
        <w:b/>
        <w:noProof/>
        <w:sz w:val="18"/>
      </w:rPr>
      <w:t>5</w:t>
    </w:r>
    <w:r w:rsidRPr="00834E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834E81" w:rsidRDefault="00834E81" w:rsidP="00834E81">
    <w:pPr>
      <w:pStyle w:val="Footer"/>
      <w:spacing w:before="120" w:line="240" w:lineRule="auto"/>
      <w:rPr>
        <w:sz w:val="20"/>
      </w:rPr>
    </w:pPr>
    <w:r>
      <w:rPr>
        <w:sz w:val="20"/>
      </w:rPr>
      <w:t>GE.</w:t>
    </w:r>
    <w:r w:rsidR="00CC15A3">
      <w:rPr>
        <w:noProof/>
        <w:lang w:eastAsia="zh-CN"/>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19-14624  (S)    141119    141119</w:t>
    </w:r>
    <w:r>
      <w:rPr>
        <w:sz w:val="20"/>
      </w:rPr>
      <w:br/>
    </w:r>
    <w:r w:rsidRPr="00834E81">
      <w:rPr>
        <w:rFonts w:ascii="C39T30Lfz" w:hAnsi="C39T30Lfz"/>
        <w:sz w:val="56"/>
      </w:rPr>
      <w:t></w:t>
    </w:r>
    <w:r w:rsidRPr="00834E81">
      <w:rPr>
        <w:rFonts w:ascii="C39T30Lfz" w:hAnsi="C39T30Lfz"/>
        <w:sz w:val="56"/>
      </w:rPr>
      <w:t></w:t>
    </w:r>
    <w:r w:rsidRPr="00834E81">
      <w:rPr>
        <w:rFonts w:ascii="C39T30Lfz" w:hAnsi="C39T30Lfz"/>
        <w:sz w:val="56"/>
      </w:rPr>
      <w:t></w:t>
    </w:r>
    <w:r w:rsidRPr="00834E81">
      <w:rPr>
        <w:rFonts w:ascii="C39T30Lfz" w:hAnsi="C39T30Lfz"/>
        <w:sz w:val="56"/>
      </w:rPr>
      <w:t></w:t>
    </w:r>
    <w:r w:rsidRPr="00834E81">
      <w:rPr>
        <w:rFonts w:ascii="C39T30Lfz" w:hAnsi="C39T30Lfz"/>
        <w:sz w:val="56"/>
      </w:rPr>
      <w:t></w:t>
    </w:r>
    <w:r w:rsidRPr="00834E81">
      <w:rPr>
        <w:rFonts w:ascii="C39T30Lfz" w:hAnsi="C39T30Lfz"/>
        <w:sz w:val="56"/>
      </w:rPr>
      <w:t></w:t>
    </w:r>
    <w:r w:rsidRPr="00834E81">
      <w:rPr>
        <w:rFonts w:ascii="C39T30Lfz" w:hAnsi="C39T30Lfz"/>
        <w:sz w:val="56"/>
      </w:rPr>
      <w:t></w:t>
    </w:r>
    <w:r w:rsidRPr="00834E81">
      <w:rPr>
        <w:rFonts w:ascii="C39T30Lfz" w:hAnsi="C39T30Lfz"/>
        <w:sz w:val="56"/>
      </w:rPr>
      <w:t></w:t>
    </w:r>
    <w:r w:rsidRPr="00834E81">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LVA/CO/6-12/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LVA/CO/6-12/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42A" w:rsidRPr="001075E9" w:rsidRDefault="002F642A" w:rsidP="001075E9">
      <w:pPr>
        <w:tabs>
          <w:tab w:val="right" w:pos="2155"/>
        </w:tabs>
        <w:spacing w:after="80" w:line="240" w:lineRule="auto"/>
        <w:ind w:left="680"/>
        <w:rPr>
          <w:u w:val="single"/>
        </w:rPr>
      </w:pPr>
      <w:r>
        <w:rPr>
          <w:u w:val="single"/>
        </w:rPr>
        <w:tab/>
      </w:r>
    </w:p>
  </w:footnote>
  <w:footnote w:type="continuationSeparator" w:id="0">
    <w:p w:rsidR="002F642A" w:rsidRDefault="002F642A" w:rsidP="00D43FF0">
      <w:pPr>
        <w:tabs>
          <w:tab w:val="right" w:pos="2155"/>
        </w:tabs>
        <w:spacing w:after="80" w:line="240" w:lineRule="auto"/>
        <w:ind w:left="680"/>
        <w:rPr>
          <w:u w:val="single"/>
        </w:rPr>
      </w:pPr>
      <w:r>
        <w:rPr>
          <w:u w:val="single"/>
        </w:rPr>
        <w:tab/>
      </w:r>
    </w:p>
  </w:footnote>
  <w:footnote w:id="1">
    <w:p w:rsidR="00834E81" w:rsidRPr="00834E81" w:rsidRDefault="00834E81" w:rsidP="00B639DE">
      <w:pPr>
        <w:pStyle w:val="FootnoteText"/>
        <w:rPr>
          <w:sz w:val="20"/>
        </w:rPr>
      </w:pPr>
      <w:r>
        <w:tab/>
      </w:r>
      <w:r w:rsidRPr="00834E81">
        <w:rPr>
          <w:rStyle w:val="FootnoteReference"/>
          <w:sz w:val="20"/>
          <w:vertAlign w:val="baseline"/>
        </w:rPr>
        <w:t>*</w:t>
      </w:r>
      <w:r w:rsidRPr="00834E81">
        <w:rPr>
          <w:rStyle w:val="FootnoteReference"/>
          <w:vertAlign w:val="baseline"/>
        </w:rPr>
        <w:tab/>
      </w:r>
      <w:r w:rsidRPr="00834E81">
        <w:t>La versión original del presente documento no fue objeto de revisión editorial oficial.</w:t>
      </w:r>
    </w:p>
  </w:footnote>
  <w:footnote w:id="2">
    <w:p w:rsidR="00834E81" w:rsidRPr="009C5995" w:rsidRDefault="00834E81" w:rsidP="00B639DE">
      <w:pPr>
        <w:pStyle w:val="FootnoteText"/>
      </w:pPr>
      <w:r w:rsidRPr="009C5995">
        <w:tab/>
      </w:r>
      <w:r w:rsidRPr="00B639DE">
        <w:rPr>
          <w:rStyle w:val="FootnoteReference"/>
        </w:rPr>
        <w:footnoteRef/>
      </w:r>
      <w:r w:rsidRPr="009C5995">
        <w:tab/>
        <w:t>A efectos de comparación, véase el apéndice 2 del documento básico de la República de Letonia (HRI/CORE/LVA/2017): a 1 de enero de 2016 el número de no ciudadanos inscritos en Letonia ascendía a 252.017.</w:t>
      </w:r>
    </w:p>
  </w:footnote>
  <w:footnote w:id="3">
    <w:p w:rsidR="00834E81" w:rsidRPr="009C5995" w:rsidRDefault="00834E81" w:rsidP="00B639DE">
      <w:pPr>
        <w:pStyle w:val="FootnoteText"/>
      </w:pPr>
      <w:r w:rsidRPr="009C5995">
        <w:tab/>
      </w:r>
      <w:r w:rsidRPr="00B639DE">
        <w:rPr>
          <w:rStyle w:val="FootnoteReference"/>
        </w:rPr>
        <w:footnoteRef/>
      </w:r>
      <w:r w:rsidRPr="009C5995">
        <w:tab/>
        <w:t xml:space="preserve">Se puede consultar más información en </w:t>
      </w:r>
      <w:hyperlink r:id="rId1" w:history="1">
        <w:r w:rsidRPr="008E35E4">
          <w:rPr>
            <w:rStyle w:val="Hyperlink"/>
          </w:rPr>
          <w:t>https://</w:t>
        </w:r>
        <w:proofErr w:type="spellStart"/>
        <w:r w:rsidRPr="008E35E4">
          <w:rPr>
            <w:rStyle w:val="Hyperlink"/>
          </w:rPr>
          <w:t>www.km.gov.lv</w:t>
        </w:r>
        <w:proofErr w:type="spellEnd"/>
        <w:r w:rsidRPr="008E35E4">
          <w:rPr>
            <w:rStyle w:val="Hyperlink"/>
          </w:rPr>
          <w:t>/en/</w:t>
        </w:r>
        <w:proofErr w:type="spellStart"/>
        <w:r w:rsidRPr="008E35E4">
          <w:rPr>
            <w:rStyle w:val="Hyperlink"/>
          </w:rPr>
          <w:t>integration</w:t>
        </w:r>
        <w:proofErr w:type="spellEnd"/>
        <w:r w:rsidRPr="008E35E4">
          <w:rPr>
            <w:rStyle w:val="Hyperlink"/>
          </w:rPr>
          <w:t>-and-</w:t>
        </w:r>
        <w:proofErr w:type="spellStart"/>
        <w:r w:rsidRPr="008E35E4">
          <w:rPr>
            <w:rStyle w:val="Hyperlink"/>
          </w:rPr>
          <w:t>society</w:t>
        </w:r>
        <w:proofErr w:type="spellEnd"/>
        <w:r w:rsidRPr="008E35E4">
          <w:rPr>
            <w:rStyle w:val="Hyperlink"/>
          </w:rPr>
          <w:t>/roma/</w:t>
        </w:r>
        <w:r w:rsidR="008E35E4">
          <w:rPr>
            <w:rStyle w:val="Hyperlink"/>
          </w:rPr>
          <w:br/>
        </w:r>
        <w:proofErr w:type="spellStart"/>
        <w:r w:rsidRPr="008E35E4">
          <w:rPr>
            <w:rStyle w:val="Hyperlink"/>
          </w:rPr>
          <w:t>projects</w:t>
        </w:r>
        <w:proofErr w:type="spellEnd"/>
        <w:r w:rsidRPr="008E35E4">
          <w:rPr>
            <w:rStyle w:val="Hyperlink"/>
          </w:rPr>
          <w:t>/</w:t>
        </w:r>
        <w:proofErr w:type="spellStart"/>
        <w:r w:rsidRPr="008E35E4">
          <w:rPr>
            <w:rStyle w:val="Hyperlink"/>
          </w:rPr>
          <w:t>latvian</w:t>
        </w:r>
        <w:proofErr w:type="spellEnd"/>
        <w:r w:rsidRPr="008E35E4">
          <w:rPr>
            <w:rStyle w:val="Hyperlink"/>
          </w:rPr>
          <w:t>-roma-</w:t>
        </w:r>
        <w:proofErr w:type="spellStart"/>
        <w:r w:rsidRPr="008E35E4">
          <w:rPr>
            <w:rStyle w:val="Hyperlink"/>
          </w:rPr>
          <w:t>platform</w:t>
        </w:r>
        <w:proofErr w:type="spellEnd"/>
      </w:hyperlink>
      <w:r w:rsidRPr="009C599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E81" w:rsidRPr="00834E81" w:rsidRDefault="00551346">
    <w:pPr>
      <w:pStyle w:val="Header"/>
    </w:pPr>
    <w:r>
      <w:fldChar w:fldCharType="begin"/>
    </w:r>
    <w:r>
      <w:instrText xml:space="preserve"> TITLE  \* MERGEFORMAT </w:instrText>
    </w:r>
    <w:r>
      <w:fldChar w:fldCharType="separate"/>
    </w:r>
    <w:proofErr w:type="spellStart"/>
    <w:r w:rsidR="00B24F11">
      <w:t>CERD</w:t>
    </w:r>
    <w:proofErr w:type="spellEnd"/>
    <w:r w:rsidR="00B24F11">
      <w:t>/C/</w:t>
    </w:r>
    <w:proofErr w:type="spellStart"/>
    <w:r w:rsidR="00B24F11">
      <w:t>LVA</w:t>
    </w:r>
    <w:proofErr w:type="spellEnd"/>
    <w:r w:rsidR="00B24F11">
      <w:t>/CO/6-12/</w:t>
    </w:r>
    <w:proofErr w:type="spellStart"/>
    <w:r w:rsidR="00B24F11">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E81" w:rsidRPr="00834E81" w:rsidRDefault="00551346" w:rsidP="00834E81">
    <w:pPr>
      <w:pStyle w:val="Header"/>
      <w:jc w:val="right"/>
    </w:pPr>
    <w:r>
      <w:fldChar w:fldCharType="begin"/>
    </w:r>
    <w:r>
      <w:instrText xml:space="preserve"> TITLE  \* MERGEFORMAT </w:instrText>
    </w:r>
    <w:r>
      <w:fldChar w:fldCharType="separate"/>
    </w:r>
    <w:proofErr w:type="spellStart"/>
    <w:r w:rsidR="00B24F11">
      <w:t>CERD</w:t>
    </w:r>
    <w:proofErr w:type="spellEnd"/>
    <w:r w:rsidR="00B24F11">
      <w:t>/C/</w:t>
    </w:r>
    <w:proofErr w:type="spellStart"/>
    <w:r w:rsidR="00B24F11">
      <w:t>LVA</w:t>
    </w:r>
    <w:proofErr w:type="spellEnd"/>
    <w:r w:rsidR="00B24F11">
      <w:t>/CO/6-12/</w:t>
    </w:r>
    <w:proofErr w:type="spellStart"/>
    <w:r w:rsidR="00B24F11">
      <w:t>Add.1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42A"/>
    <w:rsid w:val="00006BB9"/>
    <w:rsid w:val="000107A1"/>
    <w:rsid w:val="0002339D"/>
    <w:rsid w:val="00036733"/>
    <w:rsid w:val="000B57E7"/>
    <w:rsid w:val="000F09DF"/>
    <w:rsid w:val="000F2FF2"/>
    <w:rsid w:val="000F61B2"/>
    <w:rsid w:val="00100EA7"/>
    <w:rsid w:val="00103A93"/>
    <w:rsid w:val="001075E9"/>
    <w:rsid w:val="00133DFF"/>
    <w:rsid w:val="001366DE"/>
    <w:rsid w:val="00145F2F"/>
    <w:rsid w:val="00160FF7"/>
    <w:rsid w:val="00180183"/>
    <w:rsid w:val="00196389"/>
    <w:rsid w:val="001C7A89"/>
    <w:rsid w:val="00201F1A"/>
    <w:rsid w:val="00213632"/>
    <w:rsid w:val="002433EC"/>
    <w:rsid w:val="0025226E"/>
    <w:rsid w:val="00281DDE"/>
    <w:rsid w:val="00283ED7"/>
    <w:rsid w:val="002A2EFC"/>
    <w:rsid w:val="002B3F77"/>
    <w:rsid w:val="002C0E18"/>
    <w:rsid w:val="002C33BB"/>
    <w:rsid w:val="002D5AAC"/>
    <w:rsid w:val="002F642A"/>
    <w:rsid w:val="00301299"/>
    <w:rsid w:val="00322004"/>
    <w:rsid w:val="003402C2"/>
    <w:rsid w:val="00381C24"/>
    <w:rsid w:val="003958D0"/>
    <w:rsid w:val="004031F0"/>
    <w:rsid w:val="00454E07"/>
    <w:rsid w:val="00471CB3"/>
    <w:rsid w:val="0050108D"/>
    <w:rsid w:val="0051740C"/>
    <w:rsid w:val="00551346"/>
    <w:rsid w:val="00572E19"/>
    <w:rsid w:val="005A175E"/>
    <w:rsid w:val="005E5514"/>
    <w:rsid w:val="005F0B42"/>
    <w:rsid w:val="00634841"/>
    <w:rsid w:val="00655A21"/>
    <w:rsid w:val="0067198A"/>
    <w:rsid w:val="006725B3"/>
    <w:rsid w:val="006808A9"/>
    <w:rsid w:val="006A0D73"/>
    <w:rsid w:val="006D631C"/>
    <w:rsid w:val="006F35EE"/>
    <w:rsid w:val="007021FF"/>
    <w:rsid w:val="007076CB"/>
    <w:rsid w:val="007967DF"/>
    <w:rsid w:val="0083296F"/>
    <w:rsid w:val="00834B71"/>
    <w:rsid w:val="00834E81"/>
    <w:rsid w:val="0086445C"/>
    <w:rsid w:val="00865A80"/>
    <w:rsid w:val="00865FAC"/>
    <w:rsid w:val="008728CD"/>
    <w:rsid w:val="008A08D7"/>
    <w:rsid w:val="008A13F9"/>
    <w:rsid w:val="008C0F65"/>
    <w:rsid w:val="008C29C4"/>
    <w:rsid w:val="008E35E4"/>
    <w:rsid w:val="00906890"/>
    <w:rsid w:val="00951972"/>
    <w:rsid w:val="00954E65"/>
    <w:rsid w:val="00A17DFD"/>
    <w:rsid w:val="00A414EF"/>
    <w:rsid w:val="00A4674B"/>
    <w:rsid w:val="00A917B3"/>
    <w:rsid w:val="00AB4B51"/>
    <w:rsid w:val="00B066FC"/>
    <w:rsid w:val="00B10CC7"/>
    <w:rsid w:val="00B13ED2"/>
    <w:rsid w:val="00B24F11"/>
    <w:rsid w:val="00B62458"/>
    <w:rsid w:val="00B639DE"/>
    <w:rsid w:val="00B778C8"/>
    <w:rsid w:val="00BA3587"/>
    <w:rsid w:val="00BB36EA"/>
    <w:rsid w:val="00BD33EE"/>
    <w:rsid w:val="00C60F0C"/>
    <w:rsid w:val="00C63C2A"/>
    <w:rsid w:val="00C805C9"/>
    <w:rsid w:val="00C907F0"/>
    <w:rsid w:val="00CA1679"/>
    <w:rsid w:val="00CA4D2F"/>
    <w:rsid w:val="00CC15A3"/>
    <w:rsid w:val="00CE258A"/>
    <w:rsid w:val="00D05347"/>
    <w:rsid w:val="00D43FF0"/>
    <w:rsid w:val="00D90138"/>
    <w:rsid w:val="00DA26B8"/>
    <w:rsid w:val="00DC0D6A"/>
    <w:rsid w:val="00DD4E25"/>
    <w:rsid w:val="00E2656E"/>
    <w:rsid w:val="00E73F76"/>
    <w:rsid w:val="00EA31D8"/>
    <w:rsid w:val="00EA5579"/>
    <w:rsid w:val="00EF1360"/>
    <w:rsid w:val="00EF3220"/>
    <w:rsid w:val="00EF7198"/>
    <w:rsid w:val="00F41883"/>
    <w:rsid w:val="00F45524"/>
    <w:rsid w:val="00F46418"/>
    <w:rsid w:val="00F94155"/>
    <w:rsid w:val="00FC271E"/>
    <w:rsid w:val="00FC28A5"/>
    <w:rsid w:val="00FD2EF7"/>
    <w:rsid w:val="00FD4AD6"/>
    <w:rsid w:val="00FF1E5D"/>
    <w:rsid w:val="00FF48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CF9968B-629B-4A61-8D60-CE2B56CA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Heading1">
    <w:name w:val="heading 1"/>
    <w:aliases w:val="Table_G"/>
    <w:basedOn w:val="SingleTxtG"/>
    <w:next w:val="SingleTxtG"/>
    <w:rsid w:val="00D05347"/>
    <w:pPr>
      <w:keepNext/>
      <w:spacing w:after="0" w:line="240" w:lineRule="auto"/>
      <w:outlineLvl w:val="0"/>
    </w:pPr>
    <w:rPr>
      <w:rFonts w:cs="Arial"/>
      <w:bCs/>
      <w:szCs w:val="32"/>
    </w:rPr>
  </w:style>
  <w:style w:type="paragraph" w:styleId="Heading2">
    <w:name w:val="heading 2"/>
    <w:basedOn w:val="Normal"/>
    <w:next w:val="Normal"/>
    <w:semiHidden/>
    <w:rsid w:val="00EA31D8"/>
    <w:pPr>
      <w:keepNext/>
      <w:outlineLvl w:val="1"/>
    </w:pPr>
    <w:rPr>
      <w:rFonts w:cs="Arial"/>
      <w:bCs/>
      <w:iCs/>
      <w:szCs w:val="28"/>
    </w:rPr>
  </w:style>
  <w:style w:type="paragraph" w:styleId="Heading3">
    <w:name w:val="heading 3"/>
    <w:basedOn w:val="Normal"/>
    <w:next w:val="Normal"/>
    <w:semiHidden/>
    <w:rsid w:val="00EA31D8"/>
    <w:pPr>
      <w:keepNext/>
      <w:spacing w:before="240" w:after="60"/>
      <w:outlineLvl w:val="2"/>
    </w:pPr>
    <w:rPr>
      <w:rFonts w:ascii="Arial" w:hAnsi="Arial" w:cs="Arial"/>
      <w:b/>
      <w:bCs/>
      <w:sz w:val="26"/>
      <w:szCs w:val="26"/>
    </w:rPr>
  </w:style>
  <w:style w:type="paragraph" w:styleId="Heading4">
    <w:name w:val="heading 4"/>
    <w:basedOn w:val="Normal"/>
    <w:next w:val="Normal"/>
    <w:semiHidden/>
    <w:rsid w:val="00EA31D8"/>
    <w:pPr>
      <w:keepNext/>
      <w:spacing w:before="240" w:after="60"/>
      <w:outlineLvl w:val="3"/>
    </w:pPr>
    <w:rPr>
      <w:b/>
      <w:bCs/>
      <w:sz w:val="28"/>
      <w:szCs w:val="28"/>
    </w:rPr>
  </w:style>
  <w:style w:type="paragraph" w:styleId="Heading5">
    <w:name w:val="heading 5"/>
    <w:basedOn w:val="Normal"/>
    <w:next w:val="Normal"/>
    <w:semiHidden/>
    <w:rsid w:val="00EA31D8"/>
    <w:pPr>
      <w:spacing w:before="240" w:after="60"/>
      <w:outlineLvl w:val="4"/>
    </w:pPr>
    <w:rPr>
      <w:b/>
      <w:bCs/>
      <w:i/>
      <w:iCs/>
      <w:sz w:val="26"/>
      <w:szCs w:val="26"/>
    </w:rPr>
  </w:style>
  <w:style w:type="paragraph" w:styleId="Heading6">
    <w:name w:val="heading 6"/>
    <w:basedOn w:val="Normal"/>
    <w:next w:val="Normal"/>
    <w:semiHidden/>
    <w:rsid w:val="00EA31D8"/>
    <w:pPr>
      <w:spacing w:before="240" w:after="60"/>
      <w:outlineLvl w:val="5"/>
    </w:pPr>
    <w:rPr>
      <w:b/>
      <w:bCs/>
      <w:sz w:val="22"/>
      <w:szCs w:val="22"/>
    </w:rPr>
  </w:style>
  <w:style w:type="paragraph" w:styleId="Heading7">
    <w:name w:val="heading 7"/>
    <w:basedOn w:val="Normal"/>
    <w:next w:val="Normal"/>
    <w:semiHidden/>
    <w:rsid w:val="00EA31D8"/>
    <w:pPr>
      <w:spacing w:before="240" w:after="60"/>
      <w:outlineLvl w:val="6"/>
    </w:pPr>
    <w:rPr>
      <w:sz w:val="24"/>
      <w:szCs w:val="24"/>
    </w:rPr>
  </w:style>
  <w:style w:type="paragraph" w:styleId="Heading8">
    <w:name w:val="heading 8"/>
    <w:basedOn w:val="Normal"/>
    <w:next w:val="Normal"/>
    <w:semiHidden/>
    <w:rsid w:val="00EA31D8"/>
    <w:pPr>
      <w:spacing w:before="240" w:after="60"/>
      <w:outlineLvl w:val="7"/>
    </w:pPr>
    <w:rPr>
      <w:i/>
      <w:iCs/>
      <w:sz w:val="24"/>
      <w:szCs w:val="24"/>
    </w:rPr>
  </w:style>
  <w:style w:type="paragraph" w:styleId="Heading9">
    <w:name w:val="heading 9"/>
    <w:basedOn w:val="Normal"/>
    <w:next w:val="Normal"/>
    <w:semiHidden/>
    <w:rsid w:val="00EA31D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basedOn w:val="DefaultParagraphFont"/>
    <w:semiHidden/>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basedOn w:val="DefaultParagraphFont"/>
    <w:rsid w:val="008C29C4"/>
    <w:rPr>
      <w:color w:val="0000FF"/>
      <w:u w:val="none"/>
    </w:rPr>
  </w:style>
  <w:style w:type="character" w:styleId="FollowedHyperlink">
    <w:name w:val="FollowedHyperlink"/>
    <w:basedOn w:val="DefaultParagraphFont"/>
    <w:rsid w:val="008C29C4"/>
    <w:rPr>
      <w:color w:val="0000FF"/>
      <w:u w:val="non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semiHidden/>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semiHidden/>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semiHidden/>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BalloonText">
    <w:name w:val="Balloon Text"/>
    <w:basedOn w:val="Normal"/>
    <w:link w:val="BalloonTextChar"/>
    <w:semiHidden/>
    <w:rsid w:val="00CC15A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C15A3"/>
    <w:rPr>
      <w:rFonts w:ascii="Tahoma" w:hAnsi="Tahoma" w:cs="Tahoma"/>
      <w:sz w:val="16"/>
      <w:szCs w:val="16"/>
      <w:lang w:val="es-ES" w:eastAsia="es-ES"/>
    </w:rPr>
  </w:style>
  <w:style w:type="character" w:customStyle="1" w:styleId="UnresolvedMention">
    <w:name w:val="Unresolved Mention"/>
    <w:basedOn w:val="DefaultParagraphFont"/>
    <w:uiPriority w:val="99"/>
    <w:semiHidden/>
    <w:unhideWhenUsed/>
    <w:rsid w:val="008E3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km.gov.lv/en/integration-and-society/roma/projects/latvian-roma-platfo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6</Pages>
  <Words>2247</Words>
  <Characters>12361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CERD/C/LVA/CO/6-12/Add.1</vt:lpstr>
    </vt:vector>
  </TitlesOfParts>
  <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CERD/C/LVA/CO/6-12/Add.1</dc:title>
  <dc:subject/>
  <dc:creator>Angel MORENO TORRES</dc:creator>
  <cp:keywords/>
  <cp:lastModifiedBy>Maria Luisa Zeballos Moreno</cp:lastModifiedBy>
  <cp:revision>3</cp:revision>
  <cp:lastPrinted>2019-11-14T11:33:00Z</cp:lastPrinted>
  <dcterms:created xsi:type="dcterms:W3CDTF">2019-11-14T11:33:00Z</dcterms:created>
  <dcterms:modified xsi:type="dcterms:W3CDTF">2019-11-14T11:33:00Z</dcterms:modified>
</cp:coreProperties>
</file>